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0DBCDF" wp14:paraId="6905A6E7" wp14:textId="21412F5B">
      <w:pPr>
        <w:spacing w:before="0" w:beforeAutospacing="off" w:after="160" w:afterAutospacing="off" w:line="360" w:lineRule="auto"/>
        <w:jc w:val="both"/>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p>
    <w:p xmlns:wp14="http://schemas.microsoft.com/office/word/2010/wordml" w:rsidP="150DBCDF" wp14:paraId="5F7DB380" wp14:textId="65B40EF3">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Full Name:</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Febechukwu Miriam Iwuala     </w:t>
      </w:r>
    </w:p>
    <w:p xmlns:wp14="http://schemas.microsoft.com/office/word/2010/wordml" w:rsidP="150DBCDF" wp14:paraId="2CD05DBD" wp14:textId="6C8C4C2E">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Student ID Number:</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2409092     </w:t>
      </w:r>
    </w:p>
    <w:p xmlns:wp14="http://schemas.microsoft.com/office/word/2010/wordml" w:rsidP="150DBCDF" wp14:paraId="054E30EA" wp14:textId="513A5887">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Programme:</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Certificate of higher education skills for the workplace (Health &amp; Social Care).      </w:t>
      </w:r>
    </w:p>
    <w:p xmlns:wp14="http://schemas.microsoft.com/office/word/2010/wordml" w:rsidP="150DBCDF" wp14:paraId="4C41F2F6" wp14:textId="790675E1">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Module:</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Introduction to Independent Research Skills </w:t>
      </w:r>
    </w:p>
    <w:p xmlns:wp14="http://schemas.microsoft.com/office/word/2010/wordml" w:rsidP="150DBCDF" wp14:paraId="12B7BBB8" wp14:textId="2101C496">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Title:</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Workforce Shortages in the NHS: Impacts on Healthcare Delivery and Patient Care in the UK </w:t>
      </w:r>
    </w:p>
    <w:p xmlns:wp14="http://schemas.microsoft.com/office/word/2010/wordml" w:rsidP="150DBCDF" wp14:paraId="6B514082" wp14:textId="7DEC2128">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Component</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2:</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Written Assignment (Research Report) </w:t>
      </w:r>
    </w:p>
    <w:p xmlns:wp14="http://schemas.microsoft.com/office/word/2010/wordml" w:rsidP="150DBCDF" wp14:paraId="25251D82" wp14:textId="4B09AEFD">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Module Code:</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BMHP5019_BIRM   </w:t>
      </w:r>
    </w:p>
    <w:p xmlns:wp14="http://schemas.microsoft.com/office/word/2010/wordml" w:rsidP="150DBCDF" wp14:paraId="3DD18593" wp14:textId="6A984E7E">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Lecturer:</w:t>
      </w:r>
      <w:r w:rsidRPr="150DBCDF" w:rsidR="6FF819CF">
        <w:rPr>
          <w:rFonts w:ascii="Arial" w:hAnsi="Arial" w:eastAsia="Arial" w:cs="Arial" w:asciiTheme="minorAscii" w:hAnsiTheme="minorAscii" w:eastAsiaTheme="minorAscii" w:cstheme="minorAscii"/>
          <w:b w:val="0"/>
          <w:bCs w:val="0"/>
          <w:noProof w:val="0"/>
          <w:color w:val="auto"/>
          <w:sz w:val="22"/>
          <w:szCs w:val="22"/>
          <w:lang w:val="en-US"/>
        </w:rPr>
        <w:t xml:space="preserve"> Philip Jones</w:t>
      </w:r>
    </w:p>
    <w:p xmlns:wp14="http://schemas.microsoft.com/office/word/2010/wordml" w:rsidP="150DBCDF" wp14:paraId="2C078E63" wp14:textId="2A7E8FB6">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7EDF3057" w14:textId="032D6976">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58C97EA7" w14:textId="5CA9A8EA">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014CEF40" w14:textId="0E9B8BA6">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17E73C8E" w14:textId="669A2FAE">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6D5F6AC8" w14:textId="796E7B19">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6FDB2F08" w14:textId="0F02945E">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63FE0773" w14:textId="3C02C343">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326C1D95" w14:textId="1A8659B5">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0941D3FF" w14:textId="49F2BA62">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3AF7C994" w14:textId="0D487446">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10B54340" w14:textId="157BE359">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2C28C62C" w14:textId="57E179FD">
      <w:pPr>
        <w:pStyle w:val="Normal"/>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05411067" w:rsidP="150DBCDF" w:rsidRDefault="05411067" w14:paraId="30CAE181" w14:textId="64CF9D9C">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r w:rsidRPr="150DBCDF" w:rsidR="4148251E">
        <w:rPr>
          <w:rFonts w:ascii="Arial" w:hAnsi="Arial" w:eastAsia="Arial" w:cs="Arial" w:asciiTheme="minorAscii" w:hAnsiTheme="minorAscii" w:eastAsiaTheme="minorAscii" w:cstheme="minorAscii"/>
          <w:b w:val="0"/>
          <w:bCs w:val="0"/>
          <w:color w:val="auto"/>
          <w:sz w:val="22"/>
          <w:szCs w:val="22"/>
        </w:rPr>
        <w:t xml:space="preserve">                                                     TABLE OF CONTENT </w:t>
      </w:r>
    </w:p>
    <w:p w:rsidR="20072C3C" w:rsidP="150DBCDF" w:rsidRDefault="20072C3C" w14:paraId="3AACA3C0" w14:textId="621F600F">
      <w:pPr>
        <w:spacing w:line="360" w:lineRule="auto"/>
        <w:jc w:val="both"/>
        <w:rPr>
          <w:rFonts w:ascii="Arial" w:hAnsi="Arial" w:eastAsia="Arial" w:cs="Arial" w:asciiTheme="minorAscii" w:hAnsiTheme="minorAscii" w:eastAsiaTheme="minorAscii" w:cstheme="minorAscii"/>
          <w:b w:val="0"/>
          <w:bCs w:val="0"/>
          <w:color w:val="auto"/>
          <w:sz w:val="22"/>
          <w:szCs w:val="22"/>
        </w:rPr>
      </w:pPr>
      <w:r w:rsidRPr="150DBCDF" w:rsidR="386FC4A8">
        <w:rPr>
          <w:rFonts w:ascii="Arial" w:hAnsi="Arial" w:eastAsia="Arial" w:cs="Arial" w:asciiTheme="minorAscii" w:hAnsiTheme="minorAscii" w:eastAsiaTheme="minorAscii" w:cstheme="minorAscii"/>
          <w:b w:val="0"/>
          <w:bCs w:val="0"/>
          <w:color w:val="auto"/>
          <w:sz w:val="22"/>
          <w:szCs w:val="22"/>
        </w:rPr>
        <w:t>Abstract .................................................................................................................</w:t>
      </w:r>
      <w:r w:rsidRPr="150DBCDF" w:rsidR="364F9047">
        <w:rPr>
          <w:rFonts w:ascii="Arial" w:hAnsi="Arial" w:eastAsia="Arial" w:cs="Arial" w:asciiTheme="minorAscii" w:hAnsiTheme="minorAscii" w:eastAsiaTheme="minorAscii" w:cstheme="minorAscii"/>
          <w:b w:val="0"/>
          <w:bCs w:val="0"/>
          <w:color w:val="auto"/>
          <w:sz w:val="22"/>
          <w:szCs w:val="22"/>
        </w:rPr>
        <w:t xml:space="preserve"> 3</w:t>
      </w:r>
    </w:p>
    <w:p w:rsidR="20072C3C" w:rsidP="150DBCDF" w:rsidRDefault="20072C3C" w14:paraId="7DCAD217" w14:textId="5E8E707F">
      <w:pPr>
        <w:spacing w:line="360" w:lineRule="auto"/>
        <w:jc w:val="both"/>
      </w:pPr>
      <w:r w:rsidRPr="150DBCDF" w:rsidR="386FC4A8">
        <w:rPr>
          <w:rFonts w:ascii="Arial" w:hAnsi="Arial" w:eastAsia="Arial" w:cs="Arial" w:asciiTheme="minorAscii" w:hAnsiTheme="minorAscii" w:eastAsiaTheme="minorAscii" w:cstheme="minorAscii"/>
          <w:b w:val="0"/>
          <w:bCs w:val="0"/>
          <w:color w:val="auto"/>
          <w:sz w:val="22"/>
          <w:szCs w:val="22"/>
        </w:rPr>
        <w:t>Introduction</w:t>
      </w:r>
      <w:r w:rsidRPr="150DBCDF" w:rsidR="1896456C">
        <w:rPr>
          <w:rFonts w:ascii="Arial" w:hAnsi="Arial" w:eastAsia="Arial" w:cs="Arial" w:asciiTheme="minorAscii" w:hAnsiTheme="minorAscii" w:eastAsiaTheme="minorAscii" w:cstheme="minorAscii"/>
          <w:b w:val="0"/>
          <w:bCs w:val="0"/>
          <w:color w:val="auto"/>
          <w:sz w:val="22"/>
          <w:szCs w:val="22"/>
        </w:rPr>
        <w:t xml:space="preserve"> </w:t>
      </w:r>
      <w:r w:rsidRPr="150DBCDF" w:rsidR="77485A24">
        <w:rPr>
          <w:rFonts w:ascii="Arial" w:hAnsi="Arial" w:eastAsia="Arial" w:cs="Arial" w:asciiTheme="minorAscii" w:hAnsiTheme="minorAscii" w:eastAsiaTheme="minorAscii" w:cstheme="minorAscii"/>
          <w:b w:val="0"/>
          <w:bCs w:val="0"/>
          <w:color w:val="auto"/>
          <w:sz w:val="22"/>
          <w:szCs w:val="22"/>
        </w:rPr>
        <w:t>............................................................................................................</w:t>
      </w:r>
      <w:r w:rsidRPr="150DBCDF" w:rsidR="569C4FDB">
        <w:rPr>
          <w:rFonts w:ascii="Arial" w:hAnsi="Arial" w:eastAsia="Arial" w:cs="Arial" w:asciiTheme="minorAscii" w:hAnsiTheme="minorAscii" w:eastAsiaTheme="minorAscii" w:cstheme="minorAscii"/>
          <w:b w:val="0"/>
          <w:bCs w:val="0"/>
          <w:color w:val="auto"/>
          <w:sz w:val="22"/>
          <w:szCs w:val="22"/>
        </w:rPr>
        <w:t xml:space="preserve"> 5</w:t>
      </w:r>
    </w:p>
    <w:p w:rsidR="20072C3C" w:rsidP="150DBCDF" w:rsidRDefault="20072C3C" w14:paraId="54560DC8" w14:textId="55B18893">
      <w:pPr>
        <w:spacing w:line="360" w:lineRule="auto"/>
        <w:jc w:val="both"/>
      </w:pPr>
      <w:r w:rsidRPr="150DBCDF" w:rsidR="77485A24">
        <w:rPr>
          <w:rFonts w:ascii="Arial" w:hAnsi="Arial" w:eastAsia="Arial" w:cs="Arial" w:asciiTheme="minorAscii" w:hAnsiTheme="minorAscii" w:eastAsiaTheme="minorAscii" w:cstheme="minorAscii"/>
          <w:b w:val="0"/>
          <w:bCs w:val="0"/>
          <w:color w:val="auto"/>
          <w:sz w:val="22"/>
          <w:szCs w:val="22"/>
        </w:rPr>
        <w:t>Background ............................................................................................................</w:t>
      </w:r>
      <w:r w:rsidRPr="150DBCDF" w:rsidR="1D5C355F">
        <w:rPr>
          <w:rFonts w:ascii="Arial" w:hAnsi="Arial" w:eastAsia="Arial" w:cs="Arial" w:asciiTheme="minorAscii" w:hAnsiTheme="minorAscii" w:eastAsiaTheme="minorAscii" w:cstheme="minorAscii"/>
          <w:b w:val="0"/>
          <w:bCs w:val="0"/>
          <w:color w:val="auto"/>
          <w:sz w:val="22"/>
          <w:szCs w:val="22"/>
        </w:rPr>
        <w:t xml:space="preserve"> 6</w:t>
      </w:r>
      <w:r w:rsidRPr="150DBCDF" w:rsidR="1896456C">
        <w:rPr>
          <w:rFonts w:ascii="Arial" w:hAnsi="Arial" w:eastAsia="Arial" w:cs="Arial" w:asciiTheme="minorAscii" w:hAnsiTheme="minorAscii" w:eastAsiaTheme="minorAscii" w:cstheme="minorAscii"/>
          <w:b w:val="0"/>
          <w:bCs w:val="0"/>
          <w:color w:val="auto"/>
          <w:sz w:val="22"/>
          <w:szCs w:val="22"/>
        </w:rPr>
        <w:t xml:space="preserve">   </w:t>
      </w:r>
    </w:p>
    <w:p w:rsidR="20072C3C" w:rsidP="150DBCDF" w:rsidRDefault="20072C3C" w14:paraId="32B9DBA8" w14:textId="722F4FBE">
      <w:pPr>
        <w:spacing w:line="360" w:lineRule="auto"/>
        <w:jc w:val="both"/>
      </w:pPr>
      <w:r w:rsidRPr="150DBCDF" w:rsidR="189A0C9E">
        <w:rPr>
          <w:rFonts w:ascii="Arial" w:hAnsi="Arial" w:eastAsia="Arial" w:cs="Arial" w:asciiTheme="minorAscii" w:hAnsiTheme="minorAscii" w:eastAsiaTheme="minorAscii" w:cstheme="minorAscii"/>
          <w:b w:val="0"/>
          <w:bCs w:val="0"/>
          <w:color w:val="auto"/>
          <w:sz w:val="22"/>
          <w:szCs w:val="22"/>
        </w:rPr>
        <w:t>Methods ................................................................................................................</w:t>
      </w:r>
      <w:r w:rsidRPr="150DBCDF" w:rsidR="15415E46">
        <w:rPr>
          <w:rFonts w:ascii="Arial" w:hAnsi="Arial" w:eastAsia="Arial" w:cs="Arial" w:asciiTheme="minorAscii" w:hAnsiTheme="minorAscii" w:eastAsiaTheme="minorAscii" w:cstheme="minorAscii"/>
          <w:b w:val="0"/>
          <w:bCs w:val="0"/>
          <w:color w:val="auto"/>
          <w:sz w:val="22"/>
          <w:szCs w:val="22"/>
        </w:rPr>
        <w:t>.. 7</w:t>
      </w:r>
    </w:p>
    <w:p w:rsidR="20072C3C" w:rsidP="150DBCDF" w:rsidRDefault="20072C3C" w14:paraId="4A45E834" w14:textId="006B1C05">
      <w:pPr>
        <w:spacing w:line="360" w:lineRule="auto"/>
        <w:jc w:val="both"/>
      </w:pPr>
      <w:r w:rsidRPr="150DBCDF" w:rsidR="189A0C9E">
        <w:rPr>
          <w:rFonts w:ascii="Arial" w:hAnsi="Arial" w:eastAsia="Arial" w:cs="Arial" w:asciiTheme="minorAscii" w:hAnsiTheme="minorAscii" w:eastAsiaTheme="minorAscii" w:cstheme="minorAscii"/>
          <w:b w:val="0"/>
          <w:bCs w:val="0"/>
          <w:color w:val="auto"/>
          <w:sz w:val="22"/>
          <w:szCs w:val="22"/>
        </w:rPr>
        <w:t>Results ................................................................................................................</w:t>
      </w:r>
      <w:r w:rsidRPr="150DBCDF" w:rsidR="147BE49B">
        <w:rPr>
          <w:rFonts w:ascii="Arial" w:hAnsi="Arial" w:eastAsia="Arial" w:cs="Arial" w:asciiTheme="minorAscii" w:hAnsiTheme="minorAscii" w:eastAsiaTheme="minorAscii" w:cstheme="minorAscii"/>
          <w:b w:val="0"/>
          <w:bCs w:val="0"/>
          <w:color w:val="auto"/>
          <w:sz w:val="22"/>
          <w:szCs w:val="22"/>
        </w:rPr>
        <w:t>... 12</w:t>
      </w:r>
    </w:p>
    <w:p w:rsidR="20072C3C" w:rsidP="150DBCDF" w:rsidRDefault="20072C3C" w14:paraId="7209CD67" w14:textId="31EADBC8">
      <w:pPr>
        <w:spacing w:line="360" w:lineRule="auto"/>
        <w:jc w:val="both"/>
      </w:pPr>
      <w:r w:rsidRPr="150DBCDF" w:rsidR="189A0C9E">
        <w:rPr>
          <w:rFonts w:ascii="Arial" w:hAnsi="Arial" w:eastAsia="Arial" w:cs="Arial" w:asciiTheme="minorAscii" w:hAnsiTheme="minorAscii" w:eastAsiaTheme="minorAscii" w:cstheme="minorAscii"/>
          <w:b w:val="0"/>
          <w:bCs w:val="0"/>
          <w:color w:val="auto"/>
          <w:sz w:val="22"/>
          <w:szCs w:val="22"/>
        </w:rPr>
        <w:t>Thematic Analysis ................................................................................................</w:t>
      </w:r>
      <w:r w:rsidRPr="150DBCDF" w:rsidR="2F1E6B7B">
        <w:rPr>
          <w:rFonts w:ascii="Arial" w:hAnsi="Arial" w:eastAsia="Arial" w:cs="Arial" w:asciiTheme="minorAscii" w:hAnsiTheme="minorAscii" w:eastAsiaTheme="minorAscii" w:cstheme="minorAscii"/>
          <w:b w:val="0"/>
          <w:bCs w:val="0"/>
          <w:color w:val="auto"/>
          <w:sz w:val="22"/>
          <w:szCs w:val="22"/>
        </w:rPr>
        <w:t>...14</w:t>
      </w:r>
    </w:p>
    <w:p w:rsidR="20072C3C" w:rsidP="150DBCDF" w:rsidRDefault="20072C3C" w14:paraId="6743DF62" w14:textId="494F1B53">
      <w:pPr>
        <w:spacing w:line="360" w:lineRule="auto"/>
        <w:jc w:val="both"/>
      </w:pPr>
      <w:r w:rsidRPr="150DBCDF" w:rsidR="189A0C9E">
        <w:rPr>
          <w:rFonts w:ascii="Arial" w:hAnsi="Arial" w:eastAsia="Arial" w:cs="Arial" w:asciiTheme="minorAscii" w:hAnsiTheme="minorAscii" w:eastAsiaTheme="minorAscii" w:cstheme="minorAscii"/>
          <w:b w:val="0"/>
          <w:bCs w:val="0"/>
          <w:color w:val="auto"/>
          <w:sz w:val="22"/>
          <w:szCs w:val="22"/>
        </w:rPr>
        <w:t>Discussion ........................................................................................................</w:t>
      </w:r>
      <w:r w:rsidRPr="150DBCDF" w:rsidR="78CC3FB3">
        <w:rPr>
          <w:rFonts w:ascii="Arial" w:hAnsi="Arial" w:eastAsia="Arial" w:cs="Arial" w:asciiTheme="minorAscii" w:hAnsiTheme="minorAscii" w:eastAsiaTheme="minorAscii" w:cstheme="minorAscii"/>
          <w:b w:val="0"/>
          <w:bCs w:val="0"/>
          <w:color w:val="auto"/>
          <w:sz w:val="22"/>
          <w:szCs w:val="22"/>
        </w:rPr>
        <w:t>......17</w:t>
      </w:r>
    </w:p>
    <w:p w:rsidR="20072C3C" w:rsidP="150DBCDF" w:rsidRDefault="20072C3C" w14:paraId="1040ACD1" w14:textId="0021E671">
      <w:pPr>
        <w:spacing w:line="360" w:lineRule="auto"/>
        <w:jc w:val="both"/>
      </w:pPr>
      <w:r w:rsidRPr="150DBCDF" w:rsidR="189A0C9E">
        <w:rPr>
          <w:rFonts w:ascii="Arial" w:hAnsi="Arial" w:eastAsia="Arial" w:cs="Arial" w:asciiTheme="minorAscii" w:hAnsiTheme="minorAscii" w:eastAsiaTheme="minorAscii" w:cstheme="minorAscii"/>
          <w:b w:val="0"/>
          <w:bCs w:val="0"/>
          <w:color w:val="auto"/>
          <w:sz w:val="22"/>
          <w:szCs w:val="22"/>
        </w:rPr>
        <w:t>Conclusion ......................................................................................................</w:t>
      </w:r>
      <w:r w:rsidRPr="150DBCDF" w:rsidR="16DB137B">
        <w:rPr>
          <w:rFonts w:ascii="Arial" w:hAnsi="Arial" w:eastAsia="Arial" w:cs="Arial" w:asciiTheme="minorAscii" w:hAnsiTheme="minorAscii" w:eastAsiaTheme="minorAscii" w:cstheme="minorAscii"/>
          <w:b w:val="0"/>
          <w:bCs w:val="0"/>
          <w:color w:val="auto"/>
          <w:sz w:val="22"/>
          <w:szCs w:val="22"/>
        </w:rPr>
        <w:t>.......19</w:t>
      </w:r>
    </w:p>
    <w:p w:rsidR="20072C3C" w:rsidP="150DBCDF" w:rsidRDefault="20072C3C" w14:paraId="4E9B4F79" w14:textId="20CFE982">
      <w:pPr>
        <w:spacing w:line="360" w:lineRule="auto"/>
        <w:jc w:val="both"/>
      </w:pPr>
      <w:r w:rsidRPr="150DBCDF" w:rsidR="189A0C9E">
        <w:rPr>
          <w:rFonts w:ascii="Arial" w:hAnsi="Arial" w:eastAsia="Arial" w:cs="Arial" w:asciiTheme="minorAscii" w:hAnsiTheme="minorAscii" w:eastAsiaTheme="minorAscii" w:cstheme="minorAscii"/>
          <w:b w:val="0"/>
          <w:bCs w:val="0"/>
          <w:color w:val="auto"/>
          <w:sz w:val="22"/>
          <w:szCs w:val="22"/>
        </w:rPr>
        <w:t>Recommendations ........................................................................................</w:t>
      </w:r>
      <w:r w:rsidRPr="150DBCDF" w:rsidR="5252FE7E">
        <w:rPr>
          <w:rFonts w:ascii="Arial" w:hAnsi="Arial" w:eastAsia="Arial" w:cs="Arial" w:asciiTheme="minorAscii" w:hAnsiTheme="minorAscii" w:eastAsiaTheme="minorAscii" w:cstheme="minorAscii"/>
          <w:b w:val="0"/>
          <w:bCs w:val="0"/>
          <w:color w:val="auto"/>
          <w:sz w:val="22"/>
          <w:szCs w:val="22"/>
        </w:rPr>
        <w:t xml:space="preserve"> .......</w:t>
      </w:r>
      <w:r w:rsidRPr="150DBCDF" w:rsidR="189A0C9E">
        <w:rPr>
          <w:rFonts w:ascii="Arial" w:hAnsi="Arial" w:eastAsia="Arial" w:cs="Arial" w:asciiTheme="minorAscii" w:hAnsiTheme="minorAscii" w:eastAsiaTheme="minorAscii" w:cstheme="minorAscii"/>
          <w:b w:val="0"/>
          <w:bCs w:val="0"/>
          <w:color w:val="auto"/>
          <w:sz w:val="22"/>
          <w:szCs w:val="22"/>
        </w:rPr>
        <w:t>.</w:t>
      </w:r>
      <w:r w:rsidRPr="150DBCDF" w:rsidR="5BBB9D7D">
        <w:rPr>
          <w:rFonts w:ascii="Arial" w:hAnsi="Arial" w:eastAsia="Arial" w:cs="Arial" w:asciiTheme="minorAscii" w:hAnsiTheme="minorAscii" w:eastAsiaTheme="minorAscii" w:cstheme="minorAscii"/>
          <w:b w:val="0"/>
          <w:bCs w:val="0"/>
          <w:color w:val="auto"/>
          <w:sz w:val="22"/>
          <w:szCs w:val="22"/>
        </w:rPr>
        <w:t>20</w:t>
      </w:r>
      <w:r w:rsidRPr="150DBCDF" w:rsidR="1896456C">
        <w:rPr>
          <w:rFonts w:ascii="Arial" w:hAnsi="Arial" w:eastAsia="Arial" w:cs="Arial" w:asciiTheme="minorAscii" w:hAnsiTheme="minorAscii" w:eastAsiaTheme="minorAscii" w:cstheme="minorAscii"/>
          <w:b w:val="0"/>
          <w:bCs w:val="0"/>
          <w:color w:val="auto"/>
          <w:sz w:val="22"/>
          <w:szCs w:val="22"/>
        </w:rPr>
        <w:t xml:space="preserve">      </w:t>
      </w:r>
    </w:p>
    <w:p w:rsidR="20072C3C" w:rsidP="150DBCDF" w:rsidRDefault="20072C3C" w14:paraId="32802C66" w14:textId="0030D495">
      <w:pPr>
        <w:spacing w:line="360" w:lineRule="auto"/>
        <w:jc w:val="both"/>
      </w:pPr>
      <w:r w:rsidRPr="150DBCDF" w:rsidR="684C24A4">
        <w:rPr>
          <w:rFonts w:ascii="Arial" w:hAnsi="Arial" w:eastAsia="Arial" w:cs="Arial" w:asciiTheme="minorAscii" w:hAnsiTheme="minorAscii" w:eastAsiaTheme="minorAscii" w:cstheme="minorAscii"/>
          <w:b w:val="0"/>
          <w:bCs w:val="0"/>
          <w:color w:val="auto"/>
          <w:sz w:val="22"/>
          <w:szCs w:val="22"/>
        </w:rPr>
        <w:t>Reference</w:t>
      </w:r>
      <w:r w:rsidRPr="150DBCDF" w:rsidR="1896456C">
        <w:rPr>
          <w:rFonts w:ascii="Arial" w:hAnsi="Arial" w:eastAsia="Arial" w:cs="Arial" w:asciiTheme="minorAscii" w:hAnsiTheme="minorAscii" w:eastAsiaTheme="minorAscii" w:cstheme="minorAscii"/>
          <w:b w:val="0"/>
          <w:bCs w:val="0"/>
          <w:color w:val="auto"/>
          <w:sz w:val="22"/>
          <w:szCs w:val="22"/>
        </w:rPr>
        <w:t xml:space="preserve"> List .......................................................................................................</w:t>
      </w:r>
      <w:r w:rsidRPr="150DBCDF" w:rsidR="18617F59">
        <w:rPr>
          <w:rFonts w:ascii="Arial" w:hAnsi="Arial" w:eastAsia="Arial" w:cs="Arial" w:asciiTheme="minorAscii" w:hAnsiTheme="minorAscii" w:eastAsiaTheme="minorAscii" w:cstheme="minorAscii"/>
          <w:b w:val="0"/>
          <w:bCs w:val="0"/>
          <w:color w:val="auto"/>
          <w:sz w:val="22"/>
          <w:szCs w:val="22"/>
        </w:rPr>
        <w:t xml:space="preserve"> 21</w:t>
      </w:r>
    </w:p>
    <w:p w:rsidR="20072C3C" w:rsidP="150DBCDF" w:rsidRDefault="20072C3C" w14:paraId="4CDF46A2" w14:textId="28399981">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2F116E68" w14:textId="7084AC94">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03D32C43" w14:textId="63BFD0F5">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19BBAC60" w14:textId="04D4865C">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6DE9B687" w14:textId="305F14AA">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7E8C4F92" w14:textId="27B38534">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33D7666E" w14:textId="575B0F53">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7E0FFF5A" w14:textId="49FAD779">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150DBCDF" w:rsidP="150DBCDF" w:rsidRDefault="150DBCDF" w14:paraId="682A7197" w14:textId="15EE1500">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p>
    <w:p w:rsidR="150DBCDF" w:rsidP="150DBCDF" w:rsidRDefault="150DBCDF" w14:paraId="74925EA3" w14:textId="4596EC17">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6115F0FA" w14:textId="6D822093">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59F2A4C9" w14:textId="6FC1D29E">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4524961D" w:rsidP="150DBCDF" w:rsidRDefault="4524961D" w14:paraId="5137AFD8" w14:textId="6AFF020E">
      <w:pPr>
        <w:pStyle w:val="Normal"/>
        <w:spacing w:line="360" w:lineRule="auto"/>
        <w:jc w:val="both"/>
        <w:rPr>
          <w:rFonts w:ascii="Arial" w:hAnsi="Arial" w:eastAsia="Arial" w:cs="Arial" w:asciiTheme="minorAscii" w:hAnsiTheme="minorAscii" w:eastAsiaTheme="minorAscii" w:cstheme="minorAscii"/>
          <w:b w:val="1"/>
          <w:bCs w:val="1"/>
          <w:noProof w:val="0"/>
          <w:color w:val="auto" w:themeColor="text1" w:themeTint="FF" w:themeShade="FF"/>
          <w:sz w:val="22"/>
          <w:szCs w:val="22"/>
          <w:lang w:val="en-US"/>
        </w:rPr>
      </w:pPr>
      <w:r w:rsidRPr="150DBCDF" w:rsidR="02446FBB">
        <w:rPr>
          <w:rFonts w:ascii="Arial" w:hAnsi="Arial" w:eastAsia="Arial" w:cs="Arial" w:asciiTheme="minorAscii" w:hAnsiTheme="minorAscii" w:eastAsiaTheme="minorAscii" w:cstheme="minorAscii"/>
          <w:b w:val="1"/>
          <w:bCs w:val="1"/>
          <w:noProof w:val="0"/>
          <w:color w:val="auto"/>
          <w:sz w:val="22"/>
          <w:szCs w:val="22"/>
          <w:lang w:val="en-US"/>
        </w:rPr>
        <w:t>ABSTRACT</w:t>
      </w:r>
    </w:p>
    <w:p w:rsidR="1A071E2F" w:rsidP="150DBCDF" w:rsidRDefault="1A071E2F" w14:paraId="245B8953" w14:textId="3D562B17">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1A071E2F">
        <w:rPr>
          <w:rFonts w:ascii="Arial" w:hAnsi="Arial" w:eastAsia="Arial" w:cs="Arial"/>
          <w:b w:val="1"/>
          <w:bCs w:val="1"/>
          <w:noProof w:val="0"/>
          <w:color w:val="auto"/>
          <w:sz w:val="22"/>
          <w:szCs w:val="22"/>
          <w:lang w:val="en-US"/>
        </w:rPr>
        <w:t>Background</w:t>
      </w:r>
      <w:r w:rsidRPr="150DBCDF" w:rsidR="1A071E2F">
        <w:rPr>
          <w:rFonts w:ascii="Arial" w:hAnsi="Arial" w:eastAsia="Arial" w:cs="Arial"/>
          <w:b w:val="0"/>
          <w:bCs w:val="0"/>
          <w:noProof w:val="0"/>
          <w:color w:val="auto"/>
          <w:sz w:val="22"/>
          <w:szCs w:val="22"/>
          <w:lang w:val="en-US"/>
        </w:rPr>
        <w:t>:</w:t>
      </w:r>
      <w:r w:rsidRPr="150DBCDF" w:rsidR="1A071E2F">
        <w:rPr>
          <w:rFonts w:ascii="Arial" w:hAnsi="Arial" w:eastAsia="Arial" w:cs="Arial"/>
          <w:b w:val="0"/>
          <w:bCs w:val="0"/>
          <w:noProof w:val="0"/>
          <w:color w:val="auto"/>
          <w:sz w:val="22"/>
          <w:szCs w:val="22"/>
          <w:lang w:val="en-US"/>
        </w:rPr>
        <w:t xml:space="preserve"> Workforce shortages remain one of the most significant challenges facing the National Health Service (NHS) in the United Kingdom. Persistent staffing deficits across healthcare professions have increased pressure on healthcare services, affected staff wellbeing, and raised concerns about the quality and safety of patient care.</w:t>
      </w:r>
    </w:p>
    <w:p w:rsidR="1A071E2F" w:rsidP="150DBCDF" w:rsidRDefault="1A071E2F" w14:paraId="6D5BFDF7" w14:textId="725B485D">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1A071E2F">
        <w:rPr>
          <w:rFonts w:ascii="Arial" w:hAnsi="Arial" w:eastAsia="Arial" w:cs="Arial"/>
          <w:b w:val="1"/>
          <w:bCs w:val="1"/>
          <w:noProof w:val="0"/>
          <w:color w:val="auto"/>
          <w:sz w:val="22"/>
          <w:szCs w:val="22"/>
          <w:lang w:val="en-US"/>
        </w:rPr>
        <w:t>Aim:</w:t>
      </w:r>
      <w:r w:rsidRPr="150DBCDF" w:rsidR="1A071E2F">
        <w:rPr>
          <w:rFonts w:ascii="Arial" w:hAnsi="Arial" w:eastAsia="Arial" w:cs="Arial"/>
          <w:b w:val="1"/>
          <w:bCs w:val="1"/>
          <w:noProof w:val="0"/>
          <w:color w:val="auto"/>
          <w:sz w:val="22"/>
          <w:szCs w:val="22"/>
          <w:lang w:val="en-US"/>
        </w:rPr>
        <w:t xml:space="preserve"> </w:t>
      </w:r>
      <w:r w:rsidRPr="150DBCDF" w:rsidR="1A071E2F">
        <w:rPr>
          <w:rFonts w:ascii="Arial" w:hAnsi="Arial" w:eastAsia="Arial" w:cs="Arial"/>
          <w:b w:val="0"/>
          <w:bCs w:val="0"/>
          <w:noProof w:val="0"/>
          <w:color w:val="auto"/>
          <w:sz w:val="22"/>
          <w:szCs w:val="22"/>
          <w:lang w:val="en-US"/>
        </w:rPr>
        <w:t>This scoping review aimed to examine the causes of NHS workforce shortages and evaluate their impact on healthcare delivery and patient care in the UK.</w:t>
      </w:r>
    </w:p>
    <w:p w:rsidR="1A071E2F" w:rsidP="150DBCDF" w:rsidRDefault="1A071E2F" w14:paraId="11A9C7D8" w14:textId="59BFB038">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1A071E2F">
        <w:rPr>
          <w:rFonts w:ascii="Arial" w:hAnsi="Arial" w:eastAsia="Arial" w:cs="Arial"/>
          <w:b w:val="1"/>
          <w:bCs w:val="1"/>
          <w:noProof w:val="0"/>
          <w:color w:val="auto"/>
          <w:sz w:val="22"/>
          <w:szCs w:val="22"/>
          <w:lang w:val="en-US"/>
        </w:rPr>
        <w:t>Methods:</w:t>
      </w:r>
      <w:r w:rsidRPr="150DBCDF" w:rsidR="1A071E2F">
        <w:rPr>
          <w:rFonts w:ascii="Arial" w:hAnsi="Arial" w:eastAsia="Arial" w:cs="Arial"/>
          <w:b w:val="1"/>
          <w:bCs w:val="1"/>
          <w:noProof w:val="0"/>
          <w:color w:val="auto"/>
          <w:sz w:val="22"/>
          <w:szCs w:val="22"/>
          <w:lang w:val="en-US"/>
        </w:rPr>
        <w:t xml:space="preserve"> </w:t>
      </w:r>
      <w:r w:rsidRPr="150DBCDF" w:rsidR="1A071E2F">
        <w:rPr>
          <w:rFonts w:ascii="Arial" w:hAnsi="Arial" w:eastAsia="Arial" w:cs="Arial"/>
          <w:b w:val="0"/>
          <w:bCs w:val="0"/>
          <w:noProof w:val="0"/>
          <w:color w:val="auto"/>
          <w:sz w:val="22"/>
          <w:szCs w:val="22"/>
          <w:lang w:val="en-US"/>
        </w:rPr>
        <w:t xml:space="preserve">A scoping review </w:t>
      </w:r>
      <w:r w:rsidRPr="150DBCDF" w:rsidR="1A071E2F">
        <w:rPr>
          <w:rFonts w:ascii="Arial" w:hAnsi="Arial" w:eastAsia="Arial" w:cs="Arial"/>
          <w:b w:val="0"/>
          <w:bCs w:val="0"/>
          <w:noProof w:val="0"/>
          <w:color w:val="auto"/>
          <w:sz w:val="22"/>
          <w:szCs w:val="22"/>
          <w:lang w:val="en-US"/>
        </w:rPr>
        <w:t>methodology</w:t>
      </w:r>
      <w:r w:rsidRPr="150DBCDF" w:rsidR="1A071E2F">
        <w:rPr>
          <w:rFonts w:ascii="Arial" w:hAnsi="Arial" w:eastAsia="Arial" w:cs="Arial"/>
          <w:b w:val="0"/>
          <w:bCs w:val="0"/>
          <w:noProof w:val="0"/>
          <w:color w:val="auto"/>
          <w:sz w:val="22"/>
          <w:szCs w:val="22"/>
          <w:lang w:val="en-US"/>
        </w:rPr>
        <w:t xml:space="preserve"> was adopted following the framework developed by Arksey and O'Malley (2005). Peer-reviewed literature published between 2020 and 2026 was </w:t>
      </w:r>
      <w:r w:rsidRPr="150DBCDF" w:rsidR="1A071E2F">
        <w:rPr>
          <w:rFonts w:ascii="Arial" w:hAnsi="Arial" w:eastAsia="Arial" w:cs="Arial"/>
          <w:b w:val="0"/>
          <w:bCs w:val="0"/>
          <w:noProof w:val="0"/>
          <w:color w:val="auto"/>
          <w:sz w:val="22"/>
          <w:szCs w:val="22"/>
          <w:lang w:val="en-US"/>
        </w:rPr>
        <w:t>identified</w:t>
      </w:r>
      <w:r w:rsidRPr="150DBCDF" w:rsidR="1A071E2F">
        <w:rPr>
          <w:rFonts w:ascii="Arial" w:hAnsi="Arial" w:eastAsia="Arial" w:cs="Arial"/>
          <w:b w:val="0"/>
          <w:bCs w:val="0"/>
          <w:noProof w:val="0"/>
          <w:color w:val="auto"/>
          <w:sz w:val="22"/>
          <w:szCs w:val="22"/>
          <w:lang w:val="en-US"/>
        </w:rPr>
        <w:t xml:space="preserve"> through electronic databases, including</w:t>
      </w:r>
      <w:r w:rsidRPr="150DBCDF" w:rsidR="14BF1417">
        <w:rPr>
          <w:rFonts w:ascii="Arial" w:hAnsi="Arial" w:eastAsia="Arial" w:cs="Arial"/>
          <w:b w:val="0"/>
          <w:bCs w:val="0"/>
          <w:noProof w:val="0"/>
          <w:color w:val="auto"/>
          <w:sz w:val="22"/>
          <w:szCs w:val="22"/>
          <w:lang w:val="en-US"/>
        </w:rPr>
        <w:t xml:space="preserve"> </w:t>
      </w:r>
      <w:r w:rsidRPr="150DBCDF" w:rsidR="14BF1417">
        <w:rPr>
          <w:rFonts w:ascii="Arial" w:hAnsi="Arial" w:eastAsia="Arial" w:cs="Arial"/>
          <w:b w:val="0"/>
          <w:bCs w:val="0"/>
          <w:noProof w:val="0"/>
          <w:color w:val="auto"/>
          <w:sz w:val="22"/>
          <w:szCs w:val="22"/>
          <w:lang w:val="en-US"/>
        </w:rPr>
        <w:t>PubMed, CINAHL Complete, Scopus, ScienceDirect, and UWTSD Library Search</w:t>
      </w:r>
      <w:r w:rsidRPr="150DBCDF" w:rsidR="1A071E2F">
        <w:rPr>
          <w:rFonts w:ascii="Arial" w:hAnsi="Arial" w:eastAsia="Arial" w:cs="Arial"/>
          <w:b w:val="0"/>
          <w:bCs w:val="0"/>
          <w:noProof w:val="0"/>
          <w:color w:val="auto"/>
          <w:sz w:val="22"/>
          <w:szCs w:val="22"/>
          <w:lang w:val="en-US"/>
        </w:rPr>
        <w:t xml:space="preserve">. Studies were screened against predefined inclusion and exclusion criteria, and relevant evidence was </w:t>
      </w:r>
      <w:r w:rsidRPr="150DBCDF" w:rsidR="1A071E2F">
        <w:rPr>
          <w:rFonts w:ascii="Arial" w:hAnsi="Arial" w:eastAsia="Arial" w:cs="Arial"/>
          <w:b w:val="0"/>
          <w:bCs w:val="0"/>
          <w:noProof w:val="0"/>
          <w:color w:val="auto"/>
          <w:sz w:val="22"/>
          <w:szCs w:val="22"/>
          <w:lang w:val="en-US"/>
        </w:rPr>
        <w:t>analysed</w:t>
      </w:r>
      <w:r w:rsidRPr="150DBCDF" w:rsidR="1A071E2F">
        <w:rPr>
          <w:rFonts w:ascii="Arial" w:hAnsi="Arial" w:eastAsia="Arial" w:cs="Arial"/>
          <w:b w:val="0"/>
          <w:bCs w:val="0"/>
          <w:noProof w:val="0"/>
          <w:color w:val="auto"/>
          <w:sz w:val="22"/>
          <w:szCs w:val="22"/>
          <w:lang w:val="en-US"/>
        </w:rPr>
        <w:t xml:space="preserve"> thematically.</w:t>
      </w:r>
    </w:p>
    <w:p w:rsidR="1A071E2F" w:rsidP="150DBCDF" w:rsidRDefault="1A071E2F" w14:paraId="20F87F08" w14:textId="1E383BBE">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1A071E2F">
        <w:rPr>
          <w:rFonts w:ascii="Arial" w:hAnsi="Arial" w:eastAsia="Arial" w:cs="Arial"/>
          <w:b w:val="1"/>
          <w:bCs w:val="1"/>
          <w:noProof w:val="0"/>
          <w:color w:val="auto"/>
          <w:sz w:val="22"/>
          <w:szCs w:val="22"/>
          <w:lang w:val="en-US"/>
        </w:rPr>
        <w:t>Results:</w:t>
      </w:r>
      <w:r w:rsidRPr="150DBCDF" w:rsidR="1A071E2F">
        <w:rPr>
          <w:rFonts w:ascii="Arial" w:hAnsi="Arial" w:eastAsia="Arial" w:cs="Arial"/>
          <w:b w:val="0"/>
          <w:bCs w:val="0"/>
          <w:noProof w:val="0"/>
          <w:color w:val="auto"/>
          <w:sz w:val="22"/>
          <w:szCs w:val="22"/>
          <w:lang w:val="en-US"/>
        </w:rPr>
        <w:t xml:space="preserve"> The review found that workforce shortages are driven by multiple factors, including staff burnout, high workload, poor organisational support, recruitment challenges, and limited career development opportunities. The evidence consistently demonstrated that staffing shortages contribute to increased patient waiting times, reduced quality of care, greater risk of adverse events, and declining staff wellbeing. Several studies also highlighted that supportive leadership, improved retention strategies, flexible working arrangements, and workforce innovations can help improve workforce sustainability.</w:t>
      </w:r>
    </w:p>
    <w:p w:rsidR="1A071E2F" w:rsidP="150DBCDF" w:rsidRDefault="1A071E2F" w14:paraId="177DBCF4" w14:textId="6CE67736">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1A071E2F">
        <w:rPr>
          <w:rFonts w:ascii="Arial" w:hAnsi="Arial" w:eastAsia="Arial" w:cs="Arial"/>
          <w:b w:val="1"/>
          <w:bCs w:val="1"/>
          <w:noProof w:val="0"/>
          <w:color w:val="auto"/>
          <w:sz w:val="22"/>
          <w:szCs w:val="22"/>
          <w:lang w:val="en-US"/>
        </w:rPr>
        <w:t>Conclusion:</w:t>
      </w:r>
      <w:r w:rsidRPr="150DBCDF" w:rsidR="1A071E2F">
        <w:rPr>
          <w:rFonts w:ascii="Arial" w:hAnsi="Arial" w:eastAsia="Arial" w:cs="Arial"/>
          <w:b w:val="1"/>
          <w:bCs w:val="1"/>
          <w:noProof w:val="0"/>
          <w:color w:val="auto"/>
          <w:sz w:val="22"/>
          <w:szCs w:val="22"/>
          <w:lang w:val="en-US"/>
        </w:rPr>
        <w:t xml:space="preserve"> </w:t>
      </w:r>
      <w:r w:rsidRPr="150DBCDF" w:rsidR="1A071E2F">
        <w:rPr>
          <w:rFonts w:ascii="Arial" w:hAnsi="Arial" w:eastAsia="Arial" w:cs="Arial"/>
          <w:b w:val="0"/>
          <w:bCs w:val="0"/>
          <w:noProof w:val="0"/>
          <w:color w:val="auto"/>
          <w:sz w:val="22"/>
          <w:szCs w:val="22"/>
          <w:lang w:val="en-US"/>
        </w:rPr>
        <w:t>Workforce shortages within the NHS have significant implications for healthcare delivery, patient safety, and organisational performance. Addressing these challenges requires a comprehensive workforce strategy that combines effective recruitment with long-term retention initiatives, investment in staff wellbeing, leadership development, and safe staffing levels. Future research should evaluate the long-term effectiveness of workforce interventions across different healthcare settings to support evidence-based workforce planning and improve patient outcomes.</w:t>
      </w:r>
    </w:p>
    <w:p w:rsidR="150DBCDF" w:rsidP="150DBCDF" w:rsidRDefault="150DBCDF" w14:paraId="477D4841" w14:textId="2E24D15D">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4D6005B9" w14:textId="0C253C7D">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56C21116" w:rsidP="150DBCDF" w:rsidRDefault="56C21116" w14:paraId="54BD740F" w14:textId="6DBE5D77">
      <w:pPr>
        <w:pStyle w:val="Normal"/>
        <w:spacing w:line="360" w:lineRule="auto"/>
        <w:jc w:val="both"/>
        <w:rPr>
          <w:rFonts w:ascii="Arial" w:hAnsi="Arial" w:eastAsia="Arial" w:cs="Arial" w:asciiTheme="minorAscii" w:hAnsiTheme="minorAscii" w:eastAsiaTheme="minorAscii" w:cstheme="minorAscii"/>
          <w:b w:val="1"/>
          <w:bCs w:val="1"/>
          <w:noProof w:val="0"/>
          <w:color w:val="auto" w:themeColor="text1" w:themeTint="FF" w:themeShade="FF"/>
          <w:sz w:val="22"/>
          <w:szCs w:val="22"/>
          <w:lang w:val="en-US"/>
        </w:rPr>
      </w:pPr>
      <w:r w:rsidRPr="150DBCDF" w:rsidR="106A698E">
        <w:rPr>
          <w:rFonts w:ascii="Arial" w:hAnsi="Arial" w:eastAsia="Arial" w:cs="Arial" w:asciiTheme="minorAscii" w:hAnsiTheme="minorAscii" w:eastAsiaTheme="minorAscii" w:cstheme="minorAscii"/>
          <w:b w:val="1"/>
          <w:bCs w:val="1"/>
          <w:noProof w:val="0"/>
          <w:color w:val="auto"/>
          <w:sz w:val="22"/>
          <w:szCs w:val="22"/>
          <w:lang w:val="en-US"/>
        </w:rPr>
        <w:t xml:space="preserve">INTRODUCTION </w:t>
      </w:r>
    </w:p>
    <w:p w:rsidR="20072C3C" w:rsidP="150DBCDF" w:rsidRDefault="20072C3C" w14:paraId="524AF2E3" w14:textId="7392188E">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9408033">
        <w:rPr>
          <w:rFonts w:ascii="Arial" w:hAnsi="Arial" w:eastAsia="Arial" w:cs="Arial"/>
          <w:b w:val="0"/>
          <w:bCs w:val="0"/>
          <w:noProof w:val="0"/>
          <w:color w:val="auto"/>
          <w:sz w:val="22"/>
          <w:szCs w:val="22"/>
          <w:lang w:val="en-US"/>
        </w:rPr>
        <w:t xml:space="preserve">The National Health Service (NHS) is one of the world's largest publicly funded healthcare systems and plays a vital role in providing comprehensive healthcare services across the United Kingdom </w:t>
      </w:r>
      <w:r w:rsidRPr="150DBCDF" w:rsidR="09408033">
        <w:rPr>
          <w:rFonts w:ascii="Arial" w:hAnsi="Arial" w:eastAsia="Arial" w:cs="Arial"/>
          <w:b w:val="0"/>
          <w:bCs w:val="0"/>
          <w:noProof w:val="0"/>
          <w:color w:val="auto"/>
          <w:sz w:val="22"/>
          <w:szCs w:val="22"/>
          <w:lang w:val="en-US"/>
        </w:rPr>
        <w:t>(NHS England, 2023)</w:t>
      </w:r>
      <w:r w:rsidRPr="150DBCDF" w:rsidR="09408033">
        <w:rPr>
          <w:rFonts w:ascii="Arial" w:hAnsi="Arial" w:eastAsia="Arial" w:cs="Arial"/>
          <w:b w:val="0"/>
          <w:bCs w:val="0"/>
          <w:noProof w:val="0"/>
          <w:color w:val="auto"/>
          <w:sz w:val="22"/>
          <w:szCs w:val="22"/>
          <w:lang w:val="en-US"/>
        </w:rPr>
        <w:t xml:space="preserve">. However, the NHS has experienced increasing workforce shortages over recent years, creating significant challenges for the delivery of safe, effective and timely healthcare </w:t>
      </w:r>
      <w:r w:rsidRPr="150DBCDF" w:rsidR="09408033">
        <w:rPr>
          <w:rFonts w:ascii="Arial" w:hAnsi="Arial" w:eastAsia="Arial" w:cs="Arial"/>
          <w:b w:val="0"/>
          <w:bCs w:val="0"/>
          <w:noProof w:val="0"/>
          <w:color w:val="auto"/>
          <w:sz w:val="22"/>
          <w:szCs w:val="22"/>
          <w:lang w:val="en-US"/>
        </w:rPr>
        <w:t>(Alderwick and Charlesworth, 2022; NHS England, 2023)</w:t>
      </w:r>
      <w:r w:rsidRPr="150DBCDF" w:rsidR="09408033">
        <w:rPr>
          <w:rFonts w:ascii="Arial" w:hAnsi="Arial" w:eastAsia="Arial" w:cs="Arial"/>
          <w:b w:val="0"/>
          <w:bCs w:val="0"/>
          <w:noProof w:val="0"/>
          <w:color w:val="auto"/>
          <w:sz w:val="22"/>
          <w:szCs w:val="22"/>
          <w:lang w:val="en-US"/>
        </w:rPr>
        <w:t xml:space="preserve">. Workforce shortages refer to an insufficient number of appropriately trained healthcare professionals, including doctors, nurses, allied health professionals and support staff, to meet the growing demand for healthcare services </w:t>
      </w:r>
      <w:r w:rsidRPr="150DBCDF" w:rsidR="09408033">
        <w:rPr>
          <w:rFonts w:ascii="Arial" w:hAnsi="Arial" w:eastAsia="Arial" w:cs="Arial"/>
          <w:b w:val="0"/>
          <w:bCs w:val="0"/>
          <w:noProof w:val="0"/>
          <w:color w:val="auto"/>
          <w:sz w:val="22"/>
          <w:szCs w:val="22"/>
          <w:lang w:val="en-US"/>
        </w:rPr>
        <w:t>(World Health Organization, 2022)</w:t>
      </w:r>
      <w:r w:rsidRPr="150DBCDF" w:rsidR="09408033">
        <w:rPr>
          <w:rFonts w:ascii="Arial" w:hAnsi="Arial" w:eastAsia="Arial" w:cs="Arial"/>
          <w:b w:val="0"/>
          <w:bCs w:val="0"/>
          <w:noProof w:val="0"/>
          <w:color w:val="auto"/>
          <w:sz w:val="22"/>
          <w:szCs w:val="22"/>
          <w:lang w:val="en-US"/>
        </w:rPr>
        <w:t xml:space="preserve">. These shortages have been associated with increasing patient waiting times, heavier staff workloads, reduced quality of care, staff burnout and poorer patient outcomes </w:t>
      </w:r>
      <w:r w:rsidRPr="150DBCDF" w:rsidR="09408033">
        <w:rPr>
          <w:rFonts w:ascii="Arial" w:hAnsi="Arial" w:eastAsia="Arial" w:cs="Arial"/>
          <w:b w:val="0"/>
          <w:bCs w:val="0"/>
          <w:noProof w:val="0"/>
          <w:color w:val="auto"/>
          <w:sz w:val="22"/>
          <w:szCs w:val="22"/>
          <w:lang w:val="en-US"/>
        </w:rPr>
        <w:t xml:space="preserve">(Griffiths </w:t>
      </w:r>
      <w:r w:rsidRPr="150DBCDF" w:rsidR="09408033">
        <w:rPr>
          <w:rFonts w:ascii="Arial" w:hAnsi="Arial" w:eastAsia="Arial" w:cs="Arial"/>
          <w:b w:val="0"/>
          <w:bCs w:val="0"/>
          <w:i w:val="1"/>
          <w:iCs w:val="1"/>
          <w:noProof w:val="0"/>
          <w:color w:val="auto"/>
          <w:sz w:val="22"/>
          <w:szCs w:val="22"/>
          <w:lang w:val="en-US"/>
        </w:rPr>
        <w:t>et al</w:t>
      </w:r>
      <w:r w:rsidRPr="150DBCDF" w:rsidR="09408033">
        <w:rPr>
          <w:rFonts w:ascii="Arial" w:hAnsi="Arial" w:eastAsia="Arial" w:cs="Arial"/>
          <w:b w:val="0"/>
          <w:bCs w:val="0"/>
          <w:noProof w:val="0"/>
          <w:color w:val="auto"/>
          <w:sz w:val="22"/>
          <w:szCs w:val="22"/>
          <w:lang w:val="en-US"/>
        </w:rPr>
        <w:t>., 2025; Onyejesi, James and Kharicha, 2026).</w:t>
      </w:r>
    </w:p>
    <w:p w:rsidR="20072C3C" w:rsidP="150DBCDF" w:rsidRDefault="20072C3C" w14:paraId="1788B725" w14:textId="263FEBD8">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9408033">
        <w:rPr>
          <w:rFonts w:ascii="Arial" w:hAnsi="Arial" w:eastAsia="Arial" w:cs="Arial"/>
          <w:b w:val="0"/>
          <w:bCs w:val="0"/>
          <w:noProof w:val="0"/>
          <w:color w:val="auto"/>
          <w:sz w:val="22"/>
          <w:szCs w:val="22"/>
          <w:lang w:val="en-US"/>
        </w:rPr>
        <w:t xml:space="preserve">The NHS workforce has been affected by numerous factors, including an ageing population with increasingly complex healthcare needs, difficulties in recruiting and retaining healthcare professionals, high levels of sickness absence, staff burnout, early retirement and increased demand following the COVID-19 pandemic </w:t>
      </w:r>
      <w:r w:rsidRPr="150DBCDF" w:rsidR="09408033">
        <w:rPr>
          <w:rFonts w:ascii="Arial" w:hAnsi="Arial" w:eastAsia="Arial" w:cs="Arial"/>
          <w:b w:val="0"/>
          <w:bCs w:val="0"/>
          <w:noProof w:val="0"/>
          <w:color w:val="auto"/>
          <w:sz w:val="22"/>
          <w:szCs w:val="22"/>
          <w:lang w:val="en-US"/>
        </w:rPr>
        <w:t>(Onyejesi, James and Kharicha, 2026; Alkan, Cushen-Brewster and Anyanwu, 2024)</w:t>
      </w:r>
      <w:r w:rsidRPr="150DBCDF" w:rsidR="09408033">
        <w:rPr>
          <w:rFonts w:ascii="Arial" w:hAnsi="Arial" w:eastAsia="Arial" w:cs="Arial"/>
          <w:b w:val="0"/>
          <w:bCs w:val="0"/>
          <w:noProof w:val="0"/>
          <w:color w:val="auto"/>
          <w:sz w:val="22"/>
          <w:szCs w:val="22"/>
          <w:lang w:val="en-US"/>
        </w:rPr>
        <w:t xml:space="preserve">. In response, NHS England has introduced long-term workforce planning strategies aimed at increasing recruitment, improving staff retention and expanding education and training opportunities </w:t>
      </w:r>
      <w:r w:rsidRPr="150DBCDF" w:rsidR="09408033">
        <w:rPr>
          <w:rFonts w:ascii="Arial" w:hAnsi="Arial" w:eastAsia="Arial" w:cs="Arial"/>
          <w:b w:val="0"/>
          <w:bCs w:val="0"/>
          <w:noProof w:val="0"/>
          <w:color w:val="auto"/>
          <w:sz w:val="22"/>
          <w:szCs w:val="22"/>
          <w:lang w:val="en-US"/>
        </w:rPr>
        <w:t>(NHS England, 2023)</w:t>
      </w:r>
      <w:r w:rsidRPr="150DBCDF" w:rsidR="09408033">
        <w:rPr>
          <w:rFonts w:ascii="Arial" w:hAnsi="Arial" w:eastAsia="Arial" w:cs="Arial"/>
          <w:b w:val="0"/>
          <w:bCs w:val="0"/>
          <w:noProof w:val="0"/>
          <w:color w:val="auto"/>
          <w:sz w:val="22"/>
          <w:szCs w:val="22"/>
          <w:lang w:val="en-US"/>
        </w:rPr>
        <w:t xml:space="preserve">. Despite these initiatives, workforce shortages continue to represent one of the most significant challenges facing healthcare delivery in the United Kingdom </w:t>
      </w:r>
      <w:r w:rsidRPr="150DBCDF" w:rsidR="09408033">
        <w:rPr>
          <w:rFonts w:ascii="Arial" w:hAnsi="Arial" w:eastAsia="Arial" w:cs="Arial"/>
          <w:b w:val="0"/>
          <w:bCs w:val="0"/>
          <w:noProof w:val="0"/>
          <w:color w:val="auto"/>
          <w:sz w:val="22"/>
          <w:szCs w:val="22"/>
          <w:lang w:val="en-US"/>
        </w:rPr>
        <w:t>(Alderwick and Charlesworth, 2022).</w:t>
      </w:r>
    </w:p>
    <w:p w:rsidR="20072C3C" w:rsidP="150DBCDF" w:rsidRDefault="20072C3C" w14:paraId="3D9E6242" w14:textId="4696CF9A">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9408033">
        <w:rPr>
          <w:rFonts w:ascii="Arial" w:hAnsi="Arial" w:eastAsia="Arial" w:cs="Arial"/>
          <w:b w:val="0"/>
          <w:bCs w:val="0"/>
          <w:noProof w:val="0"/>
          <w:color w:val="auto"/>
          <w:sz w:val="22"/>
          <w:szCs w:val="22"/>
          <w:lang w:val="en-US"/>
        </w:rPr>
        <w:t xml:space="preserve">A scoping review is a form of secondary research that systematically identifies, maps and synthesises the available evidence on a particular topic to determine the extent, nature and characteristics of existing research </w:t>
      </w:r>
      <w:r w:rsidRPr="150DBCDF" w:rsidR="09408033">
        <w:rPr>
          <w:rFonts w:ascii="Arial" w:hAnsi="Arial" w:eastAsia="Arial" w:cs="Arial"/>
          <w:b w:val="0"/>
          <w:bCs w:val="0"/>
          <w:noProof w:val="0"/>
          <w:color w:val="auto"/>
          <w:sz w:val="22"/>
          <w:szCs w:val="22"/>
          <w:lang w:val="en-US"/>
        </w:rPr>
        <w:t>(Arksey and O'Malley, 2005)</w:t>
      </w:r>
      <w:r w:rsidRPr="150DBCDF" w:rsidR="09408033">
        <w:rPr>
          <w:rFonts w:ascii="Arial" w:hAnsi="Arial" w:eastAsia="Arial" w:cs="Arial"/>
          <w:b w:val="0"/>
          <w:bCs w:val="0"/>
          <w:noProof w:val="0"/>
          <w:color w:val="auto"/>
          <w:sz w:val="22"/>
          <w:szCs w:val="22"/>
          <w:lang w:val="en-US"/>
        </w:rPr>
        <w:t xml:space="preserve">. Unlike systematic reviews, scoping reviews are particularly useful for examining broad topics, identifying knowledge gaps and informing future research and policy development </w:t>
      </w:r>
      <w:r w:rsidRPr="150DBCDF" w:rsidR="09408033">
        <w:rPr>
          <w:rFonts w:ascii="Arial" w:hAnsi="Arial" w:eastAsia="Arial" w:cs="Arial"/>
          <w:b w:val="0"/>
          <w:bCs w:val="0"/>
          <w:noProof w:val="0"/>
          <w:color w:val="auto"/>
          <w:sz w:val="22"/>
          <w:szCs w:val="22"/>
          <w:lang w:val="en-US"/>
        </w:rPr>
        <w:t>(Arksey and O'Malley, 2005)</w:t>
      </w:r>
      <w:r w:rsidRPr="150DBCDF" w:rsidR="09408033">
        <w:rPr>
          <w:rFonts w:ascii="Arial" w:hAnsi="Arial" w:eastAsia="Arial" w:cs="Arial"/>
          <w:b w:val="0"/>
          <w:bCs w:val="0"/>
          <w:noProof w:val="0"/>
          <w:color w:val="auto"/>
          <w:sz w:val="22"/>
          <w:szCs w:val="22"/>
          <w:lang w:val="en-US"/>
        </w:rPr>
        <w:t xml:space="preserve">. This review adopts Arksey and O'Malley's scoping review framework together with Aveyard's simplified thematic analysis to synthesise evidence from published peer-reviewed research concerning NHS workforce shortages </w:t>
      </w:r>
      <w:r w:rsidRPr="150DBCDF" w:rsidR="09408033">
        <w:rPr>
          <w:rFonts w:ascii="Arial" w:hAnsi="Arial" w:eastAsia="Arial" w:cs="Arial"/>
          <w:b w:val="0"/>
          <w:bCs w:val="0"/>
          <w:noProof w:val="0"/>
          <w:color w:val="auto"/>
          <w:sz w:val="22"/>
          <w:szCs w:val="22"/>
          <w:lang w:val="en-US"/>
        </w:rPr>
        <w:t>(Aveyard, 2019).</w:t>
      </w:r>
    </w:p>
    <w:p w:rsidR="20072C3C" w:rsidP="150DBCDF" w:rsidRDefault="20072C3C" w14:paraId="1CA3A386" w14:textId="7B9D0084">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9408033">
        <w:rPr>
          <w:rFonts w:ascii="Arial" w:hAnsi="Arial" w:eastAsia="Arial" w:cs="Arial"/>
          <w:b w:val="0"/>
          <w:bCs w:val="0"/>
          <w:noProof w:val="0"/>
          <w:color w:val="auto"/>
          <w:sz w:val="22"/>
          <w:szCs w:val="22"/>
          <w:lang w:val="en-US"/>
        </w:rPr>
        <w:t xml:space="preserve">The rationale for undertaking this review is based on the continuing pressures experienced across NHS services and the growing concern regarding their impact on healthcare delivery and patient care. Understanding the causes of workforce shortages and evaluating the evidence regarding their consequences is essential for informing workforce planning, supporting healthcare professionals, improving patient safety and guiding future policy decisions </w:t>
      </w:r>
      <w:r w:rsidRPr="150DBCDF" w:rsidR="09408033">
        <w:rPr>
          <w:rFonts w:ascii="Arial" w:hAnsi="Arial" w:eastAsia="Arial" w:cs="Arial"/>
          <w:b w:val="0"/>
          <w:bCs w:val="0"/>
          <w:noProof w:val="0"/>
          <w:color w:val="auto"/>
          <w:sz w:val="22"/>
          <w:szCs w:val="22"/>
          <w:lang w:val="en-US"/>
        </w:rPr>
        <w:t xml:space="preserve">(Griffiths </w:t>
      </w:r>
      <w:r w:rsidRPr="150DBCDF" w:rsidR="09408033">
        <w:rPr>
          <w:rFonts w:ascii="Arial" w:hAnsi="Arial" w:eastAsia="Arial" w:cs="Arial"/>
          <w:b w:val="0"/>
          <w:bCs w:val="0"/>
          <w:i w:val="1"/>
          <w:iCs w:val="1"/>
          <w:noProof w:val="0"/>
          <w:color w:val="auto"/>
          <w:sz w:val="22"/>
          <w:szCs w:val="22"/>
          <w:lang w:val="en-US"/>
        </w:rPr>
        <w:t>et al</w:t>
      </w:r>
      <w:r w:rsidRPr="150DBCDF" w:rsidR="09408033">
        <w:rPr>
          <w:rFonts w:ascii="Arial" w:hAnsi="Arial" w:eastAsia="Arial" w:cs="Arial"/>
          <w:b w:val="0"/>
          <w:bCs w:val="0"/>
          <w:noProof w:val="0"/>
          <w:color w:val="auto"/>
          <w:sz w:val="22"/>
          <w:szCs w:val="22"/>
          <w:lang w:val="en-US"/>
        </w:rPr>
        <w:t>., 2025; NHS England, 2023).</w:t>
      </w:r>
    </w:p>
    <w:p w:rsidR="20072C3C" w:rsidP="150DBCDF" w:rsidRDefault="20072C3C" w14:paraId="6D43718B" w14:textId="702F0E91">
      <w:pPr>
        <w:pStyle w:val="Normal"/>
        <w:spacing w:line="360" w:lineRule="auto"/>
        <w:jc w:val="both"/>
        <w:rPr>
          <w:rFonts w:ascii="Arial" w:hAnsi="Arial" w:eastAsia="Arial" w:cs="Arial" w:asciiTheme="minorAscii" w:hAnsiTheme="minorAscii" w:eastAsiaTheme="minorAscii" w:cstheme="minorAscii"/>
          <w:b w:val="0"/>
          <w:bCs w:val="0"/>
          <w:noProof w:val="0"/>
          <w:color w:val="auto" w:themeColor="text1" w:themeTint="FF" w:themeShade="FF"/>
          <w:sz w:val="22"/>
          <w:szCs w:val="22"/>
          <w:lang w:val="en-US"/>
        </w:rPr>
      </w:pPr>
    </w:p>
    <w:p w:rsidR="150DBCDF" w:rsidP="150DBCDF" w:rsidRDefault="150DBCDF" w14:paraId="7F225BEA" w14:textId="6261CA49">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1484542A" w14:textId="5004D441">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6B458D68" w14:textId="3F1F01D1">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6D6B0DCA" w14:textId="323E30F4">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4D32EDB9" w14:textId="30305854">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4A9B15AF" w14:textId="4476D49D">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5E697EE4" w14:textId="2478A22C">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286997E4" w14:textId="37C78691">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0E68DA35" w14:textId="4AF3C705">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6438F029" w14:textId="6E820504">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31AB4A2C" w14:textId="268DF079">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282097E4" w14:textId="4D0D8A96">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5F089C7A" w14:textId="3A93C542">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0F83ACF2" w14:textId="2C304F03">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11CCDD09" w14:textId="2CEE257B">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5D37248D" w14:textId="5595C3A8">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150DBCDF" w:rsidP="150DBCDF" w:rsidRDefault="150DBCDF" w14:paraId="6B2D0333" w14:textId="0D08DE77">
      <w:pPr>
        <w:pStyle w:val="Normal"/>
        <w:spacing w:line="360" w:lineRule="auto"/>
        <w:jc w:val="both"/>
        <w:rPr>
          <w:rFonts w:ascii="Arial" w:hAnsi="Arial" w:eastAsia="Arial" w:cs="Arial" w:asciiTheme="minorAscii" w:hAnsiTheme="minorAscii" w:eastAsiaTheme="minorAscii" w:cstheme="minorAscii"/>
          <w:b w:val="0"/>
          <w:bCs w:val="0"/>
          <w:noProof w:val="0"/>
          <w:color w:val="auto"/>
          <w:sz w:val="22"/>
          <w:szCs w:val="22"/>
          <w:lang w:val="en-US"/>
        </w:rPr>
      </w:pPr>
    </w:p>
    <w:p w:rsidR="32D54E02" w:rsidP="150DBCDF" w:rsidRDefault="32D54E02" w14:paraId="62D0EE2C" w14:textId="38760642">
      <w:pPr>
        <w:pStyle w:val="Heading1"/>
        <w:spacing w:before="322" w:beforeAutospacing="off" w:after="322"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591BAABC">
        <w:rPr>
          <w:rFonts w:ascii="Arial" w:hAnsi="Arial" w:eastAsia="Arial" w:cs="Arial"/>
          <w:b w:val="1"/>
          <w:bCs w:val="1"/>
          <w:noProof w:val="0"/>
          <w:color w:val="auto"/>
          <w:sz w:val="22"/>
          <w:szCs w:val="22"/>
          <w:lang w:val="en-US"/>
        </w:rPr>
        <w:t>BACKGROUND</w:t>
      </w:r>
    </w:p>
    <w:p w:rsidR="0A257EAC" w:rsidP="150DBCDF" w:rsidRDefault="0A257EAC" w14:paraId="5C720B86" w14:textId="610EC4BB">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0A257EAC">
        <w:rPr>
          <w:rFonts w:ascii="Arial" w:hAnsi="Arial" w:eastAsia="Arial" w:cs="Arial"/>
          <w:noProof w:val="0"/>
          <w:color w:val="auto"/>
          <w:sz w:val="22"/>
          <w:szCs w:val="22"/>
          <w:lang w:val="en-US"/>
        </w:rPr>
        <w:t>Workforce shortages are one of the greatest challenges facing the National Health Service (NHS), driven by rising demand from an ageing population, increasing long-term conditions, and the lasting effects of the COVID-19 pandemic (Alderwick and Charlesworth, 2022; World Health Organization, 2022; NHS England, 2023). Ongoing recruitment and retention difficulties have resulted in widespread staffing shortages across hospitals, primary care, community health, and social care, placing pressure on services and healthcare professionals (Alkan, Cushen-Brewster and Anyanwu, 2024; Onyejesi, James and Kharicha, 2026).</w:t>
      </w:r>
    </w:p>
    <w:p w:rsidR="0A257EAC" w:rsidP="150DBCDF" w:rsidRDefault="0A257EAC" w14:paraId="585BFD21" w14:textId="325A73A2">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0A257EAC">
        <w:rPr>
          <w:rFonts w:ascii="Arial" w:hAnsi="Arial" w:eastAsia="Arial" w:cs="Arial"/>
          <w:noProof w:val="0"/>
          <w:color w:val="auto"/>
          <w:sz w:val="22"/>
          <w:szCs w:val="22"/>
          <w:lang w:val="en-US"/>
        </w:rPr>
        <w:t>National initiatives, including the NHS Long Term Workforce Plan, the Health and Care Act 2022, and the NHS People Plan, aim to expand workforce capacity, improve retention, and promote staff wellbeing (NHS England, 2020; NHS England, 2023; UK Government, 2022). However, shortages remain significant, particularly in nursing and medicine, contributing to increased workload, burnout, and staff turnover (Griffiths et al., 2025; Wood et al., 2025).</w:t>
      </w:r>
    </w:p>
    <w:p w:rsidR="0A257EAC" w:rsidP="150DBCDF" w:rsidRDefault="0A257EAC" w14:paraId="50872B4B" w14:textId="6C723F41">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0A257EAC">
        <w:rPr>
          <w:rFonts w:ascii="Arial" w:hAnsi="Arial" w:eastAsia="Arial" w:cs="Arial"/>
          <w:noProof w:val="0"/>
          <w:color w:val="auto"/>
          <w:sz w:val="22"/>
          <w:szCs w:val="22"/>
          <w:lang w:val="en-US"/>
        </w:rPr>
        <w:t>Evidence shows that inadequate staffing negatively affects patient care, leading to longer waiting times, delayed treatment, missed care, medication errors, reduced patient satisfaction, and increased mortality (Aiken et al., 2014; Ball et al., 2018; Griffiths et al., 2019). While existing research has explored workforce shortages across different settings and professions, the evidence remains fragmented (Alkan, Cushen-Brewster and Anyanwu, 2024).</w:t>
      </w:r>
    </w:p>
    <w:p w:rsidR="0A257EAC" w:rsidP="150DBCDF" w:rsidRDefault="0A257EAC" w14:paraId="1EAEF6AD" w14:textId="6C90D2E0">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0A257EAC">
        <w:rPr>
          <w:rFonts w:ascii="Arial" w:hAnsi="Arial" w:eastAsia="Arial" w:cs="Arial"/>
          <w:noProof w:val="0"/>
          <w:color w:val="auto"/>
          <w:sz w:val="22"/>
          <w:szCs w:val="22"/>
          <w:lang w:val="en-US"/>
        </w:rPr>
        <w:t>A scoping review is therefore appropriate to synthesise the available evidence, identify key themes and research gaps, and provide a comprehensive understanding of how workforce shortages affect healthcare delivery and patient outcomes within the NHS (Arksey and O'Malley, 2005).</w:t>
      </w:r>
    </w:p>
    <w:p w:rsidR="150DBCDF" w:rsidP="150DBCDF" w:rsidRDefault="150DBCDF" w14:paraId="6059A6D0" w14:textId="38F61C1B">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150DBCDF" w:rsidP="150DBCDF" w:rsidRDefault="150DBCDF" w14:paraId="4CFFDA7D" w14:textId="2D43677E">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20072C3C" w:rsidP="150DBCDF" w:rsidRDefault="20072C3C" w14:paraId="12D219F3" w14:textId="64F86FF7">
      <w:pPr>
        <w:pStyle w:val="Normal"/>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7C3AC0BA" w14:textId="14600AFB">
      <w:pPr>
        <w:pStyle w:val="Normal"/>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6A2EAD26" w:rsidP="150DBCDF" w:rsidRDefault="6A2EAD26" w14:paraId="26C6C624" w14:textId="7825081B">
      <w:pPr>
        <w:pStyle w:val="Heading1"/>
        <w:spacing w:before="322" w:beforeAutospacing="off" w:after="322"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METHODS</w:t>
      </w:r>
    </w:p>
    <w:p w:rsidR="6A2EAD26" w:rsidP="150DBCDF" w:rsidRDefault="6A2EAD26" w14:paraId="37D78D6E" w14:textId="595423D7">
      <w:pPr>
        <w:pStyle w:val="Heading2"/>
        <w:spacing w:before="299" w:beforeAutospacing="off" w:after="299"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Research Design</w:t>
      </w:r>
    </w:p>
    <w:p w:rsidR="5BB26B95" w:rsidP="150DBCDF" w:rsidRDefault="5BB26B95" w14:paraId="7FE3FBCE" w14:textId="3EDE588F">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This research employed a scoping review methodology to examine the available peer-reviewed evidence relating to workforce shortages in the National Health Service (NHS) and their impact on healthcare delivery and patient care in the United Kingdom. A scoping review was selected because it enables researchers to systematically identify, map and synthesise a broad body of literature while identifying research gaps and informing future policy and practice (Arksey and O'Malley, 2005). Unlike a systematic review, which typically addresses narrowly focused questions relating to intervention effectiveness, a scoping review is appropriate for exploring complex healthcare issues where evidence is derived from different study designs.</w:t>
      </w:r>
    </w:p>
    <w:p w:rsidR="5BB26B95" w:rsidP="150DBCDF" w:rsidRDefault="5BB26B95" w14:paraId="25455FB6" w14:textId="14AC3907">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The review followed the methodological framework developed by Arksey and O'Malley (2005), which consists of five stages:</w:t>
      </w:r>
    </w:p>
    <w:p w:rsidR="5BB26B95" w:rsidP="150DBCDF" w:rsidRDefault="5BB26B95" w14:paraId="542A8091" w14:textId="54107EE6">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 xml:space="preserve">Identifying the research question. </w:t>
      </w:r>
    </w:p>
    <w:p w:rsidR="5BB26B95" w:rsidP="150DBCDF" w:rsidRDefault="5BB26B95" w14:paraId="58CCD898" w14:textId="1F6B48C6">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 xml:space="preserve">Identifying relevant studies. </w:t>
      </w:r>
    </w:p>
    <w:p w:rsidR="5BB26B95" w:rsidP="150DBCDF" w:rsidRDefault="5BB26B95" w14:paraId="7DBE4EBB" w14:textId="631D048B">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 xml:space="preserve">Selecting eligible studies. </w:t>
      </w:r>
    </w:p>
    <w:p w:rsidR="5BB26B95" w:rsidP="150DBCDF" w:rsidRDefault="5BB26B95" w14:paraId="42E89DF8" w14:textId="31AEBEE7">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 xml:space="preserve">Charting the data. </w:t>
      </w:r>
    </w:p>
    <w:p w:rsidR="5BB26B95" w:rsidP="150DBCDF" w:rsidRDefault="5BB26B95" w14:paraId="2CEA4979" w14:textId="1CF786C1">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 xml:space="preserve">Collating, summarising and reporting the findings. </w:t>
      </w:r>
    </w:p>
    <w:p w:rsidR="5BB26B95" w:rsidP="150DBCDF" w:rsidRDefault="5BB26B95" w14:paraId="54929078" w14:textId="1F950E9B">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5BB26B95">
        <w:rPr>
          <w:rFonts w:ascii="Arial" w:hAnsi="Arial" w:eastAsia="Arial" w:cs="Arial"/>
          <w:b w:val="0"/>
          <w:bCs w:val="0"/>
          <w:noProof w:val="0"/>
          <w:color w:val="auto"/>
          <w:sz w:val="22"/>
          <w:szCs w:val="22"/>
          <w:lang w:val="en-US"/>
        </w:rPr>
        <w:t>Using this framework ensured that the review followed a systematic and transparent approach while allowing a comprehensive examination of the existing literature.</w:t>
      </w:r>
    </w:p>
    <w:p w:rsidR="150DBCDF" w:rsidP="150DBCDF" w:rsidRDefault="150DBCDF" w14:paraId="32839E21" w14:textId="60A56317">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6A2EAD26" w:rsidP="150DBCDF" w:rsidRDefault="6A2EAD26" w14:paraId="539F307D" w14:textId="330AC44B">
      <w:pPr>
        <w:pStyle w:val="Heading2"/>
        <w:spacing w:before="299" w:beforeAutospacing="off" w:after="299"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Search Strategy</w:t>
      </w:r>
    </w:p>
    <w:p w:rsidR="705BDAE9" w:rsidP="150DBCDF" w:rsidRDefault="705BDAE9" w14:paraId="19CC5062" w14:textId="51EA4B0F">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A systematic literature search was undertaken to identify relevant peer-reviewed journal articles published between </w:t>
      </w:r>
      <w:r w:rsidRPr="150DBCDF" w:rsidR="705BDAE9">
        <w:rPr>
          <w:rFonts w:ascii="Arial" w:hAnsi="Arial" w:eastAsia="Arial" w:cs="Arial"/>
          <w:b w:val="0"/>
          <w:bCs w:val="0"/>
          <w:noProof w:val="0"/>
          <w:color w:val="auto"/>
          <w:sz w:val="22"/>
          <w:szCs w:val="22"/>
          <w:lang w:val="en-US"/>
        </w:rPr>
        <w:t>January 2020 and June 2026</w:t>
      </w:r>
      <w:r w:rsidRPr="150DBCDF" w:rsidR="705BDAE9">
        <w:rPr>
          <w:rFonts w:ascii="Arial" w:hAnsi="Arial" w:eastAsia="Arial" w:cs="Arial"/>
          <w:b w:val="0"/>
          <w:bCs w:val="0"/>
          <w:noProof w:val="0"/>
          <w:color w:val="auto"/>
          <w:sz w:val="22"/>
          <w:szCs w:val="22"/>
          <w:lang w:val="en-US"/>
        </w:rPr>
        <w:t>. Restricting the search to recent publications ensured that the review reflected current NHS workforce challenges and healthcare practices following the COVID-19 pandemic.</w:t>
      </w:r>
    </w:p>
    <w:p w:rsidR="705BDAE9" w:rsidP="150DBCDF" w:rsidRDefault="705BDAE9" w14:paraId="55DDD38D" w14:textId="19E6AFFF">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Electronic database searches were conducted using:</w:t>
      </w:r>
    </w:p>
    <w:p w:rsidR="705BDAE9" w:rsidP="150DBCDF" w:rsidRDefault="705BDAE9" w14:paraId="68BF76E7" w14:textId="2A88C568">
      <w:pPr>
        <w:pStyle w:val="ListParagraph"/>
        <w:numPr>
          <w:ilvl w:val="0"/>
          <w:numId w:val="12"/>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PubMed </w:t>
      </w:r>
    </w:p>
    <w:p w:rsidR="705BDAE9" w:rsidP="150DBCDF" w:rsidRDefault="705BDAE9" w14:paraId="0A7FD569" w14:textId="7E2C1137">
      <w:pPr>
        <w:pStyle w:val="ListParagraph"/>
        <w:numPr>
          <w:ilvl w:val="0"/>
          <w:numId w:val="12"/>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CINAHL Complete </w:t>
      </w:r>
    </w:p>
    <w:p w:rsidR="705BDAE9" w:rsidP="150DBCDF" w:rsidRDefault="705BDAE9" w14:paraId="3F34D00A" w14:textId="5F564F47">
      <w:pPr>
        <w:pStyle w:val="ListParagraph"/>
        <w:numPr>
          <w:ilvl w:val="0"/>
          <w:numId w:val="12"/>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Scopus </w:t>
      </w:r>
    </w:p>
    <w:p w:rsidR="705BDAE9" w:rsidP="150DBCDF" w:rsidRDefault="705BDAE9" w14:paraId="7930D137" w14:textId="52AABD99">
      <w:pPr>
        <w:pStyle w:val="ListParagraph"/>
        <w:numPr>
          <w:ilvl w:val="0"/>
          <w:numId w:val="12"/>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ScienceDirect </w:t>
      </w:r>
    </w:p>
    <w:p w:rsidR="705BDAE9" w:rsidP="150DBCDF" w:rsidRDefault="705BDAE9" w14:paraId="4F65F21C" w14:textId="610E4133">
      <w:pPr>
        <w:pStyle w:val="ListParagraph"/>
        <w:numPr>
          <w:ilvl w:val="0"/>
          <w:numId w:val="12"/>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Google Scholar </w:t>
      </w:r>
    </w:p>
    <w:p w:rsidR="705BDAE9" w:rsidP="150DBCDF" w:rsidRDefault="705BDAE9" w14:paraId="3328937A" w14:textId="424B9D16">
      <w:pPr>
        <w:pStyle w:val="ListParagraph"/>
        <w:numPr>
          <w:ilvl w:val="0"/>
          <w:numId w:val="12"/>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ProQuest </w:t>
      </w:r>
    </w:p>
    <w:p w:rsidR="705BDAE9" w:rsidP="150DBCDF" w:rsidRDefault="705BDAE9" w14:paraId="35EEE8B5" w14:textId="368AD917">
      <w:pPr>
        <w:pStyle w:val="ListParagraph"/>
        <w:numPr>
          <w:ilvl w:val="0"/>
          <w:numId w:val="12"/>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UWTSD Library Search </w:t>
      </w:r>
    </w:p>
    <w:p w:rsidR="705BDAE9" w:rsidP="150DBCDF" w:rsidRDefault="705BDAE9" w14:paraId="08A37634" w14:textId="00C07DFD">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These databases were selected because they provide comprehensive coverage of nursing, medicine, healthcare management and health services research.</w:t>
      </w:r>
    </w:p>
    <w:p w:rsidR="705BDAE9" w:rsidP="150DBCDF" w:rsidRDefault="705BDAE9" w14:paraId="6B39932E" w14:textId="5920FFA0">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The search strategy combined keywords with Boolean operators (</w:t>
      </w:r>
      <w:r w:rsidRPr="150DBCDF" w:rsidR="705BDAE9">
        <w:rPr>
          <w:rFonts w:ascii="Arial" w:hAnsi="Arial" w:eastAsia="Arial" w:cs="Arial"/>
          <w:b w:val="0"/>
          <w:bCs w:val="0"/>
          <w:noProof w:val="0"/>
          <w:color w:val="auto"/>
          <w:sz w:val="22"/>
          <w:szCs w:val="22"/>
          <w:lang w:val="en-US"/>
        </w:rPr>
        <w:t>AND</w:t>
      </w:r>
      <w:r w:rsidRPr="150DBCDF" w:rsidR="705BDAE9">
        <w:rPr>
          <w:rFonts w:ascii="Arial" w:hAnsi="Arial" w:eastAsia="Arial" w:cs="Arial"/>
          <w:b w:val="0"/>
          <w:bCs w:val="0"/>
          <w:noProof w:val="0"/>
          <w:color w:val="auto"/>
          <w:sz w:val="22"/>
          <w:szCs w:val="22"/>
          <w:lang w:val="en-US"/>
        </w:rPr>
        <w:t xml:space="preserve">, </w:t>
      </w:r>
      <w:r w:rsidRPr="150DBCDF" w:rsidR="705BDAE9">
        <w:rPr>
          <w:rFonts w:ascii="Arial" w:hAnsi="Arial" w:eastAsia="Arial" w:cs="Arial"/>
          <w:b w:val="0"/>
          <w:bCs w:val="0"/>
          <w:noProof w:val="0"/>
          <w:color w:val="auto"/>
          <w:sz w:val="22"/>
          <w:szCs w:val="22"/>
          <w:lang w:val="en-US"/>
        </w:rPr>
        <w:t>OR</w:t>
      </w:r>
      <w:r w:rsidRPr="150DBCDF" w:rsidR="705BDAE9">
        <w:rPr>
          <w:rFonts w:ascii="Arial" w:hAnsi="Arial" w:eastAsia="Arial" w:cs="Arial"/>
          <w:b w:val="0"/>
          <w:bCs w:val="0"/>
          <w:noProof w:val="0"/>
          <w:color w:val="auto"/>
          <w:sz w:val="22"/>
          <w:szCs w:val="22"/>
          <w:lang w:val="en-US"/>
        </w:rPr>
        <w:t>) to maximise retrieval of relevant studies.</w:t>
      </w:r>
    </w:p>
    <w:p w:rsidR="705BDAE9" w:rsidP="150DBCDF" w:rsidRDefault="705BDAE9" w14:paraId="694D03FD" w14:textId="453D35A4">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Search terms included:</w:t>
      </w:r>
    </w:p>
    <w:p w:rsidR="705BDAE9" w:rsidP="150DBCDF" w:rsidRDefault="705BDAE9" w14:paraId="1B079966" w14:textId="5C4D90B9">
      <w:pPr>
        <w:pStyle w:val="ListParagraph"/>
        <w:numPr>
          <w:ilvl w:val="0"/>
          <w:numId w:val="13"/>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"NHS workforce shortage" </w:t>
      </w:r>
    </w:p>
    <w:p w:rsidR="705BDAE9" w:rsidP="150DBCDF" w:rsidRDefault="705BDAE9" w14:paraId="74AD2EA9" w14:textId="7DEB30D1">
      <w:pPr>
        <w:pStyle w:val="ListParagraph"/>
        <w:numPr>
          <w:ilvl w:val="0"/>
          <w:numId w:val="13"/>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"healthcare workforce" </w:t>
      </w:r>
    </w:p>
    <w:p w:rsidR="705BDAE9" w:rsidP="150DBCDF" w:rsidRDefault="705BDAE9" w14:paraId="1D9C90C1" w14:textId="63F002ED">
      <w:pPr>
        <w:pStyle w:val="ListParagraph"/>
        <w:numPr>
          <w:ilvl w:val="0"/>
          <w:numId w:val="13"/>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"nurse staffing" </w:t>
      </w:r>
    </w:p>
    <w:p w:rsidR="705BDAE9" w:rsidP="150DBCDF" w:rsidRDefault="705BDAE9" w14:paraId="07FB3681" w14:textId="6D4F93F6">
      <w:pPr>
        <w:pStyle w:val="ListParagraph"/>
        <w:numPr>
          <w:ilvl w:val="0"/>
          <w:numId w:val="13"/>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"staff retention" </w:t>
      </w:r>
    </w:p>
    <w:p w:rsidR="705BDAE9" w:rsidP="150DBCDF" w:rsidRDefault="705BDAE9" w14:paraId="64FF6C0C" w14:textId="30F8F15F">
      <w:pPr>
        <w:pStyle w:val="ListParagraph"/>
        <w:numPr>
          <w:ilvl w:val="0"/>
          <w:numId w:val="13"/>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"patient safety" </w:t>
      </w:r>
    </w:p>
    <w:p w:rsidR="705BDAE9" w:rsidP="150DBCDF" w:rsidRDefault="705BDAE9" w14:paraId="6A050AA5" w14:textId="68E00F21">
      <w:pPr>
        <w:pStyle w:val="ListParagraph"/>
        <w:numPr>
          <w:ilvl w:val="0"/>
          <w:numId w:val="13"/>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"healthcare delivery" </w:t>
      </w:r>
    </w:p>
    <w:p w:rsidR="705BDAE9" w:rsidP="150DBCDF" w:rsidRDefault="705BDAE9" w14:paraId="0B581A3F" w14:textId="39275762">
      <w:pPr>
        <w:pStyle w:val="ListParagraph"/>
        <w:numPr>
          <w:ilvl w:val="0"/>
          <w:numId w:val="13"/>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"United Kingdom" </w:t>
      </w:r>
    </w:p>
    <w:p w:rsidR="705BDAE9" w:rsidP="150DBCDF" w:rsidRDefault="705BDAE9" w14:paraId="0135A836" w14:textId="05A41A56">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Example search strings included:</w:t>
      </w:r>
    </w:p>
    <w:p w:rsidR="705BDAE9" w:rsidP="150DBCDF" w:rsidRDefault="705BDAE9" w14:paraId="08CC9636" w14:textId="71225E39">
      <w:pPr>
        <w:pStyle w:val="ListParagraph"/>
        <w:numPr>
          <w:ilvl w:val="0"/>
          <w:numId w:val="14"/>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("NHS" AND "workforce shortage") </w:t>
      </w:r>
    </w:p>
    <w:p w:rsidR="705BDAE9" w:rsidP="150DBCDF" w:rsidRDefault="705BDAE9" w14:paraId="569DD8A1" w14:textId="094C5AFB">
      <w:pPr>
        <w:pStyle w:val="ListParagraph"/>
        <w:numPr>
          <w:ilvl w:val="0"/>
          <w:numId w:val="14"/>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("nurse staffing" AND "patient outcomes") </w:t>
      </w:r>
    </w:p>
    <w:p w:rsidR="705BDAE9" w:rsidP="150DBCDF" w:rsidRDefault="705BDAE9" w14:paraId="75D41049" w14:textId="1D3C660A">
      <w:pPr>
        <w:pStyle w:val="ListParagraph"/>
        <w:numPr>
          <w:ilvl w:val="0"/>
          <w:numId w:val="14"/>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("healthcare workforce" AND "patient safety") </w:t>
      </w:r>
    </w:p>
    <w:p w:rsidR="705BDAE9" w:rsidP="150DBCDF" w:rsidRDefault="705BDAE9" w14:paraId="1377D636" w14:textId="765A021E">
      <w:pPr>
        <w:pStyle w:val="ListParagraph"/>
        <w:numPr>
          <w:ilvl w:val="0"/>
          <w:numId w:val="14"/>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 xml:space="preserve">("NHS" AND recruitment AND retention) </w:t>
      </w:r>
    </w:p>
    <w:p w:rsidR="705BDAE9" w:rsidP="150DBCDF" w:rsidRDefault="705BDAE9" w14:paraId="009E3F49" w14:textId="5F94BEF1">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705BDAE9">
        <w:rPr>
          <w:rFonts w:ascii="Arial" w:hAnsi="Arial" w:eastAsia="Arial" w:cs="Arial"/>
          <w:b w:val="0"/>
          <w:bCs w:val="0"/>
          <w:noProof w:val="0"/>
          <w:color w:val="auto"/>
          <w:sz w:val="22"/>
          <w:szCs w:val="22"/>
          <w:lang w:val="en-US"/>
        </w:rPr>
        <w:t>Reference lists of eligible articles were also manually searched to identify additional relevant studies.</w:t>
      </w:r>
    </w:p>
    <w:p w:rsidR="150DBCDF" w:rsidP="150DBCDF" w:rsidRDefault="150DBCDF" w14:paraId="57887C72" w14:textId="51EEA345">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6A2EAD26" w:rsidP="150DBCDF" w:rsidRDefault="6A2EAD26" w14:paraId="7699A657" w14:textId="7F7FE6C6">
      <w:pPr>
        <w:pStyle w:val="Heading2"/>
        <w:spacing w:before="299" w:beforeAutospacing="off" w:after="299"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INCLUSION AND EXCLUSION CRITERIA</w:t>
      </w:r>
    </w:p>
    <w:p w:rsidR="6A2EAD26" w:rsidP="150DBCDF" w:rsidRDefault="6A2EAD26" w14:paraId="0F6C9FF0" w14:textId="5D6D9795">
      <w:p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Eligibility criteria were developed before the literature search to ensure that only studies relevant to the review question were included.</w:t>
      </w:r>
    </w:p>
    <w:p w:rsidR="6A2EAD26" w:rsidP="150DBCDF" w:rsidRDefault="6A2EAD26" w14:paraId="4E7EEF55" w14:textId="45FA311A">
      <w:pPr>
        <w:pStyle w:val="Heading3"/>
        <w:spacing w:before="281" w:beforeAutospacing="off" w:after="281"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Inclusion criteria</w:t>
      </w:r>
    </w:p>
    <w:p w:rsidR="6A2EAD26" w:rsidP="150DBCDF" w:rsidRDefault="6A2EAD26" w14:paraId="09D90945" w14:textId="2B5DEB1E">
      <w:p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Studies were included if they:</w:t>
      </w:r>
    </w:p>
    <w:p w:rsidR="6A2EAD26" w:rsidP="150DBCDF" w:rsidRDefault="6A2EAD26" w14:paraId="3A67D980" w14:textId="622E8EB1">
      <w:pPr>
        <w:pStyle w:val="ListParagraph"/>
        <w:numPr>
          <w:ilvl w:val="0"/>
          <w:numId w:val="6"/>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were published between 2020 and 2026;</w:t>
      </w:r>
    </w:p>
    <w:p w:rsidR="6A2EAD26" w:rsidP="150DBCDF" w:rsidRDefault="6A2EAD26" w14:paraId="19D9AB47" w14:textId="06496515">
      <w:pPr>
        <w:pStyle w:val="ListParagraph"/>
        <w:numPr>
          <w:ilvl w:val="0"/>
          <w:numId w:val="6"/>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were published in peer-reviewed academic journals;</w:t>
      </w:r>
    </w:p>
    <w:p w:rsidR="6A2EAD26" w:rsidP="150DBCDF" w:rsidRDefault="6A2EAD26" w14:paraId="2552CAC3" w14:textId="4A44887C">
      <w:pPr>
        <w:pStyle w:val="ListParagraph"/>
        <w:numPr>
          <w:ilvl w:val="0"/>
          <w:numId w:val="6"/>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were written in English;</w:t>
      </w:r>
    </w:p>
    <w:p w:rsidR="6A2EAD26" w:rsidP="150DBCDF" w:rsidRDefault="6A2EAD26" w14:paraId="4A384C46" w14:textId="67B077EE">
      <w:pPr>
        <w:pStyle w:val="ListParagraph"/>
        <w:numPr>
          <w:ilvl w:val="0"/>
          <w:numId w:val="6"/>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focused on NHS or UK healthcare workforce shortages;</w:t>
      </w:r>
    </w:p>
    <w:p w:rsidR="6A2EAD26" w:rsidP="150DBCDF" w:rsidRDefault="6A2EAD26" w14:paraId="0BCB5922" w14:textId="502CA827">
      <w:pPr>
        <w:pStyle w:val="ListParagraph"/>
        <w:numPr>
          <w:ilvl w:val="0"/>
          <w:numId w:val="6"/>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investigated the causes, consequences, or potential solutions to workforce shortages; and</w:t>
      </w:r>
    </w:p>
    <w:p w:rsidR="6A2EAD26" w:rsidP="150DBCDF" w:rsidRDefault="6A2EAD26" w14:paraId="4728798D" w14:textId="408CA4B7">
      <w:pPr>
        <w:pStyle w:val="ListParagraph"/>
        <w:numPr>
          <w:ilvl w:val="0"/>
          <w:numId w:val="6"/>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used either primary or secondary research methods.</w:t>
      </w:r>
    </w:p>
    <w:p w:rsidR="5C68C0A1" w:rsidP="150DBCDF" w:rsidRDefault="5C68C0A1" w14:paraId="11885743" w14:textId="21FBDBA6">
      <w:pPr>
        <w:pStyle w:val="Normal"/>
        <w:spacing w:before="240" w:beforeAutospacing="off" w:after="240" w:afterAutospacing="off" w:line="360" w:lineRule="auto"/>
        <w:ind w:left="0"/>
        <w:jc w:val="both"/>
        <w:rPr>
          <w:rFonts w:ascii="Arial" w:hAnsi="Arial" w:eastAsia="Arial" w:cs="Arial"/>
          <w:b w:val="0"/>
          <w:bCs w:val="0"/>
          <w:noProof w:val="0"/>
          <w:color w:val="auto"/>
          <w:sz w:val="22"/>
          <w:szCs w:val="22"/>
          <w:lang w:val="en-US"/>
        </w:rPr>
      </w:pPr>
      <w:r w:rsidRPr="150DBCDF" w:rsidR="5C68C0A1">
        <w:rPr>
          <w:rFonts w:ascii="Arial" w:hAnsi="Arial" w:eastAsia="Arial" w:cs="Arial"/>
          <w:b w:val="0"/>
          <w:bCs w:val="0"/>
          <w:noProof w:val="0"/>
          <w:color w:val="auto"/>
          <w:sz w:val="22"/>
          <w:szCs w:val="22"/>
          <w:lang w:val="en-US"/>
        </w:rPr>
        <w:t xml:space="preserve">Methodological references (for example, Arksey and O'Malley, 2005, and Aveyard, 2019) were cited to support the review methodology but were </w:t>
      </w:r>
      <w:r w:rsidRPr="150DBCDF" w:rsidR="5C68C0A1">
        <w:rPr>
          <w:rFonts w:ascii="Arial" w:hAnsi="Arial" w:eastAsia="Arial" w:cs="Arial"/>
          <w:b w:val="0"/>
          <w:bCs w:val="0"/>
          <w:noProof w:val="0"/>
          <w:color w:val="auto"/>
          <w:sz w:val="22"/>
          <w:szCs w:val="22"/>
          <w:lang w:val="en-US"/>
        </w:rPr>
        <w:t>not included as empirical studies</w:t>
      </w:r>
      <w:r w:rsidRPr="150DBCDF" w:rsidR="5C68C0A1">
        <w:rPr>
          <w:rFonts w:ascii="Arial" w:hAnsi="Arial" w:eastAsia="Arial" w:cs="Arial"/>
          <w:b w:val="0"/>
          <w:bCs w:val="0"/>
          <w:noProof w:val="0"/>
          <w:color w:val="auto"/>
          <w:sz w:val="22"/>
          <w:szCs w:val="22"/>
          <w:lang w:val="en-US"/>
        </w:rPr>
        <w:t xml:space="preserve"> within the scoping review.</w:t>
      </w:r>
    </w:p>
    <w:p w:rsidR="6A2EAD26" w:rsidP="150DBCDF" w:rsidRDefault="6A2EAD26" w14:paraId="65B041B5" w14:textId="7C522FFC">
      <w:pPr>
        <w:pStyle w:val="Heading3"/>
        <w:spacing w:before="281" w:beforeAutospacing="off" w:after="281"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Exclusion criteria</w:t>
      </w:r>
    </w:p>
    <w:p w:rsidR="6A2EAD26" w:rsidP="150DBCDF" w:rsidRDefault="6A2EAD26" w14:paraId="03E10B38" w14:textId="4894B1A6">
      <w:p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Studies were excluded if they:</w:t>
      </w:r>
    </w:p>
    <w:p w:rsidR="6A2EAD26" w:rsidP="150DBCDF" w:rsidRDefault="6A2EAD26" w14:paraId="251B2593" w14:textId="57A94D08">
      <w:pPr>
        <w:pStyle w:val="ListParagraph"/>
        <w:numPr>
          <w:ilvl w:val="0"/>
          <w:numId w:val="7"/>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were published before 2020;</w:t>
      </w:r>
    </w:p>
    <w:p w:rsidR="6A2EAD26" w:rsidP="150DBCDF" w:rsidRDefault="6A2EAD26" w14:paraId="4F3B3A21" w14:textId="06D90F59">
      <w:pPr>
        <w:pStyle w:val="ListParagraph"/>
        <w:numPr>
          <w:ilvl w:val="0"/>
          <w:numId w:val="7"/>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focused on healthcare systems outside the United Kingdom;</w:t>
      </w:r>
    </w:p>
    <w:p w:rsidR="6A2EAD26" w:rsidP="150DBCDF" w:rsidRDefault="6A2EAD26" w14:paraId="1791889F" w14:textId="405CAFED">
      <w:pPr>
        <w:pStyle w:val="ListParagraph"/>
        <w:numPr>
          <w:ilvl w:val="0"/>
          <w:numId w:val="7"/>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were editorials, opinion papers, conference abstracts, policy documents, or commentaries;</w:t>
      </w:r>
    </w:p>
    <w:p w:rsidR="6A2EAD26" w:rsidP="150DBCDF" w:rsidRDefault="6A2EAD26" w14:paraId="552F7E3D" w14:textId="50EAB3A8">
      <w:pPr>
        <w:pStyle w:val="ListParagraph"/>
        <w:numPr>
          <w:ilvl w:val="0"/>
          <w:numId w:val="7"/>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were not peer-reviewed; or</w:t>
      </w:r>
    </w:p>
    <w:p w:rsidR="6A2EAD26" w:rsidP="150DBCDF" w:rsidRDefault="6A2EAD26" w14:paraId="0D45CA83" w14:textId="79A327B1">
      <w:pPr>
        <w:pStyle w:val="ListParagraph"/>
        <w:numPr>
          <w:ilvl w:val="0"/>
          <w:numId w:val="7"/>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were unavailable in full text.</w:t>
      </w:r>
    </w:p>
    <w:p w:rsidR="6A2EAD26" w:rsidP="150DBCDF" w:rsidRDefault="6A2EAD26" w14:paraId="32FE8C6D" w14:textId="3CCBF17D">
      <w:p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Applying these criteria ensured that the review included high-quality evidence directly relevant to UK healthcare practice.</w:t>
      </w:r>
    </w:p>
    <w:p w:rsidR="6A2EAD26" w:rsidP="150DBCDF" w:rsidRDefault="6A2EAD26" w14:paraId="149DFCDC" w14:textId="4E9C43BB">
      <w:pPr>
        <w:pStyle w:val="Heading2"/>
        <w:spacing w:before="299" w:beforeAutospacing="off" w:after="299"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Study Selection</w:t>
      </w:r>
    </w:p>
    <w:p w:rsidR="19371FAF" w:rsidP="150DBCDF" w:rsidRDefault="19371FAF" w14:paraId="179370D0" w14:textId="6457863B">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19371FAF">
        <w:rPr>
          <w:rFonts w:ascii="Arial" w:hAnsi="Arial" w:eastAsia="Arial" w:cs="Arial"/>
          <w:b w:val="0"/>
          <w:bCs w:val="0"/>
          <w:noProof w:val="0"/>
          <w:color w:val="auto"/>
          <w:sz w:val="22"/>
          <w:szCs w:val="22"/>
          <w:lang w:val="en-US"/>
        </w:rPr>
        <w:t>Following database searches, duplicate records were removed before titles and abstracts were screened against the eligibility criteria. Full-text articles were then assessed to determine their suitability for inclusion.</w:t>
      </w:r>
    </w:p>
    <w:p w:rsidR="19371FAF" w:rsidP="150DBCDF" w:rsidRDefault="19371FAF" w14:paraId="19A69C0E" w14:textId="20CA2C24">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19371FAF">
        <w:rPr>
          <w:rFonts w:ascii="Arial" w:hAnsi="Arial" w:eastAsia="Arial" w:cs="Arial"/>
          <w:b w:val="0"/>
          <w:bCs w:val="0"/>
          <w:noProof w:val="0"/>
          <w:color w:val="auto"/>
          <w:sz w:val="22"/>
          <w:szCs w:val="22"/>
          <w:lang w:val="en-US"/>
        </w:rPr>
        <w:t xml:space="preserve">The review ultimately included </w:t>
      </w:r>
      <w:r w:rsidRPr="150DBCDF" w:rsidR="19371FAF">
        <w:rPr>
          <w:rFonts w:ascii="Arial" w:hAnsi="Arial" w:eastAsia="Arial" w:cs="Arial"/>
          <w:b w:val="0"/>
          <w:bCs w:val="0"/>
          <w:noProof w:val="0"/>
          <w:color w:val="auto"/>
          <w:sz w:val="22"/>
          <w:szCs w:val="22"/>
          <w:lang w:val="en-US"/>
        </w:rPr>
        <w:t>the most relevant peer-reviewed studies representing different research methodologies, healthcare settings and professional groups</w:t>
      </w:r>
      <w:r w:rsidRPr="150DBCDF" w:rsidR="19371FAF">
        <w:rPr>
          <w:rFonts w:ascii="Arial" w:hAnsi="Arial" w:eastAsia="Arial" w:cs="Arial"/>
          <w:b w:val="0"/>
          <w:bCs w:val="0"/>
          <w:noProof w:val="0"/>
          <w:color w:val="auto"/>
          <w:sz w:val="22"/>
          <w:szCs w:val="22"/>
          <w:lang w:val="en-US"/>
        </w:rPr>
        <w:t>, thereby providing a comprehensive overview of the available evidence.</w:t>
      </w:r>
    </w:p>
    <w:p w:rsidR="150DBCDF" w:rsidP="150DBCDF" w:rsidRDefault="150DBCDF" w14:paraId="74D2FE15" w14:textId="073C8A31">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6A2EAD26" w:rsidP="150DBCDF" w:rsidRDefault="6A2EAD26" w14:paraId="5C4F76E0" w14:textId="60F710D9">
      <w:pPr>
        <w:pStyle w:val="Heading2"/>
        <w:spacing w:before="299" w:beforeAutospacing="off" w:after="299"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DATA EXTRACTION</w:t>
      </w:r>
    </w:p>
    <w:p w:rsidR="6A2EAD26" w:rsidP="150DBCDF" w:rsidRDefault="6A2EAD26" w14:paraId="3068751A" w14:textId="116F7E0F">
      <w:p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A standardised data extraction table was developed to ensure consistency when reviewing the selected studies. Information extracted from each article included:</w:t>
      </w:r>
    </w:p>
    <w:p w:rsidR="6A2EAD26" w:rsidP="150DBCDF" w:rsidRDefault="6A2EAD26" w14:paraId="1F4C40FF" w14:textId="480ED738">
      <w:pPr>
        <w:pStyle w:val="ListParagraph"/>
        <w:numPr>
          <w:ilvl w:val="0"/>
          <w:numId w:val="8"/>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author(s) and publication year;</w:t>
      </w:r>
    </w:p>
    <w:p w:rsidR="6A2EAD26" w:rsidP="150DBCDF" w:rsidRDefault="6A2EAD26" w14:paraId="626D7FDB" w14:textId="3239E87F">
      <w:pPr>
        <w:pStyle w:val="ListParagraph"/>
        <w:numPr>
          <w:ilvl w:val="0"/>
          <w:numId w:val="8"/>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study aim;</w:t>
      </w:r>
    </w:p>
    <w:p w:rsidR="6A2EAD26" w:rsidP="150DBCDF" w:rsidRDefault="6A2EAD26" w14:paraId="1163DFF8" w14:textId="3BB4FCB1">
      <w:pPr>
        <w:pStyle w:val="ListParagraph"/>
        <w:numPr>
          <w:ilvl w:val="0"/>
          <w:numId w:val="8"/>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research design;</w:t>
      </w:r>
    </w:p>
    <w:p w:rsidR="6A2EAD26" w:rsidP="150DBCDF" w:rsidRDefault="6A2EAD26" w14:paraId="631FADE7" w14:textId="0D152728">
      <w:pPr>
        <w:pStyle w:val="ListParagraph"/>
        <w:numPr>
          <w:ilvl w:val="0"/>
          <w:numId w:val="8"/>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study setting;</w:t>
      </w:r>
    </w:p>
    <w:p w:rsidR="6A2EAD26" w:rsidP="150DBCDF" w:rsidRDefault="6A2EAD26" w14:paraId="3A1A64A5" w14:textId="6DDFE271">
      <w:pPr>
        <w:pStyle w:val="ListParagraph"/>
        <w:numPr>
          <w:ilvl w:val="0"/>
          <w:numId w:val="8"/>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sample characteristics;</w:t>
      </w:r>
    </w:p>
    <w:p w:rsidR="6A2EAD26" w:rsidP="150DBCDF" w:rsidRDefault="6A2EAD26" w14:paraId="10ED3FF4" w14:textId="4429FA10">
      <w:pPr>
        <w:pStyle w:val="ListParagraph"/>
        <w:numPr>
          <w:ilvl w:val="0"/>
          <w:numId w:val="8"/>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key findings; and</w:t>
      </w:r>
    </w:p>
    <w:p w:rsidR="6A2EAD26" w:rsidP="150DBCDF" w:rsidRDefault="6A2EAD26" w14:paraId="28823020" w14:textId="1624B0C6">
      <w:pPr>
        <w:pStyle w:val="ListParagraph"/>
        <w:numPr>
          <w:ilvl w:val="0"/>
          <w:numId w:val="8"/>
        </w:numPr>
        <w:spacing w:before="240" w:beforeAutospacing="off" w:after="240" w:afterAutospacing="off" w:line="360" w:lineRule="auto"/>
        <w:jc w:val="both"/>
        <w:rPr>
          <w:rFonts w:ascii="Arial" w:hAnsi="Arial" w:eastAsia="Arial" w:cs="Arial"/>
          <w:b w:val="0"/>
          <w:bCs w:val="0"/>
          <w:noProof w:val="0"/>
          <w:color w:val="auto" w:themeColor="text1" w:themeTint="FF" w:themeShade="FF"/>
          <w:sz w:val="22"/>
          <w:szCs w:val="22"/>
          <w:lang w:val="en-US"/>
        </w:rPr>
      </w:pPr>
      <w:r w:rsidRPr="150DBCDF" w:rsidR="3124254F">
        <w:rPr>
          <w:rFonts w:ascii="Arial" w:hAnsi="Arial" w:eastAsia="Arial" w:cs="Arial"/>
          <w:b w:val="0"/>
          <w:bCs w:val="0"/>
          <w:noProof w:val="0"/>
          <w:color w:val="auto"/>
          <w:sz w:val="22"/>
          <w:szCs w:val="22"/>
          <w:lang w:val="en-US"/>
        </w:rPr>
        <w:t>relevance to the review question.</w:t>
      </w:r>
    </w:p>
    <w:p w:rsidR="24FC786C" w:rsidP="150DBCDF" w:rsidRDefault="24FC786C" w14:paraId="7D0C61B3" w14:textId="6A9C289A">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24FC786C">
        <w:rPr>
          <w:rFonts w:ascii="Arial" w:hAnsi="Arial" w:eastAsia="Arial" w:cs="Arial"/>
          <w:b w:val="0"/>
          <w:bCs w:val="0"/>
          <w:noProof w:val="0"/>
          <w:color w:val="auto"/>
          <w:sz w:val="22"/>
          <w:szCs w:val="22"/>
          <w:lang w:val="en-US"/>
        </w:rPr>
        <w:t>Extracted data were organised into summary tables to facilitate comparison between studies.</w:t>
      </w:r>
    </w:p>
    <w:p w:rsidR="6A2EAD26" w:rsidP="150DBCDF" w:rsidRDefault="6A2EAD26" w14:paraId="71B7B428" w14:textId="383F1EF7">
      <w:pPr>
        <w:pStyle w:val="Heading2"/>
        <w:spacing w:before="299" w:beforeAutospacing="off" w:after="299"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DATA ANALYSIS</w:t>
      </w:r>
    </w:p>
    <w:p w:rsidR="43F4AB87" w:rsidP="150DBCDF" w:rsidRDefault="43F4AB87" w14:paraId="726CCBDA" w14:textId="4784FA29">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43F4AB87">
        <w:rPr>
          <w:rFonts w:ascii="Arial" w:hAnsi="Arial" w:eastAsia="Arial" w:cs="Arial"/>
          <w:b w:val="0"/>
          <w:bCs w:val="0"/>
          <w:noProof w:val="0"/>
          <w:color w:val="auto"/>
          <w:sz w:val="22"/>
          <w:szCs w:val="22"/>
          <w:lang w:val="en-US"/>
        </w:rPr>
        <w:t xml:space="preserve">The included studies were analysed using </w:t>
      </w:r>
      <w:r w:rsidRPr="150DBCDF" w:rsidR="43F4AB87">
        <w:rPr>
          <w:rFonts w:ascii="Arial" w:hAnsi="Arial" w:eastAsia="Arial" w:cs="Arial"/>
          <w:b w:val="0"/>
          <w:bCs w:val="0"/>
          <w:noProof w:val="0"/>
          <w:color w:val="auto"/>
          <w:sz w:val="22"/>
          <w:szCs w:val="22"/>
          <w:lang w:val="en-US"/>
        </w:rPr>
        <w:t>Aveyard's (2019) simplified thematic analysis</w:t>
      </w:r>
      <w:r w:rsidRPr="150DBCDF" w:rsidR="43F4AB87">
        <w:rPr>
          <w:rFonts w:ascii="Arial" w:hAnsi="Arial" w:eastAsia="Arial" w:cs="Arial"/>
          <w:b w:val="0"/>
          <w:bCs w:val="0"/>
          <w:noProof w:val="0"/>
          <w:color w:val="auto"/>
          <w:sz w:val="22"/>
          <w:szCs w:val="22"/>
          <w:lang w:val="en-US"/>
        </w:rPr>
        <w:t>. Each article was read several times to identify recurring concepts and patterns. Similar findings were grouped into broader themes that addressed the research question.</w:t>
      </w:r>
    </w:p>
    <w:p w:rsidR="43F4AB87" w:rsidP="150DBCDF" w:rsidRDefault="43F4AB87" w14:paraId="33F2C012" w14:textId="250F63F0">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43F4AB87">
        <w:rPr>
          <w:rFonts w:ascii="Arial" w:hAnsi="Arial" w:eastAsia="Arial" w:cs="Arial"/>
          <w:b w:val="0"/>
          <w:bCs w:val="0"/>
          <w:noProof w:val="0"/>
          <w:color w:val="auto"/>
          <w:sz w:val="22"/>
          <w:szCs w:val="22"/>
          <w:lang w:val="en-US"/>
        </w:rPr>
        <w:t>Four overarching themes emerged:</w:t>
      </w:r>
    </w:p>
    <w:p w:rsidR="43F4AB87" w:rsidP="150DBCDF" w:rsidRDefault="43F4AB87" w14:paraId="1E612CD5" w14:textId="2A55E55E">
      <w:pPr>
        <w:pStyle w:val="ListParagraph"/>
        <w:numPr>
          <w:ilvl w:val="0"/>
          <w:numId w:val="15"/>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43F4AB87">
        <w:rPr>
          <w:rFonts w:ascii="Arial" w:hAnsi="Arial" w:eastAsia="Arial" w:cs="Arial"/>
          <w:b w:val="0"/>
          <w:bCs w:val="0"/>
          <w:noProof w:val="0"/>
          <w:color w:val="auto"/>
          <w:sz w:val="22"/>
          <w:szCs w:val="22"/>
          <w:lang w:val="en-US"/>
        </w:rPr>
        <w:t xml:space="preserve">causes of NHS workforce shortages; </w:t>
      </w:r>
    </w:p>
    <w:p w:rsidR="43F4AB87" w:rsidP="150DBCDF" w:rsidRDefault="43F4AB87" w14:paraId="50579E96" w14:textId="47B4B05D">
      <w:pPr>
        <w:pStyle w:val="ListParagraph"/>
        <w:numPr>
          <w:ilvl w:val="0"/>
          <w:numId w:val="15"/>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43F4AB87">
        <w:rPr>
          <w:rFonts w:ascii="Arial" w:hAnsi="Arial" w:eastAsia="Arial" w:cs="Arial"/>
          <w:b w:val="0"/>
          <w:bCs w:val="0"/>
          <w:noProof w:val="0"/>
          <w:color w:val="auto"/>
          <w:sz w:val="22"/>
          <w:szCs w:val="22"/>
          <w:lang w:val="en-US"/>
        </w:rPr>
        <w:t xml:space="preserve">impacts on healthcare delivery; </w:t>
      </w:r>
    </w:p>
    <w:p w:rsidR="43F4AB87" w:rsidP="150DBCDF" w:rsidRDefault="43F4AB87" w14:paraId="23038453" w14:textId="3B22CCAD">
      <w:pPr>
        <w:pStyle w:val="ListParagraph"/>
        <w:numPr>
          <w:ilvl w:val="0"/>
          <w:numId w:val="15"/>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43F4AB87">
        <w:rPr>
          <w:rFonts w:ascii="Arial" w:hAnsi="Arial" w:eastAsia="Arial" w:cs="Arial"/>
          <w:b w:val="0"/>
          <w:bCs w:val="0"/>
          <w:noProof w:val="0"/>
          <w:color w:val="auto"/>
          <w:sz w:val="22"/>
          <w:szCs w:val="22"/>
          <w:lang w:val="en-US"/>
        </w:rPr>
        <w:t xml:space="preserve">impacts on patient safety and staff wellbeing; and </w:t>
      </w:r>
    </w:p>
    <w:p w:rsidR="43F4AB87" w:rsidP="150DBCDF" w:rsidRDefault="43F4AB87" w14:paraId="6EED7AE3" w14:textId="219452D7">
      <w:pPr>
        <w:pStyle w:val="ListParagraph"/>
        <w:numPr>
          <w:ilvl w:val="0"/>
          <w:numId w:val="15"/>
        </w:numPr>
        <w:spacing w:before="0" w:beforeAutospacing="off" w:after="0" w:afterAutospacing="off" w:line="360" w:lineRule="auto"/>
        <w:jc w:val="both"/>
        <w:rPr>
          <w:rFonts w:ascii="Arial" w:hAnsi="Arial" w:eastAsia="Arial" w:cs="Arial"/>
          <w:b w:val="0"/>
          <w:bCs w:val="0"/>
          <w:noProof w:val="0"/>
          <w:color w:val="auto"/>
          <w:sz w:val="22"/>
          <w:szCs w:val="22"/>
          <w:lang w:val="en-US"/>
        </w:rPr>
      </w:pPr>
      <w:r w:rsidRPr="150DBCDF" w:rsidR="43F4AB87">
        <w:rPr>
          <w:rFonts w:ascii="Arial" w:hAnsi="Arial" w:eastAsia="Arial" w:cs="Arial"/>
          <w:b w:val="0"/>
          <w:bCs w:val="0"/>
          <w:noProof w:val="0"/>
          <w:color w:val="auto"/>
          <w:sz w:val="22"/>
          <w:szCs w:val="22"/>
          <w:lang w:val="en-US"/>
        </w:rPr>
        <w:t xml:space="preserve">strategies to improve workforce sustainability. </w:t>
      </w:r>
    </w:p>
    <w:p w:rsidR="43F4AB87" w:rsidP="150DBCDF" w:rsidRDefault="43F4AB87" w14:paraId="600E0087" w14:textId="42BAF598">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43F4AB87">
        <w:rPr>
          <w:rFonts w:ascii="Arial" w:hAnsi="Arial" w:eastAsia="Arial" w:cs="Arial"/>
          <w:b w:val="0"/>
          <w:bCs w:val="0"/>
          <w:noProof w:val="0"/>
          <w:color w:val="auto"/>
          <w:sz w:val="22"/>
          <w:szCs w:val="22"/>
          <w:lang w:val="en-US"/>
        </w:rPr>
        <w:t>These themes formed the basis of the Results and Discussion chapters.</w:t>
      </w:r>
    </w:p>
    <w:p w:rsidR="150DBCDF" w:rsidP="150DBCDF" w:rsidRDefault="150DBCDF" w14:paraId="4E15D492" w14:textId="7D59905B">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6A2EAD26" w:rsidP="150DBCDF" w:rsidRDefault="6A2EAD26" w14:paraId="6BA0583C" w14:textId="47B941B1">
      <w:pPr>
        <w:pStyle w:val="Heading2"/>
        <w:spacing w:before="299" w:beforeAutospacing="off" w:after="299" w:afterAutospacing="off" w:line="360" w:lineRule="auto"/>
        <w:jc w:val="both"/>
        <w:rPr>
          <w:rFonts w:ascii="Arial" w:hAnsi="Arial" w:eastAsia="Arial" w:cs="Arial"/>
          <w:b w:val="1"/>
          <w:bCs w:val="1"/>
          <w:noProof w:val="0"/>
          <w:color w:val="auto" w:themeColor="text1" w:themeTint="FF" w:themeShade="FF"/>
          <w:sz w:val="22"/>
          <w:szCs w:val="22"/>
          <w:lang w:val="en-US"/>
        </w:rPr>
      </w:pPr>
      <w:r w:rsidRPr="150DBCDF" w:rsidR="3124254F">
        <w:rPr>
          <w:rFonts w:ascii="Arial" w:hAnsi="Arial" w:eastAsia="Arial" w:cs="Arial"/>
          <w:b w:val="1"/>
          <w:bCs w:val="1"/>
          <w:noProof w:val="0"/>
          <w:color w:val="auto"/>
          <w:sz w:val="22"/>
          <w:szCs w:val="22"/>
          <w:lang w:val="en-US"/>
        </w:rPr>
        <w:t>ETHICAL CONSIDERATIONS</w:t>
      </w:r>
    </w:p>
    <w:p w:rsidR="05B15F06" w:rsidP="150DBCDF" w:rsidRDefault="05B15F06" w14:paraId="7322352B" w14:textId="57964F48">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5B15F06">
        <w:rPr>
          <w:rFonts w:ascii="Arial" w:hAnsi="Arial" w:eastAsia="Arial" w:cs="Arial"/>
          <w:b w:val="0"/>
          <w:bCs w:val="0"/>
          <w:noProof w:val="0"/>
          <w:color w:val="auto"/>
          <w:sz w:val="22"/>
          <w:szCs w:val="22"/>
          <w:lang w:val="en-US"/>
        </w:rPr>
        <w:t xml:space="preserve">As this study involved the secondary analysis of published literature, formal ethical approval was not required. Nevertheless, ethical principles of academic integrity were </w:t>
      </w:r>
      <w:r w:rsidRPr="150DBCDF" w:rsidR="05B15F06">
        <w:rPr>
          <w:rFonts w:ascii="Arial" w:hAnsi="Arial" w:eastAsia="Arial" w:cs="Arial"/>
          <w:b w:val="0"/>
          <w:bCs w:val="0"/>
          <w:noProof w:val="0"/>
          <w:color w:val="auto"/>
          <w:sz w:val="22"/>
          <w:szCs w:val="22"/>
          <w:lang w:val="en-US"/>
        </w:rPr>
        <w:t>maintained</w:t>
      </w:r>
      <w:r w:rsidRPr="150DBCDF" w:rsidR="05B15F06">
        <w:rPr>
          <w:rFonts w:ascii="Arial" w:hAnsi="Arial" w:eastAsia="Arial" w:cs="Arial"/>
          <w:b w:val="0"/>
          <w:bCs w:val="0"/>
          <w:noProof w:val="0"/>
          <w:color w:val="auto"/>
          <w:sz w:val="22"/>
          <w:szCs w:val="22"/>
          <w:lang w:val="en-US"/>
        </w:rPr>
        <w:t xml:space="preserve"> throughout the review. Only peer-reviewed research articles were included in the evidence synthesis, while all source including methodological texts and policy documents were accurately cited using the UWTSD Harvard Referencing style. Predefined eligibility criteria and a transparent review process were applied to minimise researcher bias and enhance the credibility and trustworthiness of the findings.</w:t>
      </w:r>
    </w:p>
    <w:p w:rsidR="150DBCDF" w:rsidP="150DBCDF" w:rsidRDefault="150DBCDF" w14:paraId="3E149C92" w14:textId="4687CDEB">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20072C3C" w:rsidP="150DBCDF" w:rsidRDefault="20072C3C" w14:paraId="0F05CEC4" w14:textId="38DA53B9">
      <w:pPr>
        <w:pStyle w:val="Normal"/>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3A5A8EC1" w14:textId="323C4159">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5AC43373" w14:textId="6CF8BE2D">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6F1A087A" w14:textId="3F90413A">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3E83B486" w14:textId="541BA3FD">
      <w:pPr>
        <w:pStyle w:val="Heading1"/>
        <w:spacing w:line="360" w:lineRule="auto"/>
        <w:jc w:val="both"/>
        <w:rPr>
          <w:rFonts w:ascii="Arial" w:hAnsi="Arial" w:eastAsia="Arial" w:cs="Arial"/>
          <w:b w:val="1"/>
          <w:bCs w:val="1"/>
          <w:noProof w:val="0"/>
          <w:color w:val="auto"/>
          <w:sz w:val="22"/>
          <w:szCs w:val="22"/>
          <w:lang w:val="en-US"/>
        </w:rPr>
      </w:pPr>
      <w:r w:rsidRPr="150DBCDF" w:rsidR="79B7DDD3">
        <w:rPr>
          <w:rFonts w:ascii="Arial" w:hAnsi="Arial" w:eastAsia="Arial" w:cs="Arial"/>
          <w:b w:val="1"/>
          <w:bCs w:val="1"/>
          <w:noProof w:val="0"/>
          <w:color w:val="auto"/>
          <w:sz w:val="22"/>
          <w:szCs w:val="22"/>
          <w:lang w:val="en-US"/>
        </w:rPr>
        <w:t>R</w:t>
      </w:r>
      <w:r w:rsidRPr="150DBCDF" w:rsidR="26AA219A">
        <w:rPr>
          <w:rFonts w:ascii="Arial" w:hAnsi="Arial" w:eastAsia="Arial" w:cs="Arial"/>
          <w:b w:val="1"/>
          <w:bCs w:val="1"/>
          <w:noProof w:val="0"/>
          <w:color w:val="auto"/>
          <w:sz w:val="22"/>
          <w:szCs w:val="22"/>
          <w:lang w:val="en-US"/>
        </w:rPr>
        <w:t>ESULTS</w:t>
      </w:r>
    </w:p>
    <w:p w:rsidR="20072C3C" w:rsidP="150DBCDF" w:rsidRDefault="20072C3C" w14:paraId="19DAD9F0" w14:textId="0137F909">
      <w:pPr>
        <w:pStyle w:val="Heading2"/>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26AA219A">
        <w:rPr>
          <w:rFonts w:ascii="Arial" w:hAnsi="Arial" w:eastAsia="Arial" w:cs="Arial"/>
          <w:b w:val="1"/>
          <w:bCs w:val="1"/>
          <w:noProof w:val="0"/>
          <w:color w:val="auto"/>
          <w:sz w:val="22"/>
          <w:szCs w:val="22"/>
          <w:lang w:val="en-US"/>
        </w:rPr>
        <w:t>Overview of Included Studies</w:t>
      </w:r>
    </w:p>
    <w:p w:rsidR="20072C3C" w:rsidP="150DBCDF" w:rsidRDefault="20072C3C" w14:paraId="0DBC8243" w14:textId="3AB522FC">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41ECC0B3">
        <w:rPr>
          <w:rFonts w:ascii="Arial" w:hAnsi="Arial" w:eastAsia="Arial" w:cs="Arial"/>
          <w:b w:val="0"/>
          <w:bCs w:val="0"/>
          <w:noProof w:val="0"/>
          <w:color w:val="auto"/>
          <w:sz w:val="22"/>
          <w:szCs w:val="22"/>
          <w:lang w:val="en-US"/>
        </w:rPr>
        <w:t xml:space="preserve">Following the application of the inclusion and exclusion criteria, six peer-reviewed studies published between </w:t>
      </w:r>
      <w:r w:rsidRPr="150DBCDF" w:rsidR="41ECC0B3">
        <w:rPr>
          <w:rFonts w:ascii="Arial" w:hAnsi="Arial" w:eastAsia="Arial" w:cs="Arial"/>
          <w:b w:val="0"/>
          <w:bCs w:val="0"/>
          <w:noProof w:val="0"/>
          <w:color w:val="auto"/>
          <w:sz w:val="22"/>
          <w:szCs w:val="22"/>
          <w:lang w:val="en-US"/>
        </w:rPr>
        <w:t>2023 and 2026</w:t>
      </w:r>
      <w:r w:rsidRPr="150DBCDF" w:rsidR="41ECC0B3">
        <w:rPr>
          <w:rFonts w:ascii="Arial" w:hAnsi="Arial" w:eastAsia="Arial" w:cs="Arial"/>
          <w:b w:val="0"/>
          <w:bCs w:val="0"/>
          <w:noProof w:val="0"/>
          <w:color w:val="auto"/>
          <w:sz w:val="22"/>
          <w:szCs w:val="22"/>
          <w:lang w:val="en-US"/>
        </w:rPr>
        <w:t xml:space="preserve"> were included in the scoping review. The studies comprised two systematic reviews, one realist evaluation, one longitudinal survey, one health services research report, and one systematic review with narrative synthesis. Collectively, these studies explored the causes of NHS workforce shortages, factors influencing recruitment and retention, the impact of staffing levels on healthcare delivery and patient outcomes, workforce wellbeing, and strategies for improving workforce sustainability (Onyejesi, James and Kharicha, 2026; Griffiths </w:t>
      </w:r>
      <w:r w:rsidRPr="150DBCDF" w:rsidR="41ECC0B3">
        <w:rPr>
          <w:rFonts w:ascii="Arial" w:hAnsi="Arial" w:eastAsia="Arial" w:cs="Arial"/>
          <w:b w:val="0"/>
          <w:bCs w:val="0"/>
          <w:i w:val="1"/>
          <w:iCs w:val="1"/>
          <w:noProof w:val="0"/>
          <w:color w:val="auto"/>
          <w:sz w:val="22"/>
          <w:szCs w:val="22"/>
          <w:lang w:val="en-US"/>
        </w:rPr>
        <w:t>et al</w:t>
      </w:r>
      <w:r w:rsidRPr="150DBCDF" w:rsidR="41ECC0B3">
        <w:rPr>
          <w:rFonts w:ascii="Arial" w:hAnsi="Arial" w:eastAsia="Arial" w:cs="Arial"/>
          <w:b w:val="0"/>
          <w:bCs w:val="0"/>
          <w:noProof w:val="0"/>
          <w:color w:val="auto"/>
          <w:sz w:val="22"/>
          <w:szCs w:val="22"/>
          <w:lang w:val="en-US"/>
        </w:rPr>
        <w:t xml:space="preserve">., 2025; Wood </w:t>
      </w:r>
      <w:r w:rsidRPr="150DBCDF" w:rsidR="41ECC0B3">
        <w:rPr>
          <w:rFonts w:ascii="Arial" w:hAnsi="Arial" w:eastAsia="Arial" w:cs="Arial"/>
          <w:b w:val="0"/>
          <w:bCs w:val="0"/>
          <w:i w:val="1"/>
          <w:iCs w:val="1"/>
          <w:noProof w:val="0"/>
          <w:color w:val="auto"/>
          <w:sz w:val="22"/>
          <w:szCs w:val="22"/>
          <w:lang w:val="en-US"/>
        </w:rPr>
        <w:t>et al</w:t>
      </w:r>
      <w:r w:rsidRPr="150DBCDF" w:rsidR="41ECC0B3">
        <w:rPr>
          <w:rFonts w:ascii="Arial" w:hAnsi="Arial" w:eastAsia="Arial" w:cs="Arial"/>
          <w:b w:val="0"/>
          <w:bCs w:val="0"/>
          <w:noProof w:val="0"/>
          <w:color w:val="auto"/>
          <w:sz w:val="22"/>
          <w:szCs w:val="22"/>
          <w:lang w:val="en-US"/>
        </w:rPr>
        <w:t xml:space="preserve">., 2025; Alkan, Cushen-Brewster and Anyanwu, 2024; Al-Ghunaim </w:t>
      </w:r>
      <w:r w:rsidRPr="150DBCDF" w:rsidR="41ECC0B3">
        <w:rPr>
          <w:rFonts w:ascii="Arial" w:hAnsi="Arial" w:eastAsia="Arial" w:cs="Arial"/>
          <w:b w:val="0"/>
          <w:bCs w:val="0"/>
          <w:i w:val="1"/>
          <w:iCs w:val="1"/>
          <w:noProof w:val="0"/>
          <w:color w:val="auto"/>
          <w:sz w:val="22"/>
          <w:szCs w:val="22"/>
          <w:lang w:val="en-US"/>
        </w:rPr>
        <w:t>et al</w:t>
      </w:r>
      <w:r w:rsidRPr="150DBCDF" w:rsidR="41ECC0B3">
        <w:rPr>
          <w:rFonts w:ascii="Arial" w:hAnsi="Arial" w:eastAsia="Arial" w:cs="Arial"/>
          <w:b w:val="0"/>
          <w:bCs w:val="0"/>
          <w:noProof w:val="0"/>
          <w:color w:val="auto"/>
          <w:sz w:val="22"/>
          <w:szCs w:val="22"/>
          <w:lang w:val="en-US"/>
        </w:rPr>
        <w:t xml:space="preserve">., 2023; Babelyuk </w:t>
      </w:r>
      <w:r w:rsidRPr="150DBCDF" w:rsidR="41ECC0B3">
        <w:rPr>
          <w:rFonts w:ascii="Arial" w:hAnsi="Arial" w:eastAsia="Arial" w:cs="Arial"/>
          <w:b w:val="0"/>
          <w:bCs w:val="0"/>
          <w:i w:val="1"/>
          <w:iCs w:val="1"/>
          <w:noProof w:val="0"/>
          <w:color w:val="auto"/>
          <w:sz w:val="22"/>
          <w:szCs w:val="22"/>
          <w:lang w:val="en-US"/>
        </w:rPr>
        <w:t>et al</w:t>
      </w:r>
      <w:r w:rsidRPr="150DBCDF" w:rsidR="41ECC0B3">
        <w:rPr>
          <w:rFonts w:ascii="Arial" w:hAnsi="Arial" w:eastAsia="Arial" w:cs="Arial"/>
          <w:b w:val="0"/>
          <w:bCs w:val="0"/>
          <w:noProof w:val="0"/>
          <w:color w:val="auto"/>
          <w:sz w:val="22"/>
          <w:szCs w:val="22"/>
          <w:lang w:val="en-US"/>
        </w:rPr>
        <w:t>., 2025).</w:t>
      </w:r>
    </w:p>
    <w:p w:rsidR="20072C3C" w:rsidP="150DBCDF" w:rsidRDefault="20072C3C" w14:paraId="71F16368" w14:textId="0B3E8488">
      <w:pPr>
        <w:spacing w:before="240" w:beforeAutospacing="off" w:after="240" w:afterAutospacing="off" w:line="360" w:lineRule="auto"/>
        <w:jc w:val="both"/>
        <w:rPr>
          <w:rFonts w:ascii="Arial" w:hAnsi="Arial" w:eastAsia="Arial" w:cs="Arial"/>
          <w:b w:val="1"/>
          <w:bCs w:val="1"/>
          <w:noProof w:val="0"/>
          <w:color w:val="auto"/>
          <w:sz w:val="22"/>
          <w:szCs w:val="22"/>
          <w:lang w:val="en-US"/>
        </w:rPr>
      </w:pPr>
      <w:r w:rsidRPr="150DBCDF" w:rsidR="41ECC0B3">
        <w:rPr>
          <w:rFonts w:ascii="Arial" w:hAnsi="Arial" w:eastAsia="Arial" w:cs="Arial"/>
          <w:b w:val="1"/>
          <w:bCs w:val="1"/>
          <w:noProof w:val="0"/>
          <w:color w:val="auto"/>
          <w:sz w:val="22"/>
          <w:szCs w:val="22"/>
          <w:lang w:val="en-US"/>
        </w:rPr>
        <w:t>Table 1</w:t>
      </w:r>
      <w:r w:rsidRPr="150DBCDF" w:rsidR="41ECC0B3">
        <w:rPr>
          <w:rFonts w:ascii="Arial" w:hAnsi="Arial" w:eastAsia="Arial" w:cs="Arial"/>
          <w:b w:val="1"/>
          <w:bCs w:val="1"/>
          <w:noProof w:val="0"/>
          <w:color w:val="auto"/>
          <w:sz w:val="22"/>
          <w:szCs w:val="22"/>
          <w:lang w:val="en-US"/>
        </w:rPr>
        <w:t xml:space="preserve"> summarises the characteristics of the included studies.</w:t>
      </w:r>
    </w:p>
    <w:tbl>
      <w:tblPr>
        <w:tblStyle w:val="TableNormal"/>
        <w:bidiVisual w:val="0"/>
        <w:tblW w:w="0" w:type="auto"/>
        <w:tblLook w:val="06A0" w:firstRow="1" w:lastRow="0" w:firstColumn="1" w:lastColumn="0" w:noHBand="1" w:noVBand="1"/>
      </w:tblPr>
      <w:tblGrid>
        <w:gridCol w:w="1148"/>
        <w:gridCol w:w="2362"/>
        <w:gridCol w:w="1081"/>
        <w:gridCol w:w="2904"/>
        <w:gridCol w:w="1865"/>
      </w:tblGrid>
      <w:tr w:rsidR="150DBCDF" w:rsidTr="150DBCDF" w14:paraId="3A16FA41">
        <w:trPr>
          <w:trHeight w:val="300"/>
        </w:trPr>
        <w:tc>
          <w:tcPr>
            <w:tcW w:w="1148" w:type="dxa"/>
            <w:tcMar/>
            <w:vAlign w:val="center"/>
          </w:tcPr>
          <w:p w:rsidR="150DBCDF" w:rsidP="150DBCDF" w:rsidRDefault="150DBCDF" w14:paraId="5950FA4D" w14:textId="4389AB37">
            <w:pPr>
              <w:spacing w:before="0" w:beforeAutospacing="off" w:after="0" w:afterAutospacing="off" w:line="360" w:lineRule="auto"/>
              <w:jc w:val="center"/>
              <w:rPr>
                <w:b w:val="0"/>
                <w:bCs w:val="0"/>
                <w:color w:val="auto"/>
                <w:sz w:val="22"/>
                <w:szCs w:val="22"/>
              </w:rPr>
            </w:pPr>
            <w:r w:rsidRPr="150DBCDF" w:rsidR="150DBCDF">
              <w:rPr>
                <w:b w:val="0"/>
                <w:bCs w:val="0"/>
                <w:color w:val="auto"/>
                <w:sz w:val="22"/>
                <w:szCs w:val="22"/>
              </w:rPr>
              <w:t>Author(s), Year</w:t>
            </w:r>
          </w:p>
        </w:tc>
        <w:tc>
          <w:tcPr>
            <w:tcW w:w="2362" w:type="dxa"/>
            <w:tcMar/>
            <w:vAlign w:val="center"/>
          </w:tcPr>
          <w:p w:rsidR="150DBCDF" w:rsidP="150DBCDF" w:rsidRDefault="150DBCDF" w14:paraId="77E1AC37" w14:textId="4EAD6C46">
            <w:pPr>
              <w:spacing w:before="0" w:beforeAutospacing="off" w:after="0" w:afterAutospacing="off" w:line="360" w:lineRule="auto"/>
              <w:jc w:val="center"/>
              <w:rPr>
                <w:b w:val="0"/>
                <w:bCs w:val="0"/>
                <w:color w:val="auto"/>
                <w:sz w:val="22"/>
                <w:szCs w:val="22"/>
              </w:rPr>
            </w:pPr>
            <w:r w:rsidRPr="150DBCDF" w:rsidR="150DBCDF">
              <w:rPr>
                <w:b w:val="0"/>
                <w:bCs w:val="0"/>
                <w:color w:val="auto"/>
                <w:sz w:val="22"/>
                <w:szCs w:val="22"/>
              </w:rPr>
              <w:t>Research Objective</w:t>
            </w:r>
          </w:p>
        </w:tc>
        <w:tc>
          <w:tcPr>
            <w:tcW w:w="1081" w:type="dxa"/>
            <w:tcMar/>
            <w:vAlign w:val="center"/>
          </w:tcPr>
          <w:p w:rsidR="150DBCDF" w:rsidP="150DBCDF" w:rsidRDefault="150DBCDF" w14:paraId="3E90E65B" w14:textId="41B703FC">
            <w:pPr>
              <w:spacing w:before="0" w:beforeAutospacing="off" w:after="0" w:afterAutospacing="off" w:line="360" w:lineRule="auto"/>
              <w:jc w:val="center"/>
              <w:rPr>
                <w:b w:val="0"/>
                <w:bCs w:val="0"/>
                <w:color w:val="auto"/>
                <w:sz w:val="22"/>
                <w:szCs w:val="22"/>
              </w:rPr>
            </w:pPr>
            <w:r w:rsidRPr="150DBCDF" w:rsidR="150DBCDF">
              <w:rPr>
                <w:b w:val="0"/>
                <w:bCs w:val="0"/>
                <w:color w:val="auto"/>
                <w:sz w:val="22"/>
                <w:szCs w:val="22"/>
              </w:rPr>
              <w:t>Method</w:t>
            </w:r>
          </w:p>
        </w:tc>
        <w:tc>
          <w:tcPr>
            <w:tcW w:w="2904" w:type="dxa"/>
            <w:tcMar/>
            <w:vAlign w:val="center"/>
          </w:tcPr>
          <w:p w:rsidR="150DBCDF" w:rsidP="150DBCDF" w:rsidRDefault="150DBCDF" w14:paraId="08DB9EA0" w14:textId="36840EB4">
            <w:pPr>
              <w:spacing w:before="0" w:beforeAutospacing="off" w:after="0" w:afterAutospacing="off" w:line="360" w:lineRule="auto"/>
              <w:jc w:val="center"/>
              <w:rPr>
                <w:b w:val="0"/>
                <w:bCs w:val="0"/>
                <w:color w:val="auto"/>
                <w:sz w:val="22"/>
                <w:szCs w:val="22"/>
              </w:rPr>
            </w:pPr>
            <w:r w:rsidRPr="150DBCDF" w:rsidR="150DBCDF">
              <w:rPr>
                <w:b w:val="0"/>
                <w:bCs w:val="0"/>
                <w:color w:val="auto"/>
                <w:sz w:val="22"/>
                <w:szCs w:val="22"/>
              </w:rPr>
              <w:t>Key Findings</w:t>
            </w:r>
          </w:p>
        </w:tc>
        <w:tc>
          <w:tcPr>
            <w:tcW w:w="1865" w:type="dxa"/>
            <w:tcMar/>
            <w:vAlign w:val="center"/>
          </w:tcPr>
          <w:p w:rsidR="150DBCDF" w:rsidP="150DBCDF" w:rsidRDefault="150DBCDF" w14:paraId="328CE31D" w14:textId="56A67E04">
            <w:pPr>
              <w:spacing w:before="0" w:beforeAutospacing="off" w:after="0" w:afterAutospacing="off" w:line="360" w:lineRule="auto"/>
              <w:jc w:val="center"/>
              <w:rPr>
                <w:b w:val="0"/>
                <w:bCs w:val="0"/>
                <w:color w:val="auto"/>
                <w:sz w:val="22"/>
                <w:szCs w:val="22"/>
              </w:rPr>
            </w:pPr>
            <w:r w:rsidRPr="150DBCDF" w:rsidR="150DBCDF">
              <w:rPr>
                <w:b w:val="0"/>
                <w:bCs w:val="0"/>
                <w:color w:val="auto"/>
                <w:sz w:val="22"/>
                <w:szCs w:val="22"/>
              </w:rPr>
              <w:t>Relevance to Review Question</w:t>
            </w:r>
          </w:p>
        </w:tc>
      </w:tr>
      <w:tr w:rsidR="150DBCDF" w:rsidTr="150DBCDF" w14:paraId="28C22875">
        <w:trPr>
          <w:trHeight w:val="300"/>
        </w:trPr>
        <w:tc>
          <w:tcPr>
            <w:tcW w:w="1148" w:type="dxa"/>
            <w:tcMar/>
            <w:vAlign w:val="center"/>
          </w:tcPr>
          <w:p w:rsidR="150DBCDF" w:rsidP="150DBCDF" w:rsidRDefault="150DBCDF" w14:paraId="3C240F8E" w14:textId="666D544D">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Onyejesi, James and Kharicha (2026)</w:t>
            </w:r>
          </w:p>
        </w:tc>
        <w:tc>
          <w:tcPr>
            <w:tcW w:w="2362" w:type="dxa"/>
            <w:tcMar/>
            <w:vAlign w:val="center"/>
          </w:tcPr>
          <w:p w:rsidR="150DBCDF" w:rsidP="150DBCDF" w:rsidRDefault="150DBCDF" w14:paraId="6430B6AC" w14:textId="50C5B9A3">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Examine why healthcare professionals leave the NHS</w:t>
            </w:r>
          </w:p>
        </w:tc>
        <w:tc>
          <w:tcPr>
            <w:tcW w:w="1081" w:type="dxa"/>
            <w:tcMar/>
            <w:vAlign w:val="center"/>
          </w:tcPr>
          <w:p w:rsidR="150DBCDF" w:rsidP="150DBCDF" w:rsidRDefault="150DBCDF" w14:paraId="5B584AC0" w14:textId="06017B6D">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Systematic review and narrative synthesis</w:t>
            </w:r>
          </w:p>
        </w:tc>
        <w:tc>
          <w:tcPr>
            <w:tcW w:w="2904" w:type="dxa"/>
            <w:tcMar/>
            <w:vAlign w:val="center"/>
          </w:tcPr>
          <w:p w:rsidR="150DBCDF" w:rsidP="150DBCDF" w:rsidRDefault="150DBCDF" w14:paraId="1B2DBAF3" w14:textId="65637F5F">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Heavy workload, burnout, limited career progression and organisational pressures were major reasons for leaving</w:t>
            </w:r>
          </w:p>
        </w:tc>
        <w:tc>
          <w:tcPr>
            <w:tcW w:w="1865" w:type="dxa"/>
            <w:tcMar/>
            <w:vAlign w:val="center"/>
          </w:tcPr>
          <w:p w:rsidR="150DBCDF" w:rsidP="150DBCDF" w:rsidRDefault="150DBCDF" w14:paraId="066C146B" w14:textId="1747211A">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Explains the causes of workforce shortages</w:t>
            </w:r>
          </w:p>
        </w:tc>
      </w:tr>
      <w:tr w:rsidR="150DBCDF" w:rsidTr="150DBCDF" w14:paraId="0F13F155">
        <w:trPr>
          <w:trHeight w:val="300"/>
        </w:trPr>
        <w:tc>
          <w:tcPr>
            <w:tcW w:w="1148" w:type="dxa"/>
            <w:tcMar/>
            <w:vAlign w:val="center"/>
          </w:tcPr>
          <w:p w:rsidR="150DBCDF" w:rsidP="150DBCDF" w:rsidRDefault="150DBCDF" w14:paraId="37BFD03E" w14:textId="27006A16">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 xml:space="preserve">Griffiths </w:t>
            </w:r>
            <w:r w:rsidRPr="150DBCDF" w:rsidR="150DBCDF">
              <w:rPr>
                <w:b w:val="0"/>
                <w:bCs w:val="0"/>
                <w:i w:val="1"/>
                <w:iCs w:val="1"/>
                <w:color w:val="auto"/>
                <w:sz w:val="22"/>
                <w:szCs w:val="22"/>
              </w:rPr>
              <w:t>et al.</w:t>
            </w:r>
            <w:r w:rsidRPr="150DBCDF" w:rsidR="150DBCDF">
              <w:rPr>
                <w:b w:val="0"/>
                <w:bCs w:val="0"/>
                <w:color w:val="auto"/>
                <w:sz w:val="22"/>
                <w:szCs w:val="22"/>
              </w:rPr>
              <w:t xml:space="preserve"> (2025)</w:t>
            </w:r>
          </w:p>
        </w:tc>
        <w:tc>
          <w:tcPr>
            <w:tcW w:w="2362" w:type="dxa"/>
            <w:tcMar/>
            <w:vAlign w:val="center"/>
          </w:tcPr>
          <w:p w:rsidR="150DBCDF" w:rsidP="150DBCDF" w:rsidRDefault="150DBCDF" w14:paraId="63E12744" w14:textId="54530583">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Evaluate the consequences and cost-effectiveness of workforce configurations in English acute hospitals</w:t>
            </w:r>
          </w:p>
        </w:tc>
        <w:tc>
          <w:tcPr>
            <w:tcW w:w="1081" w:type="dxa"/>
            <w:tcMar/>
            <w:vAlign w:val="center"/>
          </w:tcPr>
          <w:p w:rsidR="150DBCDF" w:rsidP="150DBCDF" w:rsidRDefault="150DBCDF" w14:paraId="4EA60523" w14:textId="38823084">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Health services research</w:t>
            </w:r>
          </w:p>
        </w:tc>
        <w:tc>
          <w:tcPr>
            <w:tcW w:w="2904" w:type="dxa"/>
            <w:tcMar/>
            <w:vAlign w:val="center"/>
          </w:tcPr>
          <w:p w:rsidR="150DBCDF" w:rsidP="150DBCDF" w:rsidRDefault="150DBCDF" w14:paraId="4CAF4F63" w14:textId="43DFFE56">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Safe staffing levels improved patient outcomes and organisational efficiency, while understaffing increased costs and adverse events</w:t>
            </w:r>
          </w:p>
        </w:tc>
        <w:tc>
          <w:tcPr>
            <w:tcW w:w="1865" w:type="dxa"/>
            <w:tcMar/>
            <w:vAlign w:val="center"/>
          </w:tcPr>
          <w:p w:rsidR="150DBCDF" w:rsidP="150DBCDF" w:rsidRDefault="150DBCDF" w14:paraId="0F59C0C6" w14:textId="6AD27461">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Demonstrates the impact of workforce shortages on healthcare delivery</w:t>
            </w:r>
          </w:p>
        </w:tc>
      </w:tr>
      <w:tr w:rsidR="150DBCDF" w:rsidTr="150DBCDF" w14:paraId="4BC64111">
        <w:trPr>
          <w:trHeight w:val="300"/>
        </w:trPr>
        <w:tc>
          <w:tcPr>
            <w:tcW w:w="1148" w:type="dxa"/>
            <w:tcMar/>
            <w:vAlign w:val="center"/>
          </w:tcPr>
          <w:p w:rsidR="150DBCDF" w:rsidP="150DBCDF" w:rsidRDefault="150DBCDF" w14:paraId="23D9D905" w14:textId="09EE371B">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 xml:space="preserve">Wood </w:t>
            </w:r>
            <w:r w:rsidRPr="150DBCDF" w:rsidR="150DBCDF">
              <w:rPr>
                <w:b w:val="0"/>
                <w:bCs w:val="0"/>
                <w:i w:val="1"/>
                <w:iCs w:val="1"/>
                <w:color w:val="auto"/>
                <w:sz w:val="22"/>
                <w:szCs w:val="22"/>
              </w:rPr>
              <w:t>et al.</w:t>
            </w:r>
            <w:r w:rsidRPr="150DBCDF" w:rsidR="150DBCDF">
              <w:rPr>
                <w:b w:val="0"/>
                <w:bCs w:val="0"/>
                <w:color w:val="auto"/>
                <w:sz w:val="22"/>
                <w:szCs w:val="22"/>
              </w:rPr>
              <w:t xml:space="preserve"> (2025)</w:t>
            </w:r>
          </w:p>
        </w:tc>
        <w:tc>
          <w:tcPr>
            <w:tcW w:w="2362" w:type="dxa"/>
            <w:tcMar/>
            <w:vAlign w:val="center"/>
          </w:tcPr>
          <w:p w:rsidR="150DBCDF" w:rsidP="150DBCDF" w:rsidRDefault="150DBCDF" w14:paraId="4F19A47D" w14:textId="08C8BA57">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Identify mechanisms influencing retention of the mental health workforce</w:t>
            </w:r>
          </w:p>
        </w:tc>
        <w:tc>
          <w:tcPr>
            <w:tcW w:w="1081" w:type="dxa"/>
            <w:tcMar/>
            <w:vAlign w:val="center"/>
          </w:tcPr>
          <w:p w:rsidR="150DBCDF" w:rsidP="150DBCDF" w:rsidRDefault="150DBCDF" w14:paraId="26A4D282" w14:textId="7ECDE727">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Realist evaluation</w:t>
            </w:r>
          </w:p>
        </w:tc>
        <w:tc>
          <w:tcPr>
            <w:tcW w:w="2904" w:type="dxa"/>
            <w:tcMar/>
            <w:vAlign w:val="center"/>
          </w:tcPr>
          <w:p w:rsidR="150DBCDF" w:rsidP="150DBCDF" w:rsidRDefault="150DBCDF" w14:paraId="1B1A12FA" w14:textId="2021EBC5">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Supportive leadership, organisational culture and professional development improved staff retention</w:t>
            </w:r>
          </w:p>
        </w:tc>
        <w:tc>
          <w:tcPr>
            <w:tcW w:w="1865" w:type="dxa"/>
            <w:tcMar/>
            <w:vAlign w:val="center"/>
          </w:tcPr>
          <w:p w:rsidR="150DBCDF" w:rsidP="150DBCDF" w:rsidRDefault="150DBCDF" w14:paraId="13C3E688" w14:textId="38715B2B">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Explains organisational factors affecting workforce sustainability</w:t>
            </w:r>
          </w:p>
        </w:tc>
      </w:tr>
      <w:tr w:rsidR="150DBCDF" w:rsidTr="150DBCDF" w14:paraId="22042DF2">
        <w:trPr>
          <w:trHeight w:val="300"/>
        </w:trPr>
        <w:tc>
          <w:tcPr>
            <w:tcW w:w="1148" w:type="dxa"/>
            <w:tcMar/>
            <w:vAlign w:val="center"/>
          </w:tcPr>
          <w:p w:rsidR="150DBCDF" w:rsidP="150DBCDF" w:rsidRDefault="150DBCDF" w14:paraId="3C3F0607" w14:textId="0F1C5451">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Alkan, Cushen-Brewster and Anyanwu (2024)</w:t>
            </w:r>
          </w:p>
        </w:tc>
        <w:tc>
          <w:tcPr>
            <w:tcW w:w="2362" w:type="dxa"/>
            <w:tcMar/>
            <w:vAlign w:val="center"/>
          </w:tcPr>
          <w:p w:rsidR="150DBCDF" w:rsidP="150DBCDF" w:rsidRDefault="150DBCDF" w14:paraId="03116A40" w14:textId="0E71C79A">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Review organisational factors associated with workforce development, recruitment and retention</w:t>
            </w:r>
          </w:p>
        </w:tc>
        <w:tc>
          <w:tcPr>
            <w:tcW w:w="1081" w:type="dxa"/>
            <w:tcMar/>
            <w:vAlign w:val="center"/>
          </w:tcPr>
          <w:p w:rsidR="150DBCDF" w:rsidP="150DBCDF" w:rsidRDefault="150DBCDF" w14:paraId="2A400165" w14:textId="4FBDE584">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Systematic review</w:t>
            </w:r>
          </w:p>
        </w:tc>
        <w:tc>
          <w:tcPr>
            <w:tcW w:w="2904" w:type="dxa"/>
            <w:tcMar/>
            <w:vAlign w:val="center"/>
          </w:tcPr>
          <w:p w:rsidR="150DBCDF" w:rsidP="150DBCDF" w:rsidRDefault="150DBCDF" w14:paraId="06DEE854" w14:textId="00C4B949">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Flexible working, leadership and staff development improved recruitment and retention</w:t>
            </w:r>
          </w:p>
        </w:tc>
        <w:tc>
          <w:tcPr>
            <w:tcW w:w="1865" w:type="dxa"/>
            <w:tcMar/>
            <w:vAlign w:val="center"/>
          </w:tcPr>
          <w:p w:rsidR="150DBCDF" w:rsidP="150DBCDF" w:rsidRDefault="150DBCDF" w14:paraId="6A7C431F" w14:textId="2FBD1790">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Identifies strategies for strengthening the NHS workforce</w:t>
            </w:r>
          </w:p>
        </w:tc>
      </w:tr>
      <w:tr w:rsidR="150DBCDF" w:rsidTr="150DBCDF" w14:paraId="4EA7897C">
        <w:trPr>
          <w:trHeight w:val="300"/>
        </w:trPr>
        <w:tc>
          <w:tcPr>
            <w:tcW w:w="1148" w:type="dxa"/>
            <w:tcMar/>
            <w:vAlign w:val="center"/>
          </w:tcPr>
          <w:p w:rsidR="150DBCDF" w:rsidP="150DBCDF" w:rsidRDefault="150DBCDF" w14:paraId="401222D7" w14:textId="474761B0">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 xml:space="preserve">Al-Ghunaim </w:t>
            </w:r>
            <w:r w:rsidRPr="150DBCDF" w:rsidR="150DBCDF">
              <w:rPr>
                <w:b w:val="0"/>
                <w:bCs w:val="0"/>
                <w:i w:val="1"/>
                <w:iCs w:val="1"/>
                <w:color w:val="auto"/>
                <w:sz w:val="22"/>
                <w:szCs w:val="22"/>
              </w:rPr>
              <w:t>et al.</w:t>
            </w:r>
            <w:r w:rsidRPr="150DBCDF" w:rsidR="150DBCDF">
              <w:rPr>
                <w:b w:val="0"/>
                <w:bCs w:val="0"/>
                <w:color w:val="auto"/>
                <w:sz w:val="22"/>
                <w:szCs w:val="22"/>
              </w:rPr>
              <w:t xml:space="preserve"> (2023)</w:t>
            </w:r>
          </w:p>
        </w:tc>
        <w:tc>
          <w:tcPr>
            <w:tcW w:w="2362" w:type="dxa"/>
            <w:tcMar/>
            <w:vAlign w:val="center"/>
          </w:tcPr>
          <w:p w:rsidR="150DBCDF" w:rsidP="150DBCDF" w:rsidRDefault="150DBCDF" w14:paraId="0E4E9F2B" w14:textId="6495ED3A">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Investigate burnout and patient safety perceptions among UK surgeons</w:t>
            </w:r>
          </w:p>
        </w:tc>
        <w:tc>
          <w:tcPr>
            <w:tcW w:w="1081" w:type="dxa"/>
            <w:tcMar/>
            <w:vAlign w:val="center"/>
          </w:tcPr>
          <w:p w:rsidR="150DBCDF" w:rsidP="150DBCDF" w:rsidRDefault="150DBCDF" w14:paraId="48417BF0" w14:textId="146AEDAA">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Two-wave longitudinal survey</w:t>
            </w:r>
          </w:p>
        </w:tc>
        <w:tc>
          <w:tcPr>
            <w:tcW w:w="2904" w:type="dxa"/>
            <w:tcMar/>
            <w:vAlign w:val="center"/>
          </w:tcPr>
          <w:p w:rsidR="150DBCDF" w:rsidP="150DBCDF" w:rsidRDefault="150DBCDF" w14:paraId="57F98F39" w14:textId="5485BEC0">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Higher burnout levels were associated with poorer perceptions of patient safety and increased psychological distress</w:t>
            </w:r>
          </w:p>
        </w:tc>
        <w:tc>
          <w:tcPr>
            <w:tcW w:w="1865" w:type="dxa"/>
            <w:tcMar/>
            <w:vAlign w:val="center"/>
          </w:tcPr>
          <w:p w:rsidR="150DBCDF" w:rsidP="150DBCDF" w:rsidRDefault="150DBCDF" w14:paraId="799D0FDD" w14:textId="5AEC1877">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Demonstrates how workforce pressures affect staff wellbeing and patient safety</w:t>
            </w:r>
          </w:p>
        </w:tc>
      </w:tr>
      <w:tr w:rsidR="150DBCDF" w:rsidTr="150DBCDF" w14:paraId="153D6F6E">
        <w:trPr>
          <w:trHeight w:val="300"/>
        </w:trPr>
        <w:tc>
          <w:tcPr>
            <w:tcW w:w="1148" w:type="dxa"/>
            <w:tcMar/>
            <w:vAlign w:val="center"/>
          </w:tcPr>
          <w:p w:rsidR="150DBCDF" w:rsidP="150DBCDF" w:rsidRDefault="150DBCDF" w14:paraId="6EDA64C8" w14:textId="28D57202">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 xml:space="preserve">Babelyuk </w:t>
            </w:r>
            <w:r w:rsidRPr="150DBCDF" w:rsidR="150DBCDF">
              <w:rPr>
                <w:b w:val="0"/>
                <w:bCs w:val="0"/>
                <w:i w:val="1"/>
                <w:iCs w:val="1"/>
                <w:color w:val="auto"/>
                <w:sz w:val="22"/>
                <w:szCs w:val="22"/>
              </w:rPr>
              <w:t>et al.</w:t>
            </w:r>
            <w:r w:rsidRPr="150DBCDF" w:rsidR="150DBCDF">
              <w:rPr>
                <w:b w:val="0"/>
                <w:bCs w:val="0"/>
                <w:color w:val="auto"/>
                <w:sz w:val="22"/>
                <w:szCs w:val="22"/>
              </w:rPr>
              <w:t xml:space="preserve"> (2025)</w:t>
            </w:r>
          </w:p>
        </w:tc>
        <w:tc>
          <w:tcPr>
            <w:tcW w:w="2362" w:type="dxa"/>
            <w:tcMar/>
            <w:vAlign w:val="center"/>
          </w:tcPr>
          <w:p w:rsidR="150DBCDF" w:rsidP="150DBCDF" w:rsidRDefault="150DBCDF" w14:paraId="3B32CA70" w14:textId="78358644">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Evaluate the impact of Medical Associate Professions on workforce productivity and healthcare quality</w:t>
            </w:r>
          </w:p>
        </w:tc>
        <w:tc>
          <w:tcPr>
            <w:tcW w:w="1081" w:type="dxa"/>
            <w:tcMar/>
            <w:vAlign w:val="center"/>
          </w:tcPr>
          <w:p w:rsidR="150DBCDF" w:rsidP="150DBCDF" w:rsidRDefault="150DBCDF" w14:paraId="07FB1F85" w14:textId="3B2748D7">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Systematic review</w:t>
            </w:r>
          </w:p>
        </w:tc>
        <w:tc>
          <w:tcPr>
            <w:tcW w:w="2904" w:type="dxa"/>
            <w:tcMar/>
            <w:vAlign w:val="center"/>
          </w:tcPr>
          <w:p w:rsidR="150DBCDF" w:rsidP="150DBCDF" w:rsidRDefault="150DBCDF" w14:paraId="52099C90" w14:textId="40B69DA6">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Medical Associate Professions improved workforce capacity, productivity and patient care when effectively integrated</w:t>
            </w:r>
          </w:p>
        </w:tc>
        <w:tc>
          <w:tcPr>
            <w:tcW w:w="1865" w:type="dxa"/>
            <w:tcMar/>
            <w:vAlign w:val="center"/>
          </w:tcPr>
          <w:p w:rsidR="150DBCDF" w:rsidP="150DBCDF" w:rsidRDefault="150DBCDF" w14:paraId="4265CA1B" w14:textId="5C62090B">
            <w:pPr>
              <w:spacing w:before="0" w:beforeAutospacing="off" w:after="0" w:afterAutospacing="off" w:line="360" w:lineRule="auto"/>
              <w:rPr>
                <w:b w:val="0"/>
                <w:bCs w:val="0"/>
                <w:color w:val="auto"/>
                <w:sz w:val="22"/>
                <w:szCs w:val="22"/>
              </w:rPr>
            </w:pPr>
            <w:r w:rsidRPr="150DBCDF" w:rsidR="150DBCDF">
              <w:rPr>
                <w:b w:val="0"/>
                <w:bCs w:val="0"/>
                <w:color w:val="auto"/>
                <w:sz w:val="22"/>
                <w:szCs w:val="22"/>
              </w:rPr>
              <w:t>Demonstrates innovative workforce strategies to address staff shortages</w:t>
            </w:r>
          </w:p>
        </w:tc>
      </w:tr>
    </w:tbl>
    <w:p w:rsidR="20072C3C" w:rsidP="150DBCDF" w:rsidRDefault="20072C3C" w14:paraId="3F23A586" w14:textId="22AC1C5B">
      <w:pPr>
        <w:pStyle w:val="Heading2"/>
        <w:bidi w:val="0"/>
        <w:spacing w:before="299" w:beforeAutospacing="off" w:after="299" w:afterAutospacing="off" w:line="360" w:lineRule="auto"/>
        <w:jc w:val="both"/>
        <w:rPr>
          <w:rFonts w:ascii="Arial" w:hAnsi="Arial" w:eastAsia="Arial" w:cs="Arial"/>
          <w:b w:val="1"/>
          <w:bCs w:val="1"/>
          <w:noProof w:val="0"/>
          <w:color w:val="auto"/>
          <w:sz w:val="22"/>
          <w:szCs w:val="22"/>
          <w:lang w:val="en-US"/>
        </w:rPr>
      </w:pPr>
    </w:p>
    <w:p w:rsidR="20072C3C" w:rsidP="150DBCDF" w:rsidRDefault="20072C3C" w14:paraId="2E801F73" w14:textId="259141E2">
      <w:pPr>
        <w:pStyle w:val="Normal"/>
        <w:bidi w:val="0"/>
        <w:rPr>
          <w:noProof w:val="0"/>
          <w:lang w:val="en-US"/>
        </w:rPr>
      </w:pPr>
    </w:p>
    <w:p w:rsidR="20072C3C" w:rsidP="150DBCDF" w:rsidRDefault="20072C3C" w14:paraId="586EB540" w14:textId="1078564A">
      <w:pPr>
        <w:pStyle w:val="Normal"/>
        <w:bidi w:val="0"/>
        <w:rPr>
          <w:noProof w:val="0"/>
          <w:lang w:val="en-US"/>
        </w:rPr>
      </w:pPr>
    </w:p>
    <w:p w:rsidR="20072C3C" w:rsidP="150DBCDF" w:rsidRDefault="20072C3C" w14:paraId="1AB893EC" w14:textId="4D06013B">
      <w:pPr>
        <w:pStyle w:val="Normal"/>
        <w:bidi w:val="0"/>
        <w:rPr>
          <w:noProof w:val="0"/>
          <w:lang w:val="en-US"/>
        </w:rPr>
      </w:pPr>
    </w:p>
    <w:p w:rsidR="20072C3C" w:rsidP="150DBCDF" w:rsidRDefault="20072C3C" w14:paraId="1BAA9008" w14:textId="7E6DB630">
      <w:pPr>
        <w:pStyle w:val="Heading2"/>
        <w:bidi w:val="0"/>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41ECC0B3">
        <w:rPr>
          <w:rFonts w:ascii="Arial" w:hAnsi="Arial" w:eastAsia="Arial" w:cs="Arial"/>
          <w:b w:val="1"/>
          <w:bCs w:val="1"/>
          <w:noProof w:val="0"/>
          <w:color w:val="auto"/>
          <w:sz w:val="22"/>
          <w:szCs w:val="22"/>
          <w:lang w:val="en-US"/>
        </w:rPr>
        <w:t xml:space="preserve">Thematic </w:t>
      </w:r>
      <w:r w:rsidRPr="150DBCDF" w:rsidR="2CCB70C0">
        <w:rPr>
          <w:rFonts w:ascii="Arial" w:hAnsi="Arial" w:eastAsia="Arial" w:cs="Arial"/>
          <w:b w:val="1"/>
          <w:bCs w:val="1"/>
          <w:noProof w:val="0"/>
          <w:color w:val="auto"/>
          <w:sz w:val="22"/>
          <w:szCs w:val="22"/>
          <w:lang w:val="en-US"/>
        </w:rPr>
        <w:t>Analysis</w:t>
      </w:r>
    </w:p>
    <w:p w:rsidR="20072C3C" w:rsidP="150DBCDF" w:rsidRDefault="20072C3C" w14:paraId="3A460114" w14:textId="2EC1D893">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41ECC0B3">
        <w:rPr>
          <w:rFonts w:ascii="Arial" w:hAnsi="Arial" w:eastAsia="Arial" w:cs="Arial"/>
          <w:b w:val="0"/>
          <w:bCs w:val="0"/>
          <w:noProof w:val="0"/>
          <w:color w:val="auto"/>
          <w:sz w:val="22"/>
          <w:szCs w:val="22"/>
          <w:lang w:val="en-US"/>
        </w:rPr>
        <w:t xml:space="preserve">The thematic analysis identified four overarching themes across the included studies: </w:t>
      </w:r>
      <w:r w:rsidRPr="150DBCDF" w:rsidR="41ECC0B3">
        <w:rPr>
          <w:rFonts w:ascii="Arial" w:hAnsi="Arial" w:eastAsia="Arial" w:cs="Arial"/>
          <w:b w:val="0"/>
          <w:bCs w:val="0"/>
          <w:noProof w:val="0"/>
          <w:color w:val="auto"/>
          <w:sz w:val="22"/>
          <w:szCs w:val="22"/>
          <w:lang w:val="en-US"/>
        </w:rPr>
        <w:t>(1) causes of NHS workforce shortages, (2) impacts on healthcare delivery, (3) impacts on patient safety and staff wellbeing, and (4) strategies for improving workforce sustainability</w:t>
      </w:r>
      <w:r w:rsidRPr="150DBCDF" w:rsidR="41ECC0B3">
        <w:rPr>
          <w:rFonts w:ascii="Arial" w:hAnsi="Arial" w:eastAsia="Arial" w:cs="Arial"/>
          <w:b w:val="0"/>
          <w:bCs w:val="0"/>
          <w:noProof w:val="0"/>
          <w:color w:val="auto"/>
          <w:sz w:val="22"/>
          <w:szCs w:val="22"/>
          <w:lang w:val="en-US"/>
        </w:rPr>
        <w:t xml:space="preserve"> (Aveyard, 2019).</w:t>
      </w:r>
    </w:p>
    <w:p w:rsidR="20072C3C" w:rsidP="150DBCDF" w:rsidRDefault="20072C3C" w14:paraId="690C3471" w14:textId="06C0C980">
      <w:pPr>
        <w:pStyle w:val="Heading2"/>
        <w:bidi w:val="0"/>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0C4CE353">
        <w:rPr>
          <w:rFonts w:ascii="Arial" w:hAnsi="Arial" w:eastAsia="Arial" w:cs="Arial"/>
          <w:b w:val="1"/>
          <w:bCs w:val="1"/>
          <w:noProof w:val="0"/>
          <w:color w:val="auto"/>
          <w:sz w:val="22"/>
          <w:szCs w:val="22"/>
          <w:lang w:val="en-US"/>
        </w:rPr>
        <w:t>Theme 1: Causes of NHS Workforce Shortages</w:t>
      </w:r>
    </w:p>
    <w:p w:rsidR="20072C3C" w:rsidP="150DBCDF" w:rsidRDefault="20072C3C" w14:paraId="5C65850B" w14:textId="3A1C6A40">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 xml:space="preserve">The included studies consistently </w:t>
      </w:r>
      <w:r w:rsidRPr="150DBCDF" w:rsidR="0C4CE353">
        <w:rPr>
          <w:rFonts w:ascii="Arial" w:hAnsi="Arial" w:eastAsia="Arial" w:cs="Arial"/>
          <w:b w:val="0"/>
          <w:bCs w:val="0"/>
          <w:noProof w:val="0"/>
          <w:color w:val="auto"/>
          <w:sz w:val="22"/>
          <w:szCs w:val="22"/>
          <w:lang w:val="en-US"/>
        </w:rPr>
        <w:t>identified</w:t>
      </w:r>
      <w:r w:rsidRPr="150DBCDF" w:rsidR="0C4CE353">
        <w:rPr>
          <w:rFonts w:ascii="Arial" w:hAnsi="Arial" w:eastAsia="Arial" w:cs="Arial"/>
          <w:b w:val="0"/>
          <w:bCs w:val="0"/>
          <w:noProof w:val="0"/>
          <w:color w:val="auto"/>
          <w:sz w:val="22"/>
          <w:szCs w:val="22"/>
          <w:lang w:val="en-US"/>
        </w:rPr>
        <w:t xml:space="preserve"> workforce </w:t>
      </w:r>
      <w:r w:rsidRPr="150DBCDF" w:rsidR="377A3351">
        <w:rPr>
          <w:rFonts w:ascii="Arial" w:hAnsi="Arial" w:eastAsia="Arial" w:cs="Arial"/>
          <w:b w:val="0"/>
          <w:bCs w:val="0"/>
          <w:noProof w:val="0"/>
          <w:color w:val="auto"/>
          <w:sz w:val="22"/>
          <w:szCs w:val="22"/>
          <w:lang w:val="en-US"/>
        </w:rPr>
        <w:t>shortages</w:t>
      </w:r>
      <w:r w:rsidRPr="150DBCDF" w:rsidR="0C4CE353">
        <w:rPr>
          <w:rFonts w:ascii="Arial" w:hAnsi="Arial" w:eastAsia="Arial" w:cs="Arial"/>
          <w:b w:val="0"/>
          <w:bCs w:val="0"/>
          <w:noProof w:val="0"/>
          <w:color w:val="auto"/>
          <w:sz w:val="22"/>
          <w:szCs w:val="22"/>
          <w:lang w:val="en-US"/>
        </w:rPr>
        <w:t xml:space="preserve"> resulting from multiple </w:t>
      </w:r>
      <w:r w:rsidRPr="150DBCDF" w:rsidR="0C4CE353">
        <w:rPr>
          <w:rFonts w:ascii="Arial" w:hAnsi="Arial" w:eastAsia="Arial" w:cs="Arial"/>
          <w:b w:val="0"/>
          <w:bCs w:val="0"/>
          <w:noProof w:val="0"/>
          <w:color w:val="auto"/>
          <w:sz w:val="22"/>
          <w:szCs w:val="22"/>
          <w:lang w:val="en-US"/>
        </w:rPr>
        <w:t>organisational</w:t>
      </w:r>
      <w:r w:rsidRPr="150DBCDF" w:rsidR="0C4CE353">
        <w:rPr>
          <w:rFonts w:ascii="Arial" w:hAnsi="Arial" w:eastAsia="Arial" w:cs="Arial"/>
          <w:b w:val="0"/>
          <w:bCs w:val="0"/>
          <w:noProof w:val="0"/>
          <w:color w:val="auto"/>
          <w:sz w:val="22"/>
          <w:szCs w:val="22"/>
          <w:lang w:val="en-US"/>
        </w:rPr>
        <w:t xml:space="preserve"> and systemic factors. </w:t>
      </w:r>
      <w:r w:rsidRPr="150DBCDF" w:rsidR="0C4CE353">
        <w:rPr>
          <w:rFonts w:ascii="Arial" w:hAnsi="Arial" w:eastAsia="Arial" w:cs="Arial"/>
          <w:b w:val="0"/>
          <w:bCs w:val="0"/>
          <w:noProof w:val="0"/>
          <w:color w:val="auto"/>
          <w:sz w:val="22"/>
          <w:szCs w:val="22"/>
          <w:lang w:val="en-US"/>
        </w:rPr>
        <w:t>Onyejesi</w:t>
      </w:r>
      <w:r w:rsidRPr="150DBCDF" w:rsidR="0C4CE353">
        <w:rPr>
          <w:rFonts w:ascii="Arial" w:hAnsi="Arial" w:eastAsia="Arial" w:cs="Arial"/>
          <w:b w:val="0"/>
          <w:bCs w:val="0"/>
          <w:noProof w:val="0"/>
          <w:color w:val="auto"/>
          <w:sz w:val="22"/>
          <w:szCs w:val="22"/>
          <w:lang w:val="en-US"/>
        </w:rPr>
        <w:t xml:space="preserve">, James and </w:t>
      </w:r>
      <w:r w:rsidRPr="150DBCDF" w:rsidR="0C4CE353">
        <w:rPr>
          <w:rFonts w:ascii="Arial" w:hAnsi="Arial" w:eastAsia="Arial" w:cs="Arial"/>
          <w:b w:val="0"/>
          <w:bCs w:val="0"/>
          <w:noProof w:val="0"/>
          <w:color w:val="auto"/>
          <w:sz w:val="22"/>
          <w:szCs w:val="22"/>
          <w:lang w:val="en-US"/>
        </w:rPr>
        <w:t>Kharicha</w:t>
      </w:r>
      <w:r w:rsidRPr="150DBCDF" w:rsidR="0C4CE353">
        <w:rPr>
          <w:rFonts w:ascii="Arial" w:hAnsi="Arial" w:eastAsia="Arial" w:cs="Arial"/>
          <w:b w:val="0"/>
          <w:bCs w:val="0"/>
          <w:noProof w:val="0"/>
          <w:color w:val="auto"/>
          <w:sz w:val="22"/>
          <w:szCs w:val="22"/>
          <w:lang w:val="en-US"/>
        </w:rPr>
        <w:t xml:space="preserve"> (2026) reported that excessive workload, burnout, limited career progression, poor </w:t>
      </w:r>
      <w:r w:rsidRPr="150DBCDF" w:rsidR="0C4CE353">
        <w:rPr>
          <w:rFonts w:ascii="Arial" w:hAnsi="Arial" w:eastAsia="Arial" w:cs="Arial"/>
          <w:b w:val="0"/>
          <w:bCs w:val="0"/>
          <w:noProof w:val="0"/>
          <w:color w:val="auto"/>
          <w:sz w:val="22"/>
          <w:szCs w:val="22"/>
          <w:lang w:val="en-US"/>
        </w:rPr>
        <w:t>organisational</w:t>
      </w:r>
      <w:r w:rsidRPr="150DBCDF" w:rsidR="0C4CE353">
        <w:rPr>
          <w:rFonts w:ascii="Arial" w:hAnsi="Arial" w:eastAsia="Arial" w:cs="Arial"/>
          <w:b w:val="0"/>
          <w:bCs w:val="0"/>
          <w:noProof w:val="0"/>
          <w:color w:val="auto"/>
          <w:sz w:val="22"/>
          <w:szCs w:val="22"/>
          <w:lang w:val="en-US"/>
        </w:rPr>
        <w:t xml:space="preserve"> </w:t>
      </w:r>
      <w:r w:rsidRPr="150DBCDF" w:rsidR="0C4CE353">
        <w:rPr>
          <w:rFonts w:ascii="Arial" w:hAnsi="Arial" w:eastAsia="Arial" w:cs="Arial"/>
          <w:b w:val="0"/>
          <w:bCs w:val="0"/>
          <w:noProof w:val="0"/>
          <w:color w:val="auto"/>
          <w:sz w:val="22"/>
          <w:szCs w:val="22"/>
          <w:lang w:val="en-US"/>
        </w:rPr>
        <w:t>support</w:t>
      </w:r>
      <w:r w:rsidRPr="150DBCDF" w:rsidR="0C4CE353">
        <w:rPr>
          <w:rFonts w:ascii="Arial" w:hAnsi="Arial" w:eastAsia="Arial" w:cs="Arial"/>
          <w:b w:val="0"/>
          <w:bCs w:val="0"/>
          <w:noProof w:val="0"/>
          <w:color w:val="auto"/>
          <w:sz w:val="22"/>
          <w:szCs w:val="22"/>
          <w:lang w:val="en-US"/>
        </w:rPr>
        <w:t xml:space="preserve"> and inadequate work-life balance were among the principal reasons healthcare professionals left the NHS. Their review highlighted that retention challenges were </w:t>
      </w:r>
      <w:r w:rsidRPr="150DBCDF" w:rsidR="0C4CE353">
        <w:rPr>
          <w:rFonts w:ascii="Arial" w:hAnsi="Arial" w:eastAsia="Arial" w:cs="Arial"/>
          <w:b w:val="0"/>
          <w:bCs w:val="0"/>
          <w:noProof w:val="0"/>
          <w:color w:val="auto"/>
          <w:sz w:val="22"/>
          <w:szCs w:val="22"/>
          <w:lang w:val="en-US"/>
        </w:rPr>
        <w:t>closely associated</w:t>
      </w:r>
      <w:r w:rsidRPr="150DBCDF" w:rsidR="0C4CE353">
        <w:rPr>
          <w:rFonts w:ascii="Arial" w:hAnsi="Arial" w:eastAsia="Arial" w:cs="Arial"/>
          <w:b w:val="0"/>
          <w:bCs w:val="0"/>
          <w:noProof w:val="0"/>
          <w:color w:val="auto"/>
          <w:sz w:val="22"/>
          <w:szCs w:val="22"/>
          <w:lang w:val="en-US"/>
        </w:rPr>
        <w:t xml:space="preserve"> with workplace conditions as well as recruitment difficulties.</w:t>
      </w:r>
    </w:p>
    <w:p w:rsidR="20072C3C" w:rsidP="150DBCDF" w:rsidRDefault="20072C3C" w14:paraId="4B85A5E1" w14:textId="62FA500E">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 xml:space="preserve">Similarly, Wood </w:t>
      </w:r>
      <w:r w:rsidRPr="150DBCDF" w:rsidR="0C4CE353">
        <w:rPr>
          <w:rFonts w:ascii="Arial" w:hAnsi="Arial" w:eastAsia="Arial" w:cs="Arial"/>
          <w:b w:val="0"/>
          <w:bCs w:val="0"/>
          <w:i w:val="1"/>
          <w:iCs w:val="1"/>
          <w:noProof w:val="0"/>
          <w:color w:val="auto"/>
          <w:sz w:val="22"/>
          <w:szCs w:val="22"/>
          <w:lang w:val="en-US"/>
        </w:rPr>
        <w:t>et al.</w:t>
      </w:r>
      <w:r w:rsidRPr="150DBCDF" w:rsidR="0C4CE353">
        <w:rPr>
          <w:rFonts w:ascii="Arial" w:hAnsi="Arial" w:eastAsia="Arial" w:cs="Arial"/>
          <w:b w:val="0"/>
          <w:bCs w:val="0"/>
          <w:noProof w:val="0"/>
          <w:color w:val="auto"/>
          <w:sz w:val="22"/>
          <w:szCs w:val="22"/>
          <w:lang w:val="en-US"/>
        </w:rPr>
        <w:t xml:space="preserve"> (2025) found that supportive leadership, positive organisational culture, professional autonomy and opportunities for career development influenced staff retention within NHS mental health services. Their realist evaluation reported that organisations investing in staff wellbeing and supportive working environments experienced improved workforce retention. Likewise, Alkan, Cushen-Brewster and Anyanwu (2024) identified organisational culture, leadership quality and access to continuing professional development as key factors influencing recruitment and retention across UK healthcare organisations.</w:t>
      </w:r>
    </w:p>
    <w:p w:rsidR="20072C3C" w:rsidP="150DBCDF" w:rsidRDefault="20072C3C" w14:paraId="03CED206" w14:textId="5855625F">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Collectively, these studies identified workload, burnout, organisational support, leadership and career development as the most frequently reported factors contributing to NHS workforce shortages.</w:t>
      </w:r>
    </w:p>
    <w:p w:rsidR="20072C3C" w:rsidP="150DBCDF" w:rsidRDefault="20072C3C" w14:paraId="02DC2967" w14:textId="697FFA64">
      <w:pPr>
        <w:pStyle w:val="Heading2"/>
        <w:bidi w:val="0"/>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0C4CE353">
        <w:rPr>
          <w:rFonts w:ascii="Arial" w:hAnsi="Arial" w:eastAsia="Arial" w:cs="Arial"/>
          <w:b w:val="1"/>
          <w:bCs w:val="1"/>
          <w:noProof w:val="0"/>
          <w:color w:val="auto"/>
          <w:sz w:val="22"/>
          <w:szCs w:val="22"/>
          <w:lang w:val="en-US"/>
        </w:rPr>
        <w:t>Theme 2: Impact on Healthcare Delivery</w:t>
      </w:r>
    </w:p>
    <w:p w:rsidR="20072C3C" w:rsidP="150DBCDF" w:rsidRDefault="20072C3C" w14:paraId="0297660E" w14:textId="4D978B75">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 xml:space="preserve">The reviewed studies reported that workforce shortages affected healthcare delivery, organisational performance and service efficiency. Griffiths </w:t>
      </w:r>
      <w:r w:rsidRPr="150DBCDF" w:rsidR="0C4CE353">
        <w:rPr>
          <w:rFonts w:ascii="Arial" w:hAnsi="Arial" w:eastAsia="Arial" w:cs="Arial"/>
          <w:b w:val="0"/>
          <w:bCs w:val="0"/>
          <w:i w:val="1"/>
          <w:iCs w:val="1"/>
          <w:noProof w:val="0"/>
          <w:color w:val="auto"/>
          <w:sz w:val="22"/>
          <w:szCs w:val="22"/>
          <w:lang w:val="en-US"/>
        </w:rPr>
        <w:t>et al.</w:t>
      </w:r>
      <w:r w:rsidRPr="150DBCDF" w:rsidR="0C4CE353">
        <w:rPr>
          <w:rFonts w:ascii="Arial" w:hAnsi="Arial" w:eastAsia="Arial" w:cs="Arial"/>
          <w:b w:val="0"/>
          <w:bCs w:val="0"/>
          <w:noProof w:val="0"/>
          <w:color w:val="auto"/>
          <w:sz w:val="22"/>
          <w:szCs w:val="22"/>
          <w:lang w:val="en-US"/>
        </w:rPr>
        <w:t xml:space="preserve"> (2025) found that hospitals with inadequate staffing experienced increased workloads, reduced productivity and higher rates of adverse patient events. In contrast, organisations maintaining safer staffing levels achieved improved patient outcomes, greater organisational efficiency and lower healthcare costs through reduced complications and shorter hospital stays.</w:t>
      </w:r>
    </w:p>
    <w:p w:rsidR="20072C3C" w:rsidP="150DBCDF" w:rsidRDefault="20072C3C" w14:paraId="60FF6672" w14:textId="7CCB1040">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 xml:space="preserve">Babelyuk </w:t>
      </w:r>
      <w:r w:rsidRPr="150DBCDF" w:rsidR="0C4CE353">
        <w:rPr>
          <w:rFonts w:ascii="Arial" w:hAnsi="Arial" w:eastAsia="Arial" w:cs="Arial"/>
          <w:b w:val="0"/>
          <w:bCs w:val="0"/>
          <w:i w:val="1"/>
          <w:iCs w:val="1"/>
          <w:noProof w:val="0"/>
          <w:color w:val="auto"/>
          <w:sz w:val="22"/>
          <w:szCs w:val="22"/>
          <w:lang w:val="en-US"/>
        </w:rPr>
        <w:t>et al.</w:t>
      </w:r>
      <w:r w:rsidRPr="150DBCDF" w:rsidR="0C4CE353">
        <w:rPr>
          <w:rFonts w:ascii="Arial" w:hAnsi="Arial" w:eastAsia="Arial" w:cs="Arial"/>
          <w:b w:val="0"/>
          <w:bCs w:val="0"/>
          <w:noProof w:val="0"/>
          <w:color w:val="auto"/>
          <w:sz w:val="22"/>
          <w:szCs w:val="22"/>
          <w:lang w:val="en-US"/>
        </w:rPr>
        <w:t xml:space="preserve"> (2025) examined the contribution of Medical Associate Professions to workforce capacity. Their systematic review reported that physician associates and other associate professionals improved service productivity, supported continuity of care and reduced workload pressures on medical staff when integrated into multidisciplinary teams.</w:t>
      </w:r>
    </w:p>
    <w:p w:rsidR="20072C3C" w:rsidP="150DBCDF" w:rsidRDefault="20072C3C" w14:paraId="08BCFD09" w14:textId="0B4240E1">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Overall, the included studies reported that workforce shortages were associated with increased operational pressures, reduced service capacity and challenges in delivering timely, person-centred healthcare.</w:t>
      </w:r>
    </w:p>
    <w:p w:rsidR="20072C3C" w:rsidP="150DBCDF" w:rsidRDefault="20072C3C" w14:paraId="2FB07CCB" w14:textId="245D674D">
      <w:pPr>
        <w:pStyle w:val="Heading2"/>
        <w:bidi w:val="0"/>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0C4CE353">
        <w:rPr>
          <w:rFonts w:ascii="Arial" w:hAnsi="Arial" w:eastAsia="Arial" w:cs="Arial"/>
          <w:b w:val="1"/>
          <w:bCs w:val="1"/>
          <w:noProof w:val="0"/>
          <w:color w:val="auto"/>
          <w:sz w:val="22"/>
          <w:szCs w:val="22"/>
          <w:lang w:val="en-US"/>
        </w:rPr>
        <w:t>Theme 3: Workforce Shortages, Staff Wellbeing and Patient Safety</w:t>
      </w:r>
    </w:p>
    <w:p w:rsidR="20072C3C" w:rsidP="150DBCDF" w:rsidRDefault="20072C3C" w14:paraId="0688CEF0" w14:textId="2ADC51D2">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 xml:space="preserve">The included evidence identified a relationship between workforce shortages, staff wellbeing and patient safety. Al-Ghunaim </w:t>
      </w:r>
      <w:r w:rsidRPr="150DBCDF" w:rsidR="0C4CE353">
        <w:rPr>
          <w:rFonts w:ascii="Arial" w:hAnsi="Arial" w:eastAsia="Arial" w:cs="Arial"/>
          <w:b w:val="0"/>
          <w:bCs w:val="0"/>
          <w:i w:val="1"/>
          <w:iCs w:val="1"/>
          <w:noProof w:val="0"/>
          <w:color w:val="auto"/>
          <w:sz w:val="22"/>
          <w:szCs w:val="22"/>
          <w:lang w:val="en-US"/>
        </w:rPr>
        <w:t>et al.</w:t>
      </w:r>
      <w:r w:rsidRPr="150DBCDF" w:rsidR="0C4CE353">
        <w:rPr>
          <w:rFonts w:ascii="Arial" w:hAnsi="Arial" w:eastAsia="Arial" w:cs="Arial"/>
          <w:b w:val="0"/>
          <w:bCs w:val="0"/>
          <w:noProof w:val="0"/>
          <w:color w:val="auto"/>
          <w:sz w:val="22"/>
          <w:szCs w:val="22"/>
          <w:lang w:val="en-US"/>
        </w:rPr>
        <w:t xml:space="preserve"> (2023) found that surgeons experiencing higher levels of burnout reported poorer perceptions of patient safety together with greater psychological distress during the COVID-19 pandemic. Emotional exhaustion and fatigue were associated with concerns regarding clinical performance.</w:t>
      </w:r>
    </w:p>
    <w:p w:rsidR="20072C3C" w:rsidP="150DBCDF" w:rsidRDefault="20072C3C" w14:paraId="10A2DFE9" w14:textId="66BF90E7">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Similarly, Onyejesi, James and Kharicha (2026) identified burnout as one of the strongest factors associated with healthcare professionals leaving the NHS. Their review reported that increasing workload and workplace pressures contributed to emotional exhaustion and reduced staff retention.</w:t>
      </w:r>
    </w:p>
    <w:p w:rsidR="20072C3C" w:rsidP="150DBCDF" w:rsidRDefault="20072C3C" w14:paraId="619EDA19" w14:textId="7303A5A0">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Across the included studies, staff wellbeing, burnout and patient safety were consistently identified as closely related outcomes associated with workforce shortages.</w:t>
      </w:r>
    </w:p>
    <w:p w:rsidR="20072C3C" w:rsidP="150DBCDF" w:rsidRDefault="20072C3C" w14:paraId="4E712471" w14:textId="567F370B">
      <w:pPr>
        <w:pStyle w:val="Heading2"/>
        <w:bidi w:val="0"/>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0C4CE353">
        <w:rPr>
          <w:rFonts w:ascii="Arial" w:hAnsi="Arial" w:eastAsia="Arial" w:cs="Arial"/>
          <w:b w:val="1"/>
          <w:bCs w:val="1"/>
          <w:noProof w:val="0"/>
          <w:color w:val="auto"/>
          <w:sz w:val="22"/>
          <w:szCs w:val="22"/>
          <w:lang w:val="en-US"/>
        </w:rPr>
        <w:t>Theme 4: Strategies for Improving Workforce Sustainability</w:t>
      </w:r>
    </w:p>
    <w:p w:rsidR="20072C3C" w:rsidP="150DBCDF" w:rsidRDefault="20072C3C" w14:paraId="4AD2119F" w14:textId="43541427">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 xml:space="preserve">All six included studies identified strategies aimed at strengthening workforce sustainability. Wood </w:t>
      </w:r>
      <w:r w:rsidRPr="150DBCDF" w:rsidR="0C4CE353">
        <w:rPr>
          <w:rFonts w:ascii="Arial" w:hAnsi="Arial" w:eastAsia="Arial" w:cs="Arial"/>
          <w:b w:val="0"/>
          <w:bCs w:val="0"/>
          <w:i w:val="1"/>
          <w:iCs w:val="1"/>
          <w:noProof w:val="0"/>
          <w:color w:val="auto"/>
          <w:sz w:val="22"/>
          <w:szCs w:val="22"/>
          <w:lang w:val="en-US"/>
        </w:rPr>
        <w:t>et al.</w:t>
      </w:r>
      <w:r w:rsidRPr="150DBCDF" w:rsidR="0C4CE353">
        <w:rPr>
          <w:rFonts w:ascii="Arial" w:hAnsi="Arial" w:eastAsia="Arial" w:cs="Arial"/>
          <w:b w:val="0"/>
          <w:bCs w:val="0"/>
          <w:noProof w:val="0"/>
          <w:color w:val="auto"/>
          <w:sz w:val="22"/>
          <w:szCs w:val="22"/>
          <w:lang w:val="en-US"/>
        </w:rPr>
        <w:t xml:space="preserve"> (2025) reported that supportive leadership, professional development opportunities and psychologically safe working environments promoted staff retention. Alkan, Cushen-Brewster and Anyanwu (2024) similarly identified flexible working arrangements, mentorship, leadership development and continuing professional education as organisational factors supporting recruitment and retention.</w:t>
      </w:r>
    </w:p>
    <w:p w:rsidR="20072C3C" w:rsidP="150DBCDF" w:rsidRDefault="20072C3C" w14:paraId="6F055855" w14:textId="1D43A219">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 xml:space="preserve">Babelyuk </w:t>
      </w:r>
      <w:r w:rsidRPr="150DBCDF" w:rsidR="0C4CE353">
        <w:rPr>
          <w:rFonts w:ascii="Arial" w:hAnsi="Arial" w:eastAsia="Arial" w:cs="Arial"/>
          <w:b w:val="0"/>
          <w:bCs w:val="0"/>
          <w:i w:val="1"/>
          <w:iCs w:val="1"/>
          <w:noProof w:val="0"/>
          <w:color w:val="auto"/>
          <w:sz w:val="22"/>
          <w:szCs w:val="22"/>
          <w:lang w:val="en-US"/>
        </w:rPr>
        <w:t>et al.</w:t>
      </w:r>
      <w:r w:rsidRPr="150DBCDF" w:rsidR="0C4CE353">
        <w:rPr>
          <w:rFonts w:ascii="Arial" w:hAnsi="Arial" w:eastAsia="Arial" w:cs="Arial"/>
          <w:b w:val="0"/>
          <w:bCs w:val="0"/>
          <w:noProof w:val="0"/>
          <w:color w:val="auto"/>
          <w:sz w:val="22"/>
          <w:szCs w:val="22"/>
          <w:lang w:val="en-US"/>
        </w:rPr>
        <w:t xml:space="preserve"> (2025) found that Medical Associate Professions increased workforce capacity, supported multidisciplinary collaboration and reduced workload pressures when effectively integrated into healthcare teams. Griffiths </w:t>
      </w:r>
      <w:r w:rsidRPr="150DBCDF" w:rsidR="0C4CE353">
        <w:rPr>
          <w:rFonts w:ascii="Arial" w:hAnsi="Arial" w:eastAsia="Arial" w:cs="Arial"/>
          <w:b w:val="0"/>
          <w:bCs w:val="0"/>
          <w:i w:val="1"/>
          <w:iCs w:val="1"/>
          <w:noProof w:val="0"/>
          <w:color w:val="auto"/>
          <w:sz w:val="22"/>
          <w:szCs w:val="22"/>
          <w:lang w:val="en-US"/>
        </w:rPr>
        <w:t>et al.</w:t>
      </w:r>
      <w:r w:rsidRPr="150DBCDF" w:rsidR="0C4CE353">
        <w:rPr>
          <w:rFonts w:ascii="Arial" w:hAnsi="Arial" w:eastAsia="Arial" w:cs="Arial"/>
          <w:b w:val="0"/>
          <w:bCs w:val="0"/>
          <w:noProof w:val="0"/>
          <w:color w:val="auto"/>
          <w:sz w:val="22"/>
          <w:szCs w:val="22"/>
          <w:lang w:val="en-US"/>
        </w:rPr>
        <w:t xml:space="preserve"> (2025) also reported that safe staffing configurations were associated with improved healthcare quality and greater organisational efficiency.</w:t>
      </w:r>
    </w:p>
    <w:p w:rsidR="20072C3C" w:rsidP="150DBCDF" w:rsidRDefault="20072C3C" w14:paraId="006C726A" w14:textId="45EAC3D6">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0C4CE353">
        <w:rPr>
          <w:rFonts w:ascii="Arial" w:hAnsi="Arial" w:eastAsia="Arial" w:cs="Arial"/>
          <w:b w:val="0"/>
          <w:bCs w:val="0"/>
          <w:noProof w:val="0"/>
          <w:color w:val="auto"/>
          <w:sz w:val="22"/>
          <w:szCs w:val="22"/>
          <w:lang w:val="en-US"/>
        </w:rPr>
        <w:t>Across the included studies, workforce sustainability strategies focused on leadership, organisational support, staff development, flexible working arrangements, safe staffing and workforce innovation.</w:t>
      </w:r>
    </w:p>
    <w:p w:rsidR="20072C3C" w:rsidP="150DBCDF" w:rsidRDefault="20072C3C" w14:paraId="62B7A4D1" w14:textId="3141E06A">
      <w:pPr>
        <w:bidi w:val="0"/>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20072C3C" w:rsidP="150DBCDF" w:rsidRDefault="20072C3C" w14:paraId="061AB8FC" w14:textId="0109B5F9">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4E79B639" w14:textId="29553F97">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6666E017" w14:textId="0B9AECD6">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3D70C654" w14:textId="7A0E0F2B">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69692E54" w14:textId="353A84F5">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3738EF09" w14:textId="6F914C37">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007835D8" w14:textId="58930B68">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46D93ADA" w14:textId="1D7BA391">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680F87CD" w14:textId="7AC648F2">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6DDFD8EE" w14:textId="5D234DA0">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05329B94" w14:textId="19E7E670">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6A285858" w14:textId="663BAD1B">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7420EDAF" w14:textId="386EC74E">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6F303E10" w14:textId="0272982F">
      <w:pPr>
        <w:pStyle w:val="Heading2"/>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75644C34">
        <w:rPr>
          <w:rFonts w:ascii="Arial" w:hAnsi="Arial" w:eastAsia="Arial" w:cs="Arial"/>
          <w:b w:val="1"/>
          <w:bCs w:val="1"/>
          <w:noProof w:val="0"/>
          <w:color w:val="auto"/>
          <w:sz w:val="22"/>
          <w:szCs w:val="22"/>
          <w:lang w:val="en-US"/>
        </w:rPr>
        <w:t>DISCUSSION</w:t>
      </w:r>
    </w:p>
    <w:p w:rsidR="20072C3C" w:rsidP="150DBCDF" w:rsidRDefault="20072C3C" w14:paraId="2D2AB210" w14:textId="2EBE045C">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This scoping review examined the evidence on NHS workforce shortages and their impact on healthcare delivery and patient care in the United Kingdom. The findings indicate that workforce shortages are caused by a combination of organisational, structural, and workforce-related factors. Across the reviewed studies, inadequate staffing consistently affected healthcare delivery, staff wellbeing, and patient safety, highlighting the importance of staff retention alongside recruitment.</w:t>
      </w:r>
    </w:p>
    <w:p w:rsidR="20072C3C" w:rsidP="150DBCDF" w:rsidRDefault="20072C3C" w14:paraId="1F79BC06" w14:textId="77B8BCA3">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A consistent finding across the literature is that burnout, excessive workload, poor organisational support, and limited career progression are key reasons healthcare professionals leave the NHS (Onyejesi et al., 2026; Wood et al., 2025; Alkan et al., 2024). These findings suggest that workforce shortages cannot be resolved through recruitment alone. Instead, healthcare organisations must improve working conditions, promote staff wellbeing, and provide opportunities for professional development to encourage long-term retention.</w:t>
      </w:r>
    </w:p>
    <w:p w:rsidR="20072C3C" w:rsidP="150DBCDF" w:rsidRDefault="20072C3C" w14:paraId="37F29647" w14:textId="1199D1A5">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Although the studies reached similar conclusions, they differed in focus and methodology. Onyejesi et al. (2026) examined workforce shortages across multiple healthcare professions, whereas Wood et al. (2025) focused on the mental health workforce and Alkan et al. (2024) explored organisational factors influencing recruitment and retention. These differences provide a broader understanding of the issue but also limit the generalisability of findings across all NHS settings.</w:t>
      </w:r>
    </w:p>
    <w:p w:rsidR="20072C3C" w:rsidP="150DBCDF" w:rsidRDefault="20072C3C" w14:paraId="131AE87C" w14:textId="533A7037">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The review also found clear evidence that workforce shortages negatively affect healthcare delivery. Griffiths et al. (2025) demonstrated that inadequate staffing was associated with poorer patient outcomes, increased adverse events, and reduced organisational efficiency. In contrast, Babelyuk et al. (2025) found that Medical Associate Professions can improve workforce capacity and service productivity when effectively integrated into multidisciplinary teams. However, these roles should complement rather than replace investment in recruiting and retaining qualified healthcare professionals.</w:t>
      </w:r>
    </w:p>
    <w:p w:rsidR="20072C3C" w:rsidP="150DBCDF" w:rsidRDefault="20072C3C" w14:paraId="3541B842" w14:textId="5B7BCC04">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The relationship between workforce shortages, staff wellbeing, and patient safety was another recurring theme. Al-Ghunaim et al. (2023) reported that burnout among UK surgeons was linked to poorer perceptions of patient safety and increased psychological distress. Similarly, Onyejesi et al. (2026) identified burnout as a major factor contributing to staff leaving the NHS. Together, these findings demonstrate a cycle in which staffing shortages increase workload and stress, leading to burnout, higher turnover, and further workforce shortages.</w:t>
      </w:r>
    </w:p>
    <w:p w:rsidR="20072C3C" w:rsidP="150DBCDF" w:rsidRDefault="20072C3C" w14:paraId="799511E3" w14:textId="4EF939D2">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Despite the consistency of the evidence, several research gaps remain. Most studies focused on nursing or specific professional groups and hospital settings, with limited evidence relating to primary care, community services, ambulance services, and social care. In addition, many studies were systematic reviews, while primary longitudinal research examining workforce interventions remains limited. Future research should evaluate long-term workforce strategies across different NHS sectors to strengthen the evidence base.</w:t>
      </w:r>
    </w:p>
    <w:p w:rsidR="20072C3C" w:rsidP="150DBCDF" w:rsidRDefault="20072C3C" w14:paraId="63BCD06E" w14:textId="08EA098A">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The findings have important implications for healthcare policy and practice. While the NHS Long Term Workforce Plan focuses on increasing recruitment, the evidence suggests that equal attention should be given to staff retention through supportive leadership, flexible working, professional development, and staff wellbeing initiatives. Maintaining safe staffing levels should be recognised as a key patient safety strategy, while workforce innovations should be implemented with appropriate governance and supervision.</w:t>
      </w:r>
    </w:p>
    <w:p w:rsidR="20072C3C" w:rsidP="150DBCDF" w:rsidRDefault="20072C3C" w14:paraId="27A911AF" w14:textId="0DD1E472">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75644C34">
        <w:rPr>
          <w:rFonts w:ascii="Arial" w:hAnsi="Arial" w:eastAsia="Arial" w:cs="Arial"/>
          <w:noProof w:val="0"/>
          <w:color w:val="auto"/>
          <w:sz w:val="22"/>
          <w:szCs w:val="22"/>
          <w:lang w:val="en-US"/>
        </w:rPr>
        <w:t>Overall, this review demonstrates that NHS workforce shortages represent a complex challenge requiring coordinated national and organisational action. Sustainable workforce planning must balance recruitment with effective retention strategies to improve healthcare delivery, staff wellbeing, and patient outcomes.</w:t>
      </w:r>
    </w:p>
    <w:p w:rsidR="20072C3C" w:rsidP="150DBCDF" w:rsidRDefault="20072C3C" w14:paraId="34EC7617" w14:textId="50D15485">
      <w:pPr>
        <w:spacing w:line="360" w:lineRule="auto"/>
        <w:jc w:val="both"/>
        <w:rPr>
          <w:rFonts w:ascii="Arial" w:hAnsi="Arial" w:eastAsia="Arial" w:cs="Arial" w:asciiTheme="minorAscii" w:hAnsiTheme="minorAscii" w:eastAsiaTheme="minorAscii" w:cstheme="minorAscii"/>
          <w:b w:val="0"/>
          <w:bCs w:val="0"/>
          <w:color w:val="auto"/>
          <w:sz w:val="22"/>
          <w:szCs w:val="22"/>
        </w:rPr>
      </w:pPr>
    </w:p>
    <w:p w:rsidR="20072C3C" w:rsidP="150DBCDF" w:rsidRDefault="20072C3C" w14:paraId="5F9FE035" w14:textId="6FC0D1BE">
      <w:pPr>
        <w:pStyle w:val="Heading1"/>
        <w:spacing w:before="322" w:beforeAutospacing="off" w:after="322" w:afterAutospacing="off" w:line="360" w:lineRule="auto"/>
        <w:jc w:val="both"/>
        <w:rPr>
          <w:rFonts w:ascii="Arial" w:hAnsi="Arial" w:eastAsia="Arial" w:cs="Arial"/>
          <w:b w:val="1"/>
          <w:bCs w:val="1"/>
          <w:noProof w:val="0"/>
          <w:color w:val="auto"/>
          <w:sz w:val="22"/>
          <w:szCs w:val="22"/>
          <w:lang w:val="en-US"/>
        </w:rPr>
      </w:pPr>
      <w:r w:rsidRPr="150DBCDF" w:rsidR="0D626A0F">
        <w:rPr>
          <w:rFonts w:ascii="Arial" w:hAnsi="Arial" w:eastAsia="Arial" w:cs="Arial"/>
          <w:b w:val="1"/>
          <w:bCs w:val="1"/>
          <w:noProof w:val="0"/>
          <w:color w:val="auto"/>
          <w:sz w:val="22"/>
          <w:szCs w:val="22"/>
          <w:lang w:val="en-US"/>
        </w:rPr>
        <w:t>CONCLUSION AND RECOMMENDATIONS</w:t>
      </w:r>
    </w:p>
    <w:p w:rsidR="20072C3C" w:rsidP="150DBCDF" w:rsidRDefault="20072C3C" w14:paraId="432308F9" w14:textId="019D9F04">
      <w:pPr>
        <w:pStyle w:val="Heading2"/>
        <w:spacing w:before="299" w:beforeAutospacing="off" w:after="299" w:afterAutospacing="off" w:line="360" w:lineRule="auto"/>
        <w:jc w:val="both"/>
        <w:rPr>
          <w:rFonts w:ascii="Arial" w:hAnsi="Arial" w:eastAsia="Arial" w:cs="Arial"/>
          <w:b w:val="1"/>
          <w:bCs w:val="1"/>
          <w:noProof w:val="0"/>
          <w:color w:val="auto"/>
          <w:sz w:val="22"/>
          <w:szCs w:val="22"/>
          <w:lang w:val="en-US"/>
        </w:rPr>
      </w:pPr>
      <w:r w:rsidRPr="150DBCDF" w:rsidR="0D626A0F">
        <w:rPr>
          <w:rFonts w:ascii="Arial" w:hAnsi="Arial" w:eastAsia="Arial" w:cs="Arial"/>
          <w:b w:val="1"/>
          <w:bCs w:val="1"/>
          <w:noProof w:val="0"/>
          <w:color w:val="auto"/>
          <w:sz w:val="22"/>
          <w:szCs w:val="22"/>
          <w:lang w:val="en-US"/>
        </w:rPr>
        <w:t>CONCLUSION</w:t>
      </w:r>
    </w:p>
    <w:p w:rsidR="20072C3C" w:rsidP="150DBCDF" w:rsidRDefault="20072C3C" w14:paraId="2CEC64B3" w14:textId="230E2D32">
      <w:pPr>
        <w:pStyle w:val="Heading2"/>
        <w:spacing w:before="180" w:beforeAutospacing="off" w:after="180" w:afterAutospacing="off" w:line="360" w:lineRule="auto"/>
        <w:jc w:val="left"/>
        <w:rPr>
          <w:rFonts w:ascii="Arial" w:hAnsi="Arial" w:eastAsia="Arial" w:cs="Arial"/>
          <w:b w:val="0"/>
          <w:bCs w:val="0"/>
          <w:noProof w:val="0"/>
          <w:color w:val="auto"/>
          <w:sz w:val="22"/>
          <w:szCs w:val="22"/>
          <w:lang w:val="en-US"/>
        </w:rPr>
      </w:pPr>
      <w:r w:rsidRPr="150DBCDF" w:rsidR="13EC190D">
        <w:rPr>
          <w:rFonts w:ascii="Arial" w:hAnsi="Arial" w:eastAsia="Arial" w:cs="Arial"/>
          <w:b w:val="0"/>
          <w:bCs w:val="0"/>
          <w:noProof w:val="0"/>
          <w:color w:val="auto"/>
          <w:sz w:val="22"/>
          <w:szCs w:val="22"/>
          <w:lang w:val="en-US"/>
        </w:rPr>
        <w:t>This scoping review examined peer-reviewed evidence on NHS workforce shortages and their impact on healthcare delivery and patient care in the United Kingdom. The findings show that shortages are driven by interconnected factors, including recruitment and retention difficulties, excessive workloads, staff burnout, limited career progression, and inadequate organisational support (Onyejesi, James and Kharicha, 2026; Alkan, Cushen-Brewster and Anyanwu, 2024). These factors have created significant challenges for the NHS, affecting healthcare professionals and the quality of care provided to patients.</w:t>
      </w:r>
      <w:r w:rsidRPr="150DBCDF" w:rsidR="13EC190D">
        <w:rPr>
          <w:rFonts w:ascii="Arial" w:hAnsi="Arial" w:eastAsia="Arial" w:cs="Arial"/>
          <w:b w:val="0"/>
          <w:bCs w:val="0"/>
          <w:noProof w:val="0"/>
          <w:color w:val="auto"/>
          <w:sz w:val="22"/>
          <w:szCs w:val="22"/>
          <w:lang w:val="en-US"/>
        </w:rPr>
        <w:t xml:space="preserve"> </w:t>
      </w:r>
    </w:p>
    <w:p w:rsidR="20072C3C" w:rsidP="150DBCDF" w:rsidRDefault="20072C3C" w14:paraId="04CB1BB8" w14:textId="3F285A4B">
      <w:pPr>
        <w:spacing w:before="120" w:beforeAutospacing="off" w:after="120" w:afterAutospacing="off" w:line="360" w:lineRule="auto"/>
        <w:jc w:val="left"/>
        <w:rPr>
          <w:rFonts w:ascii="Arial" w:hAnsi="Arial" w:eastAsia="Arial" w:cs="Arial"/>
          <w:b w:val="0"/>
          <w:bCs w:val="0"/>
          <w:noProof w:val="0"/>
          <w:color w:val="auto"/>
          <w:sz w:val="22"/>
          <w:szCs w:val="22"/>
          <w:lang w:val="en-US"/>
        </w:rPr>
      </w:pPr>
      <w:r w:rsidRPr="150DBCDF" w:rsidR="13EC190D">
        <w:rPr>
          <w:rFonts w:ascii="Arial" w:hAnsi="Arial" w:eastAsia="Arial" w:cs="Arial"/>
          <w:b w:val="0"/>
          <w:bCs w:val="0"/>
          <w:noProof w:val="0"/>
          <w:color w:val="auto"/>
          <w:sz w:val="22"/>
          <w:szCs w:val="22"/>
          <w:lang w:val="en-US"/>
        </w:rPr>
        <w:t xml:space="preserve">The review found that workforce shortages reduce healthcare capacity, increase patient waiting times, place greater pressure on existing staff, and contribute to poorer patient outcomes. High workload demands and burnout were repeatedly identified as major contributors to staff leaving the NHS, creating a cycle in which shortages further increase pressure on the remaining workforce. Studies also show that organisations investing in safe staffing levels, supportive leadership, flexible working arrangements, and professional development experience improvements in staff retention and patient outcomes (Griffiths </w:t>
      </w:r>
      <w:r w:rsidRPr="150DBCDF" w:rsidR="13EC190D">
        <w:rPr>
          <w:rFonts w:ascii="Arial" w:hAnsi="Arial" w:eastAsia="Arial" w:cs="Arial"/>
          <w:b w:val="0"/>
          <w:bCs w:val="0"/>
          <w:i w:val="1"/>
          <w:iCs w:val="1"/>
          <w:noProof w:val="0"/>
          <w:color w:val="auto"/>
          <w:sz w:val="22"/>
          <w:szCs w:val="22"/>
          <w:lang w:val="en-US"/>
        </w:rPr>
        <w:t>et al</w:t>
      </w:r>
      <w:r w:rsidRPr="150DBCDF" w:rsidR="13EC190D">
        <w:rPr>
          <w:rFonts w:ascii="Arial" w:hAnsi="Arial" w:eastAsia="Arial" w:cs="Arial"/>
          <w:b w:val="0"/>
          <w:bCs w:val="0"/>
          <w:noProof w:val="0"/>
          <w:color w:val="auto"/>
          <w:sz w:val="22"/>
          <w:szCs w:val="22"/>
          <w:lang w:val="en-US"/>
        </w:rPr>
        <w:t xml:space="preserve">., 2025; Wood </w:t>
      </w:r>
      <w:r w:rsidRPr="150DBCDF" w:rsidR="13EC190D">
        <w:rPr>
          <w:rFonts w:ascii="Arial" w:hAnsi="Arial" w:eastAsia="Arial" w:cs="Arial"/>
          <w:b w:val="0"/>
          <w:bCs w:val="0"/>
          <w:i w:val="1"/>
          <w:iCs w:val="1"/>
          <w:noProof w:val="0"/>
          <w:color w:val="auto"/>
          <w:sz w:val="22"/>
          <w:szCs w:val="22"/>
          <w:lang w:val="en-US"/>
        </w:rPr>
        <w:t>et al</w:t>
      </w:r>
      <w:r w:rsidRPr="150DBCDF" w:rsidR="13EC190D">
        <w:rPr>
          <w:rFonts w:ascii="Arial" w:hAnsi="Arial" w:eastAsia="Arial" w:cs="Arial"/>
          <w:b w:val="0"/>
          <w:bCs w:val="0"/>
          <w:noProof w:val="0"/>
          <w:color w:val="auto"/>
          <w:sz w:val="22"/>
          <w:szCs w:val="22"/>
          <w:lang w:val="en-US"/>
        </w:rPr>
        <w:t xml:space="preserve">., 2025). </w:t>
      </w:r>
    </w:p>
    <w:p w:rsidR="20072C3C" w:rsidP="150DBCDF" w:rsidRDefault="20072C3C" w14:paraId="640DC28C" w14:textId="264686AB">
      <w:pPr>
        <w:spacing w:before="120" w:beforeAutospacing="off" w:after="120" w:afterAutospacing="off" w:line="360" w:lineRule="auto"/>
        <w:jc w:val="left"/>
        <w:rPr>
          <w:rFonts w:ascii="Arial" w:hAnsi="Arial" w:eastAsia="Arial" w:cs="Arial"/>
          <w:b w:val="0"/>
          <w:bCs w:val="0"/>
          <w:noProof w:val="0"/>
          <w:color w:val="auto"/>
          <w:sz w:val="22"/>
          <w:szCs w:val="22"/>
          <w:lang w:val="en-US"/>
        </w:rPr>
      </w:pPr>
      <w:r w:rsidRPr="150DBCDF" w:rsidR="13EC190D">
        <w:rPr>
          <w:rFonts w:ascii="Arial" w:hAnsi="Arial" w:eastAsia="Arial" w:cs="Arial"/>
          <w:b w:val="0"/>
          <w:bCs w:val="0"/>
          <w:noProof w:val="0"/>
          <w:color w:val="auto"/>
          <w:sz w:val="22"/>
          <w:szCs w:val="22"/>
          <w:lang w:val="en-US"/>
        </w:rPr>
        <w:t xml:space="preserve">The review also highlighted that sustainable workforce planning requires more than increasing recruitment alone. Long-term improvements will depend upon creating supportive working environments that prioritise staff wellbeing, career development, and effective workforce management. Innovative workforce models, including the integration of Medical Associate Professions, may help improve workforce capacity when implemented alongside appropriate governance and multidisciplinary collaboration. </w:t>
      </w:r>
    </w:p>
    <w:p w:rsidR="20072C3C" w:rsidP="150DBCDF" w:rsidRDefault="20072C3C" w14:paraId="788B1537" w14:textId="3D5A71BE">
      <w:pPr>
        <w:spacing w:before="120" w:beforeAutospacing="off" w:after="120" w:afterAutospacing="off" w:line="360" w:lineRule="auto"/>
        <w:jc w:val="left"/>
        <w:rPr>
          <w:rFonts w:ascii="Arial" w:hAnsi="Arial" w:eastAsia="Arial" w:cs="Arial"/>
          <w:b w:val="0"/>
          <w:bCs w:val="0"/>
          <w:noProof w:val="0"/>
          <w:color w:val="auto"/>
          <w:sz w:val="22"/>
          <w:szCs w:val="22"/>
          <w:lang w:val="en-US"/>
        </w:rPr>
      </w:pPr>
      <w:r w:rsidRPr="150DBCDF" w:rsidR="13EC190D">
        <w:rPr>
          <w:rFonts w:ascii="Arial" w:hAnsi="Arial" w:eastAsia="Arial" w:cs="Arial"/>
          <w:b w:val="0"/>
          <w:bCs w:val="0"/>
          <w:noProof w:val="0"/>
          <w:color w:val="auto"/>
          <w:sz w:val="22"/>
          <w:szCs w:val="22"/>
          <w:lang w:val="en-US"/>
        </w:rPr>
        <w:t>Overall, the evidence indicates that addressing NHS workforce shortages is essential for improving healthcare delivery, maintaining patient safety, and ensuring the long-term sustainability of healthcare services across the United Kingdom.</w:t>
      </w:r>
    </w:p>
    <w:p w:rsidR="20072C3C" w:rsidP="150DBCDF" w:rsidRDefault="20072C3C" w14:paraId="2CFA5A06" w14:textId="5884E6A0">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20072C3C" w:rsidP="150DBCDF" w:rsidRDefault="20072C3C" w14:paraId="015D3B08" w14:textId="5EB453E2">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US"/>
        </w:rPr>
      </w:pPr>
      <w:r w:rsidRPr="150DBCDF" w:rsidR="61D8632A">
        <w:rPr>
          <w:rFonts w:ascii="Arial" w:hAnsi="Arial" w:eastAsia="Arial" w:cs="Arial"/>
          <w:b w:val="1"/>
          <w:bCs w:val="1"/>
          <w:noProof w:val="0"/>
          <w:color w:val="auto"/>
          <w:sz w:val="22"/>
          <w:szCs w:val="22"/>
          <w:lang w:val="en-US"/>
        </w:rPr>
        <w:t>Recommendations</w:t>
      </w:r>
    </w:p>
    <w:p w:rsidR="20072C3C" w:rsidP="150DBCDF" w:rsidRDefault="20072C3C" w14:paraId="239DB741" w14:textId="358F23DE">
      <w:pPr>
        <w:pStyle w:val="Heading4"/>
        <w:spacing w:before="319" w:beforeAutospacing="off" w:after="319" w:afterAutospacing="off" w:line="360" w:lineRule="auto"/>
        <w:jc w:val="both"/>
        <w:rPr>
          <w:rFonts w:ascii="Arial" w:hAnsi="Arial" w:eastAsia="Arial" w:cs="Arial"/>
          <w:b w:val="1"/>
          <w:bCs w:val="1"/>
          <w:noProof w:val="0"/>
          <w:color w:val="auto"/>
          <w:sz w:val="22"/>
          <w:szCs w:val="22"/>
          <w:lang w:val="en-US"/>
        </w:rPr>
      </w:pPr>
      <w:r w:rsidRPr="150DBCDF" w:rsidR="61D8632A">
        <w:rPr>
          <w:rFonts w:ascii="Arial" w:hAnsi="Arial" w:eastAsia="Arial" w:cs="Arial"/>
          <w:b w:val="1"/>
          <w:bCs w:val="1"/>
          <w:noProof w:val="0"/>
          <w:color w:val="auto"/>
          <w:sz w:val="22"/>
          <w:szCs w:val="22"/>
          <w:lang w:val="en-US"/>
        </w:rPr>
        <w:t>Future Research</w:t>
      </w:r>
    </w:p>
    <w:p w:rsidR="20072C3C" w:rsidP="150DBCDF" w:rsidRDefault="20072C3C" w14:paraId="0D25322C" w14:textId="3C2BB005">
      <w:pPr>
        <w:pStyle w:val="ListParagraph"/>
        <w:numPr>
          <w:ilvl w:val="0"/>
          <w:numId w:val="16"/>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Conduct longitudinal studies on the long-term effects of NHS workforce shortages.</w:t>
      </w:r>
    </w:p>
    <w:p w:rsidR="20072C3C" w:rsidP="150DBCDF" w:rsidRDefault="20072C3C" w14:paraId="46D68080" w14:textId="6D40D27C">
      <w:pPr>
        <w:pStyle w:val="ListParagraph"/>
        <w:numPr>
          <w:ilvl w:val="0"/>
          <w:numId w:val="16"/>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Investigate shortages in under-researched settings, including primary care, community services, ambulance services, and social care.</w:t>
      </w:r>
    </w:p>
    <w:p w:rsidR="20072C3C" w:rsidP="150DBCDF" w:rsidRDefault="20072C3C" w14:paraId="4671C423" w14:textId="1735ABEE">
      <w:pPr>
        <w:pStyle w:val="ListParagraph"/>
        <w:numPr>
          <w:ilvl w:val="0"/>
          <w:numId w:val="16"/>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Evaluate retention strategies such as flexible working, wellbeing initiatives, leadership development, and career progression.</w:t>
      </w:r>
    </w:p>
    <w:p w:rsidR="20072C3C" w:rsidP="150DBCDF" w:rsidRDefault="20072C3C" w14:paraId="7CB4820E" w14:textId="4C99274B">
      <w:pPr>
        <w:pStyle w:val="ListParagraph"/>
        <w:numPr>
          <w:ilvl w:val="0"/>
          <w:numId w:val="16"/>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Assess the long-term impact of workforce innovations, including Medical Associate Professions.</w:t>
      </w:r>
    </w:p>
    <w:p w:rsidR="20072C3C" w:rsidP="150DBCDF" w:rsidRDefault="20072C3C" w14:paraId="76108E9D" w14:textId="480EFFD9">
      <w:pPr>
        <w:pStyle w:val="ListParagraph"/>
        <w:numPr>
          <w:ilvl w:val="0"/>
          <w:numId w:val="16"/>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Explore the experiences of diverse healthcare professional groups to better understand workforce sustainability.</w:t>
      </w:r>
    </w:p>
    <w:p w:rsidR="20072C3C" w:rsidP="150DBCDF" w:rsidRDefault="20072C3C" w14:paraId="5916BB33" w14:textId="7924C8B3">
      <w:pPr>
        <w:pStyle w:val="Heading4"/>
        <w:spacing w:before="319" w:beforeAutospacing="off" w:after="319" w:afterAutospacing="off" w:line="360" w:lineRule="auto"/>
        <w:jc w:val="both"/>
        <w:rPr>
          <w:rFonts w:ascii="Arial" w:hAnsi="Arial" w:eastAsia="Arial" w:cs="Arial"/>
          <w:b w:val="1"/>
          <w:bCs w:val="1"/>
          <w:noProof w:val="0"/>
          <w:color w:val="auto"/>
          <w:sz w:val="22"/>
          <w:szCs w:val="22"/>
          <w:lang w:val="en-US"/>
        </w:rPr>
      </w:pPr>
      <w:r w:rsidRPr="150DBCDF" w:rsidR="61D8632A">
        <w:rPr>
          <w:rFonts w:ascii="Arial" w:hAnsi="Arial" w:eastAsia="Arial" w:cs="Arial"/>
          <w:b w:val="1"/>
          <w:bCs w:val="1"/>
          <w:noProof w:val="0"/>
          <w:color w:val="auto"/>
          <w:sz w:val="22"/>
          <w:szCs w:val="22"/>
          <w:lang w:val="en-US"/>
        </w:rPr>
        <w:t>Policy and Practice</w:t>
      </w:r>
    </w:p>
    <w:p w:rsidR="20072C3C" w:rsidP="150DBCDF" w:rsidRDefault="20072C3C" w14:paraId="7B06C82E" w14:textId="18EFE441">
      <w:pPr>
        <w:pStyle w:val="ListParagraph"/>
        <w:numPr>
          <w:ilvl w:val="0"/>
          <w:numId w:val="17"/>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Continue implementing and evaluating the NHS Long Term Workforce Plan, with a focus on recruitment and retention.</w:t>
      </w:r>
    </w:p>
    <w:p w:rsidR="20072C3C" w:rsidP="150DBCDF" w:rsidRDefault="20072C3C" w14:paraId="2758AC24" w14:textId="3DAB8AAF">
      <w:pPr>
        <w:pStyle w:val="ListParagraph"/>
        <w:numPr>
          <w:ilvl w:val="0"/>
          <w:numId w:val="17"/>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Prioritise staff wellbeing through psychological support, workload management, and work–life balance initiatives.</w:t>
      </w:r>
    </w:p>
    <w:p w:rsidR="20072C3C" w:rsidP="150DBCDF" w:rsidRDefault="20072C3C" w14:paraId="66181A26" w14:textId="73A45D6B">
      <w:pPr>
        <w:pStyle w:val="ListParagraph"/>
        <w:numPr>
          <w:ilvl w:val="0"/>
          <w:numId w:val="17"/>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Invest in leadership development and continuing professional development to improve engagement and retention.</w:t>
      </w:r>
    </w:p>
    <w:p w:rsidR="20072C3C" w:rsidP="150DBCDF" w:rsidRDefault="20072C3C" w14:paraId="7AEED6F0" w14:textId="4DD8E88F">
      <w:pPr>
        <w:pStyle w:val="ListParagraph"/>
        <w:numPr>
          <w:ilvl w:val="0"/>
          <w:numId w:val="17"/>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Maintain safe staffing levels to enhance patient safety and quality of care.</w:t>
      </w:r>
    </w:p>
    <w:p w:rsidR="20072C3C" w:rsidP="150DBCDF" w:rsidRDefault="20072C3C" w14:paraId="002FB8E2" w14:textId="128640D4">
      <w:pPr>
        <w:pStyle w:val="ListParagraph"/>
        <w:numPr>
          <w:ilvl w:val="0"/>
          <w:numId w:val="17"/>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Strengthen multidisciplinary workforce models with appropriate governance and supervision.</w:t>
      </w:r>
    </w:p>
    <w:p w:rsidR="20072C3C" w:rsidP="150DBCDF" w:rsidRDefault="20072C3C" w14:paraId="0319C6FE" w14:textId="745B2651">
      <w:pPr>
        <w:pStyle w:val="ListParagraph"/>
        <w:numPr>
          <w:ilvl w:val="0"/>
          <w:numId w:val="17"/>
        </w:num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Improve collaboration between NHS organisations, education providers, and policymakers to support effective workforce planning.</w:t>
      </w:r>
    </w:p>
    <w:p w:rsidR="20072C3C" w:rsidP="150DBCDF" w:rsidRDefault="20072C3C" w14:paraId="0893F97D" w14:textId="5E1A9DC7">
      <w:pPr>
        <w:spacing w:before="240" w:beforeAutospacing="off" w:after="240" w:afterAutospacing="off" w:line="360" w:lineRule="auto"/>
        <w:jc w:val="both"/>
        <w:rPr>
          <w:rFonts w:ascii="Arial" w:hAnsi="Arial" w:eastAsia="Arial" w:cs="Arial"/>
          <w:noProof w:val="0"/>
          <w:color w:val="auto"/>
          <w:sz w:val="22"/>
          <w:szCs w:val="22"/>
          <w:lang w:val="en-US"/>
        </w:rPr>
      </w:pPr>
      <w:r w:rsidRPr="150DBCDF" w:rsidR="61D8632A">
        <w:rPr>
          <w:rFonts w:ascii="Arial" w:hAnsi="Arial" w:eastAsia="Arial" w:cs="Arial"/>
          <w:noProof w:val="0"/>
          <w:color w:val="auto"/>
          <w:sz w:val="22"/>
          <w:szCs w:val="22"/>
          <w:lang w:val="en-US"/>
        </w:rPr>
        <w:t>Implementing these recommendations could strengthen workforce sustainability, improve staff wellbeing, and enhance the quality and safety of patient care across the UK.</w:t>
      </w:r>
    </w:p>
    <w:p w:rsidR="20072C3C" w:rsidP="150DBCDF" w:rsidRDefault="20072C3C" w14:paraId="11927B84" w14:textId="45A9F3CE">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20072C3C" w:rsidP="150DBCDF" w:rsidRDefault="20072C3C" w14:paraId="531B5204" w14:textId="399B86B8">
      <w:pPr>
        <w:spacing w:before="240" w:beforeAutospacing="off" w:after="240" w:afterAutospacing="off" w:line="360" w:lineRule="auto"/>
        <w:jc w:val="both"/>
        <w:rPr>
          <w:rFonts w:ascii="Arial" w:hAnsi="Arial" w:eastAsia="Arial" w:cs="Arial"/>
          <w:b w:val="1"/>
          <w:bCs w:val="1"/>
          <w:noProof w:val="0"/>
          <w:color w:val="auto"/>
          <w:sz w:val="22"/>
          <w:szCs w:val="22"/>
          <w:lang w:val="en-US"/>
        </w:rPr>
      </w:pPr>
    </w:p>
    <w:p w:rsidR="20072C3C" w:rsidP="150DBCDF" w:rsidRDefault="20072C3C" w14:paraId="30D37D2A" w14:textId="43D443B1">
      <w:pPr>
        <w:spacing w:before="240" w:beforeAutospacing="off" w:after="240" w:afterAutospacing="off" w:line="360" w:lineRule="auto"/>
        <w:jc w:val="both"/>
        <w:rPr>
          <w:rFonts w:ascii="Arial" w:hAnsi="Arial" w:eastAsia="Arial" w:cs="Arial"/>
          <w:b w:val="1"/>
          <w:bCs w:val="1"/>
          <w:noProof w:val="0"/>
          <w:color w:val="auto"/>
          <w:sz w:val="22"/>
          <w:szCs w:val="22"/>
          <w:lang w:val="en-US"/>
        </w:rPr>
      </w:pPr>
      <w:r w:rsidRPr="150DBCDF" w:rsidR="66DF53CE">
        <w:rPr>
          <w:rFonts w:ascii="Arial" w:hAnsi="Arial" w:eastAsia="Arial" w:cs="Arial"/>
          <w:b w:val="1"/>
          <w:bCs w:val="1"/>
          <w:noProof w:val="0"/>
          <w:color w:val="auto"/>
          <w:sz w:val="22"/>
          <w:szCs w:val="22"/>
          <w:lang w:val="en-US"/>
        </w:rPr>
        <w:t>REFERENCE</w:t>
      </w:r>
    </w:p>
    <w:p w:rsidR="20072C3C" w:rsidP="150DBCDF" w:rsidRDefault="20072C3C" w14:paraId="4CF90DC0" w14:textId="7DECFD65">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Aiken, L.H., Sloane, D.M., Bruyneel, L., Van den Heede, K., Griffiths, P., Busse, R., Diomidous, M., Kinnunen, J., Kozka, M., Lesaffre, E. and Sermeus, W. (2014) 'Nurse staffing and education and hospital mortality in nine European countries: A retrospective observational study', </w:t>
      </w:r>
      <w:r w:rsidRPr="150DBCDF" w:rsidR="66DF53CE">
        <w:rPr>
          <w:rFonts w:ascii="Arial" w:hAnsi="Arial" w:eastAsia="Arial" w:cs="Arial"/>
          <w:b w:val="0"/>
          <w:bCs w:val="0"/>
          <w:i w:val="1"/>
          <w:iCs w:val="1"/>
          <w:noProof w:val="0"/>
          <w:color w:val="auto"/>
          <w:sz w:val="22"/>
          <w:szCs w:val="22"/>
          <w:lang w:val="en-US"/>
        </w:rPr>
        <w:t>The Lancet</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383</w:t>
      </w:r>
      <w:r w:rsidRPr="150DBCDF" w:rsidR="66DF53CE">
        <w:rPr>
          <w:rFonts w:ascii="Arial" w:hAnsi="Arial" w:eastAsia="Arial" w:cs="Arial"/>
          <w:b w:val="0"/>
          <w:bCs w:val="0"/>
          <w:noProof w:val="0"/>
          <w:color w:val="auto"/>
          <w:sz w:val="22"/>
          <w:szCs w:val="22"/>
          <w:lang w:val="en-US"/>
        </w:rPr>
        <w:t>(9931), pp. 1824–1830.</w:t>
      </w:r>
    </w:p>
    <w:p w:rsidR="20072C3C" w:rsidP="150DBCDF" w:rsidRDefault="20072C3C" w14:paraId="419B0D24" w14:textId="33CD7CEA">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Al-Ghunaim, T., Johnson, J., Biyani, C.S., Yiasemidou, M. and O'Connor, D.B. (2023) 'Burnout and patient safety perceptions among surgeons in the United Kingdom during the early phases of the COVID-19 pandemic: A two-wave survey', </w:t>
      </w:r>
      <w:r w:rsidRPr="150DBCDF" w:rsidR="66DF53CE">
        <w:rPr>
          <w:rFonts w:ascii="Arial" w:hAnsi="Arial" w:eastAsia="Arial" w:cs="Arial"/>
          <w:b w:val="0"/>
          <w:bCs w:val="0"/>
          <w:i w:val="1"/>
          <w:iCs w:val="1"/>
          <w:noProof w:val="0"/>
          <w:color w:val="auto"/>
          <w:sz w:val="22"/>
          <w:szCs w:val="22"/>
          <w:lang w:val="en-US"/>
        </w:rPr>
        <w:t>Journal of the Royal Society of Medicine</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116</w:t>
      </w:r>
      <w:r w:rsidRPr="150DBCDF" w:rsidR="66DF53CE">
        <w:rPr>
          <w:rFonts w:ascii="Arial" w:hAnsi="Arial" w:eastAsia="Arial" w:cs="Arial"/>
          <w:b w:val="0"/>
          <w:bCs w:val="0"/>
          <w:noProof w:val="0"/>
          <w:color w:val="auto"/>
          <w:sz w:val="22"/>
          <w:szCs w:val="22"/>
          <w:lang w:val="en-US"/>
        </w:rPr>
        <w:t>(6), pp. 223–232.</w:t>
      </w:r>
    </w:p>
    <w:p w:rsidR="20072C3C" w:rsidP="150DBCDF" w:rsidRDefault="20072C3C" w14:paraId="0B754751" w14:textId="3B1F75BD">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Alderwick, H. and Charlesworth, A. (2022) 'A long-term workforce plan for the English NHS', </w:t>
      </w:r>
      <w:r w:rsidRPr="150DBCDF" w:rsidR="66DF53CE">
        <w:rPr>
          <w:rFonts w:ascii="Arial" w:hAnsi="Arial" w:eastAsia="Arial" w:cs="Arial"/>
          <w:b w:val="0"/>
          <w:bCs w:val="0"/>
          <w:i w:val="1"/>
          <w:iCs w:val="1"/>
          <w:noProof w:val="0"/>
          <w:color w:val="auto"/>
          <w:sz w:val="22"/>
          <w:szCs w:val="22"/>
          <w:lang w:val="en-US"/>
        </w:rPr>
        <w:t>BMJ</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377</w:t>
      </w:r>
      <w:r w:rsidRPr="150DBCDF" w:rsidR="66DF53CE">
        <w:rPr>
          <w:rFonts w:ascii="Arial" w:hAnsi="Arial" w:eastAsia="Arial" w:cs="Arial"/>
          <w:b w:val="0"/>
          <w:bCs w:val="0"/>
          <w:noProof w:val="0"/>
          <w:color w:val="auto"/>
          <w:sz w:val="22"/>
          <w:szCs w:val="22"/>
          <w:lang w:val="en-US"/>
        </w:rPr>
        <w:t>, o1047.</w:t>
      </w:r>
    </w:p>
    <w:p w:rsidR="20072C3C" w:rsidP="150DBCDF" w:rsidRDefault="20072C3C" w14:paraId="6DE70E17" w14:textId="3FCD0A00">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Alkan, E., Cushen-Brewster, N. and Anyanwu, P. (2024) 'Organisational factors associated with healthcare workforce development, recruitment and retention in the United Kingdom: A systematic review', </w:t>
      </w:r>
      <w:r w:rsidRPr="150DBCDF" w:rsidR="66DF53CE">
        <w:rPr>
          <w:rFonts w:ascii="Arial" w:hAnsi="Arial" w:eastAsia="Arial" w:cs="Arial"/>
          <w:b w:val="0"/>
          <w:bCs w:val="0"/>
          <w:i w:val="1"/>
          <w:iCs w:val="1"/>
          <w:noProof w:val="0"/>
          <w:color w:val="auto"/>
          <w:sz w:val="22"/>
          <w:szCs w:val="22"/>
          <w:lang w:val="en-US"/>
        </w:rPr>
        <w:t>BMC Nursing</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23</w:t>
      </w:r>
      <w:r w:rsidRPr="150DBCDF" w:rsidR="66DF53CE">
        <w:rPr>
          <w:rFonts w:ascii="Arial" w:hAnsi="Arial" w:eastAsia="Arial" w:cs="Arial"/>
          <w:b w:val="0"/>
          <w:bCs w:val="0"/>
          <w:noProof w:val="0"/>
          <w:color w:val="auto"/>
          <w:sz w:val="22"/>
          <w:szCs w:val="22"/>
          <w:lang w:val="en-US"/>
        </w:rPr>
        <w:t>, Article 604.</w:t>
      </w:r>
    </w:p>
    <w:p w:rsidR="20072C3C" w:rsidP="150DBCDF" w:rsidRDefault="20072C3C" w14:paraId="2CB162E7" w14:textId="3FE274A8">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Arksey, H. and O'Malley, L. (2005) 'Scoping studies: Towards a methodological framework', </w:t>
      </w:r>
      <w:r w:rsidRPr="150DBCDF" w:rsidR="66DF53CE">
        <w:rPr>
          <w:rFonts w:ascii="Arial" w:hAnsi="Arial" w:eastAsia="Arial" w:cs="Arial"/>
          <w:b w:val="0"/>
          <w:bCs w:val="0"/>
          <w:i w:val="1"/>
          <w:iCs w:val="1"/>
          <w:noProof w:val="0"/>
          <w:color w:val="auto"/>
          <w:sz w:val="22"/>
          <w:szCs w:val="22"/>
          <w:lang w:val="en-US"/>
        </w:rPr>
        <w:t>International Journal of Social Research Methodology</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8</w:t>
      </w:r>
      <w:r w:rsidRPr="150DBCDF" w:rsidR="66DF53CE">
        <w:rPr>
          <w:rFonts w:ascii="Arial" w:hAnsi="Arial" w:eastAsia="Arial" w:cs="Arial"/>
          <w:b w:val="0"/>
          <w:bCs w:val="0"/>
          <w:noProof w:val="0"/>
          <w:color w:val="auto"/>
          <w:sz w:val="22"/>
          <w:szCs w:val="22"/>
          <w:lang w:val="en-US"/>
        </w:rPr>
        <w:t>(1), pp. 19–32.</w:t>
      </w:r>
    </w:p>
    <w:p w:rsidR="20072C3C" w:rsidP="150DBCDF" w:rsidRDefault="20072C3C" w14:paraId="73B1B7E6" w14:textId="5378F98F">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Aveyard, H. (2019) </w:t>
      </w:r>
      <w:r w:rsidRPr="150DBCDF" w:rsidR="66DF53CE">
        <w:rPr>
          <w:rFonts w:ascii="Arial" w:hAnsi="Arial" w:eastAsia="Arial" w:cs="Arial"/>
          <w:b w:val="0"/>
          <w:bCs w:val="0"/>
          <w:i w:val="1"/>
          <w:iCs w:val="1"/>
          <w:noProof w:val="0"/>
          <w:color w:val="auto"/>
          <w:sz w:val="22"/>
          <w:szCs w:val="22"/>
          <w:lang w:val="en-US"/>
        </w:rPr>
        <w:t>Doing a Literature Review in Health and Social Care: A Practical Guide</w:t>
      </w:r>
      <w:r w:rsidRPr="150DBCDF" w:rsidR="66DF53CE">
        <w:rPr>
          <w:rFonts w:ascii="Arial" w:hAnsi="Arial" w:eastAsia="Arial" w:cs="Arial"/>
          <w:b w:val="0"/>
          <w:bCs w:val="0"/>
          <w:noProof w:val="0"/>
          <w:color w:val="auto"/>
          <w:sz w:val="22"/>
          <w:szCs w:val="22"/>
          <w:lang w:val="en-US"/>
        </w:rPr>
        <w:t>. 4th edn. Maidenhead: Open University Press.</w:t>
      </w:r>
    </w:p>
    <w:p w:rsidR="20072C3C" w:rsidP="150DBCDF" w:rsidRDefault="20072C3C" w14:paraId="11A25C37" w14:textId="5F6483AB">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Babelyuk, D. </w:t>
      </w:r>
      <w:r w:rsidRPr="150DBCDF" w:rsidR="66DF53CE">
        <w:rPr>
          <w:rFonts w:ascii="Arial" w:hAnsi="Arial" w:eastAsia="Arial" w:cs="Arial"/>
          <w:b w:val="0"/>
          <w:bCs w:val="0"/>
          <w:noProof w:val="0"/>
          <w:color w:val="auto"/>
          <w:sz w:val="22"/>
          <w:szCs w:val="22"/>
          <w:lang w:val="en-US"/>
        </w:rPr>
        <w:t>et al.</w:t>
      </w:r>
      <w:r w:rsidRPr="150DBCDF" w:rsidR="66DF53CE">
        <w:rPr>
          <w:rFonts w:ascii="Arial" w:hAnsi="Arial" w:eastAsia="Arial" w:cs="Arial"/>
          <w:b w:val="0"/>
          <w:bCs w:val="0"/>
          <w:noProof w:val="0"/>
          <w:color w:val="auto"/>
          <w:sz w:val="22"/>
          <w:szCs w:val="22"/>
          <w:lang w:val="en-US"/>
        </w:rPr>
        <w:t xml:space="preserve"> (2025) 'The impact of Medical Associate Professions on productivity, quality of care, patient and healthcare workforce satisfaction: A systematic review', </w:t>
      </w:r>
      <w:r w:rsidRPr="150DBCDF" w:rsidR="66DF53CE">
        <w:rPr>
          <w:rFonts w:ascii="Arial" w:hAnsi="Arial" w:eastAsia="Arial" w:cs="Arial"/>
          <w:b w:val="0"/>
          <w:bCs w:val="0"/>
          <w:i w:val="1"/>
          <w:iCs w:val="1"/>
          <w:noProof w:val="0"/>
          <w:color w:val="auto"/>
          <w:sz w:val="22"/>
          <w:szCs w:val="22"/>
          <w:lang w:val="en-US"/>
        </w:rPr>
        <w:t>BMC Health Services Research</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25</w:t>
      </w:r>
      <w:r w:rsidRPr="150DBCDF" w:rsidR="66DF53CE">
        <w:rPr>
          <w:rFonts w:ascii="Arial" w:hAnsi="Arial" w:eastAsia="Arial" w:cs="Arial"/>
          <w:b w:val="0"/>
          <w:bCs w:val="0"/>
          <w:noProof w:val="0"/>
          <w:color w:val="auto"/>
          <w:sz w:val="22"/>
          <w:szCs w:val="22"/>
          <w:lang w:val="en-US"/>
        </w:rPr>
        <w:t>, Article 13626.</w:t>
      </w:r>
    </w:p>
    <w:p w:rsidR="20072C3C" w:rsidP="150DBCDF" w:rsidRDefault="20072C3C" w14:paraId="25A77EEC" w14:textId="49BBBF4F">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Ball, J.E., Griffiths, P., Rafferty, A.M., Lindqvist, R., Murrells, T. and Aiken, L.H. (2018) 'Post-operative mortality, missed care and nurse staffing in nine countries: A cross-sectional study', </w:t>
      </w:r>
      <w:r w:rsidRPr="150DBCDF" w:rsidR="66DF53CE">
        <w:rPr>
          <w:rFonts w:ascii="Arial" w:hAnsi="Arial" w:eastAsia="Arial" w:cs="Arial"/>
          <w:b w:val="0"/>
          <w:bCs w:val="0"/>
          <w:i w:val="1"/>
          <w:iCs w:val="1"/>
          <w:noProof w:val="0"/>
          <w:color w:val="auto"/>
          <w:sz w:val="22"/>
          <w:szCs w:val="22"/>
          <w:lang w:val="en-US"/>
        </w:rPr>
        <w:t>International Journal of Nursing Studies</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78</w:t>
      </w:r>
      <w:r w:rsidRPr="150DBCDF" w:rsidR="66DF53CE">
        <w:rPr>
          <w:rFonts w:ascii="Arial" w:hAnsi="Arial" w:eastAsia="Arial" w:cs="Arial"/>
          <w:b w:val="0"/>
          <w:bCs w:val="0"/>
          <w:noProof w:val="0"/>
          <w:color w:val="auto"/>
          <w:sz w:val="22"/>
          <w:szCs w:val="22"/>
          <w:lang w:val="en-US"/>
        </w:rPr>
        <w:t>, pp. 10–15.</w:t>
      </w:r>
    </w:p>
    <w:p w:rsidR="20072C3C" w:rsidP="150DBCDF" w:rsidRDefault="20072C3C" w14:paraId="260BC47F" w14:textId="36B45E9C">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Buchan, J., Charlesworth, A., Gershlick, B. and Seccombe, I. (2019) </w:t>
      </w:r>
      <w:r w:rsidRPr="150DBCDF" w:rsidR="66DF53CE">
        <w:rPr>
          <w:rFonts w:ascii="Arial" w:hAnsi="Arial" w:eastAsia="Arial" w:cs="Arial"/>
          <w:b w:val="0"/>
          <w:bCs w:val="0"/>
          <w:i w:val="1"/>
          <w:iCs w:val="1"/>
          <w:noProof w:val="0"/>
          <w:color w:val="auto"/>
          <w:sz w:val="22"/>
          <w:szCs w:val="22"/>
          <w:lang w:val="en-US"/>
        </w:rPr>
        <w:t>A Critical Moment: NHS Staffing Trends, Retention and Attrition</w:t>
      </w:r>
      <w:r w:rsidRPr="150DBCDF" w:rsidR="66DF53CE">
        <w:rPr>
          <w:rFonts w:ascii="Arial" w:hAnsi="Arial" w:eastAsia="Arial" w:cs="Arial"/>
          <w:b w:val="0"/>
          <w:bCs w:val="0"/>
          <w:noProof w:val="0"/>
          <w:color w:val="auto"/>
          <w:sz w:val="22"/>
          <w:szCs w:val="22"/>
          <w:lang w:val="en-US"/>
        </w:rPr>
        <w:t>. London: The Health Foundation.</w:t>
      </w:r>
    </w:p>
    <w:p w:rsidR="20072C3C" w:rsidP="150DBCDF" w:rsidRDefault="20072C3C" w14:paraId="5F8B4A9E" w14:textId="470B455A">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Griffiths, P. </w:t>
      </w:r>
      <w:r w:rsidRPr="150DBCDF" w:rsidR="66DF53CE">
        <w:rPr>
          <w:rFonts w:ascii="Arial" w:hAnsi="Arial" w:eastAsia="Arial" w:cs="Arial"/>
          <w:b w:val="0"/>
          <w:bCs w:val="0"/>
          <w:noProof w:val="0"/>
          <w:color w:val="auto"/>
          <w:sz w:val="22"/>
          <w:szCs w:val="22"/>
          <w:lang w:val="en-US"/>
        </w:rPr>
        <w:t>et al.</w:t>
      </w:r>
      <w:r w:rsidRPr="150DBCDF" w:rsidR="66DF53CE">
        <w:rPr>
          <w:rFonts w:ascii="Arial" w:hAnsi="Arial" w:eastAsia="Arial" w:cs="Arial"/>
          <w:b w:val="0"/>
          <w:bCs w:val="0"/>
          <w:noProof w:val="0"/>
          <w:color w:val="auto"/>
          <w:sz w:val="22"/>
          <w:szCs w:val="22"/>
          <w:lang w:val="en-US"/>
        </w:rPr>
        <w:t xml:space="preserve"> (2019) 'Nurse staffing, nursing assistants and hospital mortality: Retrospective longitudinal cohort study', </w:t>
      </w:r>
      <w:r w:rsidRPr="150DBCDF" w:rsidR="66DF53CE">
        <w:rPr>
          <w:rFonts w:ascii="Arial" w:hAnsi="Arial" w:eastAsia="Arial" w:cs="Arial"/>
          <w:b w:val="0"/>
          <w:bCs w:val="0"/>
          <w:i w:val="1"/>
          <w:iCs w:val="1"/>
          <w:noProof w:val="0"/>
          <w:color w:val="auto"/>
          <w:sz w:val="22"/>
          <w:szCs w:val="22"/>
          <w:lang w:val="en-US"/>
        </w:rPr>
        <w:t>BMJ Quality &amp; Safety</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28</w:t>
      </w:r>
      <w:r w:rsidRPr="150DBCDF" w:rsidR="66DF53CE">
        <w:rPr>
          <w:rFonts w:ascii="Arial" w:hAnsi="Arial" w:eastAsia="Arial" w:cs="Arial"/>
          <w:b w:val="0"/>
          <w:bCs w:val="0"/>
          <w:noProof w:val="0"/>
          <w:color w:val="auto"/>
          <w:sz w:val="22"/>
          <w:szCs w:val="22"/>
          <w:lang w:val="en-US"/>
        </w:rPr>
        <w:t>(8), pp. 609–617.</w:t>
      </w:r>
    </w:p>
    <w:p w:rsidR="20072C3C" w:rsidP="150DBCDF" w:rsidRDefault="20072C3C" w14:paraId="13ACAF05" w14:textId="04A9B2E7">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Griffiths, P. </w:t>
      </w:r>
      <w:r w:rsidRPr="150DBCDF" w:rsidR="66DF53CE">
        <w:rPr>
          <w:rFonts w:ascii="Arial" w:hAnsi="Arial" w:eastAsia="Arial" w:cs="Arial"/>
          <w:b w:val="0"/>
          <w:bCs w:val="0"/>
          <w:noProof w:val="0"/>
          <w:color w:val="auto"/>
          <w:sz w:val="22"/>
          <w:szCs w:val="22"/>
          <w:lang w:val="en-US"/>
        </w:rPr>
        <w:t>et al.</w:t>
      </w:r>
      <w:r w:rsidRPr="150DBCDF" w:rsidR="66DF53CE">
        <w:rPr>
          <w:rFonts w:ascii="Arial" w:hAnsi="Arial" w:eastAsia="Arial" w:cs="Arial"/>
          <w:b w:val="0"/>
          <w:bCs w:val="0"/>
          <w:noProof w:val="0"/>
          <w:color w:val="auto"/>
          <w:sz w:val="22"/>
          <w:szCs w:val="22"/>
          <w:lang w:val="en-US"/>
        </w:rPr>
        <w:t xml:space="preserve"> (2025) </w:t>
      </w:r>
      <w:r w:rsidRPr="150DBCDF" w:rsidR="66DF53CE">
        <w:rPr>
          <w:rFonts w:ascii="Arial" w:hAnsi="Arial" w:eastAsia="Arial" w:cs="Arial"/>
          <w:b w:val="0"/>
          <w:bCs w:val="0"/>
          <w:i w:val="1"/>
          <w:iCs w:val="1"/>
          <w:noProof w:val="0"/>
          <w:color w:val="auto"/>
          <w:sz w:val="22"/>
          <w:szCs w:val="22"/>
          <w:lang w:val="en-US"/>
        </w:rPr>
        <w:t>Consequences, Costs and Cost-effectiveness of Workforce Configurations in English Acute Hospitals</w:t>
      </w:r>
      <w:r w:rsidRPr="150DBCDF" w:rsidR="66DF53CE">
        <w:rPr>
          <w:rFonts w:ascii="Arial" w:hAnsi="Arial" w:eastAsia="Arial" w:cs="Arial"/>
          <w:b w:val="0"/>
          <w:bCs w:val="0"/>
          <w:noProof w:val="0"/>
          <w:color w:val="auto"/>
          <w:sz w:val="22"/>
          <w:szCs w:val="22"/>
          <w:lang w:val="en-US"/>
        </w:rPr>
        <w:t xml:space="preserve">. </w:t>
      </w:r>
      <w:r w:rsidRPr="150DBCDF" w:rsidR="288587CC">
        <w:rPr>
          <w:rFonts w:ascii="Arial" w:hAnsi="Arial" w:eastAsia="Arial" w:cs="Arial"/>
          <w:b w:val="0"/>
          <w:bCs w:val="0"/>
          <w:noProof w:val="0"/>
          <w:color w:val="auto"/>
          <w:sz w:val="22"/>
          <w:szCs w:val="22"/>
          <w:lang w:val="en-US"/>
        </w:rPr>
        <w:t>Health and Social Care Delivery Research</w:t>
      </w:r>
      <w:r w:rsidRPr="150DBCDF" w:rsidR="288587CC">
        <w:rPr>
          <w:rFonts w:ascii="Arial" w:hAnsi="Arial" w:eastAsia="Arial" w:cs="Arial"/>
          <w:b w:val="0"/>
          <w:bCs w:val="0"/>
          <w:noProof w:val="0"/>
          <w:color w:val="auto"/>
          <w:sz w:val="22"/>
          <w:szCs w:val="22"/>
          <w:lang w:val="en-US"/>
        </w:rPr>
        <w:t>. Southampton: NIHR.</w:t>
      </w:r>
    </w:p>
    <w:p w:rsidR="20072C3C" w:rsidP="150DBCDF" w:rsidRDefault="20072C3C" w14:paraId="102CCEC4" w14:textId="227ECEF5">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Great Britain (2022) </w:t>
      </w:r>
      <w:r w:rsidRPr="150DBCDF" w:rsidR="66DF53CE">
        <w:rPr>
          <w:rFonts w:ascii="Arial" w:hAnsi="Arial" w:eastAsia="Arial" w:cs="Arial"/>
          <w:b w:val="0"/>
          <w:bCs w:val="0"/>
          <w:i w:val="1"/>
          <w:iCs w:val="1"/>
          <w:noProof w:val="0"/>
          <w:color w:val="auto"/>
          <w:sz w:val="22"/>
          <w:szCs w:val="22"/>
          <w:lang w:val="en-US"/>
        </w:rPr>
        <w:t>Health and Care Act 2022</w:t>
      </w:r>
      <w:r w:rsidRPr="150DBCDF" w:rsidR="66DF53CE">
        <w:rPr>
          <w:rFonts w:ascii="Arial" w:hAnsi="Arial" w:eastAsia="Arial" w:cs="Arial"/>
          <w:b w:val="0"/>
          <w:bCs w:val="0"/>
          <w:noProof w:val="0"/>
          <w:color w:val="auto"/>
          <w:sz w:val="22"/>
          <w:szCs w:val="22"/>
          <w:lang w:val="en-US"/>
        </w:rPr>
        <w:t>. London: The Stationery Office.</w:t>
      </w:r>
    </w:p>
    <w:p w:rsidR="20072C3C" w:rsidP="150DBCDF" w:rsidRDefault="20072C3C" w14:paraId="2B35A7EA" w14:textId="6622CB35">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Health Foundation (2023) </w:t>
      </w:r>
      <w:r w:rsidRPr="150DBCDF" w:rsidR="66DF53CE">
        <w:rPr>
          <w:rFonts w:ascii="Arial" w:hAnsi="Arial" w:eastAsia="Arial" w:cs="Arial"/>
          <w:b w:val="0"/>
          <w:bCs w:val="0"/>
          <w:i w:val="1"/>
          <w:iCs w:val="1"/>
          <w:noProof w:val="0"/>
          <w:color w:val="auto"/>
          <w:sz w:val="22"/>
          <w:szCs w:val="22"/>
          <w:lang w:val="en-US"/>
        </w:rPr>
        <w:t>NHS Workforce Pressures: A Growing Challenge</w:t>
      </w:r>
      <w:r w:rsidRPr="150DBCDF" w:rsidR="66DF53CE">
        <w:rPr>
          <w:rFonts w:ascii="Arial" w:hAnsi="Arial" w:eastAsia="Arial" w:cs="Arial"/>
          <w:b w:val="0"/>
          <w:bCs w:val="0"/>
          <w:noProof w:val="0"/>
          <w:color w:val="auto"/>
          <w:sz w:val="22"/>
          <w:szCs w:val="22"/>
          <w:lang w:val="en-US"/>
        </w:rPr>
        <w:t>. London: The Health Foundation.</w:t>
      </w:r>
    </w:p>
    <w:p w:rsidR="20072C3C" w:rsidP="150DBCDF" w:rsidRDefault="20072C3C" w14:paraId="4C81942D" w14:textId="5264D3DD">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NHS England (2020) </w:t>
      </w:r>
      <w:r w:rsidRPr="150DBCDF" w:rsidR="66DF53CE">
        <w:rPr>
          <w:rFonts w:ascii="Arial" w:hAnsi="Arial" w:eastAsia="Arial" w:cs="Arial"/>
          <w:b w:val="0"/>
          <w:bCs w:val="0"/>
          <w:i w:val="1"/>
          <w:iCs w:val="1"/>
          <w:noProof w:val="0"/>
          <w:color w:val="auto"/>
          <w:sz w:val="22"/>
          <w:szCs w:val="22"/>
          <w:lang w:val="en-US"/>
        </w:rPr>
        <w:t>We Are the NHS: People Plan 2020/21</w:t>
      </w:r>
      <w:r w:rsidRPr="150DBCDF" w:rsidR="66DF53CE">
        <w:rPr>
          <w:rFonts w:ascii="Arial" w:hAnsi="Arial" w:eastAsia="Arial" w:cs="Arial"/>
          <w:b w:val="0"/>
          <w:bCs w:val="0"/>
          <w:noProof w:val="0"/>
          <w:color w:val="auto"/>
          <w:sz w:val="22"/>
          <w:szCs w:val="22"/>
          <w:lang w:val="en-US"/>
        </w:rPr>
        <w:t>. London: NHS England.</w:t>
      </w:r>
    </w:p>
    <w:p w:rsidR="20072C3C" w:rsidP="150DBCDF" w:rsidRDefault="20072C3C" w14:paraId="3FEE16E4" w14:textId="538822D6">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NHS England (2023) </w:t>
      </w:r>
      <w:r w:rsidRPr="150DBCDF" w:rsidR="66DF53CE">
        <w:rPr>
          <w:rFonts w:ascii="Arial" w:hAnsi="Arial" w:eastAsia="Arial" w:cs="Arial"/>
          <w:b w:val="0"/>
          <w:bCs w:val="0"/>
          <w:i w:val="1"/>
          <w:iCs w:val="1"/>
          <w:noProof w:val="0"/>
          <w:color w:val="auto"/>
          <w:sz w:val="22"/>
          <w:szCs w:val="22"/>
          <w:lang w:val="en-US"/>
        </w:rPr>
        <w:t>NHS Long Term Workforce Plan</w:t>
      </w:r>
      <w:r w:rsidRPr="150DBCDF" w:rsidR="66DF53CE">
        <w:rPr>
          <w:rFonts w:ascii="Arial" w:hAnsi="Arial" w:eastAsia="Arial" w:cs="Arial"/>
          <w:b w:val="0"/>
          <w:bCs w:val="0"/>
          <w:noProof w:val="0"/>
          <w:color w:val="auto"/>
          <w:sz w:val="22"/>
          <w:szCs w:val="22"/>
          <w:lang w:val="en-US"/>
        </w:rPr>
        <w:t>. London: NHS England.</w:t>
      </w:r>
    </w:p>
    <w:p w:rsidR="20072C3C" w:rsidP="150DBCDF" w:rsidRDefault="20072C3C" w14:paraId="01E92623" w14:textId="2F33C86E">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Onyejesi, C.R., James, T. and Kharicha, K. (2026) 'Understanding why health professionals are leaving the UK National Health Service (NHS): A systematic review and narrative synthesis', </w:t>
      </w:r>
      <w:r w:rsidRPr="150DBCDF" w:rsidR="66DF53CE">
        <w:rPr>
          <w:rFonts w:ascii="Arial" w:hAnsi="Arial" w:eastAsia="Arial" w:cs="Arial"/>
          <w:b w:val="0"/>
          <w:bCs w:val="0"/>
          <w:i w:val="1"/>
          <w:iCs w:val="1"/>
          <w:noProof w:val="0"/>
          <w:color w:val="auto"/>
          <w:sz w:val="22"/>
          <w:szCs w:val="22"/>
          <w:lang w:val="en-US"/>
        </w:rPr>
        <w:t>Journal of Health Services Research &amp; Policy</w:t>
      </w:r>
      <w:r w:rsidRPr="150DBCDF" w:rsidR="66DF53CE">
        <w:rPr>
          <w:rFonts w:ascii="Arial" w:hAnsi="Arial" w:eastAsia="Arial" w:cs="Arial"/>
          <w:b w:val="0"/>
          <w:bCs w:val="0"/>
          <w:noProof w:val="0"/>
          <w:color w:val="auto"/>
          <w:sz w:val="22"/>
          <w:szCs w:val="22"/>
          <w:lang w:val="en-US"/>
        </w:rPr>
        <w:t>.</w:t>
      </w:r>
    </w:p>
    <w:p w:rsidR="20072C3C" w:rsidP="150DBCDF" w:rsidRDefault="20072C3C" w14:paraId="60813FC3" w14:textId="64A4970C">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The King's Fund (2024) </w:t>
      </w:r>
      <w:r w:rsidRPr="150DBCDF" w:rsidR="66DF53CE">
        <w:rPr>
          <w:rFonts w:ascii="Arial" w:hAnsi="Arial" w:eastAsia="Arial" w:cs="Arial"/>
          <w:b w:val="0"/>
          <w:bCs w:val="0"/>
          <w:i w:val="1"/>
          <w:iCs w:val="1"/>
          <w:noProof w:val="0"/>
          <w:color w:val="auto"/>
          <w:sz w:val="22"/>
          <w:szCs w:val="22"/>
          <w:lang w:val="en-US"/>
        </w:rPr>
        <w:t>NHS Workforce in England</w:t>
      </w:r>
      <w:r w:rsidRPr="150DBCDF" w:rsidR="66DF53CE">
        <w:rPr>
          <w:rFonts w:ascii="Arial" w:hAnsi="Arial" w:eastAsia="Arial" w:cs="Arial"/>
          <w:b w:val="0"/>
          <w:bCs w:val="0"/>
          <w:noProof w:val="0"/>
          <w:color w:val="auto"/>
          <w:sz w:val="22"/>
          <w:szCs w:val="22"/>
          <w:lang w:val="en-US"/>
        </w:rPr>
        <w:t>. London: The King's Fund.</w:t>
      </w:r>
    </w:p>
    <w:p w:rsidR="20072C3C" w:rsidP="150DBCDF" w:rsidRDefault="20072C3C" w14:paraId="47E159D2" w14:textId="20F2E762">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West, M. and Coia, D. (2020) </w:t>
      </w:r>
      <w:r w:rsidRPr="150DBCDF" w:rsidR="66DF53CE">
        <w:rPr>
          <w:rFonts w:ascii="Arial" w:hAnsi="Arial" w:eastAsia="Arial" w:cs="Arial"/>
          <w:b w:val="0"/>
          <w:bCs w:val="0"/>
          <w:i w:val="1"/>
          <w:iCs w:val="1"/>
          <w:noProof w:val="0"/>
          <w:color w:val="auto"/>
          <w:sz w:val="22"/>
          <w:szCs w:val="22"/>
          <w:lang w:val="en-US"/>
        </w:rPr>
        <w:t>Caring for Doctors, Caring for Patients</w:t>
      </w:r>
      <w:r w:rsidRPr="150DBCDF" w:rsidR="66DF53CE">
        <w:rPr>
          <w:rFonts w:ascii="Arial" w:hAnsi="Arial" w:eastAsia="Arial" w:cs="Arial"/>
          <w:b w:val="0"/>
          <w:bCs w:val="0"/>
          <w:noProof w:val="0"/>
          <w:color w:val="auto"/>
          <w:sz w:val="22"/>
          <w:szCs w:val="22"/>
          <w:lang w:val="en-US"/>
        </w:rPr>
        <w:t>. London: General Medical Council.</w:t>
      </w:r>
    </w:p>
    <w:p w:rsidR="20072C3C" w:rsidP="150DBCDF" w:rsidRDefault="20072C3C" w14:paraId="72B62B49" w14:textId="3C6ADE0E">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Wood, E., Ohlsen, S., Long, J., Lumley, E., Senek, M. </w:t>
      </w:r>
      <w:r w:rsidRPr="150DBCDF" w:rsidR="66DF53CE">
        <w:rPr>
          <w:rFonts w:ascii="Arial" w:hAnsi="Arial" w:eastAsia="Arial" w:cs="Arial"/>
          <w:b w:val="0"/>
          <w:bCs w:val="0"/>
          <w:noProof w:val="0"/>
          <w:color w:val="auto"/>
          <w:sz w:val="22"/>
          <w:szCs w:val="22"/>
          <w:lang w:val="en-US"/>
        </w:rPr>
        <w:t>et al.</w:t>
      </w:r>
      <w:r w:rsidRPr="150DBCDF" w:rsidR="66DF53CE">
        <w:rPr>
          <w:rFonts w:ascii="Arial" w:hAnsi="Arial" w:eastAsia="Arial" w:cs="Arial"/>
          <w:b w:val="0"/>
          <w:bCs w:val="0"/>
          <w:noProof w:val="0"/>
          <w:color w:val="auto"/>
          <w:sz w:val="22"/>
          <w:szCs w:val="22"/>
          <w:lang w:val="en-US"/>
        </w:rPr>
        <w:t xml:space="preserve"> (2025) 'Realist evaluation of factors affecting the retention of the mental health workforce: Building a realist programme theory', </w:t>
      </w:r>
      <w:r w:rsidRPr="150DBCDF" w:rsidR="66DF53CE">
        <w:rPr>
          <w:rFonts w:ascii="Arial" w:hAnsi="Arial" w:eastAsia="Arial" w:cs="Arial"/>
          <w:b w:val="0"/>
          <w:bCs w:val="0"/>
          <w:i w:val="1"/>
          <w:iCs w:val="1"/>
          <w:noProof w:val="0"/>
          <w:color w:val="auto"/>
          <w:sz w:val="22"/>
          <w:szCs w:val="22"/>
          <w:lang w:val="en-US"/>
        </w:rPr>
        <w:t>BMJ Open</w:t>
      </w:r>
      <w:r w:rsidRPr="150DBCDF" w:rsidR="66DF53CE">
        <w:rPr>
          <w:rFonts w:ascii="Arial" w:hAnsi="Arial" w:eastAsia="Arial" w:cs="Arial"/>
          <w:b w:val="0"/>
          <w:bCs w:val="0"/>
          <w:noProof w:val="0"/>
          <w:color w:val="auto"/>
          <w:sz w:val="22"/>
          <w:szCs w:val="22"/>
          <w:lang w:val="en-US"/>
        </w:rPr>
        <w:t xml:space="preserve">, </w:t>
      </w:r>
      <w:r w:rsidRPr="150DBCDF" w:rsidR="66DF53CE">
        <w:rPr>
          <w:rFonts w:ascii="Arial" w:hAnsi="Arial" w:eastAsia="Arial" w:cs="Arial"/>
          <w:b w:val="0"/>
          <w:bCs w:val="0"/>
          <w:noProof w:val="0"/>
          <w:color w:val="auto"/>
          <w:sz w:val="22"/>
          <w:szCs w:val="22"/>
          <w:lang w:val="en-US"/>
        </w:rPr>
        <w:t>15</w:t>
      </w:r>
      <w:r w:rsidRPr="150DBCDF" w:rsidR="66DF53CE">
        <w:rPr>
          <w:rFonts w:ascii="Arial" w:hAnsi="Arial" w:eastAsia="Arial" w:cs="Arial"/>
          <w:b w:val="0"/>
          <w:bCs w:val="0"/>
          <w:noProof w:val="0"/>
          <w:color w:val="auto"/>
          <w:sz w:val="22"/>
          <w:szCs w:val="22"/>
          <w:lang w:val="en-US"/>
        </w:rPr>
        <w:t>(8), e102161.</w:t>
      </w:r>
    </w:p>
    <w:p w:rsidR="20072C3C" w:rsidP="150DBCDF" w:rsidRDefault="20072C3C" w14:paraId="786788EF" w14:textId="5495B5F1">
      <w:pPr>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150DBCDF" w:rsidR="66DF53CE">
        <w:rPr>
          <w:rFonts w:ascii="Arial" w:hAnsi="Arial" w:eastAsia="Arial" w:cs="Arial"/>
          <w:b w:val="0"/>
          <w:bCs w:val="0"/>
          <w:noProof w:val="0"/>
          <w:color w:val="auto"/>
          <w:sz w:val="22"/>
          <w:szCs w:val="22"/>
          <w:lang w:val="en-US"/>
        </w:rPr>
        <w:t xml:space="preserve">World Health Organization (2022) </w:t>
      </w:r>
      <w:r w:rsidRPr="150DBCDF" w:rsidR="66DF53CE">
        <w:rPr>
          <w:rFonts w:ascii="Arial" w:hAnsi="Arial" w:eastAsia="Arial" w:cs="Arial"/>
          <w:b w:val="0"/>
          <w:bCs w:val="0"/>
          <w:i w:val="1"/>
          <w:iCs w:val="1"/>
          <w:noProof w:val="0"/>
          <w:color w:val="auto"/>
          <w:sz w:val="22"/>
          <w:szCs w:val="22"/>
          <w:lang w:val="en-US"/>
        </w:rPr>
        <w:t>Health and Care Workforce in Europe: Time to Act</w:t>
      </w:r>
      <w:r w:rsidRPr="150DBCDF" w:rsidR="66DF53CE">
        <w:rPr>
          <w:rFonts w:ascii="Arial" w:hAnsi="Arial" w:eastAsia="Arial" w:cs="Arial"/>
          <w:b w:val="0"/>
          <w:bCs w:val="0"/>
          <w:noProof w:val="0"/>
          <w:color w:val="auto"/>
          <w:sz w:val="22"/>
          <w:szCs w:val="22"/>
          <w:lang w:val="en-US"/>
        </w:rPr>
        <w:t>. Copenhagen: WHO Regional Office for Europe.</w:t>
      </w:r>
    </w:p>
    <w:p w:rsidR="20072C3C" w:rsidP="150DBCDF" w:rsidRDefault="20072C3C" w14:paraId="71DC35B9" w14:textId="6BCB9917">
      <w:pPr>
        <w:spacing w:before="240" w:beforeAutospacing="off" w:after="240" w:afterAutospacing="off" w:line="360" w:lineRule="auto"/>
        <w:jc w:val="both"/>
        <w:rPr>
          <w:rFonts w:ascii="Arial" w:hAnsi="Arial" w:eastAsia="Arial" w:cs="Arial"/>
          <w:b w:val="0"/>
          <w:bCs w:val="0"/>
          <w:noProof w:val="0"/>
          <w:color w:val="auto"/>
          <w:sz w:val="22"/>
          <w:szCs w:val="22"/>
          <w:lang w:val="en-US"/>
        </w:rPr>
      </w:pPr>
    </w:p>
    <w:p w:rsidR="20072C3C" w:rsidP="150DBCDF" w:rsidRDefault="20072C3C" w14:paraId="056A3E9A" w14:textId="02BC3DC7">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15077B97" w14:textId="281755BF">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456F6C1D" w14:textId="433085C6">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02F88CFA" w14:textId="74A83ABE">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036A9B2A" w14:textId="4ACCC50D">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2316D35B" w14:textId="5D44B6CB">
      <w:pPr>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76553C98" w14:textId="3FD33432">
      <w:pPr>
        <w:pStyle w:val="Normal"/>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p w:rsidR="20072C3C" w:rsidP="150DBCDF" w:rsidRDefault="20072C3C" w14:paraId="61B9B530" w14:textId="05CB308B">
      <w:pPr>
        <w:pStyle w:val="Normal"/>
        <w:spacing w:line="360" w:lineRule="auto"/>
        <w:jc w:val="both"/>
        <w:rPr>
          <w:rFonts w:ascii="Arial" w:hAnsi="Arial" w:eastAsia="Arial" w:cs="Arial" w:asciiTheme="minorAscii" w:hAnsiTheme="minorAscii" w:eastAsiaTheme="minorAscii" w:cstheme="minorAscii"/>
          <w:b w:val="0"/>
          <w:bCs w:val="0"/>
          <w:color w:val="auto" w:themeColor="text1" w:themeTint="FF" w:themeShade="FF"/>
          <w:sz w:val="22"/>
          <w:szCs w:val="22"/>
        </w:rPr>
      </w:pPr>
    </w:p>
    <w:sectPr>
      <w:pgSz w:w="12240" w:h="15840" w:orient="portrait"/>
      <w:pgMar w:top="1440" w:right="1440" w:bottom="1440" w:left="1440" w:header="720" w:footer="720" w:gutter="0"/>
      <w:cols w:space="720"/>
      <w:docGrid w:linePitch="360"/>
      <w:headerReference w:type="default" r:id="Re8103e90332a462c"/>
      <w:footerReference w:type="default" r:id="Rd4f6e882c2134d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50DBCDF" w:rsidTr="150DBCDF" w14:paraId="2D3B1C9E">
      <w:trPr>
        <w:trHeight w:val="300"/>
      </w:trPr>
      <w:tc>
        <w:tcPr>
          <w:tcW w:w="3120" w:type="dxa"/>
          <w:tcMar/>
        </w:tcPr>
        <w:p w:rsidR="150DBCDF" w:rsidP="150DBCDF" w:rsidRDefault="150DBCDF" w14:paraId="0BB340BB" w14:textId="2F8150D7">
          <w:pPr>
            <w:pStyle w:val="Header"/>
            <w:bidi w:val="0"/>
            <w:ind w:left="-115"/>
            <w:jc w:val="left"/>
          </w:pPr>
        </w:p>
      </w:tc>
      <w:tc>
        <w:tcPr>
          <w:tcW w:w="3120" w:type="dxa"/>
          <w:tcMar/>
        </w:tcPr>
        <w:p w:rsidR="150DBCDF" w:rsidP="150DBCDF" w:rsidRDefault="150DBCDF" w14:paraId="1A8D098A" w14:textId="0500BB26">
          <w:pPr>
            <w:pStyle w:val="Header"/>
            <w:bidi w:val="0"/>
            <w:jc w:val="center"/>
          </w:pPr>
          <w:r>
            <w:fldChar w:fldCharType="begin"/>
          </w:r>
          <w:r>
            <w:instrText xml:space="preserve">PAGE</w:instrText>
          </w:r>
          <w:r>
            <w:fldChar w:fldCharType="separate"/>
          </w:r>
          <w:r>
            <w:fldChar w:fldCharType="end"/>
          </w:r>
        </w:p>
      </w:tc>
      <w:tc>
        <w:tcPr>
          <w:tcW w:w="3120" w:type="dxa"/>
          <w:tcMar/>
        </w:tcPr>
        <w:p w:rsidR="150DBCDF" w:rsidP="150DBCDF" w:rsidRDefault="150DBCDF" w14:paraId="383C4BF0" w14:textId="33BB250A">
          <w:pPr>
            <w:pStyle w:val="Header"/>
            <w:bidi w:val="0"/>
            <w:ind w:right="-115"/>
            <w:jc w:val="right"/>
          </w:pPr>
        </w:p>
      </w:tc>
    </w:tr>
  </w:tbl>
  <w:p w:rsidR="150DBCDF" w:rsidP="150DBCDF" w:rsidRDefault="150DBCDF" w14:paraId="333042C0" w14:textId="729412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50DBCDF" w:rsidTr="150DBCDF" w14:paraId="59EB1D84">
      <w:trPr>
        <w:trHeight w:val="300"/>
      </w:trPr>
      <w:tc>
        <w:tcPr>
          <w:tcW w:w="3120" w:type="dxa"/>
          <w:tcMar/>
        </w:tcPr>
        <w:p w:rsidR="150DBCDF" w:rsidP="150DBCDF" w:rsidRDefault="150DBCDF" w14:paraId="5CE0939C" w14:textId="3CCFE035">
          <w:pPr>
            <w:pStyle w:val="Header"/>
            <w:bidi w:val="0"/>
            <w:ind w:left="-115"/>
            <w:jc w:val="left"/>
          </w:pPr>
        </w:p>
      </w:tc>
      <w:tc>
        <w:tcPr>
          <w:tcW w:w="3120" w:type="dxa"/>
          <w:tcMar/>
        </w:tcPr>
        <w:p w:rsidR="150DBCDF" w:rsidP="150DBCDF" w:rsidRDefault="150DBCDF" w14:paraId="72BD7686" w14:textId="207EE232">
          <w:pPr>
            <w:pStyle w:val="Header"/>
            <w:bidi w:val="0"/>
            <w:jc w:val="center"/>
          </w:pPr>
        </w:p>
      </w:tc>
      <w:tc>
        <w:tcPr>
          <w:tcW w:w="3120" w:type="dxa"/>
          <w:tcMar/>
        </w:tcPr>
        <w:p w:rsidR="150DBCDF" w:rsidP="150DBCDF" w:rsidRDefault="150DBCDF" w14:paraId="54FCE036" w14:textId="0073FDDD">
          <w:pPr>
            <w:pStyle w:val="Header"/>
            <w:bidi w:val="0"/>
            <w:ind w:right="-115"/>
            <w:jc w:val="right"/>
          </w:pPr>
        </w:p>
      </w:tc>
    </w:tr>
  </w:tbl>
  <w:p w:rsidR="150DBCDF" w:rsidP="150DBCDF" w:rsidRDefault="150DBCDF" w14:paraId="02772A06" w14:textId="56BBFA5E">
    <w:pPr>
      <w:pStyle w:val="Header"/>
      <w:bidi w:val="0"/>
    </w:pPr>
  </w:p>
</w:hdr>
</file>

<file path=word/numbering.xml><?xml version="1.0" encoding="utf-8"?>
<w:numbering xmlns:w="http://schemas.openxmlformats.org/wordprocessingml/2006/main">
  <w:abstractNum xmlns:w="http://schemas.openxmlformats.org/wordprocessingml/2006/main" w:abstractNumId="17">
    <w:nsid w:val="1a4008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a805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687c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dcd6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7c7e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e88e1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e14b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188a4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14f1f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75f8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ca3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c8196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2c3e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c9a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209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a6c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dde92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BA664F"/>
    <w:rsid w:val="00E7983C"/>
    <w:rsid w:val="00E7983C"/>
    <w:rsid w:val="01D3BAEF"/>
    <w:rsid w:val="02446FBB"/>
    <w:rsid w:val="05411067"/>
    <w:rsid w:val="05B15F06"/>
    <w:rsid w:val="05BC414E"/>
    <w:rsid w:val="05C2BB83"/>
    <w:rsid w:val="066E1DC8"/>
    <w:rsid w:val="088C2664"/>
    <w:rsid w:val="09408033"/>
    <w:rsid w:val="09560051"/>
    <w:rsid w:val="0A257EAC"/>
    <w:rsid w:val="0ADD2933"/>
    <w:rsid w:val="0BDD2566"/>
    <w:rsid w:val="0BFA95F1"/>
    <w:rsid w:val="0C4CE353"/>
    <w:rsid w:val="0CC4D361"/>
    <w:rsid w:val="0D626A0F"/>
    <w:rsid w:val="0D8D3F1C"/>
    <w:rsid w:val="0DCF5981"/>
    <w:rsid w:val="0F296E31"/>
    <w:rsid w:val="0F73A8C9"/>
    <w:rsid w:val="0F9C171D"/>
    <w:rsid w:val="0FC905D3"/>
    <w:rsid w:val="0FE66E32"/>
    <w:rsid w:val="106A698E"/>
    <w:rsid w:val="110D9F53"/>
    <w:rsid w:val="1195EA83"/>
    <w:rsid w:val="11CA3725"/>
    <w:rsid w:val="12A21897"/>
    <w:rsid w:val="13370DBD"/>
    <w:rsid w:val="13EC190D"/>
    <w:rsid w:val="14420CEB"/>
    <w:rsid w:val="147BE49B"/>
    <w:rsid w:val="14BF1417"/>
    <w:rsid w:val="150DBCDF"/>
    <w:rsid w:val="15415E46"/>
    <w:rsid w:val="15984320"/>
    <w:rsid w:val="159ACBC3"/>
    <w:rsid w:val="16DB137B"/>
    <w:rsid w:val="1745E366"/>
    <w:rsid w:val="184C8DC8"/>
    <w:rsid w:val="18617F59"/>
    <w:rsid w:val="1896456C"/>
    <w:rsid w:val="189A0C9E"/>
    <w:rsid w:val="18EC5D75"/>
    <w:rsid w:val="19371FAF"/>
    <w:rsid w:val="19A4EC12"/>
    <w:rsid w:val="1A071E2F"/>
    <w:rsid w:val="1AF02158"/>
    <w:rsid w:val="1CA6F9D6"/>
    <w:rsid w:val="1D5C355F"/>
    <w:rsid w:val="1DE69AB3"/>
    <w:rsid w:val="1EDBFE8E"/>
    <w:rsid w:val="1F3AE9C6"/>
    <w:rsid w:val="20072C3C"/>
    <w:rsid w:val="20B74644"/>
    <w:rsid w:val="20FA2326"/>
    <w:rsid w:val="22AA207F"/>
    <w:rsid w:val="24FC786C"/>
    <w:rsid w:val="26AA219A"/>
    <w:rsid w:val="26B491E1"/>
    <w:rsid w:val="26BA295E"/>
    <w:rsid w:val="272123A9"/>
    <w:rsid w:val="27F4E2E1"/>
    <w:rsid w:val="288587CC"/>
    <w:rsid w:val="289028C7"/>
    <w:rsid w:val="2A2820BA"/>
    <w:rsid w:val="2AD26057"/>
    <w:rsid w:val="2AE12CAB"/>
    <w:rsid w:val="2BDD6A16"/>
    <w:rsid w:val="2BDD6A16"/>
    <w:rsid w:val="2CCB70C0"/>
    <w:rsid w:val="2F1E6B7B"/>
    <w:rsid w:val="2FCC1BEB"/>
    <w:rsid w:val="308E45BB"/>
    <w:rsid w:val="3124254F"/>
    <w:rsid w:val="32AFD4D6"/>
    <w:rsid w:val="32D54E02"/>
    <w:rsid w:val="3319E925"/>
    <w:rsid w:val="336517F0"/>
    <w:rsid w:val="3417F0C1"/>
    <w:rsid w:val="3502D50E"/>
    <w:rsid w:val="356C2264"/>
    <w:rsid w:val="35C85B90"/>
    <w:rsid w:val="3636C1F6"/>
    <w:rsid w:val="364F9047"/>
    <w:rsid w:val="3775C8C3"/>
    <w:rsid w:val="377A3351"/>
    <w:rsid w:val="386FC4A8"/>
    <w:rsid w:val="38759FDA"/>
    <w:rsid w:val="3A513D1A"/>
    <w:rsid w:val="3C66C066"/>
    <w:rsid w:val="3F1CEE68"/>
    <w:rsid w:val="3FC28A7E"/>
    <w:rsid w:val="4148251E"/>
    <w:rsid w:val="41D70B17"/>
    <w:rsid w:val="41ECC0B3"/>
    <w:rsid w:val="426D1803"/>
    <w:rsid w:val="43EFC320"/>
    <w:rsid w:val="43F4AB87"/>
    <w:rsid w:val="4524961D"/>
    <w:rsid w:val="4678069B"/>
    <w:rsid w:val="46890518"/>
    <w:rsid w:val="49FEBCD2"/>
    <w:rsid w:val="4CBA664F"/>
    <w:rsid w:val="4D426A34"/>
    <w:rsid w:val="4DF6CE12"/>
    <w:rsid w:val="515BD415"/>
    <w:rsid w:val="5252FE7E"/>
    <w:rsid w:val="541ABD50"/>
    <w:rsid w:val="5590066D"/>
    <w:rsid w:val="569C4FDB"/>
    <w:rsid w:val="56C21116"/>
    <w:rsid w:val="58BAEDDC"/>
    <w:rsid w:val="591BAABC"/>
    <w:rsid w:val="5971A5D3"/>
    <w:rsid w:val="5BB26B95"/>
    <w:rsid w:val="5BBB9D7D"/>
    <w:rsid w:val="5C68C0A1"/>
    <w:rsid w:val="5CD9DA5A"/>
    <w:rsid w:val="5EB912E9"/>
    <w:rsid w:val="5EE3A9C1"/>
    <w:rsid w:val="5F109785"/>
    <w:rsid w:val="5F32DEE3"/>
    <w:rsid w:val="5FDE7F9F"/>
    <w:rsid w:val="60412687"/>
    <w:rsid w:val="606E67D5"/>
    <w:rsid w:val="61820503"/>
    <w:rsid w:val="61D8632A"/>
    <w:rsid w:val="6516161D"/>
    <w:rsid w:val="6697AC28"/>
    <w:rsid w:val="66DF53CE"/>
    <w:rsid w:val="684C24A4"/>
    <w:rsid w:val="68EBCCE7"/>
    <w:rsid w:val="6A2A56D6"/>
    <w:rsid w:val="6A2A56D6"/>
    <w:rsid w:val="6A2EAD26"/>
    <w:rsid w:val="6AA8D6A7"/>
    <w:rsid w:val="6AAE6573"/>
    <w:rsid w:val="6B36732F"/>
    <w:rsid w:val="6C935764"/>
    <w:rsid w:val="6CAB9C4D"/>
    <w:rsid w:val="6FF634AE"/>
    <w:rsid w:val="6FF634AE"/>
    <w:rsid w:val="6FF819CF"/>
    <w:rsid w:val="705BDAE9"/>
    <w:rsid w:val="72B29A47"/>
    <w:rsid w:val="7486969E"/>
    <w:rsid w:val="75644C34"/>
    <w:rsid w:val="75782E36"/>
    <w:rsid w:val="77485A24"/>
    <w:rsid w:val="78A2F5AA"/>
    <w:rsid w:val="78CC3FB3"/>
    <w:rsid w:val="790DDAB2"/>
    <w:rsid w:val="791AEC95"/>
    <w:rsid w:val="7997700B"/>
    <w:rsid w:val="79B00341"/>
    <w:rsid w:val="79B7DDD3"/>
    <w:rsid w:val="7B589E1B"/>
    <w:rsid w:val="7CDA4141"/>
    <w:rsid w:val="7D97F294"/>
    <w:rsid w:val="7E070C96"/>
    <w:rsid w:val="7E070C96"/>
    <w:rsid w:val="7E4A4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0DBB9"/>
  <w15:chartTrackingRefBased/>
  <w15:docId w15:val="{50604F8F-4E22-47C1-9544-1CD40CC999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0072C3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0072C3C"/>
    <w:pPr>
      <w:spacing/>
      <w:ind w:left="720"/>
      <w:contextualSpacing/>
    </w:pPr>
  </w:style>
  <w:style w:type="paragraph" w:styleId="Heading2">
    <w:uiPriority w:val="9"/>
    <w:name w:val="heading 2"/>
    <w:basedOn w:val="Normal"/>
    <w:next w:val="Normal"/>
    <w:unhideWhenUsed/>
    <w:qFormat/>
    <w:rsid w:val="20072C3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0072C3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150DBCD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150DBCDF"/>
    <w:rPr>
      <w:color w:val="467886"/>
      <w:u w:val="single"/>
    </w:rPr>
  </w:style>
  <w:style w:type="paragraph" w:styleId="TOC1">
    <w:uiPriority w:val="39"/>
    <w:name w:val="toc 1"/>
    <w:basedOn w:val="Normal"/>
    <w:next w:val="Normal"/>
    <w:unhideWhenUsed/>
    <w:rsid w:val="150DBCDF"/>
    <w:pPr>
      <w:spacing w:after="100"/>
    </w:pPr>
  </w:style>
  <w:style w:type="paragraph" w:styleId="TOC2">
    <w:uiPriority w:val="39"/>
    <w:name w:val="toc 2"/>
    <w:basedOn w:val="Normal"/>
    <w:next w:val="Normal"/>
    <w:unhideWhenUsed/>
    <w:rsid w:val="150DBCDF"/>
    <w:pPr>
      <w:spacing w:after="100"/>
      <w:ind w:left="220"/>
    </w:pPr>
  </w:style>
  <w:style w:type="paragraph" w:styleId="TOC3">
    <w:uiPriority w:val="39"/>
    <w:name w:val="toc 3"/>
    <w:basedOn w:val="Normal"/>
    <w:next w:val="Normal"/>
    <w:unhideWhenUsed/>
    <w:rsid w:val="150DBCDF"/>
    <w:pPr>
      <w:spacing w:after="100"/>
      <w:ind w:left="440"/>
    </w:pPr>
  </w:style>
  <w:style w:type="paragraph" w:styleId="TOC4">
    <w:uiPriority w:val="39"/>
    <w:name w:val="toc 4"/>
    <w:basedOn w:val="Normal"/>
    <w:next w:val="Normal"/>
    <w:unhideWhenUsed/>
    <w:rsid w:val="150DBCDF"/>
    <w:pPr>
      <w:spacing w:after="100"/>
      <w:ind w:left="660"/>
    </w:pPr>
  </w:style>
  <w:style w:type="paragraph" w:styleId="Header">
    <w:uiPriority w:val="99"/>
    <w:name w:val="header"/>
    <w:basedOn w:val="Normal"/>
    <w:unhideWhenUsed/>
    <w:rsid w:val="150DBCDF"/>
    <w:pPr>
      <w:tabs>
        <w:tab w:val="center" w:leader="none" w:pos="4680"/>
        <w:tab w:val="right" w:leader="none" w:pos="9360"/>
      </w:tabs>
      <w:spacing w:after="0" w:line="240" w:lineRule="auto"/>
    </w:pPr>
  </w:style>
  <w:style w:type="paragraph" w:styleId="Footer">
    <w:uiPriority w:val="99"/>
    <w:name w:val="footer"/>
    <w:basedOn w:val="Normal"/>
    <w:unhideWhenUsed/>
    <w:rsid w:val="150DBCD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eb75ae660bb4282" /><Relationship Type="http://schemas.openxmlformats.org/officeDocument/2006/relationships/header" Target="header.xml" Id="Re8103e90332a462c" /><Relationship Type="http://schemas.openxmlformats.org/officeDocument/2006/relationships/footer" Target="footer.xml" Id="Rd4f6e882c2134d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2026-07-05T11:37:50.7567570Z</dcterms:created>
  <dcterms:modified xsi:type="dcterms:W3CDTF">2026-07-19T16:30:08.8474888Z</dcterms:modified>
  <dc:creator>Febechukwu Miriam Iwuala (2409092)</dc:creator>
  <lastModifiedBy>Febechukwu Miriam Iwuala (2409092)</lastModifiedBy>
</coreProperties>
</file>