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DF2065" w14:textId="77777777" w:rsidR="00C23985" w:rsidRDefault="00C23985"/>
    <w:p w14:paraId="36ED55D5" w14:textId="77777777" w:rsidR="009E5D4B" w:rsidRPr="009E5D4B" w:rsidRDefault="009E5D4B" w:rsidP="009E5D4B">
      <w:pPr>
        <w:spacing w:after="0" w:line="720" w:lineRule="auto"/>
        <w:ind w:left="-1020" w:right="-150"/>
        <w:rPr>
          <w:rFonts w:asciiTheme="minorHAnsi" w:eastAsiaTheme="minorEastAsia" w:hAnsiTheme="minorHAnsi" w:cstheme="minorBidi"/>
          <w:sz w:val="24"/>
          <w:lang w:val="en-GB" w:eastAsia="ja-JP"/>
        </w:rPr>
      </w:pPr>
      <w:r w:rsidRPr="009E5D4B">
        <w:rPr>
          <w:rFonts w:eastAsia="Arial" w:cs="Arial"/>
          <w:b/>
          <w:bCs/>
          <w:color w:val="000000" w:themeColor="text1"/>
          <w:sz w:val="28"/>
          <w:szCs w:val="28"/>
          <w:lang w:val="en-GB" w:eastAsia="ja-JP"/>
        </w:rPr>
        <w:t>Student Name                     Bertha Amoah</w:t>
      </w:r>
      <w:r w:rsidRPr="009E5D4B">
        <w:rPr>
          <w:rFonts w:eastAsia="Arial" w:cs="Arial"/>
          <w:color w:val="000000" w:themeColor="text1"/>
          <w:sz w:val="28"/>
          <w:szCs w:val="28"/>
          <w:lang w:val="en-GB" w:eastAsia="ja-JP"/>
        </w:rPr>
        <w:t xml:space="preserve"> </w:t>
      </w:r>
    </w:p>
    <w:p w14:paraId="4A02ACF6" w14:textId="77777777" w:rsidR="009E5D4B" w:rsidRPr="009E5D4B" w:rsidRDefault="009E5D4B" w:rsidP="009E5D4B">
      <w:pPr>
        <w:spacing w:after="0" w:line="720" w:lineRule="auto"/>
        <w:ind w:left="-1020" w:right="-150"/>
        <w:rPr>
          <w:rFonts w:asciiTheme="minorHAnsi" w:eastAsiaTheme="minorEastAsia" w:hAnsiTheme="minorHAnsi" w:cstheme="minorBidi"/>
          <w:sz w:val="24"/>
          <w:lang w:val="en-GB" w:eastAsia="ja-JP"/>
        </w:rPr>
      </w:pPr>
      <w:r w:rsidRPr="009E5D4B">
        <w:rPr>
          <w:rFonts w:eastAsia="Arial" w:cs="Arial"/>
          <w:b/>
          <w:bCs/>
          <w:color w:val="000000" w:themeColor="text1"/>
          <w:sz w:val="28"/>
          <w:szCs w:val="28"/>
          <w:lang w:val="en-GB" w:eastAsia="ja-JP"/>
        </w:rPr>
        <w:t xml:space="preserve"> Student Number                 2324071</w:t>
      </w:r>
      <w:r w:rsidRPr="009E5D4B">
        <w:rPr>
          <w:rFonts w:eastAsia="Arial" w:cs="Arial"/>
          <w:color w:val="000000" w:themeColor="text1"/>
          <w:sz w:val="28"/>
          <w:szCs w:val="28"/>
          <w:lang w:val="en-GB" w:eastAsia="ja-JP"/>
        </w:rPr>
        <w:t xml:space="preserve"> </w:t>
      </w:r>
    </w:p>
    <w:p w14:paraId="63B23860" w14:textId="77777777" w:rsidR="009E5D4B" w:rsidRPr="009E5D4B" w:rsidRDefault="009E5D4B" w:rsidP="009E5D4B">
      <w:pPr>
        <w:spacing w:after="0" w:line="720" w:lineRule="auto"/>
        <w:ind w:left="-1020" w:right="-150"/>
        <w:rPr>
          <w:rFonts w:asciiTheme="minorHAnsi" w:eastAsiaTheme="minorEastAsia" w:hAnsiTheme="minorHAnsi" w:cstheme="minorBidi"/>
          <w:sz w:val="24"/>
          <w:lang w:val="en-GB" w:eastAsia="ja-JP"/>
        </w:rPr>
      </w:pPr>
      <w:r w:rsidRPr="009E5D4B">
        <w:rPr>
          <w:rFonts w:eastAsia="Arial" w:cs="Arial"/>
          <w:b/>
          <w:bCs/>
          <w:color w:val="000000" w:themeColor="text1"/>
          <w:sz w:val="28"/>
          <w:szCs w:val="28"/>
          <w:lang w:val="en-GB" w:eastAsia="ja-JP"/>
        </w:rPr>
        <w:t xml:space="preserve"> Module Code                      BMHP5015</w:t>
      </w:r>
    </w:p>
    <w:p w14:paraId="4729A101" w14:textId="77777777" w:rsidR="009E5D4B" w:rsidRPr="009E5D4B" w:rsidRDefault="009E5D4B" w:rsidP="009E5D4B">
      <w:pPr>
        <w:spacing w:after="0" w:line="720" w:lineRule="auto"/>
        <w:ind w:left="-1020" w:right="-150"/>
        <w:rPr>
          <w:rFonts w:asciiTheme="minorHAnsi" w:eastAsiaTheme="minorEastAsia" w:hAnsiTheme="minorHAnsi" w:cstheme="minorBidi"/>
          <w:b/>
          <w:bCs/>
          <w:sz w:val="24"/>
          <w:lang w:val="en-GB" w:eastAsia="ja-JP"/>
        </w:rPr>
      </w:pPr>
      <w:r w:rsidRPr="009E5D4B">
        <w:rPr>
          <w:rFonts w:eastAsia="Arial" w:cs="Arial"/>
          <w:b/>
          <w:bCs/>
          <w:color w:val="000000" w:themeColor="text1"/>
          <w:sz w:val="28"/>
          <w:szCs w:val="28"/>
          <w:lang w:val="en-GB" w:eastAsia="ja-JP"/>
        </w:rPr>
        <w:t xml:space="preserve"> Module Name                     Changemakers: Building your personal Brand</w:t>
      </w:r>
    </w:p>
    <w:p w14:paraId="23126CF2" w14:textId="3FADE242" w:rsidR="009E5D4B" w:rsidRPr="009E5D4B" w:rsidRDefault="009E5D4B" w:rsidP="009E5D4B">
      <w:pPr>
        <w:spacing w:after="0" w:line="720" w:lineRule="auto"/>
        <w:ind w:left="-1020" w:right="-150"/>
        <w:rPr>
          <w:rFonts w:asciiTheme="minorHAnsi" w:eastAsiaTheme="minorEastAsia" w:hAnsiTheme="minorHAnsi" w:cstheme="minorBidi"/>
          <w:sz w:val="24"/>
          <w:lang w:val="en-GB" w:eastAsia="ja-JP"/>
        </w:rPr>
      </w:pPr>
      <w:r w:rsidRPr="009E5D4B">
        <w:rPr>
          <w:rFonts w:eastAsia="Arial" w:cs="Arial"/>
          <w:b/>
          <w:bCs/>
          <w:color w:val="000000" w:themeColor="text1"/>
          <w:sz w:val="28"/>
          <w:szCs w:val="28"/>
          <w:lang w:val="en-GB" w:eastAsia="ja-JP"/>
        </w:rPr>
        <w:t xml:space="preserve"> Assignment Title               Component </w:t>
      </w:r>
      <w:r w:rsidR="00A7525F">
        <w:rPr>
          <w:rFonts w:eastAsia="Arial" w:cs="Arial"/>
          <w:b/>
          <w:bCs/>
          <w:color w:val="000000" w:themeColor="text1"/>
          <w:sz w:val="28"/>
          <w:szCs w:val="28"/>
          <w:lang w:val="en-GB" w:eastAsia="ja-JP"/>
        </w:rPr>
        <w:t>2</w:t>
      </w:r>
      <w:r w:rsidRPr="009E5D4B">
        <w:rPr>
          <w:rFonts w:eastAsia="Arial" w:cs="Arial"/>
          <w:b/>
          <w:bCs/>
          <w:color w:val="000000" w:themeColor="text1"/>
          <w:sz w:val="28"/>
          <w:szCs w:val="28"/>
          <w:lang w:val="en-GB" w:eastAsia="ja-JP"/>
        </w:rPr>
        <w:t xml:space="preserve">: </w:t>
      </w:r>
      <w:r w:rsidR="00A7525F">
        <w:rPr>
          <w:rFonts w:eastAsia="Arial" w:cs="Arial"/>
          <w:b/>
          <w:bCs/>
          <w:color w:val="000000" w:themeColor="text1"/>
          <w:sz w:val="28"/>
          <w:szCs w:val="28"/>
          <w:lang w:val="en-GB" w:eastAsia="ja-JP"/>
        </w:rPr>
        <w:t>Assignment Report</w:t>
      </w:r>
    </w:p>
    <w:p w14:paraId="14EA41A1" w14:textId="77777777" w:rsidR="009E5D4B" w:rsidRPr="009E5D4B" w:rsidRDefault="009E5D4B" w:rsidP="009E5D4B">
      <w:pPr>
        <w:spacing w:after="0" w:line="720" w:lineRule="auto"/>
        <w:ind w:left="-1020" w:right="-150"/>
        <w:rPr>
          <w:rFonts w:asciiTheme="minorHAnsi" w:eastAsiaTheme="minorEastAsia" w:hAnsiTheme="minorHAnsi" w:cstheme="minorBidi"/>
          <w:sz w:val="24"/>
          <w:lang w:val="en-GB" w:eastAsia="ja-JP"/>
        </w:rPr>
      </w:pPr>
      <w:r w:rsidRPr="009E5D4B">
        <w:rPr>
          <w:rFonts w:eastAsia="Arial" w:cs="Arial"/>
          <w:b/>
          <w:bCs/>
          <w:color w:val="000000" w:themeColor="text1"/>
          <w:sz w:val="28"/>
          <w:szCs w:val="28"/>
          <w:lang w:val="en-GB" w:eastAsia="ja-JP"/>
        </w:rPr>
        <w:t xml:space="preserve"> Lecturer’s Name                 Danni Dunne</w:t>
      </w:r>
    </w:p>
    <w:p w14:paraId="79E47C6D" w14:textId="526C8B98" w:rsidR="009E5D4B" w:rsidRPr="009E5D4B" w:rsidRDefault="009E5D4B" w:rsidP="009E5D4B">
      <w:pPr>
        <w:spacing w:after="0" w:line="720" w:lineRule="auto"/>
        <w:ind w:left="-1020" w:right="-150"/>
        <w:rPr>
          <w:rFonts w:eastAsia="Arial" w:cs="Arial"/>
          <w:b/>
          <w:bCs/>
          <w:color w:val="000000" w:themeColor="text1"/>
          <w:sz w:val="28"/>
          <w:szCs w:val="28"/>
          <w:lang w:val="en-GB" w:eastAsia="ja-JP"/>
        </w:rPr>
      </w:pPr>
      <w:r w:rsidRPr="009E5D4B">
        <w:rPr>
          <w:rFonts w:eastAsia="Arial" w:cs="Arial"/>
          <w:b/>
          <w:bCs/>
          <w:color w:val="000000" w:themeColor="text1"/>
          <w:sz w:val="28"/>
          <w:szCs w:val="28"/>
          <w:lang w:val="en-GB" w:eastAsia="ja-JP"/>
        </w:rPr>
        <w:t xml:space="preserve"> Due Date                             </w:t>
      </w:r>
      <w:r w:rsidR="00A7525F">
        <w:rPr>
          <w:rFonts w:eastAsia="Arial" w:cs="Arial"/>
          <w:b/>
          <w:bCs/>
          <w:color w:val="000000" w:themeColor="text1"/>
          <w:sz w:val="28"/>
          <w:szCs w:val="28"/>
          <w:lang w:val="en-GB" w:eastAsia="ja-JP"/>
        </w:rPr>
        <w:t>25</w:t>
      </w:r>
      <w:r w:rsidRPr="009E5D4B">
        <w:rPr>
          <w:rFonts w:eastAsia="Arial" w:cs="Arial"/>
          <w:b/>
          <w:bCs/>
          <w:color w:val="000000" w:themeColor="text1"/>
          <w:sz w:val="28"/>
          <w:szCs w:val="28"/>
          <w:vertAlign w:val="superscript"/>
          <w:lang w:val="en-GB" w:eastAsia="ja-JP"/>
        </w:rPr>
        <w:t>th</w:t>
      </w:r>
      <w:r w:rsidRPr="009E5D4B">
        <w:rPr>
          <w:rFonts w:eastAsia="Arial" w:cs="Arial"/>
          <w:b/>
          <w:bCs/>
          <w:color w:val="000000" w:themeColor="text1"/>
          <w:sz w:val="28"/>
          <w:szCs w:val="28"/>
          <w:lang w:val="en-GB" w:eastAsia="ja-JP"/>
        </w:rPr>
        <w:t xml:space="preserve"> November 2025</w:t>
      </w:r>
    </w:p>
    <w:p w14:paraId="7E571505" w14:textId="77777777" w:rsidR="00FD3B41" w:rsidRDefault="00FD3B41"/>
    <w:p w14:paraId="2083F91E" w14:textId="77777777" w:rsidR="00FD3B41" w:rsidRDefault="00FD3B41"/>
    <w:p w14:paraId="3B8A5BED" w14:textId="77777777" w:rsidR="00FD3B41" w:rsidRDefault="00FD3B41"/>
    <w:p w14:paraId="73445D27" w14:textId="77777777" w:rsidR="00FD3B41" w:rsidRDefault="00FD3B41"/>
    <w:p w14:paraId="1859B6D9" w14:textId="77777777" w:rsidR="00FD3B41" w:rsidRDefault="00FD3B41"/>
    <w:p w14:paraId="54228C31" w14:textId="77777777" w:rsidR="00FD3B41" w:rsidRDefault="00FD3B41"/>
    <w:p w14:paraId="74378A04" w14:textId="77777777" w:rsidR="00FD3B41" w:rsidRDefault="00FD3B41"/>
    <w:p w14:paraId="28EE1D81" w14:textId="77777777" w:rsidR="00FD3B41" w:rsidRDefault="00FD3B41"/>
    <w:p w14:paraId="4A4D1121" w14:textId="77777777" w:rsidR="00FD3B41" w:rsidRDefault="00FD3B41"/>
    <w:p w14:paraId="7E731E97" w14:textId="77777777" w:rsidR="00FD3B41" w:rsidRDefault="00FD3B41"/>
    <w:p w14:paraId="160AF6ED" w14:textId="77777777" w:rsidR="00FD3B41" w:rsidRDefault="00FD3B41"/>
    <w:sdt>
      <w:sdtPr>
        <w:id w:val="1158500792"/>
        <w:docPartObj>
          <w:docPartGallery w:val="Table of Contents"/>
          <w:docPartUnique/>
        </w:docPartObj>
      </w:sdtPr>
      <w:sdtContent>
        <w:p w14:paraId="34B8E3A6" w14:textId="77777777" w:rsidR="00FD3B41" w:rsidRDefault="00FD3B41" w:rsidP="00FD3B41">
          <w:pPr>
            <w:jc w:val="center"/>
            <w:rPr>
              <w:b/>
              <w:bCs/>
              <w:sz w:val="28"/>
              <w:szCs w:val="28"/>
            </w:rPr>
          </w:pPr>
          <w:r>
            <w:rPr>
              <w:b/>
              <w:bCs/>
              <w:sz w:val="28"/>
              <w:szCs w:val="28"/>
            </w:rPr>
            <w:t>TABLE OF CONTENTS</w:t>
          </w:r>
        </w:p>
        <w:p w14:paraId="34022DC6"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r>
            <w:fldChar w:fldCharType="begin"/>
          </w:r>
          <w:r>
            <w:instrText xml:space="preserve"> TOC \o "1-3" \h \z \u </w:instrText>
          </w:r>
          <w:r>
            <w:fldChar w:fldCharType="separate"/>
          </w:r>
          <w:hyperlink r:id="rId7" w:anchor="_Toc209431303" w:history="1">
            <w:r>
              <w:rPr>
                <w:rStyle w:val="Hyperlink"/>
                <w:rFonts w:eastAsiaTheme="majorEastAsia"/>
                <w:noProof/>
                <w:lang w:val="en-GB"/>
              </w:rPr>
              <w:t>Introduction</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_Toc209431303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4</w:t>
            </w:r>
            <w:r>
              <w:rPr>
                <w:rStyle w:val="Hyperlink"/>
                <w:rFonts w:eastAsiaTheme="majorEastAsia"/>
                <w:noProof/>
                <w:webHidden/>
                <w:color w:val="auto"/>
              </w:rPr>
              <w:fldChar w:fldCharType="end"/>
            </w:r>
          </w:hyperlink>
        </w:p>
        <w:p w14:paraId="52A2CFEF"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8" w:anchor="_Toc209431304" w:history="1">
            <w:r>
              <w:rPr>
                <w:rStyle w:val="Hyperlink"/>
                <w:rFonts w:eastAsiaTheme="majorEastAsia"/>
                <w:noProof/>
                <w:lang w:val="en-GB"/>
              </w:rPr>
              <w:t>Job Advertisement</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_Toc209431304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5</w:t>
            </w:r>
            <w:r>
              <w:rPr>
                <w:rStyle w:val="Hyperlink"/>
                <w:rFonts w:eastAsiaTheme="majorEastAsia"/>
                <w:noProof/>
                <w:webHidden/>
                <w:color w:val="auto"/>
              </w:rPr>
              <w:fldChar w:fldCharType="end"/>
            </w:r>
          </w:hyperlink>
        </w:p>
        <w:p w14:paraId="4B0FD6D8"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9" w:anchor="_Toc209431305" w:history="1">
            <w:r>
              <w:rPr>
                <w:rStyle w:val="Hyperlink"/>
                <w:rFonts w:eastAsiaTheme="majorEastAsia"/>
                <w:noProof/>
                <w:lang w:val="en-GB"/>
              </w:rPr>
              <w:t>Job Role: Employability Skills</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_Toc209431305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7</w:t>
            </w:r>
            <w:r>
              <w:rPr>
                <w:rStyle w:val="Hyperlink"/>
                <w:rFonts w:eastAsiaTheme="majorEastAsia"/>
                <w:noProof/>
                <w:webHidden/>
                <w:color w:val="auto"/>
              </w:rPr>
              <w:fldChar w:fldCharType="end"/>
            </w:r>
          </w:hyperlink>
        </w:p>
        <w:p w14:paraId="39B20033"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10" w:anchor="_Toc209431306" w:history="1">
            <w:r>
              <w:rPr>
                <w:rStyle w:val="Hyperlink"/>
                <w:rFonts w:eastAsiaTheme="majorEastAsia"/>
                <w:noProof/>
                <w:lang w:val="en-GB"/>
              </w:rPr>
              <w:t>Evaluation of Own Skills</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_Toc209431306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9</w:t>
            </w:r>
            <w:r>
              <w:rPr>
                <w:rStyle w:val="Hyperlink"/>
                <w:rFonts w:eastAsiaTheme="majorEastAsia"/>
                <w:noProof/>
                <w:webHidden/>
                <w:color w:val="auto"/>
              </w:rPr>
              <w:fldChar w:fldCharType="end"/>
            </w:r>
          </w:hyperlink>
        </w:p>
        <w:p w14:paraId="7CBE754C"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11" w:anchor="_Toc209431307" w:history="1">
            <w:r>
              <w:rPr>
                <w:rStyle w:val="Hyperlink"/>
                <w:rFonts w:eastAsiaTheme="majorEastAsia"/>
                <w:noProof/>
              </w:rPr>
              <w:t>Create an Action Plan and Timeline</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_Toc209431307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11</w:t>
            </w:r>
            <w:r>
              <w:rPr>
                <w:rStyle w:val="Hyperlink"/>
                <w:rFonts w:eastAsiaTheme="majorEastAsia"/>
                <w:noProof/>
                <w:webHidden/>
                <w:color w:val="auto"/>
              </w:rPr>
              <w:fldChar w:fldCharType="end"/>
            </w:r>
          </w:hyperlink>
        </w:p>
        <w:p w14:paraId="31A6DD78" w14:textId="77777777" w:rsidR="00FD3B41" w:rsidRDefault="00FD3B41" w:rsidP="00FD3B41">
          <w:pPr>
            <w:pStyle w:val="TOC2"/>
            <w:tabs>
              <w:tab w:val="right" w:leader="dot" w:pos="9016"/>
            </w:tabs>
            <w:rPr>
              <w:rFonts w:asciiTheme="minorHAnsi" w:eastAsiaTheme="minorEastAsia" w:hAnsiTheme="minorHAnsi" w:cstheme="minorBidi"/>
              <w:noProof/>
              <w:kern w:val="2"/>
              <w:sz w:val="24"/>
              <w:lang w:val="en-GB"/>
              <w14:ligatures w14:val="standardContextual"/>
            </w:rPr>
          </w:pPr>
          <w:hyperlink r:id="rId12" w:anchor="_Toc209431308" w:history="1">
            <w:r>
              <w:rPr>
                <w:rStyle w:val="Hyperlink"/>
                <w:rFonts w:eastAsiaTheme="majorEastAsia"/>
                <w:noProof/>
              </w:rPr>
              <w:t>Action Plan</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_Toc209431308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11</w:t>
            </w:r>
            <w:r>
              <w:rPr>
                <w:rStyle w:val="Hyperlink"/>
                <w:rFonts w:eastAsiaTheme="majorEastAsia"/>
                <w:noProof/>
                <w:webHidden/>
                <w:color w:val="auto"/>
              </w:rPr>
              <w:fldChar w:fldCharType="end"/>
            </w:r>
          </w:hyperlink>
        </w:p>
        <w:p w14:paraId="698B1DFB" w14:textId="77777777" w:rsidR="00FD3B41" w:rsidRDefault="00FD3B41" w:rsidP="00FD3B41">
          <w:pPr>
            <w:pStyle w:val="TOC2"/>
            <w:tabs>
              <w:tab w:val="right" w:leader="dot" w:pos="9016"/>
            </w:tabs>
            <w:rPr>
              <w:rFonts w:asciiTheme="minorHAnsi" w:eastAsiaTheme="minorEastAsia" w:hAnsiTheme="minorHAnsi" w:cstheme="minorBidi"/>
              <w:noProof/>
              <w:kern w:val="2"/>
              <w:sz w:val="24"/>
              <w:lang w:val="en-GB"/>
              <w14:ligatures w14:val="standardContextual"/>
            </w:rPr>
          </w:pPr>
          <w:hyperlink r:id="rId13" w:anchor="_Toc209431309" w:history="1">
            <w:r>
              <w:rPr>
                <w:rStyle w:val="Hyperlink"/>
                <w:rFonts w:eastAsiaTheme="majorEastAsia"/>
                <w:noProof/>
              </w:rPr>
              <w:t>Timeline</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_Toc209431309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12</w:t>
            </w:r>
            <w:r>
              <w:rPr>
                <w:rStyle w:val="Hyperlink"/>
                <w:rFonts w:eastAsiaTheme="majorEastAsia"/>
                <w:noProof/>
                <w:webHidden/>
                <w:color w:val="auto"/>
              </w:rPr>
              <w:fldChar w:fldCharType="end"/>
            </w:r>
          </w:hyperlink>
        </w:p>
        <w:p w14:paraId="190A1AC6"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14" w:anchor="_Toc209431310" w:history="1">
            <w:r>
              <w:rPr>
                <w:rStyle w:val="Hyperlink"/>
                <w:rFonts w:eastAsiaTheme="majorEastAsia"/>
                <w:noProof/>
              </w:rPr>
              <w:t>Building Personal Brand</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_Toc209431310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14</w:t>
            </w:r>
            <w:r>
              <w:rPr>
                <w:rStyle w:val="Hyperlink"/>
                <w:rFonts w:eastAsiaTheme="majorEastAsia"/>
                <w:noProof/>
                <w:webHidden/>
                <w:color w:val="auto"/>
              </w:rPr>
              <w:fldChar w:fldCharType="end"/>
            </w:r>
          </w:hyperlink>
        </w:p>
        <w:p w14:paraId="33B1E9AF"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15" w:anchor="_Toc209431311" w:history="1">
            <w:r>
              <w:rPr>
                <w:rStyle w:val="Hyperlink"/>
                <w:rFonts w:eastAsiaTheme="majorEastAsia"/>
                <w:noProof/>
              </w:rPr>
              <w:t>Promoting Professional Identity</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_Toc209431311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15</w:t>
            </w:r>
            <w:r>
              <w:rPr>
                <w:rStyle w:val="Hyperlink"/>
                <w:rFonts w:eastAsiaTheme="majorEastAsia"/>
                <w:noProof/>
                <w:webHidden/>
                <w:color w:val="auto"/>
              </w:rPr>
              <w:fldChar w:fldCharType="end"/>
            </w:r>
          </w:hyperlink>
        </w:p>
        <w:p w14:paraId="4B5EAA8D" w14:textId="77777777" w:rsidR="00FD3B41" w:rsidRDefault="00FD3B41" w:rsidP="00FD3B41">
          <w:pPr>
            <w:pStyle w:val="TOC2"/>
            <w:tabs>
              <w:tab w:val="right" w:leader="dot" w:pos="9016"/>
            </w:tabs>
            <w:rPr>
              <w:rFonts w:asciiTheme="minorHAnsi" w:eastAsiaTheme="minorEastAsia" w:hAnsiTheme="minorHAnsi" w:cstheme="minorBidi"/>
              <w:noProof/>
              <w:kern w:val="2"/>
              <w:sz w:val="24"/>
              <w:lang w:val="en-GB"/>
              <w14:ligatures w14:val="standardContextual"/>
            </w:rPr>
          </w:pPr>
          <w:hyperlink r:id="rId16" w:anchor="_Toc209431312" w:history="1">
            <w:r>
              <w:rPr>
                <w:rStyle w:val="Hyperlink"/>
                <w:rFonts w:eastAsiaTheme="majorEastAsia"/>
                <w:noProof/>
              </w:rPr>
              <w:t>LinkedIn Profile</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_Toc209431312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15</w:t>
            </w:r>
            <w:r>
              <w:rPr>
                <w:rStyle w:val="Hyperlink"/>
                <w:rFonts w:eastAsiaTheme="majorEastAsia"/>
                <w:noProof/>
                <w:webHidden/>
                <w:color w:val="auto"/>
              </w:rPr>
              <w:fldChar w:fldCharType="end"/>
            </w:r>
          </w:hyperlink>
        </w:p>
        <w:p w14:paraId="09C1C41C" w14:textId="77777777" w:rsidR="00FD3B41" w:rsidRDefault="00FD3B41" w:rsidP="00FD3B41">
          <w:pPr>
            <w:pStyle w:val="TOC2"/>
            <w:tabs>
              <w:tab w:val="right" w:leader="dot" w:pos="9016"/>
            </w:tabs>
            <w:rPr>
              <w:rFonts w:asciiTheme="minorHAnsi" w:eastAsiaTheme="minorEastAsia" w:hAnsiTheme="minorHAnsi" w:cstheme="minorBidi"/>
              <w:noProof/>
              <w:kern w:val="2"/>
              <w:sz w:val="24"/>
              <w:lang w:val="en-GB"/>
              <w14:ligatures w14:val="standardContextual"/>
            </w:rPr>
          </w:pPr>
          <w:hyperlink r:id="rId17" w:anchor="_Toc209431313" w:history="1">
            <w:r>
              <w:rPr>
                <w:rStyle w:val="Hyperlink"/>
                <w:rFonts w:eastAsiaTheme="majorEastAsia"/>
                <w:noProof/>
              </w:rPr>
              <w:t>Curriculum Vitae (CV)</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_Toc209431313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16</w:t>
            </w:r>
            <w:r>
              <w:rPr>
                <w:rStyle w:val="Hyperlink"/>
                <w:rFonts w:eastAsiaTheme="majorEastAsia"/>
                <w:noProof/>
                <w:webHidden/>
                <w:color w:val="auto"/>
              </w:rPr>
              <w:fldChar w:fldCharType="end"/>
            </w:r>
          </w:hyperlink>
        </w:p>
        <w:p w14:paraId="698D1453" w14:textId="77777777" w:rsidR="00FD3B41" w:rsidRDefault="00FD3B41" w:rsidP="00FD3B41">
          <w:pPr>
            <w:pStyle w:val="TOC2"/>
            <w:tabs>
              <w:tab w:val="right" w:leader="dot" w:pos="9016"/>
            </w:tabs>
            <w:rPr>
              <w:rFonts w:asciiTheme="minorHAnsi" w:eastAsiaTheme="minorEastAsia" w:hAnsiTheme="minorHAnsi" w:cstheme="minorBidi"/>
              <w:noProof/>
              <w:kern w:val="2"/>
              <w:sz w:val="24"/>
              <w:lang w:val="en-GB"/>
              <w14:ligatures w14:val="standardContextual"/>
            </w:rPr>
          </w:pPr>
          <w:hyperlink r:id="rId18" w:anchor="_Toc209431314" w:history="1">
            <w:r>
              <w:rPr>
                <w:rStyle w:val="Hyperlink"/>
                <w:rFonts w:eastAsiaTheme="majorEastAsia"/>
                <w:noProof/>
              </w:rPr>
              <w:t>Cover Letter</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_Toc209431314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18</w:t>
            </w:r>
            <w:r>
              <w:rPr>
                <w:rStyle w:val="Hyperlink"/>
                <w:rFonts w:eastAsiaTheme="majorEastAsia"/>
                <w:noProof/>
                <w:webHidden/>
                <w:color w:val="auto"/>
              </w:rPr>
              <w:fldChar w:fldCharType="end"/>
            </w:r>
          </w:hyperlink>
        </w:p>
        <w:p w14:paraId="6451B028"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19" w:anchor="_Toc209431315" w:history="1">
            <w:r>
              <w:rPr>
                <w:rStyle w:val="Hyperlink"/>
                <w:rFonts w:eastAsiaTheme="majorEastAsia"/>
                <w:noProof/>
              </w:rPr>
              <w:t>Building a Network for Successful Employment</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_Toc209431315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19</w:t>
            </w:r>
            <w:r>
              <w:rPr>
                <w:rStyle w:val="Hyperlink"/>
                <w:rFonts w:eastAsiaTheme="majorEastAsia"/>
                <w:noProof/>
                <w:webHidden/>
                <w:color w:val="auto"/>
              </w:rPr>
              <w:fldChar w:fldCharType="end"/>
            </w:r>
          </w:hyperlink>
        </w:p>
        <w:p w14:paraId="2CDFDFF9"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20" w:anchor="_Toc209431316" w:history="1">
            <w:r>
              <w:rPr>
                <w:rStyle w:val="Hyperlink"/>
                <w:rFonts w:eastAsiaTheme="majorEastAsia"/>
                <w:noProof/>
                <w:lang w:val="en-GB"/>
              </w:rPr>
              <w:t>Conclusion</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_Toc209431316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20</w:t>
            </w:r>
            <w:r>
              <w:rPr>
                <w:rStyle w:val="Hyperlink"/>
                <w:rFonts w:eastAsiaTheme="majorEastAsia"/>
                <w:noProof/>
                <w:webHidden/>
                <w:color w:val="auto"/>
              </w:rPr>
              <w:fldChar w:fldCharType="end"/>
            </w:r>
          </w:hyperlink>
        </w:p>
        <w:p w14:paraId="23A02D73" w14:textId="77777777" w:rsidR="00FD3B41" w:rsidRDefault="00FD3B41" w:rsidP="00FD3B41">
          <w:pPr>
            <w:pStyle w:val="TOC1"/>
            <w:tabs>
              <w:tab w:val="right" w:leader="dot" w:pos="9016"/>
            </w:tabs>
            <w:rPr>
              <w:rFonts w:asciiTheme="minorHAnsi" w:eastAsiaTheme="minorEastAsia" w:hAnsiTheme="minorHAnsi" w:cstheme="minorBidi"/>
              <w:noProof/>
              <w:kern w:val="2"/>
              <w:sz w:val="24"/>
              <w:lang w:val="en-GB"/>
              <w14:ligatures w14:val="standardContextual"/>
            </w:rPr>
          </w:pPr>
          <w:hyperlink r:id="rId21" w:anchor="_Toc209431317" w:history="1">
            <w:r>
              <w:rPr>
                <w:rStyle w:val="Hyperlink"/>
                <w:rFonts w:eastAsiaTheme="majorEastAsia"/>
                <w:noProof/>
              </w:rPr>
              <w:t>References</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_Toc209431317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21</w:t>
            </w:r>
            <w:r>
              <w:rPr>
                <w:rStyle w:val="Hyperlink"/>
                <w:rFonts w:eastAsiaTheme="majorEastAsia"/>
                <w:noProof/>
                <w:webHidden/>
                <w:color w:val="auto"/>
              </w:rPr>
              <w:fldChar w:fldCharType="end"/>
            </w:r>
          </w:hyperlink>
        </w:p>
        <w:p w14:paraId="52FC4E06" w14:textId="77777777" w:rsidR="00FD3B41" w:rsidRDefault="00FD3B41" w:rsidP="00FD3B41">
          <w:r>
            <w:rPr>
              <w:b/>
              <w:bCs/>
              <w:noProof/>
            </w:rPr>
            <w:fldChar w:fldCharType="end"/>
          </w:r>
        </w:p>
      </w:sdtContent>
    </w:sdt>
    <w:p w14:paraId="344A0D54" w14:textId="77777777" w:rsidR="00FD3B41" w:rsidRDefault="00FD3B41" w:rsidP="00FD3B41">
      <w:r>
        <w:br w:type="page"/>
      </w:r>
    </w:p>
    <w:p w14:paraId="17EE1E7E" w14:textId="77777777" w:rsidR="00FD3B41" w:rsidRDefault="00FD3B41" w:rsidP="00FD3B41">
      <w:pPr>
        <w:jc w:val="center"/>
        <w:rPr>
          <w:b/>
          <w:sz w:val="28"/>
          <w:szCs w:val="28"/>
        </w:rPr>
      </w:pPr>
      <w:r>
        <w:rPr>
          <w:b/>
          <w:sz w:val="28"/>
          <w:szCs w:val="28"/>
        </w:rPr>
        <w:lastRenderedPageBreak/>
        <w:t>LIST OF FIGURES</w:t>
      </w:r>
    </w:p>
    <w:p w14:paraId="25148C7C" w14:textId="77777777" w:rsidR="00FD3B41" w:rsidRDefault="00FD3B41" w:rsidP="00FD3B41">
      <w:pPr>
        <w:pStyle w:val="TableofFigures"/>
        <w:tabs>
          <w:tab w:val="right" w:leader="dot" w:pos="9016"/>
        </w:tabs>
        <w:rPr>
          <w:rFonts w:asciiTheme="minorHAnsi" w:eastAsiaTheme="minorEastAsia" w:hAnsiTheme="minorHAnsi" w:cstheme="minorBidi"/>
          <w:noProof/>
          <w:kern w:val="2"/>
          <w:sz w:val="24"/>
          <w:lang w:val="en-GB"/>
          <w14:ligatures w14:val="standardContextual"/>
        </w:rPr>
      </w:pPr>
      <w:r>
        <w:fldChar w:fldCharType="begin"/>
      </w:r>
      <w:r>
        <w:instrText xml:space="preserve"> TOC \t "Heading 4" \c </w:instrText>
      </w:r>
      <w:r>
        <w:fldChar w:fldCharType="separate"/>
      </w:r>
      <w:r>
        <w:rPr>
          <w:noProof/>
          <w:lang w:val="en-GB"/>
        </w:rPr>
        <w:t>Figure 1: Job description, person specification and summary of Social Worker role vacancy in Hertfordshire Partnership NHS Foundation Trust</w:t>
      </w:r>
      <w:r>
        <w:rPr>
          <w:noProof/>
        </w:rPr>
        <w:tab/>
      </w:r>
      <w:r>
        <w:rPr>
          <w:noProof/>
        </w:rPr>
        <w:fldChar w:fldCharType="begin"/>
      </w:r>
      <w:r>
        <w:rPr>
          <w:noProof/>
        </w:rPr>
        <w:instrText xml:space="preserve"> PAGEREF _Toc209431288 \h </w:instrText>
      </w:r>
      <w:r>
        <w:rPr>
          <w:noProof/>
        </w:rPr>
      </w:r>
      <w:r>
        <w:rPr>
          <w:noProof/>
        </w:rPr>
        <w:fldChar w:fldCharType="separate"/>
      </w:r>
      <w:r>
        <w:rPr>
          <w:noProof/>
        </w:rPr>
        <w:t>7</w:t>
      </w:r>
      <w:r>
        <w:rPr>
          <w:noProof/>
        </w:rPr>
        <w:fldChar w:fldCharType="end"/>
      </w:r>
    </w:p>
    <w:p w14:paraId="205E3A2E" w14:textId="77777777" w:rsidR="00FD3B41" w:rsidRDefault="00FD3B41" w:rsidP="00FD3B41">
      <w:pPr>
        <w:pStyle w:val="TableofFigures"/>
        <w:tabs>
          <w:tab w:val="right" w:leader="dot" w:pos="9016"/>
        </w:tabs>
        <w:rPr>
          <w:rFonts w:asciiTheme="minorHAnsi" w:eastAsiaTheme="minorEastAsia" w:hAnsiTheme="minorHAnsi" w:cstheme="minorBidi"/>
          <w:noProof/>
          <w:kern w:val="2"/>
          <w:sz w:val="24"/>
          <w:lang w:val="en-GB"/>
          <w14:ligatures w14:val="standardContextual"/>
        </w:rPr>
      </w:pPr>
      <w:r>
        <w:rPr>
          <w:noProof/>
        </w:rPr>
        <w:t>Figure 2: Gantt Chart</w:t>
      </w:r>
      <w:r>
        <w:rPr>
          <w:noProof/>
        </w:rPr>
        <w:tab/>
      </w:r>
      <w:r>
        <w:rPr>
          <w:noProof/>
        </w:rPr>
        <w:fldChar w:fldCharType="begin"/>
      </w:r>
      <w:r>
        <w:rPr>
          <w:noProof/>
        </w:rPr>
        <w:instrText xml:space="preserve"> PAGEREF _Toc209431289 \h </w:instrText>
      </w:r>
      <w:r>
        <w:rPr>
          <w:noProof/>
        </w:rPr>
      </w:r>
      <w:r>
        <w:rPr>
          <w:noProof/>
        </w:rPr>
        <w:fldChar w:fldCharType="separate"/>
      </w:r>
      <w:r>
        <w:rPr>
          <w:noProof/>
        </w:rPr>
        <w:t>14</w:t>
      </w:r>
      <w:r>
        <w:rPr>
          <w:noProof/>
        </w:rPr>
        <w:fldChar w:fldCharType="end"/>
      </w:r>
    </w:p>
    <w:p w14:paraId="59EAB4FA" w14:textId="77777777" w:rsidR="00FD3B41" w:rsidRDefault="00FD3B41" w:rsidP="00FD3B41">
      <w:pPr>
        <w:pStyle w:val="TableofFigures"/>
        <w:tabs>
          <w:tab w:val="right" w:leader="dot" w:pos="9016"/>
        </w:tabs>
        <w:rPr>
          <w:rFonts w:asciiTheme="minorHAnsi" w:eastAsiaTheme="minorEastAsia" w:hAnsiTheme="minorHAnsi" w:cstheme="minorBidi"/>
          <w:noProof/>
          <w:kern w:val="2"/>
          <w:sz w:val="24"/>
          <w:lang w:val="en-GB"/>
          <w14:ligatures w14:val="standardContextual"/>
        </w:rPr>
      </w:pPr>
      <w:r>
        <w:rPr>
          <w:noProof/>
        </w:rPr>
        <w:t>Figure 3: CV</w:t>
      </w:r>
      <w:r>
        <w:rPr>
          <w:noProof/>
        </w:rPr>
        <w:tab/>
      </w:r>
      <w:r>
        <w:rPr>
          <w:noProof/>
        </w:rPr>
        <w:fldChar w:fldCharType="begin"/>
      </w:r>
      <w:r>
        <w:rPr>
          <w:noProof/>
        </w:rPr>
        <w:instrText xml:space="preserve"> PAGEREF _Toc209431290 \h </w:instrText>
      </w:r>
      <w:r>
        <w:rPr>
          <w:noProof/>
        </w:rPr>
      </w:r>
      <w:r>
        <w:rPr>
          <w:noProof/>
        </w:rPr>
        <w:fldChar w:fldCharType="separate"/>
      </w:r>
      <w:r>
        <w:rPr>
          <w:noProof/>
        </w:rPr>
        <w:t>18</w:t>
      </w:r>
      <w:r>
        <w:rPr>
          <w:noProof/>
        </w:rPr>
        <w:fldChar w:fldCharType="end"/>
      </w:r>
    </w:p>
    <w:p w14:paraId="1C2DB27D" w14:textId="77777777" w:rsidR="00FD3B41" w:rsidRDefault="00FD3B41" w:rsidP="00FD3B41">
      <w:pPr>
        <w:pStyle w:val="TableofFigures"/>
        <w:tabs>
          <w:tab w:val="right" w:leader="dot" w:pos="9016"/>
        </w:tabs>
        <w:rPr>
          <w:rFonts w:asciiTheme="minorHAnsi" w:eastAsiaTheme="minorEastAsia" w:hAnsiTheme="minorHAnsi" w:cstheme="minorBidi"/>
          <w:noProof/>
          <w:kern w:val="2"/>
          <w:sz w:val="24"/>
          <w:lang w:val="en-GB"/>
          <w14:ligatures w14:val="standardContextual"/>
        </w:rPr>
      </w:pPr>
      <w:r>
        <w:rPr>
          <w:noProof/>
        </w:rPr>
        <w:t>Figure 4: Cover Letter</w:t>
      </w:r>
      <w:r>
        <w:rPr>
          <w:noProof/>
        </w:rPr>
        <w:tab/>
      </w:r>
      <w:r>
        <w:rPr>
          <w:noProof/>
        </w:rPr>
        <w:fldChar w:fldCharType="begin"/>
      </w:r>
      <w:r>
        <w:rPr>
          <w:noProof/>
        </w:rPr>
        <w:instrText xml:space="preserve"> PAGEREF _Toc209431291 \h </w:instrText>
      </w:r>
      <w:r>
        <w:rPr>
          <w:noProof/>
        </w:rPr>
      </w:r>
      <w:r>
        <w:rPr>
          <w:noProof/>
        </w:rPr>
        <w:fldChar w:fldCharType="separate"/>
      </w:r>
      <w:r>
        <w:rPr>
          <w:noProof/>
        </w:rPr>
        <w:t>19</w:t>
      </w:r>
      <w:r>
        <w:rPr>
          <w:noProof/>
        </w:rPr>
        <w:fldChar w:fldCharType="end"/>
      </w:r>
    </w:p>
    <w:p w14:paraId="20252CD2" w14:textId="77777777" w:rsidR="00FD3B41" w:rsidRDefault="00FD3B41" w:rsidP="00FD3B41">
      <w:r>
        <w:fldChar w:fldCharType="end"/>
      </w:r>
    </w:p>
    <w:p w14:paraId="4D352BBC" w14:textId="77777777" w:rsidR="00FD3B41" w:rsidRDefault="00FD3B41" w:rsidP="00FD3B41">
      <w:pPr>
        <w:jc w:val="center"/>
        <w:rPr>
          <w:b/>
          <w:sz w:val="28"/>
          <w:szCs w:val="28"/>
        </w:rPr>
      </w:pPr>
      <w:r>
        <w:rPr>
          <w:b/>
          <w:sz w:val="28"/>
          <w:szCs w:val="28"/>
        </w:rPr>
        <w:t>LIST OF TABLES</w:t>
      </w:r>
    </w:p>
    <w:p w14:paraId="0BDBB506" w14:textId="77777777" w:rsidR="00FD3B41" w:rsidRDefault="00FD3B41" w:rsidP="00FD3B41">
      <w:pPr>
        <w:pStyle w:val="TableofFigures"/>
        <w:tabs>
          <w:tab w:val="right" w:leader="dot" w:pos="9016"/>
        </w:tabs>
        <w:rPr>
          <w:rFonts w:asciiTheme="minorHAnsi" w:eastAsiaTheme="minorEastAsia" w:hAnsiTheme="minorHAnsi" w:cstheme="minorBidi"/>
          <w:noProof/>
          <w:kern w:val="2"/>
          <w:sz w:val="24"/>
          <w:lang w:val="en-GB"/>
          <w14:ligatures w14:val="standardContextual"/>
        </w:rPr>
      </w:pPr>
      <w:r>
        <w:fldChar w:fldCharType="begin"/>
      </w:r>
      <w:r>
        <w:instrText xml:space="preserve"> TOC \h \z \t "Heading 5" \c </w:instrText>
      </w:r>
      <w:r>
        <w:fldChar w:fldCharType="separate"/>
      </w:r>
      <w:hyperlink r:id="rId22" w:anchor="_Toc209431297" w:history="1">
        <w:r>
          <w:rPr>
            <w:rStyle w:val="Hyperlink"/>
            <w:rFonts w:eastAsiaTheme="majorEastAsia"/>
            <w:noProof/>
          </w:rPr>
          <w:t>Table 1: Action Planning</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_Toc209431297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11</w:t>
        </w:r>
        <w:r>
          <w:rPr>
            <w:rStyle w:val="Hyperlink"/>
            <w:rFonts w:eastAsiaTheme="majorEastAsia"/>
            <w:noProof/>
            <w:webHidden/>
            <w:color w:val="auto"/>
          </w:rPr>
          <w:fldChar w:fldCharType="end"/>
        </w:r>
      </w:hyperlink>
    </w:p>
    <w:p w14:paraId="06BC65F9" w14:textId="77777777" w:rsidR="00FD3B41" w:rsidRDefault="00FD3B41" w:rsidP="00FD3B41">
      <w:pPr>
        <w:pStyle w:val="TableofFigures"/>
        <w:tabs>
          <w:tab w:val="right" w:leader="dot" w:pos="9016"/>
        </w:tabs>
        <w:rPr>
          <w:rFonts w:asciiTheme="minorHAnsi" w:eastAsiaTheme="minorEastAsia" w:hAnsiTheme="minorHAnsi" w:cstheme="minorBidi"/>
          <w:noProof/>
          <w:kern w:val="2"/>
          <w:sz w:val="24"/>
          <w:lang w:val="en-GB"/>
          <w14:ligatures w14:val="standardContextual"/>
        </w:rPr>
      </w:pPr>
      <w:hyperlink r:id="rId23" w:anchor="_Toc209431298" w:history="1">
        <w:r>
          <w:rPr>
            <w:rStyle w:val="Hyperlink"/>
            <w:rFonts w:eastAsiaTheme="majorEastAsia"/>
            <w:noProof/>
          </w:rPr>
          <w:t>Table 2: Timeline</w:t>
        </w:r>
        <w:r>
          <w:rPr>
            <w:rStyle w:val="Hyperlink"/>
            <w:rFonts w:eastAsiaTheme="majorEastAsia"/>
            <w:noProof/>
            <w:webHidden/>
            <w:color w:val="auto"/>
          </w:rPr>
          <w:tab/>
        </w:r>
        <w:r>
          <w:rPr>
            <w:rStyle w:val="Hyperlink"/>
            <w:rFonts w:eastAsiaTheme="majorEastAsia"/>
            <w:noProof/>
            <w:webHidden/>
            <w:color w:val="auto"/>
          </w:rPr>
          <w:fldChar w:fldCharType="begin"/>
        </w:r>
        <w:r>
          <w:rPr>
            <w:rStyle w:val="Hyperlink"/>
            <w:rFonts w:eastAsiaTheme="majorEastAsia"/>
            <w:noProof/>
            <w:webHidden/>
            <w:color w:val="auto"/>
          </w:rPr>
          <w:instrText xml:space="preserve"> PAGEREF _Toc209431298 \h </w:instrText>
        </w:r>
        <w:r>
          <w:rPr>
            <w:rStyle w:val="Hyperlink"/>
            <w:rFonts w:eastAsiaTheme="majorEastAsia"/>
            <w:noProof/>
            <w:webHidden/>
            <w:color w:val="auto"/>
          </w:rPr>
        </w:r>
        <w:r>
          <w:rPr>
            <w:rStyle w:val="Hyperlink"/>
            <w:rFonts w:eastAsiaTheme="majorEastAsia"/>
            <w:noProof/>
            <w:webHidden/>
            <w:color w:val="auto"/>
          </w:rPr>
          <w:fldChar w:fldCharType="separate"/>
        </w:r>
        <w:r>
          <w:rPr>
            <w:rStyle w:val="Hyperlink"/>
            <w:rFonts w:eastAsiaTheme="majorEastAsia"/>
            <w:noProof/>
            <w:webHidden/>
            <w:color w:val="auto"/>
          </w:rPr>
          <w:t>13</w:t>
        </w:r>
        <w:r>
          <w:rPr>
            <w:rStyle w:val="Hyperlink"/>
            <w:rFonts w:eastAsiaTheme="majorEastAsia"/>
            <w:noProof/>
            <w:webHidden/>
            <w:color w:val="auto"/>
          </w:rPr>
          <w:fldChar w:fldCharType="end"/>
        </w:r>
      </w:hyperlink>
    </w:p>
    <w:p w14:paraId="04A0BD2E" w14:textId="77777777" w:rsidR="00FD3B41" w:rsidRDefault="00FD3B41" w:rsidP="00FD3B41">
      <w:r>
        <w:fldChar w:fldCharType="end"/>
      </w:r>
    </w:p>
    <w:p w14:paraId="25863846" w14:textId="77777777" w:rsidR="00FD3B41" w:rsidRDefault="00FD3B41" w:rsidP="00FD3B41">
      <w:r>
        <w:br w:type="page"/>
      </w:r>
    </w:p>
    <w:p w14:paraId="29298F80" w14:textId="77777777" w:rsidR="00FD3B41" w:rsidRPr="00985D25" w:rsidRDefault="00FD3B41" w:rsidP="00FD3B41">
      <w:pPr>
        <w:pStyle w:val="Heading1"/>
        <w:spacing w:after="0"/>
        <w:rPr>
          <w:rFonts w:ascii="Arial" w:hAnsi="Arial" w:cs="Arial"/>
          <w:b/>
          <w:bCs/>
          <w:color w:val="auto"/>
          <w:sz w:val="24"/>
          <w:szCs w:val="24"/>
          <w:lang w:val="en-GB"/>
        </w:rPr>
      </w:pPr>
      <w:bookmarkStart w:id="0" w:name="_Toc209431303"/>
      <w:r w:rsidRPr="00985D25">
        <w:rPr>
          <w:rFonts w:ascii="Arial" w:hAnsi="Arial" w:cs="Arial"/>
          <w:b/>
          <w:bCs/>
          <w:color w:val="auto"/>
          <w:sz w:val="24"/>
          <w:szCs w:val="24"/>
          <w:lang w:val="en-GB"/>
        </w:rPr>
        <w:lastRenderedPageBreak/>
        <w:t>Introduction</w:t>
      </w:r>
      <w:bookmarkEnd w:id="0"/>
    </w:p>
    <w:p w14:paraId="3A72F293" w14:textId="77777777" w:rsidR="00FD3B41" w:rsidRDefault="00FD3B41" w:rsidP="00FD3B41">
      <w:pPr>
        <w:rPr>
          <w:lang w:val="en-GB"/>
        </w:rPr>
      </w:pPr>
      <w:r>
        <w:rPr>
          <w:lang w:val="en-GB"/>
        </w:rPr>
        <w:t xml:space="preserve">In the report, an overview of a specific health and social care role will be outlined in the UK health and social care context. Considerably, the job role prioritised is that of a </w:t>
      </w:r>
      <w:r>
        <w:rPr>
          <w:b/>
          <w:lang w:val="en-GB"/>
        </w:rPr>
        <w:t>Social Worker</w:t>
      </w:r>
      <w:r>
        <w:rPr>
          <w:lang w:val="en-GB"/>
        </w:rPr>
        <w:t xml:space="preserve">. A Social Worker is pivotal to promoting independence and well-being for service users (Tadic </w:t>
      </w:r>
      <w:r>
        <w:rPr>
          <w:i/>
          <w:lang w:val="en-GB"/>
        </w:rPr>
        <w:t>et al.,</w:t>
      </w:r>
      <w:r>
        <w:rPr>
          <w:lang w:val="en-GB"/>
        </w:rPr>
        <w:t xml:space="preserve"> 2020). This role is fundamental to safeguarding vulnerable people in society, thus facilitating social care services with greater accessibility to diverse settings. </w:t>
      </w:r>
    </w:p>
    <w:p w14:paraId="66D0B968" w14:textId="77777777" w:rsidR="00FD3B41" w:rsidRDefault="00FD3B41" w:rsidP="00FD3B41">
      <w:pPr>
        <w:rPr>
          <w:lang w:val="en-GB"/>
        </w:rPr>
      </w:pPr>
      <w:r>
        <w:rPr>
          <w:lang w:val="en-GB"/>
        </w:rPr>
        <w:t xml:space="preserve">I am particularly interested in this role because of my eagerness to empower social justice &amp; community resilience. Further, my motivation toward the role stems from the desire of empowering individuals, especially vulnerable groups, by providing an inclusive and person-centred care. </w:t>
      </w:r>
    </w:p>
    <w:p w14:paraId="7065B9F9" w14:textId="77777777" w:rsidR="00FD3B41" w:rsidRDefault="00FD3B41" w:rsidP="00FD3B41">
      <w:pPr>
        <w:rPr>
          <w:b/>
          <w:sz w:val="28"/>
          <w:szCs w:val="28"/>
          <w:lang w:val="en-GB"/>
        </w:rPr>
      </w:pPr>
      <w:r>
        <w:rPr>
          <w:lang w:val="en-GB"/>
        </w:rPr>
        <w:br w:type="page"/>
      </w:r>
    </w:p>
    <w:p w14:paraId="099C7494" w14:textId="77777777" w:rsidR="00FD3B41" w:rsidRPr="003F6963" w:rsidRDefault="00FD3B41" w:rsidP="00FD3B41">
      <w:pPr>
        <w:pStyle w:val="Heading1"/>
        <w:spacing w:after="0"/>
        <w:rPr>
          <w:rFonts w:ascii="Arial" w:hAnsi="Arial" w:cs="Arial"/>
          <w:b/>
          <w:bCs/>
          <w:color w:val="auto"/>
          <w:sz w:val="24"/>
          <w:szCs w:val="24"/>
          <w:lang w:val="en-GB"/>
        </w:rPr>
      </w:pPr>
      <w:bookmarkStart w:id="1" w:name="_Toc209431304"/>
      <w:r w:rsidRPr="003F6963">
        <w:rPr>
          <w:rFonts w:ascii="Arial" w:hAnsi="Arial" w:cs="Arial"/>
          <w:b/>
          <w:bCs/>
          <w:color w:val="auto"/>
          <w:sz w:val="24"/>
          <w:szCs w:val="24"/>
          <w:lang w:val="en-GB"/>
        </w:rPr>
        <w:lastRenderedPageBreak/>
        <w:t>Job Advertisement</w:t>
      </w:r>
      <w:bookmarkEnd w:id="1"/>
    </w:p>
    <w:p w14:paraId="523113A0" w14:textId="4C97E27F" w:rsidR="00FD3B41" w:rsidRDefault="00FD3B41" w:rsidP="00FD3B41">
      <w:pPr>
        <w:jc w:val="center"/>
        <w:rPr>
          <w:lang w:val="en-GB"/>
        </w:rPr>
      </w:pPr>
      <w:r>
        <w:rPr>
          <w:noProof/>
          <w:lang w:val="en-GB"/>
        </w:rPr>
        <w:drawing>
          <wp:inline distT="0" distB="0" distL="0" distR="0" wp14:anchorId="590D3B78" wp14:editId="6A324310">
            <wp:extent cx="3512820" cy="3108960"/>
            <wp:effectExtent l="19050" t="19050" r="11430" b="15240"/>
            <wp:docPr id="1397089009" name="Picture 8" descr="A screenshot of a social wor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89009" name="Picture 8" descr="A screenshot of a social work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12820" cy="3108960"/>
                    </a:xfrm>
                    <a:prstGeom prst="rect">
                      <a:avLst/>
                    </a:prstGeom>
                    <a:noFill/>
                    <a:ln w="12700" cmpd="sng">
                      <a:solidFill>
                        <a:srgbClr val="000000"/>
                      </a:solidFill>
                      <a:miter lim="800000"/>
                      <a:headEnd/>
                      <a:tailEnd/>
                    </a:ln>
                    <a:effectLst/>
                  </pic:spPr>
                </pic:pic>
              </a:graphicData>
            </a:graphic>
          </wp:inline>
        </w:drawing>
      </w:r>
    </w:p>
    <w:p w14:paraId="3FCAD45D" w14:textId="1C52214B" w:rsidR="00FD3B41" w:rsidRDefault="00FD3B41" w:rsidP="00FD3B41">
      <w:pPr>
        <w:jc w:val="center"/>
        <w:rPr>
          <w:lang w:val="en-GB"/>
        </w:rPr>
      </w:pPr>
      <w:r>
        <w:rPr>
          <w:noProof/>
          <w:lang w:val="en-GB"/>
        </w:rPr>
        <w:drawing>
          <wp:inline distT="0" distB="0" distL="0" distR="0" wp14:anchorId="6BAF61BA" wp14:editId="12227032">
            <wp:extent cx="4472940" cy="1691640"/>
            <wp:effectExtent l="19050" t="19050" r="22860" b="22860"/>
            <wp:docPr id="1612645638" name="Picture 7" descr="A close-up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645638" name="Picture 7" descr="A close-up of a web pag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72940" cy="1691640"/>
                    </a:xfrm>
                    <a:prstGeom prst="rect">
                      <a:avLst/>
                    </a:prstGeom>
                    <a:noFill/>
                    <a:ln w="12700" cmpd="sng">
                      <a:solidFill>
                        <a:srgbClr val="000000"/>
                      </a:solidFill>
                      <a:miter lim="800000"/>
                      <a:headEnd/>
                      <a:tailEnd/>
                    </a:ln>
                    <a:effectLst/>
                  </pic:spPr>
                </pic:pic>
              </a:graphicData>
            </a:graphic>
          </wp:inline>
        </w:drawing>
      </w:r>
    </w:p>
    <w:p w14:paraId="6341DB8F" w14:textId="198A05C5" w:rsidR="00FD3B41" w:rsidRDefault="00FD3B41" w:rsidP="00FD3B41">
      <w:pPr>
        <w:jc w:val="center"/>
        <w:rPr>
          <w:lang w:val="en-GB"/>
        </w:rPr>
      </w:pPr>
      <w:r>
        <w:rPr>
          <w:noProof/>
          <w:lang w:val="en-GB"/>
        </w:rPr>
        <w:drawing>
          <wp:inline distT="0" distB="0" distL="0" distR="0" wp14:anchorId="4245156E" wp14:editId="4E36F51F">
            <wp:extent cx="4442460" cy="2834640"/>
            <wp:effectExtent l="19050" t="19050" r="15240" b="22860"/>
            <wp:docPr id="978150091" name="Picture 6" descr="A blue and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50091" name="Picture 6" descr="A blue and white background with black tex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42460" cy="2834640"/>
                    </a:xfrm>
                    <a:prstGeom prst="rect">
                      <a:avLst/>
                    </a:prstGeom>
                    <a:noFill/>
                    <a:ln w="12700" cmpd="sng">
                      <a:solidFill>
                        <a:srgbClr val="000000"/>
                      </a:solidFill>
                      <a:miter lim="800000"/>
                      <a:headEnd/>
                      <a:tailEnd/>
                    </a:ln>
                    <a:effectLst/>
                  </pic:spPr>
                </pic:pic>
              </a:graphicData>
            </a:graphic>
          </wp:inline>
        </w:drawing>
      </w:r>
    </w:p>
    <w:p w14:paraId="7090ECBD" w14:textId="77777777" w:rsidR="00FD3B41" w:rsidRPr="004436CB" w:rsidRDefault="00FD3B41" w:rsidP="00FD3B41">
      <w:pPr>
        <w:pStyle w:val="Heading4"/>
        <w:spacing w:after="0"/>
        <w:rPr>
          <w:i w:val="0"/>
          <w:iCs w:val="0"/>
          <w:color w:val="auto"/>
          <w:lang w:val="en-GB"/>
        </w:rPr>
      </w:pPr>
      <w:bookmarkStart w:id="2" w:name="_Toc209431288"/>
      <w:r w:rsidRPr="004436CB">
        <w:rPr>
          <w:i w:val="0"/>
          <w:iCs w:val="0"/>
          <w:color w:val="auto"/>
          <w:lang w:val="en-GB"/>
        </w:rPr>
        <w:lastRenderedPageBreak/>
        <w:t>Figure 1: Job description, person specification and summary of Social Worker role vacancy in Hertfordshire Partnership NHS Foundation Trust</w:t>
      </w:r>
      <w:bookmarkEnd w:id="2"/>
    </w:p>
    <w:p w14:paraId="02D70F2B" w14:textId="77777777" w:rsidR="00FD3B41" w:rsidRPr="004436CB" w:rsidRDefault="00FD3B41" w:rsidP="00FD3B41">
      <w:pPr>
        <w:jc w:val="center"/>
        <w:rPr>
          <w:lang w:val="en-GB"/>
        </w:rPr>
      </w:pPr>
      <w:r w:rsidRPr="004436CB">
        <w:rPr>
          <w:lang w:val="en-GB"/>
        </w:rPr>
        <w:t xml:space="preserve">(Source: </w:t>
      </w:r>
      <w:proofErr w:type="spellStart"/>
      <w:r w:rsidRPr="004436CB">
        <w:rPr>
          <w:lang w:val="en-GB"/>
        </w:rPr>
        <w:t>Nhsjobs</w:t>
      </w:r>
      <w:proofErr w:type="spellEnd"/>
      <w:r w:rsidRPr="004436CB">
        <w:rPr>
          <w:lang w:val="en-GB"/>
        </w:rPr>
        <w:t xml:space="preserve">, 2025)  </w:t>
      </w:r>
    </w:p>
    <w:p w14:paraId="0F6D8585" w14:textId="77777777" w:rsidR="00FD3B41" w:rsidRDefault="00FD3B41" w:rsidP="00FD3B41">
      <w:pPr>
        <w:rPr>
          <w:b/>
          <w:sz w:val="28"/>
          <w:szCs w:val="28"/>
          <w:lang w:val="en-GB"/>
        </w:rPr>
      </w:pPr>
      <w:r>
        <w:rPr>
          <w:lang w:val="en-GB"/>
        </w:rPr>
        <w:br w:type="page"/>
      </w:r>
    </w:p>
    <w:p w14:paraId="77A7E8D3" w14:textId="77777777" w:rsidR="00FD3B41" w:rsidRPr="00985D25" w:rsidRDefault="00FD3B41" w:rsidP="00FD3B41">
      <w:pPr>
        <w:pStyle w:val="Heading1"/>
        <w:spacing w:after="0"/>
        <w:rPr>
          <w:rFonts w:ascii="Arial" w:hAnsi="Arial" w:cs="Arial"/>
          <w:b/>
          <w:bCs/>
          <w:color w:val="auto"/>
          <w:sz w:val="24"/>
          <w:szCs w:val="24"/>
          <w:lang w:val="en-GB"/>
        </w:rPr>
      </w:pPr>
      <w:bookmarkStart w:id="3" w:name="_Toc209431305"/>
      <w:r w:rsidRPr="00985D25">
        <w:rPr>
          <w:rFonts w:ascii="Arial" w:hAnsi="Arial" w:cs="Arial"/>
          <w:b/>
          <w:bCs/>
          <w:color w:val="auto"/>
          <w:sz w:val="24"/>
          <w:szCs w:val="24"/>
          <w:lang w:val="en-GB"/>
        </w:rPr>
        <w:lastRenderedPageBreak/>
        <w:t>Job Role: Employability Skills</w:t>
      </w:r>
      <w:bookmarkEnd w:id="3"/>
    </w:p>
    <w:p w14:paraId="7F9BEF9E" w14:textId="77777777" w:rsidR="00FD3B41" w:rsidRPr="004436CB" w:rsidRDefault="00FD3B41" w:rsidP="00FD3B41">
      <w:pPr>
        <w:rPr>
          <w:bCs/>
          <w:lang w:val="en-GB"/>
        </w:rPr>
      </w:pPr>
      <w:r w:rsidRPr="004436CB">
        <w:rPr>
          <w:bCs/>
          <w:lang w:val="en-GB"/>
        </w:rPr>
        <w:t>Employability skills</w:t>
      </w:r>
      <w:r>
        <w:rPr>
          <w:b/>
          <w:lang w:val="en-GB"/>
        </w:rPr>
        <w:t xml:space="preserve"> </w:t>
      </w:r>
      <w:r>
        <w:rPr>
          <w:lang w:val="en-GB"/>
        </w:rPr>
        <w:t xml:space="preserve">in the workplace context demonstrate personal abilities and qualities, which are crucial to secure the desired job with long-term career success (Nisha and Rajasekaran, 2020). This encompasses both </w:t>
      </w:r>
      <w:r w:rsidRPr="004436CB">
        <w:rPr>
          <w:bCs/>
          <w:lang w:val="en-GB"/>
        </w:rPr>
        <w:t>“hard”</w:t>
      </w:r>
      <w:r>
        <w:rPr>
          <w:lang w:val="en-GB"/>
        </w:rPr>
        <w:t xml:space="preserve"> (technical competency) and </w:t>
      </w:r>
      <w:r w:rsidRPr="004436CB">
        <w:rPr>
          <w:bCs/>
          <w:lang w:val="en-GB"/>
        </w:rPr>
        <w:t>“soft” skills</w:t>
      </w:r>
      <w:r>
        <w:rPr>
          <w:b/>
          <w:lang w:val="en-GB"/>
        </w:rPr>
        <w:t xml:space="preserve"> </w:t>
      </w:r>
      <w:r>
        <w:rPr>
          <w:lang w:val="en-GB"/>
        </w:rPr>
        <w:t>(interpersonal abilities), necessary to meet organisational goals. As such, the identified role of a Social Worker in the previous section emphasises key employability skills that are specified in the job description and person specification (</w:t>
      </w:r>
      <w:proofErr w:type="spellStart"/>
      <w:r>
        <w:rPr>
          <w:lang w:val="en-GB"/>
        </w:rPr>
        <w:t>Nhsjobs</w:t>
      </w:r>
      <w:proofErr w:type="spellEnd"/>
      <w:r>
        <w:rPr>
          <w:lang w:val="en-GB"/>
        </w:rPr>
        <w:t xml:space="preserve">, 2025). These include </w:t>
      </w:r>
      <w:r w:rsidRPr="004436CB">
        <w:rPr>
          <w:bCs/>
          <w:lang w:val="en-GB"/>
        </w:rPr>
        <w:t>communication, multi-disciplinary collaboration, emotional intelligence, partnership working, and ethical practice.</w:t>
      </w:r>
    </w:p>
    <w:p w14:paraId="1C44821A" w14:textId="77777777" w:rsidR="00FD3B41" w:rsidRDefault="00FD3B41" w:rsidP="00FD3B41">
      <w:pPr>
        <w:numPr>
          <w:ilvl w:val="0"/>
          <w:numId w:val="1"/>
        </w:numPr>
        <w:rPr>
          <w:lang w:val="en-GB"/>
        </w:rPr>
      </w:pPr>
      <w:r w:rsidRPr="004436CB">
        <w:rPr>
          <w:bCs/>
          <w:lang w:val="en-GB"/>
        </w:rPr>
        <w:t>Communication</w:t>
      </w:r>
      <w:r>
        <w:rPr>
          <w:b/>
          <w:lang w:val="en-GB"/>
        </w:rPr>
        <w:t xml:space="preserve"> </w:t>
      </w:r>
      <w:r>
        <w:rPr>
          <w:lang w:val="en-GB"/>
        </w:rPr>
        <w:t xml:space="preserve">- As explained by </w:t>
      </w:r>
      <w:proofErr w:type="spellStart"/>
      <w:r>
        <w:rPr>
          <w:lang w:val="en-GB"/>
        </w:rPr>
        <w:t>Braicu</w:t>
      </w:r>
      <w:proofErr w:type="spellEnd"/>
      <w:r>
        <w:rPr>
          <w:lang w:val="en-GB"/>
        </w:rPr>
        <w:t xml:space="preserve"> and </w:t>
      </w:r>
      <w:proofErr w:type="spellStart"/>
      <w:r>
        <w:rPr>
          <w:lang w:val="en-GB"/>
        </w:rPr>
        <w:t>Drăghia</w:t>
      </w:r>
      <w:proofErr w:type="spellEnd"/>
      <w:r>
        <w:rPr>
          <w:lang w:val="en-GB"/>
        </w:rPr>
        <w:t xml:space="preserve"> (2024), effective communication holds significance in social work since it builds trust and a proper recognition of service users’ needs (Koprowska, 2024). In terms of performance, communication facilitates an accurate assessment &amp; care planning. Further, it enhances service users’ engagement as well as empowerment.</w:t>
      </w:r>
    </w:p>
    <w:p w14:paraId="0B3FE31C" w14:textId="77777777" w:rsidR="00FD3B41" w:rsidRDefault="00FD3B41" w:rsidP="00FD3B41">
      <w:pPr>
        <w:numPr>
          <w:ilvl w:val="0"/>
          <w:numId w:val="1"/>
        </w:numPr>
        <w:rPr>
          <w:lang w:val="en-GB"/>
        </w:rPr>
      </w:pPr>
      <w:r w:rsidRPr="004436CB">
        <w:rPr>
          <w:bCs/>
          <w:lang w:val="en-GB"/>
        </w:rPr>
        <w:t>Multi-disciplinary Collaboration</w:t>
      </w:r>
      <w:r>
        <w:rPr>
          <w:b/>
          <w:lang w:val="en-GB"/>
        </w:rPr>
        <w:t xml:space="preserve"> </w:t>
      </w:r>
      <w:r>
        <w:rPr>
          <w:lang w:val="en-GB"/>
        </w:rPr>
        <w:t xml:space="preserve">- As a potential criterion of the job role, social workers always work in collaboration (Löwe </w:t>
      </w:r>
      <w:r>
        <w:rPr>
          <w:i/>
          <w:lang w:val="en-GB"/>
        </w:rPr>
        <w:t>et al.,</w:t>
      </w:r>
      <w:r>
        <w:rPr>
          <w:lang w:val="en-GB"/>
        </w:rPr>
        <w:t xml:space="preserve"> 2022). A multidisciplinary approach, involving engagement with other professionals across multiple sectors, directs a holistic focus on service users’ needs, which are complex and evolving. From a performance perspective, the skill promotes integrated care while maintaining continuous support (Hughes </w:t>
      </w:r>
      <w:r>
        <w:rPr>
          <w:i/>
          <w:lang w:val="en-GB"/>
        </w:rPr>
        <w:t>et al.,</w:t>
      </w:r>
      <w:r>
        <w:rPr>
          <w:lang w:val="en-GB"/>
        </w:rPr>
        <w:t xml:space="preserve"> 2020). </w:t>
      </w:r>
    </w:p>
    <w:p w14:paraId="2CF85D79" w14:textId="77777777" w:rsidR="00FD3B41" w:rsidRDefault="00FD3B41" w:rsidP="00FD3B41">
      <w:pPr>
        <w:numPr>
          <w:ilvl w:val="0"/>
          <w:numId w:val="1"/>
        </w:numPr>
        <w:rPr>
          <w:lang w:val="en-GB"/>
        </w:rPr>
      </w:pPr>
      <w:r w:rsidRPr="004436CB">
        <w:rPr>
          <w:bCs/>
          <w:lang w:val="en-GB"/>
        </w:rPr>
        <w:t>Emotional Intelligence</w:t>
      </w:r>
      <w:r>
        <w:rPr>
          <w:b/>
          <w:lang w:val="en-GB"/>
        </w:rPr>
        <w:t xml:space="preserve"> </w:t>
      </w:r>
      <w:r>
        <w:rPr>
          <w:lang w:val="en-GB"/>
        </w:rPr>
        <w:t xml:space="preserve">- Emotional intelligence (EI), as explained by Herland (2022), serves an important purpose in social work. The skill navigates emotional connection and empathetic situations. In the context of performance assessment, emotional intelligence builds rapport as well as maintains therapeutic relationships (Paulraj </w:t>
      </w:r>
      <w:r>
        <w:rPr>
          <w:i/>
          <w:lang w:val="en-GB"/>
        </w:rPr>
        <w:t>et al.,</w:t>
      </w:r>
      <w:r>
        <w:rPr>
          <w:lang w:val="en-GB"/>
        </w:rPr>
        <w:t xml:space="preserve"> 2021). </w:t>
      </w:r>
    </w:p>
    <w:p w14:paraId="4F26BC8E" w14:textId="77777777" w:rsidR="00FD3B41" w:rsidRDefault="00FD3B41" w:rsidP="00FD3B41">
      <w:pPr>
        <w:numPr>
          <w:ilvl w:val="0"/>
          <w:numId w:val="1"/>
        </w:numPr>
        <w:rPr>
          <w:lang w:val="en-GB"/>
        </w:rPr>
      </w:pPr>
      <w:r w:rsidRPr="004436CB">
        <w:rPr>
          <w:bCs/>
          <w:lang w:val="en-GB"/>
        </w:rPr>
        <w:t>Partnership Working</w:t>
      </w:r>
      <w:r>
        <w:rPr>
          <w:b/>
          <w:lang w:val="en-GB"/>
        </w:rPr>
        <w:t xml:space="preserve"> </w:t>
      </w:r>
      <w:r>
        <w:rPr>
          <w:lang w:val="en-GB"/>
        </w:rPr>
        <w:t>- Partnership working is a favourable competence identified for the job role of a social worker in the social care sector. Evidence suggests that partnership working involves professional collaboration and maintains a positive relationship with service users, family members &amp; communities (</w:t>
      </w:r>
      <w:proofErr w:type="spellStart"/>
      <w:r>
        <w:rPr>
          <w:lang w:val="en-GB"/>
        </w:rPr>
        <w:t>England.nhs</w:t>
      </w:r>
      <w:proofErr w:type="spellEnd"/>
      <w:r>
        <w:rPr>
          <w:lang w:val="en-GB"/>
        </w:rPr>
        <w:t>, 2023). This skill is mandatory to promote person-centred care, besides co-production.</w:t>
      </w:r>
    </w:p>
    <w:p w14:paraId="1C1C6602" w14:textId="0D58D4BB" w:rsidR="00FD3B41" w:rsidRDefault="00FD3B41" w:rsidP="00FD3B41">
      <w:pPr>
        <w:numPr>
          <w:ilvl w:val="0"/>
          <w:numId w:val="1"/>
        </w:numPr>
        <w:rPr>
          <w:lang w:val="en-GB"/>
        </w:rPr>
      </w:pPr>
      <w:r w:rsidRPr="004436CB">
        <w:rPr>
          <w:bCs/>
          <w:lang w:val="en-GB"/>
        </w:rPr>
        <w:t>Ethical Practice</w:t>
      </w:r>
      <w:r>
        <w:rPr>
          <w:b/>
          <w:lang w:val="en-GB"/>
        </w:rPr>
        <w:t xml:space="preserve"> </w:t>
      </w:r>
      <w:r>
        <w:rPr>
          <w:lang w:val="en-GB"/>
        </w:rPr>
        <w:t>- Ethical integrity prioritises every aspect related to social work (</w:t>
      </w:r>
      <w:r w:rsidR="004436CB">
        <w:rPr>
          <w:lang w:val="en-GB"/>
        </w:rPr>
        <w:t>Social workers</w:t>
      </w:r>
      <w:r>
        <w:rPr>
          <w:lang w:val="en-GB"/>
        </w:rPr>
        <w:t xml:space="preserve">, 2025). As a social worker, it is necessary to uphold professional standards as directed by healthcare regulatory bodies and manage human rights in practice. The </w:t>
      </w:r>
      <w:r>
        <w:rPr>
          <w:lang w:val="en-GB"/>
        </w:rPr>
        <w:lastRenderedPageBreak/>
        <w:t xml:space="preserve">skill ensures maintaining confidentiality as well as anti-discriminatory values, in complex dilemmas (Hollinrake, 2025). When prioritising performance, the skill is essential to ensure lawful and respect-oriented interventions. </w:t>
      </w:r>
      <w:r>
        <w:rPr>
          <w:lang w:val="en-GB"/>
        </w:rPr>
        <w:br w:type="page"/>
      </w:r>
    </w:p>
    <w:p w14:paraId="08822D14" w14:textId="77777777" w:rsidR="00FD3B41" w:rsidRPr="00985D25" w:rsidRDefault="00FD3B41" w:rsidP="00FD3B41">
      <w:pPr>
        <w:pStyle w:val="Heading1"/>
        <w:spacing w:after="0"/>
        <w:rPr>
          <w:rFonts w:ascii="Arial" w:hAnsi="Arial" w:cs="Arial"/>
          <w:b/>
          <w:bCs/>
          <w:color w:val="auto"/>
          <w:sz w:val="24"/>
          <w:szCs w:val="24"/>
          <w:lang w:val="en-GB"/>
        </w:rPr>
      </w:pPr>
      <w:bookmarkStart w:id="4" w:name="_Toc209431306"/>
      <w:r w:rsidRPr="00985D25">
        <w:rPr>
          <w:rFonts w:ascii="Arial" w:hAnsi="Arial" w:cs="Arial"/>
          <w:b/>
          <w:bCs/>
          <w:color w:val="auto"/>
          <w:sz w:val="24"/>
          <w:szCs w:val="24"/>
          <w:lang w:val="en-GB"/>
        </w:rPr>
        <w:lastRenderedPageBreak/>
        <w:t>Evaluation of Own Skills</w:t>
      </w:r>
      <w:bookmarkEnd w:id="4"/>
    </w:p>
    <w:p w14:paraId="0507FD49" w14:textId="77777777" w:rsidR="00FD3B41" w:rsidRDefault="00FD3B41" w:rsidP="00FD3B41">
      <w:pPr>
        <w:rPr>
          <w:b/>
          <w:u w:val="single"/>
          <w:lang w:val="en-GB"/>
        </w:rPr>
      </w:pPr>
      <w:r>
        <w:rPr>
          <w:b/>
          <w:u w:val="single"/>
          <w:lang w:val="en-GB"/>
        </w:rPr>
        <w:t>Self-assessment of current skills and experiences</w:t>
      </w:r>
    </w:p>
    <w:p w14:paraId="1E8C82A8" w14:textId="77777777" w:rsidR="00FD3B41" w:rsidRDefault="00FD3B41" w:rsidP="00FD3B41">
      <w:pPr>
        <w:rPr>
          <w:lang w:val="en-GB"/>
        </w:rPr>
      </w:pPr>
      <w:r>
        <w:rPr>
          <w:lang w:val="en-GB"/>
        </w:rPr>
        <w:t xml:space="preserve">I assessed my current skills and experiences, which could be considered for the job role. </w:t>
      </w:r>
    </w:p>
    <w:p w14:paraId="0F7D3629" w14:textId="7F284713" w:rsidR="00FD3B41" w:rsidRDefault="00FD3B41" w:rsidP="00FD3B41">
      <w:pPr>
        <w:numPr>
          <w:ilvl w:val="0"/>
          <w:numId w:val="2"/>
        </w:numPr>
        <w:rPr>
          <w:lang w:val="en-GB"/>
        </w:rPr>
      </w:pPr>
      <w:r>
        <w:rPr>
          <w:b/>
          <w:lang w:val="en-GB"/>
        </w:rPr>
        <w:t>Skills</w:t>
      </w:r>
      <w:r w:rsidR="00445EBC">
        <w:rPr>
          <w:b/>
          <w:lang w:val="en-GB"/>
        </w:rPr>
        <w:t xml:space="preserve"> - I</w:t>
      </w:r>
      <w:r w:rsidR="00445EBC">
        <w:rPr>
          <w:lang w:val="en-GB"/>
        </w:rPr>
        <w:t xml:space="preserve"> have</w:t>
      </w:r>
      <w:r>
        <w:rPr>
          <w:lang w:val="en-GB"/>
        </w:rPr>
        <w:t xml:space="preserve"> developed potential skills as a care worker. This includes patient care and management, mental health support, documentation management, effective communication, team lead and community engagement. Each skill has a high value in person-centred care, although more professional engagement is required. Focusing on the job role, these skills are in line with the competencies needed to enhance client engagement as well as advocacy (</w:t>
      </w:r>
      <w:proofErr w:type="spellStart"/>
      <w:r>
        <w:rPr>
          <w:lang w:val="en-GB"/>
        </w:rPr>
        <w:t>Nhsjobs</w:t>
      </w:r>
      <w:proofErr w:type="spellEnd"/>
      <w:r>
        <w:rPr>
          <w:lang w:val="en-GB"/>
        </w:rPr>
        <w:t xml:space="preserve">, 2025). </w:t>
      </w:r>
    </w:p>
    <w:p w14:paraId="51936F2D" w14:textId="77777777" w:rsidR="00FD3B41" w:rsidRDefault="00FD3B41" w:rsidP="00FD3B41">
      <w:pPr>
        <w:numPr>
          <w:ilvl w:val="0"/>
          <w:numId w:val="2"/>
        </w:numPr>
        <w:rPr>
          <w:lang w:val="en-GB"/>
        </w:rPr>
      </w:pPr>
      <w:r>
        <w:rPr>
          <w:b/>
          <w:lang w:val="en-GB"/>
        </w:rPr>
        <w:t xml:space="preserve">Experience </w:t>
      </w:r>
      <w:r>
        <w:rPr>
          <w:lang w:val="en-GB"/>
        </w:rPr>
        <w:t>- With experience as a care worker in Flexi Coventry, I acquired significant experience in care support, medication administration, observation, recording and monitoring. The information identifies the potential of these experiences in client management, with greater mental stimulation and well-being of service users. The involvement in public health service offers insights into client needs and the service delivery purpose through strategic planning &amp; improvement (</w:t>
      </w:r>
      <w:proofErr w:type="spellStart"/>
      <w:r>
        <w:rPr>
          <w:lang w:val="en-GB"/>
        </w:rPr>
        <w:t>Wongsin</w:t>
      </w:r>
      <w:proofErr w:type="spellEnd"/>
      <w:r>
        <w:rPr>
          <w:lang w:val="en-GB"/>
        </w:rPr>
        <w:t xml:space="preserve"> </w:t>
      </w:r>
      <w:r>
        <w:rPr>
          <w:i/>
          <w:lang w:val="en-GB"/>
        </w:rPr>
        <w:t>et al.,</w:t>
      </w:r>
      <w:r>
        <w:rPr>
          <w:lang w:val="en-GB"/>
        </w:rPr>
        <w:t xml:space="preserve"> 2025).</w:t>
      </w:r>
    </w:p>
    <w:p w14:paraId="201CF89A" w14:textId="573440A6" w:rsidR="00FD3B41" w:rsidRDefault="00FD3B41" w:rsidP="00FD3B41">
      <w:pPr>
        <w:numPr>
          <w:ilvl w:val="0"/>
          <w:numId w:val="2"/>
        </w:numPr>
        <w:rPr>
          <w:lang w:val="en-GB"/>
        </w:rPr>
      </w:pPr>
      <w:r>
        <w:rPr>
          <w:b/>
          <w:lang w:val="en-GB"/>
        </w:rPr>
        <w:t xml:space="preserve">Qualifications </w:t>
      </w:r>
      <w:r>
        <w:rPr>
          <w:lang w:val="en-GB"/>
        </w:rPr>
        <w:t xml:space="preserve">- Over the years, as a care worker, I have achieved the necessary degrees, including certifications (for example, </w:t>
      </w:r>
      <w:r>
        <w:rPr>
          <w:b/>
          <w:lang w:val="en-GB"/>
        </w:rPr>
        <w:t>Cert HE Health and Social Care L4</w:t>
      </w:r>
      <w:r>
        <w:rPr>
          <w:lang w:val="en-GB"/>
        </w:rPr>
        <w:t xml:space="preserve">) and diplomas (for example, </w:t>
      </w:r>
      <w:r>
        <w:rPr>
          <w:b/>
          <w:lang w:val="en-GB"/>
        </w:rPr>
        <w:t>Health and Social Care Level 3</w:t>
      </w:r>
      <w:r>
        <w:rPr>
          <w:lang w:val="en-GB"/>
        </w:rPr>
        <w:t>) (</w:t>
      </w:r>
      <w:proofErr w:type="spellStart"/>
      <w:r>
        <w:rPr>
          <w:lang w:val="en-GB"/>
        </w:rPr>
        <w:t>Futurelearn</w:t>
      </w:r>
      <w:proofErr w:type="spellEnd"/>
      <w:r>
        <w:rPr>
          <w:lang w:val="en-GB"/>
        </w:rPr>
        <w:t xml:space="preserve">, 2025). This provides the necessary knowledge &amp; skills regarding the service sector and professional build-up to excel in health &amp; social care. With this primary knowledge, I understand the </w:t>
      </w:r>
      <w:r w:rsidR="00445EBC">
        <w:rPr>
          <w:lang w:val="en-GB"/>
        </w:rPr>
        <w:t>need for and importance of</w:t>
      </w:r>
      <w:r>
        <w:rPr>
          <w:lang w:val="en-GB"/>
        </w:rPr>
        <w:t xml:space="preserve"> care management, leadership and observation, which is a first-hand contribution toward securing a job role like a social worker.</w:t>
      </w:r>
    </w:p>
    <w:p w14:paraId="1279EAF7" w14:textId="77777777" w:rsidR="00FD3B41" w:rsidRDefault="00FD3B41" w:rsidP="00FD3B41">
      <w:pPr>
        <w:rPr>
          <w:b/>
          <w:u w:val="single"/>
          <w:lang w:val="en-GB"/>
        </w:rPr>
      </w:pPr>
      <w:r>
        <w:rPr>
          <w:b/>
          <w:u w:val="single"/>
          <w:lang w:val="en-GB"/>
        </w:rPr>
        <w:t>Strengths</w:t>
      </w:r>
    </w:p>
    <w:p w14:paraId="6A37AFFD" w14:textId="77777777" w:rsidR="00FD3B41" w:rsidRDefault="00FD3B41" w:rsidP="00FD3B41">
      <w:pPr>
        <w:rPr>
          <w:lang w:val="en-GB"/>
        </w:rPr>
      </w:pPr>
      <w:r>
        <w:rPr>
          <w:lang w:val="en-GB"/>
        </w:rPr>
        <w:t>Based on the self-assessment, it has been identified that I have developed my strength across multiple areas, including effective communication with service users, emotional connection and ethical awareness. For instance, as a care worker, I ensure safeguarding practices, users’ confidentiality &amp; inclusive care. This directly defined my high-standard care to service users. Another example from my experience is that I observed a client with ASD, who needed emotional support due to their condition. I demonstrated my empathy and positively engaged while handling their daily care needs, like personal hygiene and mental stimulation.</w:t>
      </w:r>
    </w:p>
    <w:p w14:paraId="69302190" w14:textId="77777777" w:rsidR="002F26B9" w:rsidRDefault="002F26B9" w:rsidP="00FD3B41">
      <w:pPr>
        <w:rPr>
          <w:b/>
          <w:u w:val="single"/>
          <w:lang w:val="en-GB"/>
        </w:rPr>
      </w:pPr>
    </w:p>
    <w:p w14:paraId="756767D4" w14:textId="3C7B81D2" w:rsidR="00FD3B41" w:rsidRDefault="00FD3B41" w:rsidP="00FD3B41">
      <w:pPr>
        <w:rPr>
          <w:b/>
          <w:u w:val="single"/>
          <w:lang w:val="en-GB"/>
        </w:rPr>
      </w:pPr>
      <w:r>
        <w:rPr>
          <w:b/>
          <w:u w:val="single"/>
          <w:lang w:val="en-GB"/>
        </w:rPr>
        <w:lastRenderedPageBreak/>
        <w:t>Improvement Areas</w:t>
      </w:r>
    </w:p>
    <w:p w14:paraId="1B0737F0" w14:textId="77777777" w:rsidR="00FD3B41" w:rsidRDefault="00FD3B41" w:rsidP="00FD3B41">
      <w:pPr>
        <w:rPr>
          <w:lang w:val="en-GB"/>
        </w:rPr>
      </w:pPr>
      <w:r>
        <w:rPr>
          <w:lang w:val="en-GB"/>
        </w:rPr>
        <w:t>While there are strengths, I observed certain gaps in my experience, among which the foremost one is multidisciplinary collaboration. Indeed, I engaged with communities, service users and their families; however, I have limited exposure in direct collaboration with professionals across healthcare and educational sectors. Besides, I experienced a dilemma with time management during crises, where I needed adequate training.</w:t>
      </w:r>
    </w:p>
    <w:p w14:paraId="7EF9B8D7" w14:textId="77777777" w:rsidR="00FD3B41" w:rsidRDefault="00FD3B41" w:rsidP="00FD3B41">
      <w:pPr>
        <w:rPr>
          <w:b/>
          <w:u w:val="single"/>
          <w:lang w:val="en-GB"/>
        </w:rPr>
      </w:pPr>
      <w:r>
        <w:rPr>
          <w:b/>
          <w:u w:val="single"/>
          <w:lang w:val="en-GB"/>
        </w:rPr>
        <w:t>Key Person for Assistance</w:t>
      </w:r>
    </w:p>
    <w:p w14:paraId="4D351B52" w14:textId="77777777" w:rsidR="00FD3B41" w:rsidRDefault="00FD3B41" w:rsidP="00FD3B41">
      <w:pPr>
        <w:numPr>
          <w:ilvl w:val="0"/>
          <w:numId w:val="3"/>
        </w:numPr>
        <w:rPr>
          <w:lang w:val="en-GB"/>
        </w:rPr>
      </w:pPr>
      <w:r>
        <w:rPr>
          <w:b/>
          <w:lang w:val="en-GB"/>
        </w:rPr>
        <w:t xml:space="preserve">Professional Mentor </w:t>
      </w:r>
      <w:r>
        <w:rPr>
          <w:lang w:val="en-GB"/>
        </w:rPr>
        <w:t>- This individual can provide institutional guidance in developing my personal brand, besides strategic planning to achieve the role.</w:t>
      </w:r>
    </w:p>
    <w:p w14:paraId="09660583" w14:textId="77777777" w:rsidR="00FD3B41" w:rsidRDefault="00FD3B41" w:rsidP="00FD3B41">
      <w:pPr>
        <w:numPr>
          <w:ilvl w:val="0"/>
          <w:numId w:val="3"/>
        </w:numPr>
        <w:rPr>
          <w:lang w:val="en-GB"/>
        </w:rPr>
      </w:pPr>
      <w:r>
        <w:rPr>
          <w:b/>
          <w:lang w:val="en-GB"/>
        </w:rPr>
        <w:t xml:space="preserve">Placement Supervisor </w:t>
      </w:r>
      <w:r>
        <w:rPr>
          <w:lang w:val="en-GB"/>
        </w:rPr>
        <w:t>- As an institutional leader, the supervisor can provide real-world insights regarding multi-agency collaboration, besides effective crisis management.</w:t>
      </w:r>
    </w:p>
    <w:p w14:paraId="29EE3B92" w14:textId="77777777" w:rsidR="00FD3B41" w:rsidRDefault="00FD3B41" w:rsidP="00FD3B41">
      <w:pPr>
        <w:pStyle w:val="Heading1"/>
        <w:spacing w:after="0"/>
      </w:pPr>
      <w:bookmarkStart w:id="5" w:name="_beplzqb4lppu"/>
      <w:bookmarkEnd w:id="5"/>
    </w:p>
    <w:p w14:paraId="337026BB" w14:textId="77777777" w:rsidR="00FD3B41" w:rsidRDefault="00FD3B41" w:rsidP="00FD3B41">
      <w:pPr>
        <w:rPr>
          <w:b/>
          <w:sz w:val="28"/>
          <w:szCs w:val="28"/>
        </w:rPr>
      </w:pPr>
      <w:r>
        <w:br w:type="page"/>
      </w:r>
    </w:p>
    <w:p w14:paraId="708AB3D7" w14:textId="77777777" w:rsidR="00FD3B41" w:rsidRPr="00232B73" w:rsidRDefault="00FD3B41" w:rsidP="00FD3B41">
      <w:pPr>
        <w:pStyle w:val="Heading1"/>
        <w:spacing w:after="0"/>
        <w:rPr>
          <w:rFonts w:ascii="Arial" w:hAnsi="Arial" w:cs="Arial"/>
          <w:b/>
          <w:bCs/>
          <w:color w:val="auto"/>
          <w:sz w:val="24"/>
          <w:szCs w:val="24"/>
        </w:rPr>
      </w:pPr>
      <w:bookmarkStart w:id="6" w:name="_Toc209431307"/>
      <w:r w:rsidRPr="00232B73">
        <w:rPr>
          <w:rFonts w:ascii="Arial" w:hAnsi="Arial" w:cs="Arial"/>
          <w:b/>
          <w:bCs/>
          <w:color w:val="auto"/>
          <w:sz w:val="24"/>
          <w:szCs w:val="24"/>
        </w:rPr>
        <w:lastRenderedPageBreak/>
        <w:t>Create an Action Plan and Timeline</w:t>
      </w:r>
      <w:bookmarkEnd w:id="6"/>
    </w:p>
    <w:p w14:paraId="14222C21" w14:textId="77777777" w:rsidR="00FD3B41" w:rsidRPr="00232B73" w:rsidRDefault="00FD3B41" w:rsidP="00FD3B41">
      <w:pPr>
        <w:pStyle w:val="Heading2"/>
        <w:spacing w:after="0"/>
        <w:rPr>
          <w:rFonts w:ascii="Arial" w:hAnsi="Arial" w:cs="Arial"/>
          <w:b/>
          <w:bCs/>
          <w:color w:val="auto"/>
          <w:sz w:val="24"/>
          <w:szCs w:val="24"/>
        </w:rPr>
      </w:pPr>
      <w:bookmarkStart w:id="7" w:name="_fu1xw6pgw9tj"/>
      <w:bookmarkStart w:id="8" w:name="_Toc209431308"/>
      <w:bookmarkEnd w:id="7"/>
      <w:r w:rsidRPr="00232B73">
        <w:rPr>
          <w:rFonts w:ascii="Arial" w:hAnsi="Arial" w:cs="Arial"/>
          <w:b/>
          <w:bCs/>
          <w:color w:val="auto"/>
          <w:sz w:val="24"/>
          <w:szCs w:val="24"/>
        </w:rPr>
        <w:t>Action Plan</w:t>
      </w:r>
      <w:bookmarkEnd w:id="8"/>
    </w:p>
    <w:tbl>
      <w:tblPr>
        <w:tblStyle w:val="a"/>
        <w:tblW w:w="89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2955"/>
        <w:gridCol w:w="2685"/>
        <w:gridCol w:w="1560"/>
      </w:tblGrid>
      <w:tr w:rsidR="00FD3B41" w14:paraId="3B2E381E" w14:textId="77777777">
        <w:trPr>
          <w:jc w:val="center"/>
        </w:trPr>
        <w:tc>
          <w:tcPr>
            <w:tcW w:w="1740" w:type="dxa"/>
            <w:tcBorders>
              <w:top w:val="single" w:sz="8" w:space="0" w:color="000000"/>
              <w:left w:val="single" w:sz="8" w:space="0" w:color="000000"/>
              <w:bottom w:val="single" w:sz="8" w:space="0" w:color="000000"/>
              <w:right w:val="single" w:sz="8" w:space="0" w:color="000000"/>
            </w:tcBorders>
            <w:hideMark/>
          </w:tcPr>
          <w:p w14:paraId="7E03AC8D" w14:textId="77777777" w:rsidR="00FD3B41" w:rsidRDefault="00FD3B41">
            <w:pPr>
              <w:widowControl w:val="0"/>
              <w:jc w:val="center"/>
              <w:rPr>
                <w:b/>
              </w:rPr>
            </w:pPr>
            <w:r>
              <w:rPr>
                <w:b/>
              </w:rPr>
              <w:t>Goals</w:t>
            </w:r>
          </w:p>
        </w:tc>
        <w:tc>
          <w:tcPr>
            <w:tcW w:w="2955" w:type="dxa"/>
            <w:tcBorders>
              <w:top w:val="single" w:sz="8" w:space="0" w:color="000000"/>
              <w:left w:val="single" w:sz="8" w:space="0" w:color="000000"/>
              <w:bottom w:val="single" w:sz="8" w:space="0" w:color="000000"/>
              <w:right w:val="single" w:sz="8" w:space="0" w:color="000000"/>
            </w:tcBorders>
            <w:hideMark/>
          </w:tcPr>
          <w:p w14:paraId="6DFF90C2" w14:textId="77777777" w:rsidR="00FD3B41" w:rsidRDefault="00FD3B41">
            <w:pPr>
              <w:widowControl w:val="0"/>
              <w:jc w:val="center"/>
              <w:rPr>
                <w:b/>
              </w:rPr>
            </w:pPr>
            <w:r>
              <w:rPr>
                <w:b/>
              </w:rPr>
              <w:t>Actions</w:t>
            </w:r>
          </w:p>
        </w:tc>
        <w:tc>
          <w:tcPr>
            <w:tcW w:w="2685" w:type="dxa"/>
            <w:tcBorders>
              <w:top w:val="single" w:sz="8" w:space="0" w:color="000000"/>
              <w:left w:val="single" w:sz="8" w:space="0" w:color="000000"/>
              <w:bottom w:val="single" w:sz="8" w:space="0" w:color="000000"/>
              <w:right w:val="single" w:sz="8" w:space="0" w:color="000000"/>
            </w:tcBorders>
            <w:hideMark/>
          </w:tcPr>
          <w:p w14:paraId="00616648" w14:textId="77777777" w:rsidR="00FD3B41" w:rsidRDefault="00FD3B41">
            <w:pPr>
              <w:widowControl w:val="0"/>
              <w:jc w:val="center"/>
              <w:rPr>
                <w:b/>
              </w:rPr>
            </w:pPr>
            <w:r>
              <w:rPr>
                <w:b/>
              </w:rPr>
              <w:t>Outcomes</w:t>
            </w:r>
          </w:p>
        </w:tc>
        <w:tc>
          <w:tcPr>
            <w:tcW w:w="1560" w:type="dxa"/>
            <w:tcBorders>
              <w:top w:val="single" w:sz="8" w:space="0" w:color="000000"/>
              <w:left w:val="single" w:sz="8" w:space="0" w:color="000000"/>
              <w:bottom w:val="single" w:sz="8" w:space="0" w:color="000000"/>
              <w:right w:val="single" w:sz="8" w:space="0" w:color="000000"/>
            </w:tcBorders>
            <w:hideMark/>
          </w:tcPr>
          <w:p w14:paraId="339D78C0" w14:textId="77777777" w:rsidR="00FD3B41" w:rsidRDefault="00FD3B41">
            <w:pPr>
              <w:widowControl w:val="0"/>
              <w:jc w:val="center"/>
              <w:rPr>
                <w:b/>
              </w:rPr>
            </w:pPr>
            <w:r>
              <w:rPr>
                <w:b/>
              </w:rPr>
              <w:t>Timeline</w:t>
            </w:r>
          </w:p>
        </w:tc>
      </w:tr>
      <w:tr w:rsidR="00FD3B41" w14:paraId="2B07AAFE" w14:textId="77777777">
        <w:trPr>
          <w:jc w:val="center"/>
        </w:trPr>
        <w:tc>
          <w:tcPr>
            <w:tcW w:w="1740" w:type="dxa"/>
            <w:tcBorders>
              <w:top w:val="single" w:sz="8" w:space="0" w:color="000000"/>
              <w:left w:val="single" w:sz="8" w:space="0" w:color="000000"/>
              <w:bottom w:val="single" w:sz="8" w:space="0" w:color="000000"/>
              <w:right w:val="single" w:sz="8" w:space="0" w:color="000000"/>
            </w:tcBorders>
            <w:hideMark/>
          </w:tcPr>
          <w:p w14:paraId="772B9B01" w14:textId="77777777" w:rsidR="00FD3B41" w:rsidRDefault="00FD3B41">
            <w:pPr>
              <w:widowControl w:val="0"/>
              <w:rPr>
                <w:i/>
              </w:rPr>
            </w:pPr>
            <w:r>
              <w:rPr>
                <w:i/>
              </w:rPr>
              <w:t>Achieving the Required Qualification</w:t>
            </w:r>
          </w:p>
        </w:tc>
        <w:tc>
          <w:tcPr>
            <w:tcW w:w="2955" w:type="dxa"/>
            <w:tcBorders>
              <w:top w:val="single" w:sz="8" w:space="0" w:color="000000"/>
              <w:left w:val="single" w:sz="8" w:space="0" w:color="000000"/>
              <w:bottom w:val="single" w:sz="8" w:space="0" w:color="000000"/>
              <w:right w:val="single" w:sz="8" w:space="0" w:color="000000"/>
            </w:tcBorders>
            <w:hideMark/>
          </w:tcPr>
          <w:p w14:paraId="5EE679D6" w14:textId="091E54A8" w:rsidR="00FD3B41" w:rsidRDefault="00232B73">
            <w:pPr>
              <w:widowControl w:val="0"/>
            </w:pPr>
            <w:r>
              <w:t>Enroll</w:t>
            </w:r>
            <w:r w:rsidR="00FD3B41">
              <w:t xml:space="preserve"> to study and complete the BA (Hons.) Social Work following Cert HE.</w:t>
            </w:r>
          </w:p>
        </w:tc>
        <w:tc>
          <w:tcPr>
            <w:tcW w:w="2685" w:type="dxa"/>
            <w:tcBorders>
              <w:top w:val="single" w:sz="8" w:space="0" w:color="000000"/>
              <w:left w:val="single" w:sz="8" w:space="0" w:color="000000"/>
              <w:bottom w:val="single" w:sz="8" w:space="0" w:color="000000"/>
              <w:right w:val="single" w:sz="8" w:space="0" w:color="000000"/>
            </w:tcBorders>
            <w:hideMark/>
          </w:tcPr>
          <w:p w14:paraId="4ADCE5FA" w14:textId="77777777" w:rsidR="00FD3B41" w:rsidRDefault="00FD3B41">
            <w:pPr>
              <w:widowControl w:val="0"/>
            </w:pPr>
            <w:r>
              <w:t>Qualification to be registered with Social Work England.</w:t>
            </w:r>
          </w:p>
        </w:tc>
        <w:tc>
          <w:tcPr>
            <w:tcW w:w="1560" w:type="dxa"/>
            <w:tcBorders>
              <w:top w:val="single" w:sz="8" w:space="0" w:color="000000"/>
              <w:left w:val="single" w:sz="8" w:space="0" w:color="000000"/>
              <w:bottom w:val="single" w:sz="8" w:space="0" w:color="000000"/>
              <w:right w:val="single" w:sz="8" w:space="0" w:color="000000"/>
            </w:tcBorders>
            <w:hideMark/>
          </w:tcPr>
          <w:p w14:paraId="176F7C7E" w14:textId="77777777" w:rsidR="00FD3B41" w:rsidRDefault="00FD3B41">
            <w:pPr>
              <w:widowControl w:val="0"/>
              <w:jc w:val="center"/>
            </w:pPr>
            <w:r>
              <w:t>1-3 Years</w:t>
            </w:r>
          </w:p>
        </w:tc>
      </w:tr>
      <w:tr w:rsidR="00FD3B41" w14:paraId="6B453717" w14:textId="77777777">
        <w:trPr>
          <w:jc w:val="center"/>
        </w:trPr>
        <w:tc>
          <w:tcPr>
            <w:tcW w:w="1740" w:type="dxa"/>
            <w:tcBorders>
              <w:top w:val="single" w:sz="8" w:space="0" w:color="000000"/>
              <w:left w:val="single" w:sz="8" w:space="0" w:color="000000"/>
              <w:bottom w:val="single" w:sz="8" w:space="0" w:color="000000"/>
              <w:right w:val="single" w:sz="8" w:space="0" w:color="000000"/>
            </w:tcBorders>
            <w:hideMark/>
          </w:tcPr>
          <w:p w14:paraId="6037951C" w14:textId="77777777" w:rsidR="00FD3B41" w:rsidRDefault="00FD3B41">
            <w:pPr>
              <w:widowControl w:val="0"/>
              <w:rPr>
                <w:i/>
              </w:rPr>
            </w:pPr>
            <w:r>
              <w:rPr>
                <w:i/>
              </w:rPr>
              <w:t>Develop Specialist Skills</w:t>
            </w:r>
          </w:p>
        </w:tc>
        <w:tc>
          <w:tcPr>
            <w:tcW w:w="2955" w:type="dxa"/>
            <w:tcBorders>
              <w:top w:val="single" w:sz="8" w:space="0" w:color="000000"/>
              <w:left w:val="single" w:sz="8" w:space="0" w:color="000000"/>
              <w:bottom w:val="single" w:sz="8" w:space="0" w:color="000000"/>
              <w:right w:val="single" w:sz="8" w:space="0" w:color="000000"/>
            </w:tcBorders>
            <w:hideMark/>
          </w:tcPr>
          <w:p w14:paraId="4F602DE9" w14:textId="77777777" w:rsidR="00FD3B41" w:rsidRDefault="00FD3B41">
            <w:pPr>
              <w:widowControl w:val="0"/>
            </w:pPr>
            <w:r>
              <w:t>Attend CPD seminars (trauma-informed care, safeguarding &amp; awareness of domestic violence).</w:t>
            </w:r>
          </w:p>
        </w:tc>
        <w:tc>
          <w:tcPr>
            <w:tcW w:w="2685" w:type="dxa"/>
            <w:tcBorders>
              <w:top w:val="single" w:sz="8" w:space="0" w:color="000000"/>
              <w:left w:val="single" w:sz="8" w:space="0" w:color="000000"/>
              <w:bottom w:val="single" w:sz="8" w:space="0" w:color="000000"/>
              <w:right w:val="single" w:sz="8" w:space="0" w:color="000000"/>
            </w:tcBorders>
            <w:hideMark/>
          </w:tcPr>
          <w:p w14:paraId="37CE1C36" w14:textId="77777777" w:rsidR="00FD3B41" w:rsidRDefault="00FD3B41">
            <w:pPr>
              <w:widowControl w:val="0"/>
            </w:pPr>
            <w:r>
              <w:t>Enhanced employability and improved, sophisticated case management skills.</w:t>
            </w:r>
          </w:p>
        </w:tc>
        <w:tc>
          <w:tcPr>
            <w:tcW w:w="1560" w:type="dxa"/>
            <w:tcBorders>
              <w:top w:val="single" w:sz="8" w:space="0" w:color="000000"/>
              <w:left w:val="single" w:sz="8" w:space="0" w:color="000000"/>
              <w:bottom w:val="single" w:sz="8" w:space="0" w:color="000000"/>
              <w:right w:val="single" w:sz="8" w:space="0" w:color="000000"/>
            </w:tcBorders>
            <w:hideMark/>
          </w:tcPr>
          <w:p w14:paraId="791D11EA" w14:textId="77777777" w:rsidR="00FD3B41" w:rsidRDefault="00FD3B41">
            <w:pPr>
              <w:widowControl w:val="0"/>
              <w:jc w:val="center"/>
            </w:pPr>
            <w:r>
              <w:t>6-18 Months</w:t>
            </w:r>
          </w:p>
        </w:tc>
      </w:tr>
      <w:tr w:rsidR="00FD3B41" w14:paraId="2A33B117" w14:textId="77777777">
        <w:trPr>
          <w:jc w:val="center"/>
        </w:trPr>
        <w:tc>
          <w:tcPr>
            <w:tcW w:w="1740" w:type="dxa"/>
            <w:tcBorders>
              <w:top w:val="single" w:sz="8" w:space="0" w:color="000000"/>
              <w:left w:val="single" w:sz="8" w:space="0" w:color="000000"/>
              <w:bottom w:val="single" w:sz="8" w:space="0" w:color="000000"/>
              <w:right w:val="single" w:sz="8" w:space="0" w:color="000000"/>
            </w:tcBorders>
            <w:hideMark/>
          </w:tcPr>
          <w:p w14:paraId="595F5B93" w14:textId="77777777" w:rsidR="00FD3B41" w:rsidRDefault="00FD3B41">
            <w:pPr>
              <w:widowControl w:val="0"/>
              <w:rPr>
                <w:i/>
              </w:rPr>
            </w:pPr>
            <w:r>
              <w:rPr>
                <w:i/>
              </w:rPr>
              <w:t>Gain Practical Experience</w:t>
            </w:r>
          </w:p>
        </w:tc>
        <w:tc>
          <w:tcPr>
            <w:tcW w:w="2955" w:type="dxa"/>
            <w:tcBorders>
              <w:top w:val="single" w:sz="8" w:space="0" w:color="000000"/>
              <w:left w:val="single" w:sz="8" w:space="0" w:color="000000"/>
              <w:bottom w:val="single" w:sz="8" w:space="0" w:color="000000"/>
              <w:right w:val="single" w:sz="8" w:space="0" w:color="000000"/>
            </w:tcBorders>
            <w:hideMark/>
          </w:tcPr>
          <w:p w14:paraId="3A48F7BC" w14:textId="77777777" w:rsidR="00FD3B41" w:rsidRDefault="00FD3B41">
            <w:pPr>
              <w:widowControl w:val="0"/>
            </w:pPr>
            <w:r>
              <w:t>Secure placements, volunteer roles in the local authority, NHS Trusts or NGOs.</w:t>
            </w:r>
          </w:p>
        </w:tc>
        <w:tc>
          <w:tcPr>
            <w:tcW w:w="2685" w:type="dxa"/>
            <w:tcBorders>
              <w:top w:val="single" w:sz="8" w:space="0" w:color="000000"/>
              <w:left w:val="single" w:sz="8" w:space="0" w:color="000000"/>
              <w:bottom w:val="single" w:sz="8" w:space="0" w:color="000000"/>
              <w:right w:val="single" w:sz="8" w:space="0" w:color="000000"/>
            </w:tcBorders>
            <w:hideMark/>
          </w:tcPr>
          <w:p w14:paraId="1C54BF44" w14:textId="77777777" w:rsidR="00FD3B41" w:rsidRDefault="00FD3B41">
            <w:pPr>
              <w:widowControl w:val="0"/>
            </w:pPr>
            <w:r>
              <w:t>Hands-on experience in statutory interventions and care planning.</w:t>
            </w:r>
          </w:p>
        </w:tc>
        <w:tc>
          <w:tcPr>
            <w:tcW w:w="1560" w:type="dxa"/>
            <w:tcBorders>
              <w:top w:val="single" w:sz="8" w:space="0" w:color="000000"/>
              <w:left w:val="single" w:sz="8" w:space="0" w:color="000000"/>
              <w:bottom w:val="single" w:sz="8" w:space="0" w:color="000000"/>
              <w:right w:val="single" w:sz="8" w:space="0" w:color="000000"/>
            </w:tcBorders>
            <w:hideMark/>
          </w:tcPr>
          <w:p w14:paraId="7A3A509E" w14:textId="77777777" w:rsidR="00FD3B41" w:rsidRDefault="00FD3B41">
            <w:pPr>
              <w:widowControl w:val="0"/>
              <w:jc w:val="center"/>
            </w:pPr>
            <w:r>
              <w:t>12-36 Months</w:t>
            </w:r>
          </w:p>
        </w:tc>
      </w:tr>
      <w:tr w:rsidR="00FD3B41" w14:paraId="2C75EF33" w14:textId="77777777">
        <w:trPr>
          <w:jc w:val="center"/>
        </w:trPr>
        <w:tc>
          <w:tcPr>
            <w:tcW w:w="1740" w:type="dxa"/>
            <w:tcBorders>
              <w:top w:val="single" w:sz="8" w:space="0" w:color="000000"/>
              <w:left w:val="single" w:sz="8" w:space="0" w:color="000000"/>
              <w:bottom w:val="single" w:sz="8" w:space="0" w:color="000000"/>
              <w:right w:val="single" w:sz="8" w:space="0" w:color="000000"/>
            </w:tcBorders>
            <w:hideMark/>
          </w:tcPr>
          <w:p w14:paraId="1C1D8438" w14:textId="77777777" w:rsidR="00FD3B41" w:rsidRDefault="00FD3B41">
            <w:pPr>
              <w:widowControl w:val="0"/>
              <w:rPr>
                <w:i/>
              </w:rPr>
            </w:pPr>
            <w:r>
              <w:rPr>
                <w:i/>
              </w:rPr>
              <w:t>Build Digital &amp; Administrative Competence</w:t>
            </w:r>
          </w:p>
        </w:tc>
        <w:tc>
          <w:tcPr>
            <w:tcW w:w="2955" w:type="dxa"/>
            <w:tcBorders>
              <w:top w:val="single" w:sz="8" w:space="0" w:color="000000"/>
              <w:left w:val="single" w:sz="8" w:space="0" w:color="000000"/>
              <w:bottom w:val="single" w:sz="8" w:space="0" w:color="000000"/>
              <w:right w:val="single" w:sz="8" w:space="0" w:color="000000"/>
            </w:tcBorders>
            <w:hideMark/>
          </w:tcPr>
          <w:p w14:paraId="3366090C" w14:textId="77777777" w:rsidR="00FD3B41" w:rsidRDefault="00FD3B41">
            <w:pPr>
              <w:widowControl w:val="0"/>
            </w:pPr>
            <w:r>
              <w:t>To achieve the NHS Digital Literacy course and Data Protection, run training workshops.</w:t>
            </w:r>
          </w:p>
        </w:tc>
        <w:tc>
          <w:tcPr>
            <w:tcW w:w="2685" w:type="dxa"/>
            <w:tcBorders>
              <w:top w:val="single" w:sz="8" w:space="0" w:color="000000"/>
              <w:left w:val="single" w:sz="8" w:space="0" w:color="000000"/>
              <w:bottom w:val="single" w:sz="8" w:space="0" w:color="000000"/>
              <w:right w:val="single" w:sz="8" w:space="0" w:color="000000"/>
            </w:tcBorders>
            <w:hideMark/>
          </w:tcPr>
          <w:p w14:paraId="6C75EDBE" w14:textId="77777777" w:rsidR="00FD3B41" w:rsidRDefault="00FD3B41">
            <w:pPr>
              <w:widowControl w:val="0"/>
            </w:pPr>
            <w:r>
              <w:t>Confident use of electronic case management systems.</w:t>
            </w:r>
          </w:p>
        </w:tc>
        <w:tc>
          <w:tcPr>
            <w:tcW w:w="1560" w:type="dxa"/>
            <w:tcBorders>
              <w:top w:val="single" w:sz="8" w:space="0" w:color="000000"/>
              <w:left w:val="single" w:sz="8" w:space="0" w:color="000000"/>
              <w:bottom w:val="single" w:sz="8" w:space="0" w:color="000000"/>
              <w:right w:val="single" w:sz="8" w:space="0" w:color="000000"/>
            </w:tcBorders>
            <w:hideMark/>
          </w:tcPr>
          <w:p w14:paraId="032E90CE" w14:textId="77777777" w:rsidR="00FD3B41" w:rsidRDefault="00FD3B41">
            <w:pPr>
              <w:widowControl w:val="0"/>
              <w:jc w:val="center"/>
            </w:pPr>
            <w:r>
              <w:t>6-12 Months</w:t>
            </w:r>
          </w:p>
        </w:tc>
      </w:tr>
      <w:tr w:rsidR="00FD3B41" w14:paraId="544A5B39" w14:textId="77777777">
        <w:trPr>
          <w:jc w:val="center"/>
        </w:trPr>
        <w:tc>
          <w:tcPr>
            <w:tcW w:w="1740" w:type="dxa"/>
            <w:tcBorders>
              <w:top w:val="single" w:sz="8" w:space="0" w:color="000000"/>
              <w:left w:val="single" w:sz="8" w:space="0" w:color="000000"/>
              <w:bottom w:val="single" w:sz="8" w:space="0" w:color="000000"/>
              <w:right w:val="single" w:sz="8" w:space="0" w:color="000000"/>
            </w:tcBorders>
            <w:hideMark/>
          </w:tcPr>
          <w:p w14:paraId="4366527E" w14:textId="77777777" w:rsidR="00FD3B41" w:rsidRDefault="00FD3B41">
            <w:pPr>
              <w:widowControl w:val="0"/>
              <w:rPr>
                <w:i/>
              </w:rPr>
            </w:pPr>
            <w:r>
              <w:rPr>
                <w:i/>
              </w:rPr>
              <w:t>Professional Registration &amp; Employment</w:t>
            </w:r>
          </w:p>
        </w:tc>
        <w:tc>
          <w:tcPr>
            <w:tcW w:w="2955" w:type="dxa"/>
            <w:tcBorders>
              <w:top w:val="single" w:sz="8" w:space="0" w:color="000000"/>
              <w:left w:val="single" w:sz="8" w:space="0" w:color="000000"/>
              <w:bottom w:val="single" w:sz="8" w:space="0" w:color="000000"/>
              <w:right w:val="single" w:sz="8" w:space="0" w:color="000000"/>
            </w:tcBorders>
            <w:hideMark/>
          </w:tcPr>
          <w:p w14:paraId="477789E2" w14:textId="77777777" w:rsidR="00FD3B41" w:rsidRDefault="00FD3B41">
            <w:pPr>
              <w:widowControl w:val="0"/>
            </w:pPr>
            <w:r>
              <w:t>Apply for registration with Social Work England. Apply for Social Worker posts.</w:t>
            </w:r>
          </w:p>
        </w:tc>
        <w:tc>
          <w:tcPr>
            <w:tcW w:w="2685" w:type="dxa"/>
            <w:tcBorders>
              <w:top w:val="single" w:sz="8" w:space="0" w:color="000000"/>
              <w:left w:val="single" w:sz="8" w:space="0" w:color="000000"/>
              <w:bottom w:val="single" w:sz="8" w:space="0" w:color="000000"/>
              <w:right w:val="single" w:sz="8" w:space="0" w:color="000000"/>
            </w:tcBorders>
            <w:hideMark/>
          </w:tcPr>
          <w:p w14:paraId="4FF18256" w14:textId="77777777" w:rsidR="00FD3B41" w:rsidRDefault="00FD3B41">
            <w:pPr>
              <w:widowControl w:val="0"/>
            </w:pPr>
            <w:r>
              <w:t>Acceptance as a Professional Social Worker.</w:t>
            </w:r>
          </w:p>
        </w:tc>
        <w:tc>
          <w:tcPr>
            <w:tcW w:w="1560" w:type="dxa"/>
            <w:tcBorders>
              <w:top w:val="single" w:sz="8" w:space="0" w:color="000000"/>
              <w:left w:val="single" w:sz="8" w:space="0" w:color="000000"/>
              <w:bottom w:val="single" w:sz="8" w:space="0" w:color="000000"/>
              <w:right w:val="single" w:sz="8" w:space="0" w:color="000000"/>
            </w:tcBorders>
            <w:hideMark/>
          </w:tcPr>
          <w:p w14:paraId="7F21F1E8" w14:textId="77777777" w:rsidR="00FD3B41" w:rsidRDefault="00FD3B41">
            <w:pPr>
              <w:widowControl w:val="0"/>
              <w:jc w:val="center"/>
            </w:pPr>
            <w:r>
              <w:t>3-5 Years</w:t>
            </w:r>
          </w:p>
        </w:tc>
      </w:tr>
    </w:tbl>
    <w:p w14:paraId="439A82FB" w14:textId="77777777" w:rsidR="00FD3B41" w:rsidRPr="00445EBC" w:rsidRDefault="00FD3B41" w:rsidP="00FD3B41">
      <w:pPr>
        <w:pStyle w:val="Heading5"/>
        <w:spacing w:after="0"/>
        <w:rPr>
          <w:color w:val="auto"/>
        </w:rPr>
      </w:pPr>
      <w:bookmarkStart w:id="9" w:name="_fdln1rynqqvw"/>
      <w:bookmarkStart w:id="10" w:name="_Toc209431297"/>
      <w:bookmarkEnd w:id="9"/>
      <w:r w:rsidRPr="00445EBC">
        <w:rPr>
          <w:color w:val="auto"/>
        </w:rPr>
        <w:t>Table 1: Action Planning</w:t>
      </w:r>
      <w:bookmarkEnd w:id="10"/>
    </w:p>
    <w:p w14:paraId="199FB8E5" w14:textId="77777777" w:rsidR="00FD3B41" w:rsidRDefault="00FD3B41" w:rsidP="00FD3B41">
      <w:pPr>
        <w:jc w:val="center"/>
      </w:pPr>
      <w:r>
        <w:t>(Source: Author)</w:t>
      </w:r>
    </w:p>
    <w:p w14:paraId="1F84D746" w14:textId="208D588A" w:rsidR="00FD3B41" w:rsidRDefault="00FD3B41" w:rsidP="00FD3B41">
      <w:r>
        <w:lastRenderedPageBreak/>
        <w:t xml:space="preserve">The action plan provides a structured pathway to becoming a Social Worker through the combination of academic, specialist training and practical experience. Short-term goals focus on digital competence and CPD workshops, while medium-term goals are </w:t>
      </w:r>
      <w:r w:rsidR="00445EBC">
        <w:t>centered</w:t>
      </w:r>
      <w:r>
        <w:t xml:space="preserve"> on completing a BA (Hons) in Social Work, as well as statutory placements. Long-term employment aims include Social Work England registration and employment. This is a staged timeline to ensure the progressive development of professional qualifications, core skills, and experience, which are necessary as a basis for sustainable career success.</w:t>
      </w:r>
    </w:p>
    <w:p w14:paraId="4643671B" w14:textId="77777777" w:rsidR="00FD3B41" w:rsidRPr="00445EBC" w:rsidRDefault="00FD3B41" w:rsidP="00FD3B41">
      <w:pPr>
        <w:pStyle w:val="Heading2"/>
        <w:spacing w:after="0"/>
        <w:rPr>
          <w:rFonts w:ascii="Arial" w:hAnsi="Arial" w:cs="Arial"/>
          <w:b/>
          <w:bCs/>
          <w:color w:val="auto"/>
          <w:sz w:val="24"/>
          <w:szCs w:val="24"/>
        </w:rPr>
      </w:pPr>
      <w:bookmarkStart w:id="11" w:name="_y7562m3mcvn0"/>
      <w:bookmarkStart w:id="12" w:name="_Toc209431309"/>
      <w:bookmarkEnd w:id="11"/>
      <w:r w:rsidRPr="00445EBC">
        <w:rPr>
          <w:rFonts w:ascii="Arial" w:hAnsi="Arial" w:cs="Arial"/>
          <w:b/>
          <w:bCs/>
          <w:color w:val="auto"/>
          <w:sz w:val="24"/>
          <w:szCs w:val="24"/>
        </w:rPr>
        <w:t>Timeline</w:t>
      </w:r>
      <w:bookmarkEnd w:id="12"/>
    </w:p>
    <w:tbl>
      <w:tblPr>
        <w:tblStyle w:val="a0"/>
        <w:tblW w:w="903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6"/>
        <w:gridCol w:w="1806"/>
        <w:gridCol w:w="1806"/>
        <w:gridCol w:w="1806"/>
      </w:tblGrid>
      <w:tr w:rsidR="00FD3B41" w14:paraId="0C0669F9"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22D74603" w14:textId="77777777" w:rsidR="00FD3B41" w:rsidRDefault="00FD3B41">
            <w:pPr>
              <w:widowControl w:val="0"/>
              <w:jc w:val="center"/>
              <w:rPr>
                <w:b/>
              </w:rPr>
            </w:pPr>
            <w:r>
              <w:rPr>
                <w:b/>
              </w:rPr>
              <w:t>Tasks</w:t>
            </w:r>
          </w:p>
        </w:tc>
        <w:tc>
          <w:tcPr>
            <w:tcW w:w="1805" w:type="dxa"/>
            <w:tcBorders>
              <w:top w:val="single" w:sz="8" w:space="0" w:color="000000"/>
              <w:left w:val="single" w:sz="8" w:space="0" w:color="000000"/>
              <w:bottom w:val="single" w:sz="8" w:space="0" w:color="000000"/>
              <w:right w:val="single" w:sz="8" w:space="0" w:color="000000"/>
            </w:tcBorders>
            <w:hideMark/>
          </w:tcPr>
          <w:p w14:paraId="37A59457" w14:textId="77777777" w:rsidR="00FD3B41" w:rsidRDefault="00FD3B41">
            <w:pPr>
              <w:widowControl w:val="0"/>
              <w:jc w:val="center"/>
              <w:rPr>
                <w:b/>
              </w:rPr>
            </w:pPr>
            <w:r>
              <w:rPr>
                <w:b/>
              </w:rPr>
              <w:t>Start Date</w:t>
            </w:r>
          </w:p>
        </w:tc>
        <w:tc>
          <w:tcPr>
            <w:tcW w:w="1805" w:type="dxa"/>
            <w:tcBorders>
              <w:top w:val="single" w:sz="8" w:space="0" w:color="000000"/>
              <w:left w:val="single" w:sz="8" w:space="0" w:color="000000"/>
              <w:bottom w:val="single" w:sz="8" w:space="0" w:color="000000"/>
              <w:right w:val="single" w:sz="8" w:space="0" w:color="000000"/>
            </w:tcBorders>
            <w:hideMark/>
          </w:tcPr>
          <w:p w14:paraId="6638B0BC" w14:textId="77777777" w:rsidR="00FD3B41" w:rsidRDefault="00FD3B41">
            <w:pPr>
              <w:widowControl w:val="0"/>
              <w:jc w:val="center"/>
              <w:rPr>
                <w:b/>
              </w:rPr>
            </w:pPr>
            <w:r>
              <w:rPr>
                <w:b/>
              </w:rPr>
              <w:t>End Date</w:t>
            </w:r>
          </w:p>
        </w:tc>
        <w:tc>
          <w:tcPr>
            <w:tcW w:w="1805" w:type="dxa"/>
            <w:tcBorders>
              <w:top w:val="single" w:sz="8" w:space="0" w:color="000000"/>
              <w:left w:val="single" w:sz="8" w:space="0" w:color="000000"/>
              <w:bottom w:val="single" w:sz="8" w:space="0" w:color="000000"/>
              <w:right w:val="single" w:sz="8" w:space="0" w:color="000000"/>
            </w:tcBorders>
            <w:hideMark/>
          </w:tcPr>
          <w:p w14:paraId="27E1020D" w14:textId="77777777" w:rsidR="00FD3B41" w:rsidRDefault="00FD3B41">
            <w:pPr>
              <w:widowControl w:val="0"/>
              <w:jc w:val="center"/>
              <w:rPr>
                <w:b/>
              </w:rPr>
            </w:pPr>
            <w:r>
              <w:rPr>
                <w:b/>
              </w:rPr>
              <w:t>Duration</w:t>
            </w:r>
          </w:p>
        </w:tc>
        <w:tc>
          <w:tcPr>
            <w:tcW w:w="1805" w:type="dxa"/>
            <w:tcBorders>
              <w:top w:val="single" w:sz="8" w:space="0" w:color="000000"/>
              <w:left w:val="single" w:sz="8" w:space="0" w:color="000000"/>
              <w:bottom w:val="single" w:sz="8" w:space="0" w:color="000000"/>
              <w:right w:val="single" w:sz="8" w:space="0" w:color="000000"/>
            </w:tcBorders>
            <w:hideMark/>
          </w:tcPr>
          <w:p w14:paraId="7E1879D2" w14:textId="77777777" w:rsidR="00FD3B41" w:rsidRDefault="00FD3B41">
            <w:pPr>
              <w:widowControl w:val="0"/>
              <w:jc w:val="center"/>
              <w:rPr>
                <w:b/>
              </w:rPr>
            </w:pPr>
            <w:r>
              <w:rPr>
                <w:b/>
              </w:rPr>
              <w:t>Dependencies</w:t>
            </w:r>
          </w:p>
        </w:tc>
      </w:tr>
      <w:tr w:rsidR="00FD3B41" w14:paraId="37EFDC96"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6D1C3285" w14:textId="77777777" w:rsidR="00FD3B41" w:rsidRDefault="00FD3B41">
            <w:pPr>
              <w:widowControl w:val="0"/>
              <w:rPr>
                <w:i/>
              </w:rPr>
            </w:pPr>
            <w:r>
              <w:rPr>
                <w:i/>
              </w:rPr>
              <w:t>Preparation (complete Cert HE &amp; volunteering)</w:t>
            </w:r>
          </w:p>
        </w:tc>
        <w:tc>
          <w:tcPr>
            <w:tcW w:w="1805" w:type="dxa"/>
            <w:tcBorders>
              <w:top w:val="single" w:sz="8" w:space="0" w:color="000000"/>
              <w:left w:val="single" w:sz="8" w:space="0" w:color="000000"/>
              <w:bottom w:val="single" w:sz="8" w:space="0" w:color="000000"/>
              <w:right w:val="single" w:sz="8" w:space="0" w:color="000000"/>
            </w:tcBorders>
            <w:hideMark/>
          </w:tcPr>
          <w:p w14:paraId="6DCB19F1" w14:textId="77777777" w:rsidR="00FD3B41" w:rsidRDefault="00FD3B41">
            <w:pPr>
              <w:widowControl w:val="0"/>
              <w:jc w:val="center"/>
            </w:pPr>
            <w:r>
              <w:t>March 2024</w:t>
            </w:r>
          </w:p>
        </w:tc>
        <w:tc>
          <w:tcPr>
            <w:tcW w:w="1805" w:type="dxa"/>
            <w:tcBorders>
              <w:top w:val="single" w:sz="8" w:space="0" w:color="000000"/>
              <w:left w:val="single" w:sz="8" w:space="0" w:color="000000"/>
              <w:bottom w:val="single" w:sz="8" w:space="0" w:color="000000"/>
              <w:right w:val="single" w:sz="8" w:space="0" w:color="000000"/>
            </w:tcBorders>
            <w:hideMark/>
          </w:tcPr>
          <w:p w14:paraId="23AF15AF" w14:textId="77777777" w:rsidR="00FD3B41" w:rsidRDefault="00FD3B41">
            <w:pPr>
              <w:widowControl w:val="0"/>
              <w:jc w:val="center"/>
            </w:pPr>
            <w:r>
              <w:t>March 2025</w:t>
            </w:r>
          </w:p>
        </w:tc>
        <w:tc>
          <w:tcPr>
            <w:tcW w:w="1805" w:type="dxa"/>
            <w:tcBorders>
              <w:top w:val="single" w:sz="8" w:space="0" w:color="000000"/>
              <w:left w:val="single" w:sz="8" w:space="0" w:color="000000"/>
              <w:bottom w:val="single" w:sz="8" w:space="0" w:color="000000"/>
              <w:right w:val="single" w:sz="8" w:space="0" w:color="000000"/>
            </w:tcBorders>
            <w:hideMark/>
          </w:tcPr>
          <w:p w14:paraId="0EDF9A0B" w14:textId="77777777" w:rsidR="00FD3B41" w:rsidRDefault="00FD3B41">
            <w:pPr>
              <w:widowControl w:val="0"/>
              <w:jc w:val="center"/>
            </w:pPr>
            <w:r>
              <w:t>12 months</w:t>
            </w:r>
          </w:p>
        </w:tc>
        <w:tc>
          <w:tcPr>
            <w:tcW w:w="1805" w:type="dxa"/>
            <w:tcBorders>
              <w:top w:val="single" w:sz="8" w:space="0" w:color="000000"/>
              <w:left w:val="single" w:sz="8" w:space="0" w:color="000000"/>
              <w:bottom w:val="single" w:sz="8" w:space="0" w:color="000000"/>
              <w:right w:val="single" w:sz="8" w:space="0" w:color="000000"/>
            </w:tcBorders>
            <w:hideMark/>
          </w:tcPr>
          <w:p w14:paraId="332545B4" w14:textId="77777777" w:rsidR="00FD3B41" w:rsidRDefault="00FD3B41">
            <w:pPr>
              <w:widowControl w:val="0"/>
            </w:pPr>
            <w:r>
              <w:t>Current studies</w:t>
            </w:r>
          </w:p>
        </w:tc>
      </w:tr>
      <w:tr w:rsidR="00FD3B41" w14:paraId="1812B241"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07EE4A4D" w14:textId="77777777" w:rsidR="00FD3B41" w:rsidRDefault="00FD3B41">
            <w:pPr>
              <w:widowControl w:val="0"/>
              <w:rPr>
                <w:i/>
              </w:rPr>
            </w:pPr>
            <w:r>
              <w:rPr>
                <w:i/>
              </w:rPr>
              <w:t>Academic Progression (BA Hons Social Work enrolment &amp; study)</w:t>
            </w:r>
          </w:p>
        </w:tc>
        <w:tc>
          <w:tcPr>
            <w:tcW w:w="1805" w:type="dxa"/>
            <w:tcBorders>
              <w:top w:val="single" w:sz="8" w:space="0" w:color="000000"/>
              <w:left w:val="single" w:sz="8" w:space="0" w:color="000000"/>
              <w:bottom w:val="single" w:sz="8" w:space="0" w:color="000000"/>
              <w:right w:val="single" w:sz="8" w:space="0" w:color="000000"/>
            </w:tcBorders>
            <w:hideMark/>
          </w:tcPr>
          <w:p w14:paraId="5BA51D59" w14:textId="77777777" w:rsidR="00FD3B41" w:rsidRDefault="00FD3B41">
            <w:pPr>
              <w:widowControl w:val="0"/>
              <w:jc w:val="center"/>
            </w:pPr>
            <w:r>
              <w:t>April 2025</w:t>
            </w:r>
          </w:p>
        </w:tc>
        <w:tc>
          <w:tcPr>
            <w:tcW w:w="1805" w:type="dxa"/>
            <w:tcBorders>
              <w:top w:val="single" w:sz="8" w:space="0" w:color="000000"/>
              <w:left w:val="single" w:sz="8" w:space="0" w:color="000000"/>
              <w:bottom w:val="single" w:sz="8" w:space="0" w:color="000000"/>
              <w:right w:val="single" w:sz="8" w:space="0" w:color="000000"/>
            </w:tcBorders>
            <w:hideMark/>
          </w:tcPr>
          <w:p w14:paraId="6863D411" w14:textId="77777777" w:rsidR="00FD3B41" w:rsidRDefault="00FD3B41">
            <w:pPr>
              <w:widowControl w:val="0"/>
              <w:jc w:val="center"/>
            </w:pPr>
            <w:r>
              <w:t>March 2028</w:t>
            </w:r>
          </w:p>
        </w:tc>
        <w:tc>
          <w:tcPr>
            <w:tcW w:w="1805" w:type="dxa"/>
            <w:tcBorders>
              <w:top w:val="single" w:sz="8" w:space="0" w:color="000000"/>
              <w:left w:val="single" w:sz="8" w:space="0" w:color="000000"/>
              <w:bottom w:val="single" w:sz="8" w:space="0" w:color="000000"/>
              <w:right w:val="single" w:sz="8" w:space="0" w:color="000000"/>
            </w:tcBorders>
            <w:hideMark/>
          </w:tcPr>
          <w:p w14:paraId="58CB903A" w14:textId="77777777" w:rsidR="00FD3B41" w:rsidRDefault="00FD3B41">
            <w:pPr>
              <w:widowControl w:val="0"/>
              <w:jc w:val="center"/>
            </w:pPr>
            <w:r>
              <w:t>36 Months or 3 years</w:t>
            </w:r>
          </w:p>
        </w:tc>
        <w:tc>
          <w:tcPr>
            <w:tcW w:w="1805" w:type="dxa"/>
            <w:tcBorders>
              <w:top w:val="single" w:sz="8" w:space="0" w:color="000000"/>
              <w:left w:val="single" w:sz="8" w:space="0" w:color="000000"/>
              <w:bottom w:val="single" w:sz="8" w:space="0" w:color="000000"/>
              <w:right w:val="single" w:sz="8" w:space="0" w:color="000000"/>
            </w:tcBorders>
            <w:hideMark/>
          </w:tcPr>
          <w:p w14:paraId="1468EB2C" w14:textId="77777777" w:rsidR="00FD3B41" w:rsidRDefault="00FD3B41">
            <w:pPr>
              <w:widowControl w:val="0"/>
            </w:pPr>
            <w:r>
              <w:t>Cert HE completion</w:t>
            </w:r>
          </w:p>
        </w:tc>
      </w:tr>
      <w:tr w:rsidR="00FD3B41" w14:paraId="47E19DD5"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204D3517" w14:textId="77777777" w:rsidR="00FD3B41" w:rsidRDefault="00FD3B41">
            <w:pPr>
              <w:widowControl w:val="0"/>
              <w:rPr>
                <w:i/>
              </w:rPr>
            </w:pPr>
            <w:r>
              <w:rPr>
                <w:i/>
              </w:rPr>
              <w:t>Specialist Skills Training (CPD workshops: trauma, safeguarding, domestic abuse)</w:t>
            </w:r>
          </w:p>
        </w:tc>
        <w:tc>
          <w:tcPr>
            <w:tcW w:w="1805" w:type="dxa"/>
            <w:tcBorders>
              <w:top w:val="single" w:sz="8" w:space="0" w:color="000000"/>
              <w:left w:val="single" w:sz="8" w:space="0" w:color="000000"/>
              <w:bottom w:val="single" w:sz="8" w:space="0" w:color="000000"/>
              <w:right w:val="single" w:sz="8" w:space="0" w:color="000000"/>
            </w:tcBorders>
            <w:hideMark/>
          </w:tcPr>
          <w:p w14:paraId="4CFA8627" w14:textId="77777777" w:rsidR="00FD3B41" w:rsidRDefault="00FD3B41">
            <w:pPr>
              <w:widowControl w:val="0"/>
              <w:jc w:val="center"/>
            </w:pPr>
            <w:r>
              <w:t>May 2025</w:t>
            </w:r>
          </w:p>
        </w:tc>
        <w:tc>
          <w:tcPr>
            <w:tcW w:w="1805" w:type="dxa"/>
            <w:tcBorders>
              <w:top w:val="single" w:sz="8" w:space="0" w:color="000000"/>
              <w:left w:val="single" w:sz="8" w:space="0" w:color="000000"/>
              <w:bottom w:val="single" w:sz="8" w:space="0" w:color="000000"/>
              <w:right w:val="single" w:sz="8" w:space="0" w:color="000000"/>
            </w:tcBorders>
            <w:hideMark/>
          </w:tcPr>
          <w:p w14:paraId="41F954FE" w14:textId="77777777" w:rsidR="00FD3B41" w:rsidRDefault="00FD3B41">
            <w:pPr>
              <w:widowControl w:val="0"/>
              <w:jc w:val="center"/>
            </w:pPr>
            <w:r>
              <w:t>May 2027</w:t>
            </w:r>
          </w:p>
        </w:tc>
        <w:tc>
          <w:tcPr>
            <w:tcW w:w="1805" w:type="dxa"/>
            <w:tcBorders>
              <w:top w:val="single" w:sz="8" w:space="0" w:color="000000"/>
              <w:left w:val="single" w:sz="8" w:space="0" w:color="000000"/>
              <w:bottom w:val="single" w:sz="8" w:space="0" w:color="000000"/>
              <w:right w:val="single" w:sz="8" w:space="0" w:color="000000"/>
            </w:tcBorders>
            <w:hideMark/>
          </w:tcPr>
          <w:p w14:paraId="153E716A" w14:textId="77777777" w:rsidR="00FD3B41" w:rsidRDefault="00FD3B41">
            <w:pPr>
              <w:widowControl w:val="0"/>
              <w:jc w:val="center"/>
            </w:pPr>
            <w:r>
              <w:t>24 months</w:t>
            </w:r>
          </w:p>
        </w:tc>
        <w:tc>
          <w:tcPr>
            <w:tcW w:w="1805" w:type="dxa"/>
            <w:tcBorders>
              <w:top w:val="single" w:sz="8" w:space="0" w:color="000000"/>
              <w:left w:val="single" w:sz="8" w:space="0" w:color="000000"/>
              <w:bottom w:val="single" w:sz="8" w:space="0" w:color="000000"/>
              <w:right w:val="single" w:sz="8" w:space="0" w:color="000000"/>
            </w:tcBorders>
            <w:hideMark/>
          </w:tcPr>
          <w:p w14:paraId="17919A85" w14:textId="77777777" w:rsidR="00FD3B41" w:rsidRDefault="00FD3B41">
            <w:pPr>
              <w:widowControl w:val="0"/>
            </w:pPr>
            <w:r>
              <w:t>Runs parallel with studies</w:t>
            </w:r>
          </w:p>
        </w:tc>
      </w:tr>
      <w:tr w:rsidR="00FD3B41" w14:paraId="7242FBC4"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3570D317" w14:textId="77777777" w:rsidR="00FD3B41" w:rsidRDefault="00FD3B41">
            <w:pPr>
              <w:widowControl w:val="0"/>
              <w:rPr>
                <w:i/>
              </w:rPr>
            </w:pPr>
            <w:r>
              <w:rPr>
                <w:i/>
              </w:rPr>
              <w:lastRenderedPageBreak/>
              <w:t>Practical Placements (local authority/NHS/NGO)</w:t>
            </w:r>
          </w:p>
        </w:tc>
        <w:tc>
          <w:tcPr>
            <w:tcW w:w="1805" w:type="dxa"/>
            <w:tcBorders>
              <w:top w:val="single" w:sz="8" w:space="0" w:color="000000"/>
              <w:left w:val="single" w:sz="8" w:space="0" w:color="000000"/>
              <w:bottom w:val="single" w:sz="8" w:space="0" w:color="000000"/>
              <w:right w:val="single" w:sz="8" w:space="0" w:color="000000"/>
            </w:tcBorders>
            <w:hideMark/>
          </w:tcPr>
          <w:p w14:paraId="445EE39C" w14:textId="77777777" w:rsidR="00FD3B41" w:rsidRDefault="00FD3B41">
            <w:pPr>
              <w:widowControl w:val="0"/>
              <w:jc w:val="center"/>
            </w:pPr>
            <w:r>
              <w:t>Sept 2026</w:t>
            </w:r>
          </w:p>
        </w:tc>
        <w:tc>
          <w:tcPr>
            <w:tcW w:w="1805" w:type="dxa"/>
            <w:tcBorders>
              <w:top w:val="single" w:sz="8" w:space="0" w:color="000000"/>
              <w:left w:val="single" w:sz="8" w:space="0" w:color="000000"/>
              <w:bottom w:val="single" w:sz="8" w:space="0" w:color="000000"/>
              <w:right w:val="single" w:sz="8" w:space="0" w:color="000000"/>
            </w:tcBorders>
            <w:hideMark/>
          </w:tcPr>
          <w:p w14:paraId="074EB1BD" w14:textId="77777777" w:rsidR="00FD3B41" w:rsidRDefault="00FD3B41">
            <w:pPr>
              <w:widowControl w:val="0"/>
              <w:jc w:val="center"/>
            </w:pPr>
            <w:r>
              <w:t>July 2028</w:t>
            </w:r>
          </w:p>
        </w:tc>
        <w:tc>
          <w:tcPr>
            <w:tcW w:w="1805" w:type="dxa"/>
            <w:tcBorders>
              <w:top w:val="single" w:sz="8" w:space="0" w:color="000000"/>
              <w:left w:val="single" w:sz="8" w:space="0" w:color="000000"/>
              <w:bottom w:val="single" w:sz="8" w:space="0" w:color="000000"/>
              <w:right w:val="single" w:sz="8" w:space="0" w:color="000000"/>
            </w:tcBorders>
            <w:hideMark/>
          </w:tcPr>
          <w:p w14:paraId="71055FDF" w14:textId="77777777" w:rsidR="00FD3B41" w:rsidRDefault="00FD3B41">
            <w:pPr>
              <w:widowControl w:val="0"/>
              <w:jc w:val="center"/>
            </w:pPr>
            <w:r>
              <w:t>22 months</w:t>
            </w:r>
          </w:p>
        </w:tc>
        <w:tc>
          <w:tcPr>
            <w:tcW w:w="1805" w:type="dxa"/>
            <w:tcBorders>
              <w:top w:val="single" w:sz="8" w:space="0" w:color="000000"/>
              <w:left w:val="single" w:sz="8" w:space="0" w:color="000000"/>
              <w:bottom w:val="single" w:sz="8" w:space="0" w:color="000000"/>
              <w:right w:val="single" w:sz="8" w:space="0" w:color="000000"/>
            </w:tcBorders>
            <w:hideMark/>
          </w:tcPr>
          <w:p w14:paraId="763BE166" w14:textId="77777777" w:rsidR="00FD3B41" w:rsidRDefault="00FD3B41">
            <w:pPr>
              <w:widowControl w:val="0"/>
            </w:pPr>
            <w:r>
              <w:t>During BA studies</w:t>
            </w:r>
          </w:p>
        </w:tc>
      </w:tr>
      <w:tr w:rsidR="00FD3B41" w14:paraId="216C4958"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0EC175D5" w14:textId="77777777" w:rsidR="00FD3B41" w:rsidRDefault="00FD3B41">
            <w:pPr>
              <w:widowControl w:val="0"/>
              <w:rPr>
                <w:i/>
              </w:rPr>
            </w:pPr>
            <w:r>
              <w:rPr>
                <w:i/>
              </w:rPr>
              <w:t>Digital &amp; Administrative Competence (NHS Digital Literacy &amp; Data Protection training)</w:t>
            </w:r>
          </w:p>
        </w:tc>
        <w:tc>
          <w:tcPr>
            <w:tcW w:w="1805" w:type="dxa"/>
            <w:tcBorders>
              <w:top w:val="single" w:sz="8" w:space="0" w:color="000000"/>
              <w:left w:val="single" w:sz="8" w:space="0" w:color="000000"/>
              <w:bottom w:val="single" w:sz="8" w:space="0" w:color="000000"/>
              <w:right w:val="single" w:sz="8" w:space="0" w:color="000000"/>
            </w:tcBorders>
            <w:hideMark/>
          </w:tcPr>
          <w:p w14:paraId="2ED227F3" w14:textId="77777777" w:rsidR="00FD3B41" w:rsidRDefault="00FD3B41">
            <w:pPr>
              <w:widowControl w:val="0"/>
              <w:jc w:val="center"/>
            </w:pPr>
            <w:r>
              <w:t>Jan 2025</w:t>
            </w:r>
          </w:p>
        </w:tc>
        <w:tc>
          <w:tcPr>
            <w:tcW w:w="1805" w:type="dxa"/>
            <w:tcBorders>
              <w:top w:val="single" w:sz="8" w:space="0" w:color="000000"/>
              <w:left w:val="single" w:sz="8" w:space="0" w:color="000000"/>
              <w:bottom w:val="single" w:sz="8" w:space="0" w:color="000000"/>
              <w:right w:val="single" w:sz="8" w:space="0" w:color="000000"/>
            </w:tcBorders>
            <w:hideMark/>
          </w:tcPr>
          <w:p w14:paraId="4F535843" w14:textId="77777777" w:rsidR="00FD3B41" w:rsidRDefault="00FD3B41">
            <w:pPr>
              <w:widowControl w:val="0"/>
              <w:jc w:val="center"/>
            </w:pPr>
            <w:r>
              <w:t>Dec 2025</w:t>
            </w:r>
          </w:p>
        </w:tc>
        <w:tc>
          <w:tcPr>
            <w:tcW w:w="1805" w:type="dxa"/>
            <w:tcBorders>
              <w:top w:val="single" w:sz="8" w:space="0" w:color="000000"/>
              <w:left w:val="single" w:sz="8" w:space="0" w:color="000000"/>
              <w:bottom w:val="single" w:sz="8" w:space="0" w:color="000000"/>
              <w:right w:val="single" w:sz="8" w:space="0" w:color="000000"/>
            </w:tcBorders>
            <w:hideMark/>
          </w:tcPr>
          <w:p w14:paraId="4B6DEB04" w14:textId="77777777" w:rsidR="00FD3B41" w:rsidRDefault="00FD3B41">
            <w:pPr>
              <w:widowControl w:val="0"/>
              <w:jc w:val="center"/>
            </w:pPr>
            <w:r>
              <w:t>12 months</w:t>
            </w:r>
          </w:p>
        </w:tc>
        <w:tc>
          <w:tcPr>
            <w:tcW w:w="1805" w:type="dxa"/>
            <w:tcBorders>
              <w:top w:val="single" w:sz="8" w:space="0" w:color="000000"/>
              <w:left w:val="single" w:sz="8" w:space="0" w:color="000000"/>
              <w:bottom w:val="single" w:sz="8" w:space="0" w:color="000000"/>
              <w:right w:val="single" w:sz="8" w:space="0" w:color="000000"/>
            </w:tcBorders>
            <w:hideMark/>
          </w:tcPr>
          <w:p w14:paraId="52DDC8C7" w14:textId="77777777" w:rsidR="00FD3B41" w:rsidRDefault="00FD3B41">
            <w:pPr>
              <w:widowControl w:val="0"/>
            </w:pPr>
            <w:r>
              <w:t>Independent or early training</w:t>
            </w:r>
          </w:p>
        </w:tc>
      </w:tr>
      <w:tr w:rsidR="00FD3B41" w14:paraId="05C0C954" w14:textId="77777777">
        <w:trPr>
          <w:jc w:val="center"/>
        </w:trPr>
        <w:tc>
          <w:tcPr>
            <w:tcW w:w="1805" w:type="dxa"/>
            <w:tcBorders>
              <w:top w:val="single" w:sz="8" w:space="0" w:color="000000"/>
              <w:left w:val="single" w:sz="8" w:space="0" w:color="000000"/>
              <w:bottom w:val="single" w:sz="8" w:space="0" w:color="000000"/>
              <w:right w:val="single" w:sz="8" w:space="0" w:color="000000"/>
            </w:tcBorders>
            <w:hideMark/>
          </w:tcPr>
          <w:p w14:paraId="524680A5" w14:textId="6000F293" w:rsidR="00FD3B41" w:rsidRDefault="00FD3B41">
            <w:pPr>
              <w:widowControl w:val="0"/>
              <w:rPr>
                <w:i/>
              </w:rPr>
            </w:pPr>
            <w:r>
              <w:rPr>
                <w:i/>
              </w:rPr>
              <w:t>Professional Registration &amp; Employment (</w:t>
            </w:r>
            <w:r w:rsidR="00751412">
              <w:rPr>
                <w:i/>
              </w:rPr>
              <w:t>applying</w:t>
            </w:r>
            <w:r>
              <w:rPr>
                <w:i/>
              </w:rPr>
              <w:t xml:space="preserve"> to Social Work England &amp; secure post)</w:t>
            </w:r>
          </w:p>
        </w:tc>
        <w:tc>
          <w:tcPr>
            <w:tcW w:w="1805" w:type="dxa"/>
            <w:tcBorders>
              <w:top w:val="single" w:sz="8" w:space="0" w:color="000000"/>
              <w:left w:val="single" w:sz="8" w:space="0" w:color="000000"/>
              <w:bottom w:val="single" w:sz="8" w:space="0" w:color="000000"/>
              <w:right w:val="single" w:sz="8" w:space="0" w:color="000000"/>
            </w:tcBorders>
            <w:hideMark/>
          </w:tcPr>
          <w:p w14:paraId="75C22550" w14:textId="77777777" w:rsidR="00FD3B41" w:rsidRDefault="00FD3B41">
            <w:pPr>
              <w:widowControl w:val="0"/>
              <w:jc w:val="center"/>
            </w:pPr>
            <w:r>
              <w:t>Sept 2028</w:t>
            </w:r>
          </w:p>
        </w:tc>
        <w:tc>
          <w:tcPr>
            <w:tcW w:w="1805" w:type="dxa"/>
            <w:tcBorders>
              <w:top w:val="single" w:sz="8" w:space="0" w:color="000000"/>
              <w:left w:val="single" w:sz="8" w:space="0" w:color="000000"/>
              <w:bottom w:val="single" w:sz="8" w:space="0" w:color="000000"/>
              <w:right w:val="single" w:sz="8" w:space="0" w:color="000000"/>
            </w:tcBorders>
            <w:hideMark/>
          </w:tcPr>
          <w:p w14:paraId="341E5311" w14:textId="77777777" w:rsidR="00FD3B41" w:rsidRDefault="00FD3B41">
            <w:pPr>
              <w:widowControl w:val="0"/>
              <w:jc w:val="center"/>
            </w:pPr>
            <w:r>
              <w:t>Sept 2029</w:t>
            </w:r>
          </w:p>
        </w:tc>
        <w:tc>
          <w:tcPr>
            <w:tcW w:w="1805" w:type="dxa"/>
            <w:tcBorders>
              <w:top w:val="single" w:sz="8" w:space="0" w:color="000000"/>
              <w:left w:val="single" w:sz="8" w:space="0" w:color="000000"/>
              <w:bottom w:val="single" w:sz="8" w:space="0" w:color="000000"/>
              <w:right w:val="single" w:sz="8" w:space="0" w:color="000000"/>
            </w:tcBorders>
            <w:hideMark/>
          </w:tcPr>
          <w:p w14:paraId="0A658753" w14:textId="77777777" w:rsidR="00FD3B41" w:rsidRDefault="00FD3B41">
            <w:pPr>
              <w:widowControl w:val="0"/>
              <w:jc w:val="center"/>
            </w:pPr>
            <w:r>
              <w:t>12 months</w:t>
            </w:r>
          </w:p>
        </w:tc>
        <w:tc>
          <w:tcPr>
            <w:tcW w:w="1805" w:type="dxa"/>
            <w:tcBorders>
              <w:top w:val="single" w:sz="8" w:space="0" w:color="000000"/>
              <w:left w:val="single" w:sz="8" w:space="0" w:color="000000"/>
              <w:bottom w:val="single" w:sz="8" w:space="0" w:color="000000"/>
              <w:right w:val="single" w:sz="8" w:space="0" w:color="000000"/>
            </w:tcBorders>
            <w:hideMark/>
          </w:tcPr>
          <w:p w14:paraId="74052DF3" w14:textId="77777777" w:rsidR="00FD3B41" w:rsidRDefault="00FD3B41">
            <w:pPr>
              <w:widowControl w:val="0"/>
            </w:pPr>
            <w:r>
              <w:t>BA completion</w:t>
            </w:r>
          </w:p>
        </w:tc>
      </w:tr>
    </w:tbl>
    <w:p w14:paraId="4FF84D58" w14:textId="77777777" w:rsidR="00FD3B41" w:rsidRPr="00445EBC" w:rsidRDefault="00FD3B41" w:rsidP="00FD3B41">
      <w:pPr>
        <w:pStyle w:val="Heading5"/>
        <w:spacing w:after="0"/>
        <w:rPr>
          <w:color w:val="auto"/>
        </w:rPr>
      </w:pPr>
      <w:bookmarkStart w:id="13" w:name="_niot1kus9htk"/>
      <w:bookmarkStart w:id="14" w:name="_Toc209431298"/>
      <w:bookmarkEnd w:id="13"/>
      <w:r w:rsidRPr="00445EBC">
        <w:rPr>
          <w:color w:val="auto"/>
        </w:rPr>
        <w:t>Table 2: Timeline</w:t>
      </w:r>
      <w:bookmarkEnd w:id="14"/>
    </w:p>
    <w:p w14:paraId="03BBFACB" w14:textId="77777777" w:rsidR="00FD3B41" w:rsidRDefault="00FD3B41" w:rsidP="00FD3B41">
      <w:pPr>
        <w:jc w:val="center"/>
        <w:rPr>
          <w:b/>
        </w:rPr>
      </w:pPr>
      <w:r>
        <w:t>(Source: Author)</w:t>
      </w:r>
    </w:p>
    <w:p w14:paraId="5D90FEB5" w14:textId="2A26CFED" w:rsidR="00FD3B41" w:rsidRDefault="00FD3B41" w:rsidP="00FD3B41">
      <w:pPr>
        <w:jc w:val="center"/>
      </w:pPr>
      <w:r>
        <w:rPr>
          <w:noProof/>
        </w:rPr>
        <w:lastRenderedPageBreak/>
        <w:drawing>
          <wp:inline distT="0" distB="0" distL="0" distR="0" wp14:anchorId="6F53F659" wp14:editId="2D6680A0">
            <wp:extent cx="5731510" cy="2413000"/>
            <wp:effectExtent l="38100" t="38100" r="40640" b="44450"/>
            <wp:docPr id="1947367666" name="Picture 5" descr="A chart with orang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367666" name="Picture 5" descr="A chart with orange dot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w="25400" cmpd="sng">
                      <a:solidFill>
                        <a:srgbClr val="000000"/>
                      </a:solidFill>
                      <a:miter lim="800000"/>
                      <a:headEnd/>
                      <a:tailEnd/>
                    </a:ln>
                    <a:effectLst/>
                  </pic:spPr>
                </pic:pic>
              </a:graphicData>
            </a:graphic>
          </wp:inline>
        </w:drawing>
      </w:r>
    </w:p>
    <w:p w14:paraId="1E88521A" w14:textId="77777777" w:rsidR="00FD3B41" w:rsidRPr="00445EBC" w:rsidRDefault="00FD3B41" w:rsidP="00FD3B41">
      <w:pPr>
        <w:pStyle w:val="Heading4"/>
        <w:spacing w:after="0"/>
        <w:rPr>
          <w:i w:val="0"/>
          <w:iCs w:val="0"/>
          <w:color w:val="auto"/>
        </w:rPr>
      </w:pPr>
      <w:bookmarkStart w:id="15" w:name="_l3z8i9hv398f"/>
      <w:bookmarkStart w:id="16" w:name="_Toc209431289"/>
      <w:bookmarkStart w:id="17" w:name="_Toc209428642"/>
      <w:bookmarkEnd w:id="15"/>
      <w:r w:rsidRPr="00445EBC">
        <w:rPr>
          <w:i w:val="0"/>
          <w:iCs w:val="0"/>
          <w:color w:val="auto"/>
        </w:rPr>
        <w:t>Figure 2: Gantt Chart</w:t>
      </w:r>
      <w:bookmarkEnd w:id="16"/>
      <w:bookmarkEnd w:id="17"/>
    </w:p>
    <w:p w14:paraId="6EC27BF2" w14:textId="77777777" w:rsidR="00FD3B41" w:rsidRDefault="00FD3B41" w:rsidP="00FD3B41">
      <w:pPr>
        <w:jc w:val="center"/>
      </w:pPr>
      <w:r>
        <w:t>(Source: Author)</w:t>
      </w:r>
    </w:p>
    <w:p w14:paraId="3619DE36" w14:textId="77777777" w:rsidR="00FD3B41" w:rsidRDefault="00FD3B41" w:rsidP="00FD3B41">
      <w:r>
        <w:br w:type="page"/>
      </w:r>
      <w:bookmarkStart w:id="18" w:name="_eqcdlfi8iz6b"/>
      <w:bookmarkEnd w:id="18"/>
    </w:p>
    <w:p w14:paraId="196E9BA8" w14:textId="77777777" w:rsidR="00FD3B41" w:rsidRPr="00445EBC" w:rsidRDefault="00FD3B41" w:rsidP="00FD3B41">
      <w:pPr>
        <w:pStyle w:val="Heading1"/>
        <w:spacing w:after="0"/>
        <w:rPr>
          <w:rFonts w:ascii="Arial" w:hAnsi="Arial" w:cs="Arial"/>
          <w:b/>
          <w:bCs/>
          <w:color w:val="auto"/>
          <w:sz w:val="24"/>
          <w:szCs w:val="24"/>
        </w:rPr>
      </w:pPr>
      <w:bookmarkStart w:id="19" w:name="_Toc209431310"/>
      <w:r w:rsidRPr="00445EBC">
        <w:rPr>
          <w:rFonts w:ascii="Arial" w:hAnsi="Arial" w:cs="Arial"/>
          <w:b/>
          <w:bCs/>
          <w:color w:val="auto"/>
          <w:sz w:val="24"/>
          <w:szCs w:val="24"/>
        </w:rPr>
        <w:lastRenderedPageBreak/>
        <w:t>Building Personal Brand</w:t>
      </w:r>
      <w:bookmarkEnd w:id="19"/>
    </w:p>
    <w:p w14:paraId="43562DEF" w14:textId="6BA27776" w:rsidR="00FD3B41" w:rsidRDefault="00FD3B41" w:rsidP="00FD3B41">
      <w:pPr>
        <w:rPr>
          <w:color w:val="0E101A"/>
        </w:rPr>
      </w:pPr>
      <w:r>
        <w:rPr>
          <w:color w:val="0E101A"/>
        </w:rPr>
        <w:t xml:space="preserve">A powerful personal brand is critical in pursuing a career as a </w:t>
      </w:r>
      <w:r w:rsidRPr="00445EBC">
        <w:rPr>
          <w:bCs/>
          <w:color w:val="0E101A"/>
        </w:rPr>
        <w:t>Social Worker</w:t>
      </w:r>
      <w:r>
        <w:rPr>
          <w:color w:val="0E101A"/>
        </w:rPr>
        <w:t>, as this demonstrates professionalism, credibility, and commitment to person-</w:t>
      </w:r>
      <w:proofErr w:type="spellStart"/>
      <w:r w:rsidR="00445EBC">
        <w:rPr>
          <w:color w:val="0E101A"/>
        </w:rPr>
        <w:t>centred</w:t>
      </w:r>
      <w:proofErr w:type="spellEnd"/>
      <w:r>
        <w:rPr>
          <w:color w:val="0E101A"/>
        </w:rPr>
        <w:t xml:space="preserve"> care. To establish this brand, I will promote my values of empathy, inclusivity and accountability as I am qualified and experienced in hands-on care delivery. As a reflective practitioner, this will enhance my identity and fit me into the core standards of the health and social care sector.</w:t>
      </w:r>
    </w:p>
    <w:p w14:paraId="5C2D029D" w14:textId="4EF2CDDD" w:rsidR="00FD3B41" w:rsidRDefault="00FD3B41" w:rsidP="00FD3B41">
      <w:pPr>
        <w:rPr>
          <w:color w:val="0E101A"/>
        </w:rPr>
      </w:pPr>
      <w:r w:rsidRPr="00445EBC">
        <w:rPr>
          <w:bCs/>
          <w:iCs/>
          <w:color w:val="0E101A"/>
        </w:rPr>
        <w:t xml:space="preserve">Resources </w:t>
      </w:r>
      <w:r>
        <w:rPr>
          <w:color w:val="0E101A"/>
        </w:rPr>
        <w:t xml:space="preserve">such as LinkedIn, sites for professional networking, and sector-specific events will prove successful tools to establish and promote a brand (Yue and Shyu, 2024). For instance, under this role, any potential update for the LinkedIn headline can read, </w:t>
      </w:r>
      <w:r w:rsidRPr="00445EBC">
        <w:rPr>
          <w:bCs/>
          <w:color w:val="0E101A"/>
        </w:rPr>
        <w:t>Future Social Worker: Empowering Lives Through Compassionate Care</w:t>
      </w:r>
      <w:r>
        <w:rPr>
          <w:color w:val="0E101A"/>
        </w:rPr>
        <w:t xml:space="preserve">. It is part of the plan to join some such groups </w:t>
      </w:r>
      <w:r w:rsidR="00445EBC">
        <w:rPr>
          <w:color w:val="0E101A"/>
        </w:rPr>
        <w:t>as</w:t>
      </w:r>
      <w:r>
        <w:rPr>
          <w:color w:val="0E101A"/>
        </w:rPr>
        <w:t xml:space="preserve"> the </w:t>
      </w:r>
      <w:r>
        <w:rPr>
          <w:i/>
          <w:color w:val="0E101A"/>
        </w:rPr>
        <w:t>Hertfordshire Partnership NHS Foundation Trust</w:t>
      </w:r>
      <w:r>
        <w:rPr>
          <w:color w:val="0E101A"/>
        </w:rPr>
        <w:t xml:space="preserve"> for visibility, networking with other fellow members in the sector, and the </w:t>
      </w:r>
      <w:r w:rsidR="00445EBC">
        <w:rPr>
          <w:color w:val="0E101A"/>
        </w:rPr>
        <w:t>utilization</w:t>
      </w:r>
      <w:r>
        <w:rPr>
          <w:color w:val="0E101A"/>
        </w:rPr>
        <w:t xml:space="preserve"> of indicated resources.</w:t>
      </w:r>
    </w:p>
    <w:p w14:paraId="45CA243D" w14:textId="3134CA41" w:rsidR="00FD3B41" w:rsidRDefault="00FD3B41" w:rsidP="00FD3B41">
      <w:pPr>
        <w:rPr>
          <w:color w:val="0E101A"/>
        </w:rPr>
      </w:pPr>
      <w:r>
        <w:rPr>
          <w:color w:val="0E101A"/>
        </w:rPr>
        <w:t xml:space="preserve">According to Imran and </w:t>
      </w:r>
      <w:proofErr w:type="spellStart"/>
      <w:r>
        <w:rPr>
          <w:color w:val="0E101A"/>
        </w:rPr>
        <w:t>Almusharraf</w:t>
      </w:r>
      <w:proofErr w:type="spellEnd"/>
      <w:r>
        <w:rPr>
          <w:color w:val="0E101A"/>
        </w:rPr>
        <w:t xml:space="preserve"> (2024), </w:t>
      </w:r>
      <w:r w:rsidRPr="00445EBC">
        <w:rPr>
          <w:bCs/>
          <w:iCs/>
          <w:color w:val="0E101A"/>
        </w:rPr>
        <w:t>Content creation</w:t>
      </w:r>
      <w:r>
        <w:rPr>
          <w:color w:val="0E101A"/>
        </w:rPr>
        <w:t xml:space="preserve"> will play an important role in proving expertise. I will be publishing short blog posts and articles reflecting on topics including safeguarding, mental health awareness and person-</w:t>
      </w:r>
      <w:r w:rsidR="00445EBC">
        <w:rPr>
          <w:color w:val="0E101A"/>
        </w:rPr>
        <w:t>centered</w:t>
      </w:r>
      <w:r>
        <w:rPr>
          <w:color w:val="0E101A"/>
        </w:rPr>
        <w:t xml:space="preserve"> care planning. Sharing the evidence-based practices, reflections during volunteering, and reflections from CPD activities will increase further commitment (Tickle </w:t>
      </w:r>
      <w:r>
        <w:rPr>
          <w:i/>
          <w:color w:val="0E101A"/>
        </w:rPr>
        <w:t>et al.</w:t>
      </w:r>
      <w:r>
        <w:rPr>
          <w:color w:val="0E101A"/>
        </w:rPr>
        <w:t>, 2022). Overall, a consistent presence online with relevant resources and considerate content will strengthen my professional reputation and support my progression as a Social Worker.</w:t>
      </w:r>
    </w:p>
    <w:p w14:paraId="76DD24E1" w14:textId="77777777" w:rsidR="00FD3B41" w:rsidRDefault="00FD3B41" w:rsidP="00FD3B41">
      <w:pPr>
        <w:rPr>
          <w:color w:val="0E101A"/>
        </w:rPr>
      </w:pPr>
      <w:r>
        <w:rPr>
          <w:color w:val="0E101A"/>
        </w:rPr>
        <w:br w:type="page"/>
      </w:r>
    </w:p>
    <w:p w14:paraId="1CDCBB16" w14:textId="77777777" w:rsidR="00FD3B41" w:rsidRPr="00C153CA" w:rsidRDefault="00FD3B41" w:rsidP="00FD3B41">
      <w:pPr>
        <w:pStyle w:val="Heading1"/>
        <w:spacing w:after="0"/>
        <w:rPr>
          <w:rFonts w:ascii="Arial" w:hAnsi="Arial" w:cs="Arial"/>
          <w:b/>
          <w:bCs/>
          <w:color w:val="auto"/>
          <w:sz w:val="24"/>
          <w:szCs w:val="24"/>
        </w:rPr>
      </w:pPr>
      <w:bookmarkStart w:id="20" w:name="_b8yxjjcncf6n"/>
      <w:bookmarkStart w:id="21" w:name="_Toc209431311"/>
      <w:bookmarkEnd w:id="20"/>
      <w:r w:rsidRPr="00C153CA">
        <w:rPr>
          <w:rFonts w:ascii="Arial" w:hAnsi="Arial" w:cs="Arial"/>
          <w:b/>
          <w:bCs/>
          <w:color w:val="auto"/>
          <w:sz w:val="24"/>
          <w:szCs w:val="24"/>
        </w:rPr>
        <w:lastRenderedPageBreak/>
        <w:t>Promoting Professional Identity</w:t>
      </w:r>
      <w:bookmarkEnd w:id="21"/>
    </w:p>
    <w:p w14:paraId="5B01EB78" w14:textId="7F9DDD5D" w:rsidR="00FD3B41" w:rsidRDefault="00FD3B41" w:rsidP="00FD3B41">
      <w:r>
        <w:rPr>
          <w:color w:val="0E101A"/>
        </w:rPr>
        <w:t xml:space="preserve">Establishing a solid professional identity depends on three major factors: a well-developed LinkedIn profile, a well-structured CV, and a well-adjusted cover letter. According to </w:t>
      </w:r>
      <w:proofErr w:type="spellStart"/>
      <w:r>
        <w:rPr>
          <w:color w:val="0E101A"/>
        </w:rPr>
        <w:t>Sherimon</w:t>
      </w:r>
      <w:proofErr w:type="spellEnd"/>
      <w:r>
        <w:rPr>
          <w:color w:val="0E101A"/>
        </w:rPr>
        <w:t xml:space="preserve"> and </w:t>
      </w:r>
      <w:proofErr w:type="spellStart"/>
      <w:r>
        <w:rPr>
          <w:color w:val="0E101A"/>
        </w:rPr>
        <w:t>Sherimon</w:t>
      </w:r>
      <w:proofErr w:type="spellEnd"/>
      <w:r>
        <w:rPr>
          <w:color w:val="0E101A"/>
        </w:rPr>
        <w:t xml:space="preserve"> (2025), </w:t>
      </w:r>
      <w:r w:rsidRPr="00445EBC">
        <w:rPr>
          <w:color w:val="0E101A"/>
        </w:rPr>
        <w:t>a LinkedIn profile</w:t>
      </w:r>
      <w:r>
        <w:rPr>
          <w:color w:val="0E101A"/>
        </w:rPr>
        <w:t xml:space="preserve"> functions as an online resume and networking platform, where recruiters can look at qualifications, endorsements and contributions like a post or discussion. </w:t>
      </w:r>
      <w:r w:rsidRPr="00445EBC">
        <w:rPr>
          <w:color w:val="0E101A"/>
        </w:rPr>
        <w:t>A Curriculum Vitae</w:t>
      </w:r>
      <w:r>
        <w:rPr>
          <w:color w:val="0E101A"/>
        </w:rPr>
        <w:t xml:space="preserve"> is a brief outline of the education profile, experience profile, qualifications and achievements of the individual (Brutus </w:t>
      </w:r>
      <w:r>
        <w:rPr>
          <w:i/>
          <w:color w:val="0E101A"/>
        </w:rPr>
        <w:t>et al.</w:t>
      </w:r>
      <w:r>
        <w:rPr>
          <w:color w:val="0E101A"/>
        </w:rPr>
        <w:t>, 2022). A well-</w:t>
      </w:r>
      <w:r w:rsidR="00445EBC">
        <w:rPr>
          <w:color w:val="0E101A"/>
        </w:rPr>
        <w:t>organized</w:t>
      </w:r>
      <w:r>
        <w:rPr>
          <w:color w:val="0E101A"/>
        </w:rPr>
        <w:t xml:space="preserve"> CV enables employers to conduct a quick assessment of suitability, competencies, and career progression. The </w:t>
      </w:r>
      <w:r w:rsidR="00445EBC">
        <w:rPr>
          <w:color w:val="0E101A"/>
        </w:rPr>
        <w:t>alignment of</w:t>
      </w:r>
      <w:r>
        <w:rPr>
          <w:color w:val="0E101A"/>
        </w:rPr>
        <w:t xml:space="preserve"> using applicant tracking systems is also helped by including measurable outcomes, to have clarity in the structure itself, and thus enhancing the chances of shortlisting. The </w:t>
      </w:r>
      <w:r w:rsidRPr="00445EBC">
        <w:rPr>
          <w:bCs/>
          <w:color w:val="0E101A"/>
        </w:rPr>
        <w:t>cover letter</w:t>
      </w:r>
      <w:r>
        <w:rPr>
          <w:color w:val="0E101A"/>
        </w:rPr>
        <w:t xml:space="preserve"> is intended as a bridge between the CV and the requirements of the </w:t>
      </w:r>
      <w:r w:rsidR="00445EBC">
        <w:rPr>
          <w:color w:val="0E101A"/>
        </w:rPr>
        <w:t>organization</w:t>
      </w:r>
      <w:r>
        <w:rPr>
          <w:color w:val="0E101A"/>
        </w:rPr>
        <w:t xml:space="preserve"> (Saputra </w:t>
      </w:r>
      <w:r>
        <w:rPr>
          <w:i/>
          <w:color w:val="0E101A"/>
        </w:rPr>
        <w:t>et al.</w:t>
      </w:r>
      <w:r>
        <w:rPr>
          <w:color w:val="0E101A"/>
        </w:rPr>
        <w:t xml:space="preserve">, 2024). It offers an opportunity to relate personal skills and experiences to the specific job to show real interest whilst demonstrating the employer's values and expectations. In the context of Clapp </w:t>
      </w:r>
      <w:r>
        <w:rPr>
          <w:i/>
          <w:color w:val="0E101A"/>
        </w:rPr>
        <w:t>et al.</w:t>
      </w:r>
      <w:r>
        <w:rPr>
          <w:color w:val="0E101A"/>
        </w:rPr>
        <w:t xml:space="preserve">, (2023) </w:t>
      </w:r>
      <w:r w:rsidR="00445EBC">
        <w:rPr>
          <w:color w:val="0E101A"/>
        </w:rPr>
        <w:t>personalization</w:t>
      </w:r>
      <w:r>
        <w:rPr>
          <w:color w:val="0E101A"/>
        </w:rPr>
        <w:t xml:space="preserve"> of the letter and an emphasis on teamwork, commitment and appropriate expertise, the candidate makes a very powerful case for selection. Maintaining a consistent tone, branding, and professional message across the three documents will ensure coherence and memorability.</w:t>
      </w:r>
      <w:bookmarkStart w:id="22" w:name="_8prb013ligqy"/>
      <w:bookmarkEnd w:id="22"/>
    </w:p>
    <w:p w14:paraId="73B34870" w14:textId="77777777" w:rsidR="00FD3B41" w:rsidRPr="00751412" w:rsidRDefault="00FD3B41" w:rsidP="00FD3B41">
      <w:pPr>
        <w:pStyle w:val="Heading2"/>
        <w:spacing w:after="0"/>
        <w:rPr>
          <w:rFonts w:ascii="Arial" w:hAnsi="Arial" w:cs="Arial"/>
          <w:b/>
          <w:bCs/>
          <w:color w:val="auto"/>
          <w:sz w:val="24"/>
          <w:szCs w:val="24"/>
        </w:rPr>
      </w:pPr>
      <w:bookmarkStart w:id="23" w:name="_jcrw4yp388fv"/>
      <w:bookmarkStart w:id="24" w:name="_Toc209431313"/>
      <w:bookmarkEnd w:id="23"/>
      <w:r w:rsidRPr="00751412">
        <w:rPr>
          <w:rFonts w:ascii="Arial" w:hAnsi="Arial" w:cs="Arial"/>
          <w:b/>
          <w:bCs/>
          <w:color w:val="auto"/>
          <w:sz w:val="24"/>
          <w:szCs w:val="24"/>
        </w:rPr>
        <w:lastRenderedPageBreak/>
        <w:t>Curriculum Vitae (CV)</w:t>
      </w:r>
      <w:bookmarkEnd w:id="24"/>
    </w:p>
    <w:p w14:paraId="3FEED577" w14:textId="2FE1165F" w:rsidR="00FD3B41" w:rsidRDefault="00FD3B41" w:rsidP="00FD3B41">
      <w:pPr>
        <w:jc w:val="center"/>
      </w:pPr>
      <w:r>
        <w:rPr>
          <w:noProof/>
        </w:rPr>
        <w:drawing>
          <wp:inline distT="0" distB="0" distL="0" distR="0" wp14:anchorId="031EA8ED" wp14:editId="50615636">
            <wp:extent cx="5730240" cy="5372100"/>
            <wp:effectExtent l="38100" t="38100" r="41910" b="38100"/>
            <wp:docPr id="621562879" name="Picture 4"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562879" name="Picture 4" descr="A white paper with black tex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5372100"/>
                    </a:xfrm>
                    <a:prstGeom prst="rect">
                      <a:avLst/>
                    </a:prstGeom>
                    <a:noFill/>
                    <a:ln w="25400" cmpd="sng">
                      <a:solidFill>
                        <a:srgbClr val="000000"/>
                      </a:solidFill>
                      <a:miter lim="800000"/>
                      <a:headEnd/>
                      <a:tailEnd/>
                    </a:ln>
                    <a:effectLst/>
                  </pic:spPr>
                </pic:pic>
              </a:graphicData>
            </a:graphic>
          </wp:inline>
        </w:drawing>
      </w:r>
    </w:p>
    <w:p w14:paraId="48801BE8" w14:textId="12B60486" w:rsidR="00FD3B41" w:rsidRDefault="00FD3B41" w:rsidP="00FD3B41">
      <w:pPr>
        <w:jc w:val="center"/>
      </w:pPr>
      <w:r>
        <w:rPr>
          <w:noProof/>
        </w:rPr>
        <w:lastRenderedPageBreak/>
        <w:drawing>
          <wp:inline distT="0" distB="0" distL="0" distR="0" wp14:anchorId="4A43317D" wp14:editId="41353886">
            <wp:extent cx="5731510" cy="5313045"/>
            <wp:effectExtent l="38100" t="38100" r="40640" b="40005"/>
            <wp:docPr id="1805716249" name="Picture 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16249" name="Picture 3" descr="A white paper with black text&#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5313045"/>
                    </a:xfrm>
                    <a:prstGeom prst="rect">
                      <a:avLst/>
                    </a:prstGeom>
                    <a:noFill/>
                    <a:ln w="25400" cmpd="sng">
                      <a:solidFill>
                        <a:srgbClr val="000000"/>
                      </a:solidFill>
                      <a:miter lim="800000"/>
                      <a:headEnd/>
                      <a:tailEnd/>
                    </a:ln>
                    <a:effectLst/>
                  </pic:spPr>
                </pic:pic>
              </a:graphicData>
            </a:graphic>
          </wp:inline>
        </w:drawing>
      </w:r>
    </w:p>
    <w:p w14:paraId="75BB7FC6" w14:textId="2EE3BB25" w:rsidR="00FD3B41" w:rsidRDefault="00FD3B41" w:rsidP="00FD3B41">
      <w:pPr>
        <w:jc w:val="center"/>
      </w:pPr>
      <w:r>
        <w:rPr>
          <w:noProof/>
        </w:rPr>
        <w:drawing>
          <wp:inline distT="0" distB="0" distL="0" distR="0" wp14:anchorId="0ECE5465" wp14:editId="31C63D87">
            <wp:extent cx="5730240" cy="891540"/>
            <wp:effectExtent l="38100" t="38100" r="41910" b="41910"/>
            <wp:docPr id="759732471" name="Picture 2"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32471" name="Picture 2" descr="A white background with black and white clouds&#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891540"/>
                    </a:xfrm>
                    <a:prstGeom prst="rect">
                      <a:avLst/>
                    </a:prstGeom>
                    <a:noFill/>
                    <a:ln w="25400" cmpd="sng">
                      <a:solidFill>
                        <a:srgbClr val="000000"/>
                      </a:solidFill>
                      <a:miter lim="800000"/>
                      <a:headEnd/>
                      <a:tailEnd/>
                    </a:ln>
                    <a:effectLst/>
                  </pic:spPr>
                </pic:pic>
              </a:graphicData>
            </a:graphic>
          </wp:inline>
        </w:drawing>
      </w:r>
    </w:p>
    <w:p w14:paraId="3521CFBB" w14:textId="77777777" w:rsidR="00FD3B41" w:rsidRPr="00445EBC" w:rsidRDefault="00FD3B41" w:rsidP="00FD3B41">
      <w:pPr>
        <w:pStyle w:val="Heading4"/>
        <w:spacing w:after="0"/>
        <w:rPr>
          <w:i w:val="0"/>
          <w:iCs w:val="0"/>
          <w:color w:val="auto"/>
        </w:rPr>
      </w:pPr>
      <w:bookmarkStart w:id="25" w:name="_ws8d69xcbd"/>
      <w:bookmarkStart w:id="26" w:name="_Toc209431290"/>
      <w:bookmarkStart w:id="27" w:name="_Toc209428643"/>
      <w:bookmarkEnd w:id="25"/>
      <w:r w:rsidRPr="00445EBC">
        <w:rPr>
          <w:i w:val="0"/>
          <w:iCs w:val="0"/>
          <w:color w:val="auto"/>
        </w:rPr>
        <w:t>Figure 3: CV</w:t>
      </w:r>
      <w:bookmarkEnd w:id="26"/>
      <w:bookmarkEnd w:id="27"/>
    </w:p>
    <w:p w14:paraId="6D2B1C10" w14:textId="77777777" w:rsidR="00FD3B41" w:rsidRDefault="00FD3B41" w:rsidP="00FD3B41">
      <w:pPr>
        <w:jc w:val="center"/>
      </w:pPr>
      <w:r>
        <w:t>(Source: Author)</w:t>
      </w:r>
    </w:p>
    <w:p w14:paraId="2357C2EE" w14:textId="418E88B6" w:rsidR="00FD3B41" w:rsidRPr="003128FE" w:rsidRDefault="00EC2657" w:rsidP="003128FE">
      <w:pPr>
        <w:pStyle w:val="Heading2"/>
        <w:spacing w:after="0"/>
        <w:jc w:val="left"/>
        <w:rPr>
          <w:rFonts w:ascii="Arial" w:hAnsi="Arial" w:cs="Arial"/>
          <w:b/>
          <w:bCs/>
          <w:sz w:val="24"/>
          <w:szCs w:val="24"/>
        </w:rPr>
      </w:pPr>
      <w:bookmarkStart w:id="28" w:name="_lt66wsax5m9m"/>
      <w:bookmarkEnd w:id="28"/>
      <w:r w:rsidRPr="00EC2657">
        <w:rPr>
          <w:rFonts w:ascii="Arial" w:hAnsi="Arial" w:cs="Arial"/>
          <w:b/>
          <w:bCs/>
          <w:color w:val="auto"/>
          <w:sz w:val="24"/>
          <w:szCs w:val="24"/>
        </w:rPr>
        <w:lastRenderedPageBreak/>
        <w:t>Cover Letter</w:t>
      </w:r>
      <w:r w:rsidR="00445EBC">
        <w:rPr>
          <w:noProof/>
        </w:rPr>
        <w:drawing>
          <wp:inline distT="0" distB="0" distL="0" distR="0" wp14:anchorId="1464BC3E" wp14:editId="77964BB8">
            <wp:extent cx="5151120" cy="6941820"/>
            <wp:effectExtent l="38100" t="38100" r="30480" b="30480"/>
            <wp:docPr id="1759113021" name="Picture 1" descr="A letter to a do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13021" name="Picture 1" descr="A letter to a docto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51120" cy="6941820"/>
                    </a:xfrm>
                    <a:prstGeom prst="rect">
                      <a:avLst/>
                    </a:prstGeom>
                    <a:noFill/>
                    <a:ln w="28575" cmpd="sng">
                      <a:solidFill>
                        <a:srgbClr val="000000"/>
                      </a:solidFill>
                      <a:miter lim="800000"/>
                      <a:headEnd/>
                      <a:tailEnd/>
                    </a:ln>
                    <a:effectLst/>
                  </pic:spPr>
                </pic:pic>
              </a:graphicData>
            </a:graphic>
          </wp:inline>
        </w:drawing>
      </w:r>
    </w:p>
    <w:p w14:paraId="78DDE259" w14:textId="77777777" w:rsidR="00FD3B41" w:rsidRPr="00AA3E8B" w:rsidRDefault="00FD3B41" w:rsidP="00FD3B41">
      <w:pPr>
        <w:pStyle w:val="Heading4"/>
        <w:rPr>
          <w:i w:val="0"/>
          <w:iCs w:val="0"/>
          <w:color w:val="auto"/>
        </w:rPr>
      </w:pPr>
      <w:bookmarkStart w:id="29" w:name="_Toc209431291"/>
      <w:r w:rsidRPr="00AA3E8B">
        <w:rPr>
          <w:i w:val="0"/>
          <w:iCs w:val="0"/>
          <w:color w:val="auto"/>
        </w:rPr>
        <w:t>Figure 4: Cover Letter</w:t>
      </w:r>
      <w:bookmarkEnd w:id="29"/>
    </w:p>
    <w:p w14:paraId="734171E1" w14:textId="77777777" w:rsidR="00FD3B41" w:rsidRDefault="00FD3B41" w:rsidP="00FD3B41">
      <w:pPr>
        <w:jc w:val="center"/>
      </w:pPr>
      <w:r>
        <w:t>(Source: Author)</w:t>
      </w:r>
    </w:p>
    <w:p w14:paraId="30BAC731" w14:textId="77777777" w:rsidR="00FD3B41" w:rsidRDefault="00FD3B41" w:rsidP="00FD3B41">
      <w:r>
        <w:br w:type="page"/>
      </w:r>
      <w:bookmarkStart w:id="30" w:name="_ne39e65ox7eu"/>
      <w:bookmarkEnd w:id="30"/>
    </w:p>
    <w:p w14:paraId="08785F6C" w14:textId="77777777" w:rsidR="00FD3B41" w:rsidRPr="00AA3E8B" w:rsidRDefault="00FD3B41" w:rsidP="00FD3B41">
      <w:pPr>
        <w:pStyle w:val="Heading1"/>
        <w:spacing w:after="0"/>
        <w:rPr>
          <w:rFonts w:ascii="Arial" w:hAnsi="Arial" w:cs="Arial"/>
          <w:b/>
          <w:bCs/>
          <w:color w:val="auto"/>
          <w:sz w:val="24"/>
          <w:szCs w:val="24"/>
        </w:rPr>
      </w:pPr>
      <w:bookmarkStart w:id="31" w:name="_Toc209431315"/>
      <w:r w:rsidRPr="00AA3E8B">
        <w:rPr>
          <w:rFonts w:ascii="Arial" w:hAnsi="Arial" w:cs="Arial"/>
          <w:b/>
          <w:bCs/>
          <w:color w:val="auto"/>
          <w:sz w:val="24"/>
          <w:szCs w:val="24"/>
        </w:rPr>
        <w:lastRenderedPageBreak/>
        <w:t>Building a Network for Successful Employment</w:t>
      </w:r>
      <w:bookmarkEnd w:id="31"/>
    </w:p>
    <w:p w14:paraId="0CF163B1" w14:textId="589CD7BD" w:rsidR="00FD3B41" w:rsidRDefault="00FD3B41" w:rsidP="00FD3B41">
      <w:pPr>
        <w:rPr>
          <w:color w:val="0E101A"/>
        </w:rPr>
      </w:pPr>
      <w:r>
        <w:t xml:space="preserve">According to Jeyaraman </w:t>
      </w:r>
      <w:r>
        <w:rPr>
          <w:i/>
        </w:rPr>
        <w:t>et al.</w:t>
      </w:r>
      <w:r>
        <w:t>, (2023</w:t>
      </w:r>
      <w:r w:rsidRPr="00AA3E8B">
        <w:t xml:space="preserve">) </w:t>
      </w:r>
      <w:r w:rsidRPr="00AA3E8B">
        <w:rPr>
          <w:color w:val="0E101A"/>
        </w:rPr>
        <w:t>Networking</w:t>
      </w:r>
      <w:r>
        <w:rPr>
          <w:color w:val="0E101A"/>
        </w:rPr>
        <w:t xml:space="preserve"> is important within the health and social care sector as it provides opportunities for professional learning, collaboration and access to career opportunities. They help me develop strong working relationships with other experienced practitioners, be exposed to best practice, and keep up to date with changes in policy and within the sector. Emerging from the networking is also a uniform presence, through which it is easier to detect the works, and it is a facilitator for getting advice (Zaman </w:t>
      </w:r>
      <w:r>
        <w:rPr>
          <w:i/>
          <w:color w:val="0E101A"/>
        </w:rPr>
        <w:t>et al.</w:t>
      </w:r>
      <w:r>
        <w:rPr>
          <w:color w:val="0E101A"/>
        </w:rPr>
        <w:t xml:space="preserve">, 2022). Mentors could include senior Social Workers, practice educators, and placement supervisors. These are capable and can engage me </w:t>
      </w:r>
      <w:r w:rsidR="00B07BBD">
        <w:rPr>
          <w:color w:val="0E101A"/>
        </w:rPr>
        <w:t>in</w:t>
      </w:r>
      <w:r>
        <w:rPr>
          <w:color w:val="0E101A"/>
        </w:rPr>
        <w:t xml:space="preserve"> casework, as well as safeguarding and reflective practice. Due to their mentorship, the new professionals will be supported to move from student to professional learning and practice in a responsible manner (</w:t>
      </w:r>
      <w:proofErr w:type="spellStart"/>
      <w:r>
        <w:rPr>
          <w:color w:val="0E101A"/>
        </w:rPr>
        <w:t>Frögéli</w:t>
      </w:r>
      <w:proofErr w:type="spellEnd"/>
      <w:r>
        <w:rPr>
          <w:color w:val="0E101A"/>
        </w:rPr>
        <w:t xml:space="preserve"> and Eriksson, 2023). There are professional </w:t>
      </w:r>
      <w:r w:rsidR="00AA3E8B">
        <w:rPr>
          <w:color w:val="0E101A"/>
        </w:rPr>
        <w:t>organizations</w:t>
      </w:r>
      <w:r>
        <w:rPr>
          <w:color w:val="0E101A"/>
        </w:rPr>
        <w:t xml:space="preserve"> like the </w:t>
      </w:r>
      <w:r>
        <w:rPr>
          <w:i/>
          <w:color w:val="0E101A"/>
        </w:rPr>
        <w:t>Hertfordshire Partnership NHS Foundation Trust</w:t>
      </w:r>
      <w:r>
        <w:rPr>
          <w:color w:val="0E101A"/>
        </w:rPr>
        <w:t xml:space="preserve"> and </w:t>
      </w:r>
      <w:r>
        <w:rPr>
          <w:i/>
          <w:color w:val="0E101A"/>
        </w:rPr>
        <w:t>Social Work England</w:t>
      </w:r>
      <w:r>
        <w:rPr>
          <w:color w:val="0E101A"/>
        </w:rPr>
        <w:t xml:space="preserve">, where professionals can acquire workshops, resources, and events in the sector that facilitate professional growth and ethics. There are also networking opportunities in academic institutions, community </w:t>
      </w:r>
      <w:r w:rsidR="00AA3E8B">
        <w:rPr>
          <w:color w:val="0E101A"/>
        </w:rPr>
        <w:t>organizations</w:t>
      </w:r>
      <w:r>
        <w:rPr>
          <w:color w:val="0E101A"/>
        </w:rPr>
        <w:t xml:space="preserve"> and online sites such as LinkedIn. By taking part in mental health, child protection or adult safeguarding conferences, taking part in discussion forums, and reading personal interpretations of CPD seminars, the size of my professional network can be enlarged.</w:t>
      </w:r>
    </w:p>
    <w:p w14:paraId="238A2C48" w14:textId="77777777" w:rsidR="00FD3B41" w:rsidRDefault="00FD3B41" w:rsidP="00FD3B41">
      <w:pPr>
        <w:rPr>
          <w:color w:val="0E101A"/>
        </w:rPr>
      </w:pPr>
      <w:r>
        <w:rPr>
          <w:color w:val="0E101A"/>
        </w:rPr>
        <w:br w:type="page"/>
      </w:r>
    </w:p>
    <w:p w14:paraId="06D19BBA" w14:textId="77777777" w:rsidR="00FD3B41" w:rsidRPr="00AA3E8B" w:rsidRDefault="00FD3B41" w:rsidP="00FD3B41">
      <w:pPr>
        <w:pStyle w:val="Heading1"/>
        <w:spacing w:after="0"/>
        <w:rPr>
          <w:rFonts w:ascii="Arial" w:hAnsi="Arial" w:cs="Arial"/>
          <w:b/>
          <w:bCs/>
          <w:color w:val="auto"/>
          <w:sz w:val="24"/>
          <w:szCs w:val="24"/>
          <w:lang w:val="en-GB"/>
        </w:rPr>
      </w:pPr>
      <w:bookmarkStart w:id="32" w:name="_Toc209431316"/>
      <w:r w:rsidRPr="00AA3E8B">
        <w:rPr>
          <w:rFonts w:ascii="Arial" w:hAnsi="Arial" w:cs="Arial"/>
          <w:b/>
          <w:bCs/>
          <w:color w:val="auto"/>
          <w:sz w:val="24"/>
          <w:szCs w:val="24"/>
          <w:lang w:val="en-GB"/>
        </w:rPr>
        <w:lastRenderedPageBreak/>
        <w:t>Conclusion</w:t>
      </w:r>
      <w:bookmarkEnd w:id="32"/>
    </w:p>
    <w:p w14:paraId="324FF2AE" w14:textId="77777777" w:rsidR="00FD3B41" w:rsidRDefault="00FD3B41" w:rsidP="00FD3B41">
      <w:pPr>
        <w:rPr>
          <w:lang w:val="en-GB"/>
        </w:rPr>
      </w:pPr>
      <w:r>
        <w:rPr>
          <w:lang w:val="en-GB"/>
        </w:rPr>
        <w:t>In essence, the report provides a detailed understanding of the job role of a Social Worker, which explores how the learner can enhance their skills and experience to become an ideal candidate for the profile. As per the focus on the job role, a Social Worker holds a significant position in the social care sector due to their contribution to service users’ handling, care management and meeting their diverse needs through multi-agency collaboration, partnership working and maintaining ethical integrity. In contrast, the self-evaluation suggests that the learner has a potential profile as a care worker with appreciable competencies. However, further improvement in areas working with multi-sectoral professionals and time management during crises is crucial to ensure better outcomes. Indicating the action plan and strategies equipped to build the personal brand and professional network, diverse actions are considered to meet the appropriate standard for the role. The personal branding as a Social Worker is centred on demonstrating professional integrity, credibility and commitment to person-centred care. Overall, the motivation and commitment to ensure person-centred care, while maintaining its ethical standards, has driven my focus to pursue the role of a Social Worker as a future role in the health and social care sector.</w:t>
      </w:r>
    </w:p>
    <w:p w14:paraId="401DDB52" w14:textId="77777777" w:rsidR="00FD3B41" w:rsidRDefault="00FD3B41" w:rsidP="00FD3B41">
      <w:r>
        <w:br w:type="page"/>
      </w:r>
    </w:p>
    <w:p w14:paraId="5473B806" w14:textId="77777777" w:rsidR="00FD3B41" w:rsidRPr="003128FE" w:rsidRDefault="00FD3B41" w:rsidP="00FD3B41">
      <w:pPr>
        <w:pStyle w:val="Heading1"/>
        <w:spacing w:after="0"/>
        <w:rPr>
          <w:rFonts w:ascii="Arial" w:hAnsi="Arial" w:cs="Arial"/>
          <w:b/>
          <w:bCs/>
          <w:color w:val="auto"/>
          <w:sz w:val="24"/>
          <w:szCs w:val="24"/>
        </w:rPr>
      </w:pPr>
      <w:bookmarkStart w:id="33" w:name="_3a7tivjxetkw"/>
      <w:bookmarkStart w:id="34" w:name="_Toc209431317"/>
      <w:bookmarkEnd w:id="33"/>
      <w:r w:rsidRPr="003128FE">
        <w:rPr>
          <w:rFonts w:ascii="Arial" w:hAnsi="Arial" w:cs="Arial"/>
          <w:b/>
          <w:bCs/>
          <w:color w:val="auto"/>
          <w:sz w:val="24"/>
          <w:szCs w:val="24"/>
        </w:rPr>
        <w:lastRenderedPageBreak/>
        <w:t>References</w:t>
      </w:r>
      <w:bookmarkEnd w:id="34"/>
    </w:p>
    <w:p w14:paraId="766792D8" w14:textId="77777777" w:rsidR="00FD3B41" w:rsidRDefault="00FD3B41" w:rsidP="00FD3B41">
      <w:pPr>
        <w:rPr>
          <w:lang w:val="en-GB"/>
        </w:rPr>
      </w:pPr>
      <w:proofErr w:type="spellStart"/>
      <w:r>
        <w:rPr>
          <w:lang w:val="en-GB"/>
        </w:rPr>
        <w:t>Braicu</w:t>
      </w:r>
      <w:proofErr w:type="spellEnd"/>
      <w:r>
        <w:rPr>
          <w:lang w:val="en-GB"/>
        </w:rPr>
        <w:t xml:space="preserve">, C. and </w:t>
      </w:r>
      <w:proofErr w:type="spellStart"/>
      <w:r>
        <w:rPr>
          <w:lang w:val="en-GB"/>
        </w:rPr>
        <w:t>Drăghia</w:t>
      </w:r>
      <w:proofErr w:type="spellEnd"/>
      <w:r>
        <w:rPr>
          <w:lang w:val="en-GB"/>
        </w:rPr>
        <w:t>, C.L.R. (2024) ‘Effective communication in social work teams: A key to managerial success.’ </w:t>
      </w:r>
      <w:r>
        <w:rPr>
          <w:i/>
          <w:iCs/>
          <w:lang w:val="en-GB"/>
        </w:rPr>
        <w:t>Hyperion Economic Journal</w:t>
      </w:r>
      <w:r>
        <w:rPr>
          <w:lang w:val="en-GB"/>
        </w:rPr>
        <w:t>, </w:t>
      </w:r>
      <w:r>
        <w:rPr>
          <w:i/>
          <w:iCs/>
          <w:lang w:val="en-GB"/>
        </w:rPr>
        <w:t>11</w:t>
      </w:r>
      <w:r>
        <w:rPr>
          <w:lang w:val="en-GB"/>
        </w:rPr>
        <w:t xml:space="preserve">(1), pp.25-31. Available at: </w:t>
      </w:r>
      <w:hyperlink r:id="rId32" w:history="1">
        <w:r>
          <w:rPr>
            <w:rStyle w:val="Hyperlink"/>
            <w:rFonts w:eastAsiaTheme="majorEastAsia"/>
            <w:lang w:val="en-GB"/>
          </w:rPr>
          <w:t>https://hej.hyperion.ro/articles/1(11)_2024/HEJ%20nr1(11)_2024_A4Braicu.pdf</w:t>
        </w:r>
      </w:hyperlink>
      <w:r>
        <w:rPr>
          <w:lang w:val="en-GB"/>
        </w:rPr>
        <w:t xml:space="preserve"> [Accessed 21 September 2025]</w:t>
      </w:r>
    </w:p>
    <w:p w14:paraId="7E797269" w14:textId="77777777" w:rsidR="00FD3B41" w:rsidRDefault="00FD3B41" w:rsidP="00FD3B41">
      <w:r>
        <w:t xml:space="preserve">Brutus, N.N., </w:t>
      </w:r>
      <w:proofErr w:type="spellStart"/>
      <w:r>
        <w:t>Xirau</w:t>
      </w:r>
      <w:proofErr w:type="spellEnd"/>
      <w:r>
        <w:t xml:space="preserve">-Probert, P., First, C.K. and Paul, J. (2022) </w:t>
      </w:r>
      <w:r>
        <w:rPr>
          <w:i/>
        </w:rPr>
        <w:t>The Profile of a Competitive Applicant</w:t>
      </w:r>
      <w:r>
        <w:t xml:space="preserve">, </w:t>
      </w:r>
      <w:r>
        <w:rPr>
          <w:i/>
        </w:rPr>
        <w:t>Springer eBooks</w:t>
      </w:r>
      <w:r>
        <w:t>. Springer Nature, pp. 121–134.</w:t>
      </w:r>
    </w:p>
    <w:p w14:paraId="14270F6C" w14:textId="77777777" w:rsidR="00FD3B41" w:rsidRDefault="00FD3B41" w:rsidP="00FD3B41">
      <w:r>
        <w:t xml:space="preserve">Clapp, J.T., Heins, S.J., </w:t>
      </w:r>
      <w:proofErr w:type="spellStart"/>
      <w:r>
        <w:t>Gaulton</w:t>
      </w:r>
      <w:proofErr w:type="spellEnd"/>
      <w:r>
        <w:t xml:space="preserve">, T.G., Kleid, M.A., Lane-Fall, M.B., Jaya Aysola, Baranov, D.Y., Fleisher, L.A. and Emily (2023) ‘Does Masked Interviewing Encourage Holistic Review in Residency Selection? A Mixed-Methods Study’, </w:t>
      </w:r>
      <w:r>
        <w:rPr>
          <w:i/>
        </w:rPr>
        <w:t>Teaching and Learning in Medicine</w:t>
      </w:r>
      <w:r>
        <w:t xml:space="preserve">, 36(3), pp. 369–380. Available at: </w:t>
      </w:r>
      <w:hyperlink r:id="rId33" w:history="1">
        <w:r>
          <w:rPr>
            <w:rStyle w:val="Hyperlink"/>
            <w:rFonts w:eastAsiaTheme="majorEastAsia"/>
            <w:color w:val="1155CC"/>
          </w:rPr>
          <w:t>https://doi.org/10.1080/10401334.2023.2204074</w:t>
        </w:r>
      </w:hyperlink>
      <w:r>
        <w:t xml:space="preserve"> </w:t>
      </w:r>
    </w:p>
    <w:p w14:paraId="39875DA7" w14:textId="77777777" w:rsidR="00FD3B41" w:rsidRDefault="00FD3B41" w:rsidP="00FD3B41">
      <w:pPr>
        <w:rPr>
          <w:lang w:val="en-GB"/>
        </w:rPr>
      </w:pPr>
      <w:proofErr w:type="spellStart"/>
      <w:r>
        <w:rPr>
          <w:lang w:val="en-GB"/>
        </w:rPr>
        <w:t>England.nhs</w:t>
      </w:r>
      <w:proofErr w:type="spellEnd"/>
      <w:r>
        <w:rPr>
          <w:lang w:val="en-GB"/>
        </w:rPr>
        <w:t xml:space="preserve">, (2023) Working in partnership with people and communities: Statutory guidance. Available at: </w:t>
      </w:r>
      <w:hyperlink r:id="rId34" w:history="1">
        <w:r>
          <w:rPr>
            <w:rStyle w:val="Hyperlink"/>
            <w:rFonts w:eastAsiaTheme="majorEastAsia"/>
            <w:lang w:val="en-GB"/>
          </w:rPr>
          <w:t>https://www.england.nhs.uk/long-read/working-in-partnership-with-people-and-communities-statutory-guidance/</w:t>
        </w:r>
      </w:hyperlink>
      <w:r>
        <w:rPr>
          <w:lang w:val="en-GB"/>
        </w:rPr>
        <w:t xml:space="preserve"> [Accessed 21 September 2025]</w:t>
      </w:r>
    </w:p>
    <w:p w14:paraId="1920AB15" w14:textId="77777777" w:rsidR="00FD3B41" w:rsidRDefault="00FD3B41" w:rsidP="00FD3B41">
      <w:proofErr w:type="spellStart"/>
      <w:r>
        <w:t>Frögéli</w:t>
      </w:r>
      <w:proofErr w:type="spellEnd"/>
      <w:r>
        <w:t xml:space="preserve">, E. and Eriksson, L.B. (2023) ‘Obstacles Experienced by </w:t>
      </w:r>
      <w:proofErr w:type="spellStart"/>
      <w:r>
        <w:t>Socialisation</w:t>
      </w:r>
      <w:proofErr w:type="spellEnd"/>
      <w:r>
        <w:t xml:space="preserve"> Agents as They Support New Professionals’ Learning and adjustment: a Systematic Review of Qualitative Evidence’, </w:t>
      </w:r>
      <w:r>
        <w:rPr>
          <w:i/>
        </w:rPr>
        <w:t xml:space="preserve">European Journal of Work and </w:t>
      </w:r>
      <w:proofErr w:type="spellStart"/>
      <w:r>
        <w:rPr>
          <w:i/>
        </w:rPr>
        <w:t>Organisational</w:t>
      </w:r>
      <w:proofErr w:type="spellEnd"/>
      <w:r>
        <w:rPr>
          <w:i/>
        </w:rPr>
        <w:t xml:space="preserve"> Psychology</w:t>
      </w:r>
      <w:r>
        <w:t xml:space="preserve">, 34(2), pp. 263–281. Available at: </w:t>
      </w:r>
      <w:hyperlink r:id="rId35" w:history="1">
        <w:r>
          <w:rPr>
            <w:rStyle w:val="Hyperlink"/>
            <w:rFonts w:eastAsiaTheme="majorEastAsia"/>
            <w:color w:val="1155CC"/>
          </w:rPr>
          <w:t>https://doi.org/10.1080/1359432x.2023.2276532</w:t>
        </w:r>
      </w:hyperlink>
      <w:r>
        <w:t xml:space="preserve"> </w:t>
      </w:r>
    </w:p>
    <w:p w14:paraId="15500F2F" w14:textId="77777777" w:rsidR="00FD3B41" w:rsidRDefault="00FD3B41" w:rsidP="00FD3B41">
      <w:pPr>
        <w:rPr>
          <w:lang w:val="en-GB"/>
        </w:rPr>
      </w:pPr>
      <w:proofErr w:type="spellStart"/>
      <w:r>
        <w:rPr>
          <w:lang w:val="en-GB"/>
        </w:rPr>
        <w:t>Futurelearn</w:t>
      </w:r>
      <w:proofErr w:type="spellEnd"/>
      <w:r>
        <w:rPr>
          <w:lang w:val="en-GB"/>
        </w:rPr>
        <w:t xml:space="preserve">, (2025) Level 4 </w:t>
      </w:r>
      <w:proofErr w:type="spellStart"/>
      <w:r>
        <w:rPr>
          <w:lang w:val="en-GB"/>
        </w:rPr>
        <w:t>CertHE</w:t>
      </w:r>
      <w:proofErr w:type="spellEnd"/>
      <w:r>
        <w:rPr>
          <w:lang w:val="en-GB"/>
        </w:rPr>
        <w:t xml:space="preserve"> Health and Care Management. Available at: </w:t>
      </w:r>
      <w:hyperlink r:id="rId36" w:history="1">
        <w:r>
          <w:rPr>
            <w:rStyle w:val="Hyperlink"/>
            <w:rFonts w:eastAsiaTheme="majorEastAsia"/>
            <w:lang w:val="en-GB"/>
          </w:rPr>
          <w:t>https://progress.futurelearn.com/degree/arden-university-level4-certhe-health-and-care-management</w:t>
        </w:r>
      </w:hyperlink>
      <w:r>
        <w:rPr>
          <w:lang w:val="en-GB"/>
        </w:rPr>
        <w:t xml:space="preserve"> [Accessed 21 September 2025]</w:t>
      </w:r>
    </w:p>
    <w:p w14:paraId="3B634DA6" w14:textId="77777777" w:rsidR="00FD3B41" w:rsidRDefault="00FD3B41" w:rsidP="00FD3B41">
      <w:pPr>
        <w:rPr>
          <w:lang w:val="en-GB"/>
        </w:rPr>
      </w:pPr>
      <w:r>
        <w:rPr>
          <w:lang w:val="en-GB"/>
        </w:rPr>
        <w:t>Herland, M.D. (2022) ‘Emotional intelligence as a part of critical reflection in social work practice and research.’ </w:t>
      </w:r>
      <w:r>
        <w:rPr>
          <w:i/>
          <w:iCs/>
          <w:lang w:val="en-GB"/>
        </w:rPr>
        <w:t>Qualitative Social Work</w:t>
      </w:r>
      <w:r>
        <w:rPr>
          <w:lang w:val="en-GB"/>
        </w:rPr>
        <w:t>, </w:t>
      </w:r>
      <w:r>
        <w:rPr>
          <w:i/>
          <w:iCs/>
          <w:lang w:val="en-GB"/>
        </w:rPr>
        <w:t>21</w:t>
      </w:r>
      <w:r>
        <w:rPr>
          <w:lang w:val="en-GB"/>
        </w:rPr>
        <w:t xml:space="preserve">(4), pp.662-678. Available at: </w:t>
      </w:r>
      <w:hyperlink r:id="rId37" w:history="1">
        <w:r>
          <w:rPr>
            <w:rStyle w:val="Hyperlink"/>
            <w:rFonts w:eastAsiaTheme="majorEastAsia"/>
            <w:lang w:val="en-GB"/>
          </w:rPr>
          <w:t>https://doi.org/10.1177/14733250211024734</w:t>
        </w:r>
      </w:hyperlink>
      <w:r>
        <w:rPr>
          <w:lang w:val="en-GB"/>
        </w:rPr>
        <w:t xml:space="preserve"> </w:t>
      </w:r>
    </w:p>
    <w:p w14:paraId="6BA6AF65" w14:textId="77777777" w:rsidR="00FD3B41" w:rsidRDefault="00FD3B41" w:rsidP="00FD3B41">
      <w:pPr>
        <w:rPr>
          <w:lang w:val="en-GB"/>
        </w:rPr>
      </w:pPr>
      <w:r>
        <w:rPr>
          <w:lang w:val="en-GB"/>
        </w:rPr>
        <w:t>Hollinrake, S. (2025) ‘Anti-oppressive practice, social work values and ethics.’ In </w:t>
      </w:r>
      <w:r>
        <w:rPr>
          <w:i/>
          <w:iCs/>
          <w:lang w:val="en-GB"/>
        </w:rPr>
        <w:t>Innovations in Practice Learning</w:t>
      </w:r>
      <w:r>
        <w:rPr>
          <w:lang w:val="en-GB"/>
        </w:rPr>
        <w:t xml:space="preserve"> (pp. 77-100). Routledge. Available at: </w:t>
      </w:r>
      <w:hyperlink r:id="rId38" w:history="1">
        <w:r>
          <w:rPr>
            <w:rStyle w:val="Hyperlink"/>
            <w:rFonts w:eastAsiaTheme="majorEastAsia"/>
            <w:lang w:val="en-GB"/>
          </w:rPr>
          <w:t>https://www.taylorfrancis.com/chapters/edit/10.4324/9781041055846-6/anti-oppressive-practice-social-work-values-ethics-sue-hollinrake</w:t>
        </w:r>
      </w:hyperlink>
      <w:r>
        <w:rPr>
          <w:lang w:val="en-GB"/>
        </w:rPr>
        <w:t xml:space="preserve"> [Accessed 21 September 2025]</w:t>
      </w:r>
    </w:p>
    <w:p w14:paraId="74A3AA94" w14:textId="77777777" w:rsidR="00FD3B41" w:rsidRDefault="00FD3B41" w:rsidP="00FD3B41">
      <w:pPr>
        <w:rPr>
          <w:lang w:val="en-GB"/>
        </w:rPr>
      </w:pPr>
      <w:r>
        <w:rPr>
          <w:lang w:val="en-GB"/>
        </w:rPr>
        <w:t>Hughes, G., Shaw, S.E. and Greenhalgh, T. (2020) ‘Rethinking integrated care: a systematic hermeneutic review of the literature on integrated care strategies and concepts.’ </w:t>
      </w:r>
      <w:r>
        <w:rPr>
          <w:i/>
          <w:iCs/>
          <w:lang w:val="en-GB"/>
        </w:rPr>
        <w:t>The Milbank Quarterly</w:t>
      </w:r>
      <w:r>
        <w:rPr>
          <w:lang w:val="en-GB"/>
        </w:rPr>
        <w:t>, </w:t>
      </w:r>
      <w:r>
        <w:rPr>
          <w:i/>
          <w:iCs/>
          <w:lang w:val="en-GB"/>
        </w:rPr>
        <w:t>98</w:t>
      </w:r>
      <w:r>
        <w:rPr>
          <w:lang w:val="en-GB"/>
        </w:rPr>
        <w:t xml:space="preserve">(2), pp.446-492. Available at: </w:t>
      </w:r>
      <w:hyperlink r:id="rId39" w:history="1">
        <w:r>
          <w:rPr>
            <w:rStyle w:val="Hyperlink"/>
            <w:rFonts w:eastAsiaTheme="majorEastAsia"/>
            <w:lang w:val="en-GB"/>
          </w:rPr>
          <w:t>https://doi.org/10.1111/1468-0009.12459</w:t>
        </w:r>
      </w:hyperlink>
      <w:r>
        <w:rPr>
          <w:lang w:val="en-GB"/>
        </w:rPr>
        <w:t xml:space="preserve"> </w:t>
      </w:r>
    </w:p>
    <w:p w14:paraId="45D3D764" w14:textId="77777777" w:rsidR="00FD3B41" w:rsidRDefault="00FD3B41" w:rsidP="00FD3B41">
      <w:r>
        <w:lastRenderedPageBreak/>
        <w:t xml:space="preserve">Imran, M. and </w:t>
      </w:r>
      <w:proofErr w:type="spellStart"/>
      <w:r>
        <w:t>Almusharraf</w:t>
      </w:r>
      <w:proofErr w:type="spellEnd"/>
      <w:r>
        <w:t xml:space="preserve">, N. (2024) ‘Google Gemini as a next Generation AI Educational tool: a Review of Emerging Educational Technology’, </w:t>
      </w:r>
      <w:r>
        <w:rPr>
          <w:i/>
        </w:rPr>
        <w:t>Smart learning environments</w:t>
      </w:r>
      <w:r>
        <w:t xml:space="preserve">, 11(1), pp. 1–22. Available at: </w:t>
      </w:r>
      <w:hyperlink r:id="rId40" w:history="1">
        <w:r>
          <w:rPr>
            <w:rStyle w:val="Hyperlink"/>
            <w:rFonts w:eastAsiaTheme="majorEastAsia"/>
            <w:color w:val="1155CC"/>
          </w:rPr>
          <w:t>https://doi.org/10.1186/s40561-024-00310-z</w:t>
        </w:r>
      </w:hyperlink>
      <w:r>
        <w:t xml:space="preserve"> </w:t>
      </w:r>
    </w:p>
    <w:p w14:paraId="6AFAF942" w14:textId="77777777" w:rsidR="00FD3B41" w:rsidRDefault="00FD3B41" w:rsidP="00FD3B41">
      <w:r>
        <w:t xml:space="preserve">Jeyaraman, M., Ramasubramanian, S., Kumar, S., Jeyaraman, N., Selvaraj, P., Nallakumarasamy, A., Bondili, S.K. and Yadav, S. (2023) ‘Multifaceted Role of Social Media in Healthcare: Opportunities, Challenges, and the Need for Quality Control’, </w:t>
      </w:r>
      <w:proofErr w:type="spellStart"/>
      <w:r>
        <w:rPr>
          <w:i/>
        </w:rPr>
        <w:t>Cureus</w:t>
      </w:r>
      <w:proofErr w:type="spellEnd"/>
      <w:r>
        <w:t xml:space="preserve">, 15(5), pp. 1–9. Available at: </w:t>
      </w:r>
      <w:hyperlink r:id="rId41" w:history="1">
        <w:r>
          <w:rPr>
            <w:rStyle w:val="Hyperlink"/>
            <w:rFonts w:eastAsiaTheme="majorEastAsia"/>
            <w:color w:val="1155CC"/>
          </w:rPr>
          <w:t>https://doi.org/10.7759/cureus.39111</w:t>
        </w:r>
      </w:hyperlink>
      <w:r>
        <w:t xml:space="preserve"> </w:t>
      </w:r>
    </w:p>
    <w:p w14:paraId="39394254" w14:textId="77777777" w:rsidR="00FD3B41" w:rsidRDefault="00FD3B41" w:rsidP="00FD3B41">
      <w:pPr>
        <w:rPr>
          <w:i/>
          <w:iCs/>
          <w:lang w:val="en-GB"/>
        </w:rPr>
      </w:pPr>
      <w:r>
        <w:rPr>
          <w:lang w:val="en-GB"/>
        </w:rPr>
        <w:t xml:space="preserve">Koprowska, J. (2024) </w:t>
      </w:r>
      <w:r>
        <w:rPr>
          <w:i/>
          <w:iCs/>
          <w:lang w:val="en-GB"/>
        </w:rPr>
        <w:t>Communication and interpersonal skills in social work.</w:t>
      </w:r>
    </w:p>
    <w:p w14:paraId="64B252FA" w14:textId="77777777" w:rsidR="00FD3B41" w:rsidRDefault="00FD3B41" w:rsidP="00FD3B41">
      <w:pPr>
        <w:rPr>
          <w:lang w:val="en-GB"/>
        </w:rPr>
      </w:pPr>
      <w:r>
        <w:rPr>
          <w:lang w:val="en-GB"/>
        </w:rPr>
        <w:t xml:space="preserve">Löwe, C., Mark, P., Sommer, S. and </w:t>
      </w:r>
      <w:proofErr w:type="spellStart"/>
      <w:r>
        <w:rPr>
          <w:lang w:val="en-GB"/>
        </w:rPr>
        <w:t>Weltermann</w:t>
      </w:r>
      <w:proofErr w:type="spellEnd"/>
      <w:r>
        <w:rPr>
          <w:lang w:val="en-GB"/>
        </w:rPr>
        <w:t>, B. (2022) ‘Collaboration between general practitioners and social workers: a scoping review.’ </w:t>
      </w:r>
      <w:r>
        <w:rPr>
          <w:i/>
          <w:iCs/>
          <w:lang w:val="en-GB"/>
        </w:rPr>
        <w:t>BMJ open</w:t>
      </w:r>
      <w:r>
        <w:rPr>
          <w:lang w:val="en-GB"/>
        </w:rPr>
        <w:t>, </w:t>
      </w:r>
      <w:r>
        <w:rPr>
          <w:i/>
          <w:iCs/>
          <w:lang w:val="en-GB"/>
        </w:rPr>
        <w:t>12</w:t>
      </w:r>
      <w:r>
        <w:rPr>
          <w:lang w:val="en-GB"/>
        </w:rPr>
        <w:t xml:space="preserve">(6), p.e062144. Available at: </w:t>
      </w:r>
      <w:hyperlink r:id="rId42" w:history="1">
        <w:r>
          <w:rPr>
            <w:rStyle w:val="Hyperlink"/>
            <w:rFonts w:eastAsiaTheme="majorEastAsia"/>
            <w:lang w:val="en-GB"/>
          </w:rPr>
          <w:t>https://doi.org/10.1136/bmjopen-2022-062144</w:t>
        </w:r>
      </w:hyperlink>
      <w:r>
        <w:rPr>
          <w:lang w:val="en-GB"/>
        </w:rPr>
        <w:t xml:space="preserve"> </w:t>
      </w:r>
    </w:p>
    <w:p w14:paraId="28261F15" w14:textId="77777777" w:rsidR="00FD3B41" w:rsidRDefault="00FD3B41" w:rsidP="00FD3B41">
      <w:pPr>
        <w:rPr>
          <w:lang w:val="en-GB"/>
        </w:rPr>
      </w:pPr>
      <w:proofErr w:type="spellStart"/>
      <w:r>
        <w:rPr>
          <w:lang w:val="en-GB"/>
        </w:rPr>
        <w:t>Nhsjobs</w:t>
      </w:r>
      <w:proofErr w:type="spellEnd"/>
      <w:r>
        <w:rPr>
          <w:lang w:val="en-GB"/>
        </w:rPr>
        <w:t xml:space="preserve">, (2025) Job Summary. Available at: </w:t>
      </w:r>
      <w:hyperlink r:id="rId43" w:history="1">
        <w:r>
          <w:rPr>
            <w:rStyle w:val="Hyperlink"/>
            <w:rFonts w:eastAsiaTheme="majorEastAsia"/>
            <w:lang w:val="en-GB"/>
          </w:rPr>
          <w:t>https://www.nhsjobs.com/job/UK/Hertfordshire/Hemel_Hempstead/Hertfordshire_Partnership_NHS_Foundation_Trust/Adult_Mental_Health/Adult_Mental_Health-v7483909?_ts=1</w:t>
        </w:r>
      </w:hyperlink>
      <w:r>
        <w:rPr>
          <w:lang w:val="en-GB"/>
        </w:rPr>
        <w:t xml:space="preserve"> [Accessed 20 September 2025]</w:t>
      </w:r>
    </w:p>
    <w:p w14:paraId="59832F6F" w14:textId="77777777" w:rsidR="00FD3B41" w:rsidRDefault="00FD3B41" w:rsidP="00FD3B41">
      <w:pPr>
        <w:rPr>
          <w:lang w:val="en-GB"/>
        </w:rPr>
      </w:pPr>
      <w:r>
        <w:rPr>
          <w:lang w:val="en-GB"/>
        </w:rPr>
        <w:t>Nisha, S.M. and Rajasekaran, V. (2020) ‘Employability skills: A review.’ </w:t>
      </w:r>
      <w:r>
        <w:rPr>
          <w:i/>
          <w:iCs/>
          <w:lang w:val="en-GB"/>
        </w:rPr>
        <w:t>IUP Journal of Soft Skills</w:t>
      </w:r>
      <w:r>
        <w:rPr>
          <w:lang w:val="en-GB"/>
        </w:rPr>
        <w:t>, </w:t>
      </w:r>
      <w:r>
        <w:rPr>
          <w:i/>
          <w:iCs/>
          <w:lang w:val="en-GB"/>
        </w:rPr>
        <w:t>12</w:t>
      </w:r>
      <w:r>
        <w:rPr>
          <w:lang w:val="en-GB"/>
        </w:rPr>
        <w:t xml:space="preserve">(1), pp.29-37. Available at: </w:t>
      </w:r>
      <w:hyperlink r:id="rId44" w:history="1">
        <w:r>
          <w:rPr>
            <w:rStyle w:val="Hyperlink"/>
            <w:rFonts w:eastAsiaTheme="majorEastAsia"/>
            <w:lang w:val="en-GB"/>
          </w:rPr>
          <w:t>https://search.proquest.com/openview/1f9f5ad8e5798a6b992e4c1bee830cbb/1?pq-origsite=gscholar&amp;cbl=2029989</w:t>
        </w:r>
      </w:hyperlink>
      <w:r>
        <w:rPr>
          <w:lang w:val="en-GB"/>
        </w:rPr>
        <w:t xml:space="preserve"> [Accessed 21 September 2025]</w:t>
      </w:r>
    </w:p>
    <w:p w14:paraId="18BFA81E" w14:textId="77777777" w:rsidR="00FD3B41" w:rsidRDefault="00FD3B41" w:rsidP="00FD3B41">
      <w:pPr>
        <w:rPr>
          <w:lang w:val="en-GB"/>
        </w:rPr>
      </w:pPr>
      <w:r>
        <w:rPr>
          <w:lang w:val="en-GB"/>
        </w:rPr>
        <w:t xml:space="preserve">Paulraj, S., </w:t>
      </w:r>
      <w:proofErr w:type="spellStart"/>
      <w:r>
        <w:rPr>
          <w:lang w:val="en-GB"/>
        </w:rPr>
        <w:t>Alaboudi</w:t>
      </w:r>
      <w:proofErr w:type="spellEnd"/>
      <w:r>
        <w:rPr>
          <w:lang w:val="en-GB"/>
        </w:rPr>
        <w:t xml:space="preserve">, S., Mali, R., Ezzi, F.A., </w:t>
      </w:r>
      <w:proofErr w:type="spellStart"/>
      <w:r>
        <w:rPr>
          <w:lang w:val="en-GB"/>
        </w:rPr>
        <w:t>Alawad</w:t>
      </w:r>
      <w:proofErr w:type="spellEnd"/>
      <w:r>
        <w:rPr>
          <w:lang w:val="en-GB"/>
        </w:rPr>
        <w:t xml:space="preserve">, L.M., Alqahtani, S.A. and </w:t>
      </w:r>
      <w:proofErr w:type="spellStart"/>
      <w:r>
        <w:rPr>
          <w:lang w:val="en-GB"/>
        </w:rPr>
        <w:t>Vetrayan</w:t>
      </w:r>
      <w:proofErr w:type="spellEnd"/>
      <w:r>
        <w:rPr>
          <w:lang w:val="en-GB"/>
        </w:rPr>
        <w:t>, J., (2021) ‘Social intelligence, emotional intelligence and the therapeutic relationship among clinical occupational therapist.’ </w:t>
      </w:r>
      <w:r>
        <w:rPr>
          <w:i/>
          <w:iCs/>
          <w:lang w:val="en-GB"/>
        </w:rPr>
        <w:t>International Journal of Health Sciences and Research</w:t>
      </w:r>
      <w:r>
        <w:rPr>
          <w:lang w:val="en-GB"/>
        </w:rPr>
        <w:t>, </w:t>
      </w:r>
      <w:r>
        <w:rPr>
          <w:i/>
          <w:iCs/>
          <w:lang w:val="en-GB"/>
        </w:rPr>
        <w:t>11</w:t>
      </w:r>
      <w:r>
        <w:rPr>
          <w:lang w:val="en-GB"/>
        </w:rPr>
        <w:t xml:space="preserve">(11), pp.275-285. Available at: </w:t>
      </w:r>
      <w:hyperlink r:id="rId45" w:history="1">
        <w:r>
          <w:rPr>
            <w:rStyle w:val="Hyperlink"/>
            <w:rFonts w:eastAsiaTheme="majorEastAsia"/>
            <w:lang w:val="en-GB"/>
          </w:rPr>
          <w:t>https://doi.org/10.52403/ijhsr.20211133</w:t>
        </w:r>
      </w:hyperlink>
      <w:r>
        <w:rPr>
          <w:lang w:val="en-GB"/>
        </w:rPr>
        <w:t xml:space="preserve"> </w:t>
      </w:r>
    </w:p>
    <w:p w14:paraId="0BA144DE" w14:textId="77777777" w:rsidR="00FD3B41" w:rsidRDefault="00FD3B41" w:rsidP="00FD3B41">
      <w:r>
        <w:t xml:space="preserve">Saputra, N., Putera, R.E., </w:t>
      </w:r>
      <w:proofErr w:type="spellStart"/>
      <w:r>
        <w:t>Zetra</w:t>
      </w:r>
      <w:proofErr w:type="spellEnd"/>
      <w:r>
        <w:t xml:space="preserve">, A., Azwar, Valentina, T.R. and Mulia, R.A. (2024) ‘Capacity Building for </w:t>
      </w:r>
      <w:proofErr w:type="spellStart"/>
      <w:r>
        <w:t>Organisational</w:t>
      </w:r>
      <w:proofErr w:type="spellEnd"/>
      <w:r>
        <w:t xml:space="preserve"> Performance: A Systematic Review, Conceptual Framework, and Future Research Directions’, </w:t>
      </w:r>
      <w:r>
        <w:rPr>
          <w:i/>
        </w:rPr>
        <w:t>Cogent Business &amp; Management</w:t>
      </w:r>
      <w:r>
        <w:t xml:space="preserve">, 11(1), pp. 24–34. Available at: </w:t>
      </w:r>
      <w:hyperlink r:id="rId46" w:history="1">
        <w:r>
          <w:rPr>
            <w:rStyle w:val="Hyperlink"/>
            <w:rFonts w:eastAsiaTheme="majorEastAsia"/>
            <w:color w:val="1155CC"/>
          </w:rPr>
          <w:t>https://doi.org/10.1080/23311975.2024.2434966</w:t>
        </w:r>
      </w:hyperlink>
      <w:r>
        <w:t xml:space="preserve"> </w:t>
      </w:r>
    </w:p>
    <w:p w14:paraId="44DBB471" w14:textId="77777777" w:rsidR="00FD3B41" w:rsidRDefault="00FD3B41" w:rsidP="00FD3B41">
      <w:proofErr w:type="spellStart"/>
      <w:r>
        <w:t>Sherimon</w:t>
      </w:r>
      <w:proofErr w:type="spellEnd"/>
      <w:r>
        <w:t xml:space="preserve">, P.C. and </w:t>
      </w:r>
      <w:proofErr w:type="spellStart"/>
      <w:r>
        <w:t>Sherimon</w:t>
      </w:r>
      <w:proofErr w:type="spellEnd"/>
      <w:r>
        <w:t xml:space="preserve">, V. (2025) </w:t>
      </w:r>
      <w:r>
        <w:rPr>
          <w:i/>
        </w:rPr>
        <w:t>Unlocking Human Capital: A Systematic Review of Blockchain-Powered Skills Sharing</w:t>
      </w:r>
      <w:r>
        <w:t xml:space="preserve">, </w:t>
      </w:r>
      <w:r>
        <w:rPr>
          <w:i/>
        </w:rPr>
        <w:t>Lecture notes in networks and systems</w:t>
      </w:r>
      <w:r>
        <w:t>. Springer International Publishing, pp. 555–567.</w:t>
      </w:r>
    </w:p>
    <w:p w14:paraId="3BA62AF1" w14:textId="77777777" w:rsidR="00FD3B41" w:rsidRDefault="00FD3B41" w:rsidP="00FD3B41">
      <w:pPr>
        <w:rPr>
          <w:lang w:val="en-GB"/>
        </w:rPr>
      </w:pPr>
      <w:proofErr w:type="spellStart"/>
      <w:r>
        <w:rPr>
          <w:lang w:val="en-GB"/>
        </w:rPr>
        <w:lastRenderedPageBreak/>
        <w:t>Socialworkers</w:t>
      </w:r>
      <w:proofErr w:type="spellEnd"/>
      <w:r>
        <w:rPr>
          <w:lang w:val="en-GB"/>
        </w:rPr>
        <w:t xml:space="preserve">, (2025) Read the Code of Ethics. Available at: </w:t>
      </w:r>
      <w:hyperlink r:id="rId47" w:history="1">
        <w:r>
          <w:rPr>
            <w:rStyle w:val="Hyperlink"/>
            <w:rFonts w:eastAsiaTheme="majorEastAsia"/>
            <w:lang w:val="en-GB"/>
          </w:rPr>
          <w:t>https://www.socialworkers.org/About/Ethics/Code-of-Ethics/Code-of-Ethics-English</w:t>
        </w:r>
      </w:hyperlink>
      <w:r>
        <w:rPr>
          <w:lang w:val="en-GB"/>
        </w:rPr>
        <w:t xml:space="preserve"> [Accessed 21 September 2025]</w:t>
      </w:r>
    </w:p>
    <w:p w14:paraId="70CA3BDC" w14:textId="77777777" w:rsidR="00FD3B41" w:rsidRDefault="00FD3B41" w:rsidP="00FD3B41">
      <w:pPr>
        <w:rPr>
          <w:lang w:val="en-GB"/>
        </w:rPr>
      </w:pPr>
      <w:r>
        <w:rPr>
          <w:lang w:val="en-GB"/>
        </w:rPr>
        <w:t xml:space="preserve">Tadic, V., Ashcroft, R., Brown, J.B. and </w:t>
      </w:r>
      <w:proofErr w:type="spellStart"/>
      <w:r>
        <w:rPr>
          <w:lang w:val="en-GB"/>
        </w:rPr>
        <w:t>Dahrouge</w:t>
      </w:r>
      <w:proofErr w:type="spellEnd"/>
      <w:r>
        <w:rPr>
          <w:lang w:val="en-GB"/>
        </w:rPr>
        <w:t>, S. (2020) ‘The role of social workers in interprofessional primary healthcare teams.’ </w:t>
      </w:r>
      <w:r>
        <w:rPr>
          <w:i/>
          <w:iCs/>
          <w:lang w:val="en-GB"/>
        </w:rPr>
        <w:t>Healthcare Policy</w:t>
      </w:r>
      <w:r>
        <w:rPr>
          <w:lang w:val="en-GB"/>
        </w:rPr>
        <w:t>, </w:t>
      </w:r>
      <w:r>
        <w:rPr>
          <w:i/>
          <w:iCs/>
          <w:lang w:val="en-GB"/>
        </w:rPr>
        <w:t>16</w:t>
      </w:r>
      <w:r>
        <w:rPr>
          <w:lang w:val="en-GB"/>
        </w:rPr>
        <w:t xml:space="preserve">(1), pp.27-30. Available at: </w:t>
      </w:r>
      <w:hyperlink r:id="rId48" w:history="1">
        <w:r>
          <w:rPr>
            <w:rStyle w:val="Hyperlink"/>
            <w:rFonts w:eastAsiaTheme="majorEastAsia"/>
            <w:lang w:val="en-GB"/>
          </w:rPr>
          <w:t>https://doi.org/10.12927/hcpol.2020.26292</w:t>
        </w:r>
      </w:hyperlink>
      <w:r>
        <w:rPr>
          <w:lang w:val="en-GB"/>
        </w:rPr>
        <w:t xml:space="preserve"> </w:t>
      </w:r>
    </w:p>
    <w:p w14:paraId="19675EBC" w14:textId="77777777" w:rsidR="00FD3B41" w:rsidRDefault="00FD3B41" w:rsidP="00FD3B41">
      <w:r>
        <w:t xml:space="preserve">Tickle, N., Creedy, D.K., Carter, A.G. and Gamble, J. (2022) ‘The Use of </w:t>
      </w:r>
      <w:proofErr w:type="spellStart"/>
      <w:r>
        <w:t>Eportfolios</w:t>
      </w:r>
      <w:proofErr w:type="spellEnd"/>
      <w:r>
        <w:t xml:space="preserve"> in pre-registration Health Professional Clinical education: an Integrative Review’, </w:t>
      </w:r>
      <w:r>
        <w:rPr>
          <w:i/>
        </w:rPr>
        <w:t>Nurse Education Today</w:t>
      </w:r>
      <w:r>
        <w:t xml:space="preserve">, 117, pp. 1054–1076. Available at: </w:t>
      </w:r>
      <w:hyperlink r:id="rId49" w:history="1">
        <w:r>
          <w:rPr>
            <w:rStyle w:val="Hyperlink"/>
            <w:rFonts w:eastAsiaTheme="majorEastAsia"/>
            <w:color w:val="1155CC"/>
          </w:rPr>
          <w:t>https://doi.org/10.1016/j.nedt.2022.105476</w:t>
        </w:r>
      </w:hyperlink>
      <w:r>
        <w:t xml:space="preserve"> </w:t>
      </w:r>
    </w:p>
    <w:p w14:paraId="2DAA16DC" w14:textId="77777777" w:rsidR="00FD3B41" w:rsidRDefault="00FD3B41" w:rsidP="00FD3B41">
      <w:proofErr w:type="spellStart"/>
      <w:r>
        <w:rPr>
          <w:lang w:val="en-GB"/>
        </w:rPr>
        <w:t>Wongsin</w:t>
      </w:r>
      <w:proofErr w:type="spellEnd"/>
      <w:r>
        <w:rPr>
          <w:lang w:val="en-GB"/>
        </w:rPr>
        <w:t xml:space="preserve">, U., </w:t>
      </w:r>
      <w:proofErr w:type="spellStart"/>
      <w:r>
        <w:rPr>
          <w:lang w:val="en-GB"/>
        </w:rPr>
        <w:t>Pannoi</w:t>
      </w:r>
      <w:proofErr w:type="spellEnd"/>
      <w:r>
        <w:rPr>
          <w:lang w:val="en-GB"/>
        </w:rPr>
        <w:t xml:space="preserve">, T., </w:t>
      </w:r>
      <w:proofErr w:type="spellStart"/>
      <w:r>
        <w:rPr>
          <w:lang w:val="en-GB"/>
        </w:rPr>
        <w:t>Prutipinyo</w:t>
      </w:r>
      <w:proofErr w:type="spellEnd"/>
      <w:r>
        <w:rPr>
          <w:lang w:val="en-GB"/>
        </w:rPr>
        <w:t xml:space="preserve">, C., Maruf, M.A., </w:t>
      </w:r>
      <w:proofErr w:type="spellStart"/>
      <w:r>
        <w:rPr>
          <w:lang w:val="en-GB"/>
        </w:rPr>
        <w:t>Pongpattrachai</w:t>
      </w:r>
      <w:proofErr w:type="spellEnd"/>
      <w:r>
        <w:rPr>
          <w:lang w:val="en-GB"/>
        </w:rPr>
        <w:t xml:space="preserve">, D., </w:t>
      </w:r>
      <w:proofErr w:type="spellStart"/>
      <w:r>
        <w:rPr>
          <w:lang w:val="en-GB"/>
        </w:rPr>
        <w:t>Quansri</w:t>
      </w:r>
      <w:proofErr w:type="spellEnd"/>
      <w:r>
        <w:rPr>
          <w:lang w:val="en-GB"/>
        </w:rPr>
        <w:t xml:space="preserve">, O. and </w:t>
      </w:r>
      <w:proofErr w:type="spellStart"/>
      <w:r>
        <w:rPr>
          <w:lang w:val="en-GB"/>
        </w:rPr>
        <w:t>Sattayasomboon</w:t>
      </w:r>
      <w:proofErr w:type="spellEnd"/>
      <w:r>
        <w:rPr>
          <w:lang w:val="en-GB"/>
        </w:rPr>
        <w:t>, Y. (2025) ‘Strategic planning and organizational performance in public health sector: a scoping review.’ </w:t>
      </w:r>
      <w:r>
        <w:rPr>
          <w:i/>
          <w:iCs/>
          <w:lang w:val="en-GB"/>
        </w:rPr>
        <w:t>BMC Health Services Research</w:t>
      </w:r>
      <w:r>
        <w:rPr>
          <w:lang w:val="en-GB"/>
        </w:rPr>
        <w:t>, </w:t>
      </w:r>
      <w:r>
        <w:rPr>
          <w:i/>
          <w:iCs/>
          <w:lang w:val="en-GB"/>
        </w:rPr>
        <w:t>25</w:t>
      </w:r>
      <w:r>
        <w:rPr>
          <w:lang w:val="en-GB"/>
        </w:rPr>
        <w:t xml:space="preserve">(1), p.1017. Available at: </w:t>
      </w:r>
      <w:hyperlink r:id="rId50" w:history="1">
        <w:r>
          <w:rPr>
            <w:rStyle w:val="Hyperlink"/>
            <w:rFonts w:eastAsiaTheme="majorEastAsia"/>
            <w:lang w:val="en-GB"/>
          </w:rPr>
          <w:t>https://doi.org/10.1186/s12913-025-13206-6</w:t>
        </w:r>
      </w:hyperlink>
    </w:p>
    <w:p w14:paraId="713BB11D" w14:textId="77777777" w:rsidR="00FD3B41" w:rsidRDefault="00FD3B41" w:rsidP="00FD3B41">
      <w:r>
        <w:t>Yue, Y. and Shyu, J.Z. (2024) ‘A Paradigm Shift in Crisis Management: The Nexus of AGI</w:t>
      </w:r>
      <w:r>
        <w:rPr>
          <w:rFonts w:ascii="Cambria Math" w:hAnsi="Cambria Math" w:cs="Cambria Math"/>
        </w:rPr>
        <w:t>‐</w:t>
      </w:r>
      <w:r>
        <w:t>driven Intelligence Fusion Networks and Blockchain Trustworthiness</w:t>
      </w:r>
      <w:r>
        <w:rPr>
          <w:rFonts w:cs="Arial"/>
        </w:rPr>
        <w:t>’</w:t>
      </w:r>
      <w:r>
        <w:t xml:space="preserve">, </w:t>
      </w:r>
      <w:r>
        <w:rPr>
          <w:i/>
        </w:rPr>
        <w:t>Journal of Contingencies and Crisis Management</w:t>
      </w:r>
      <w:r>
        <w:t xml:space="preserve">, 32(1), pp. 12–54. Available at: </w:t>
      </w:r>
      <w:hyperlink r:id="rId51" w:history="1">
        <w:r>
          <w:rPr>
            <w:rStyle w:val="Hyperlink"/>
            <w:rFonts w:eastAsiaTheme="majorEastAsia"/>
            <w:color w:val="1155CC"/>
          </w:rPr>
          <w:t>https://doi.org/10.1111/1468-5973.12541</w:t>
        </w:r>
      </w:hyperlink>
      <w:r>
        <w:t xml:space="preserve"> </w:t>
      </w:r>
    </w:p>
    <w:p w14:paraId="1A069269" w14:textId="77777777" w:rsidR="00FD3B41" w:rsidRDefault="00FD3B41" w:rsidP="00FD3B41">
      <w:r>
        <w:t xml:space="preserve">Zaman, N., Mujahid, K., Ahmed, F., Mahmud, S., Naeem, H., Riaz, U., Ullah, U. and Cox, B. (2022) ‘What Are the Barriers and Facilitators to Seeking Help for Mental Health in NHS doctors: a Systematic Review and Qualitative Study’, </w:t>
      </w:r>
      <w:r>
        <w:rPr>
          <w:i/>
        </w:rPr>
        <w:t>BMC Psychiatry</w:t>
      </w:r>
      <w:r>
        <w:t xml:space="preserve">, 22(1), pp. 59–95. Available at: </w:t>
      </w:r>
      <w:hyperlink r:id="rId52" w:history="1">
        <w:r>
          <w:rPr>
            <w:rStyle w:val="Hyperlink"/>
            <w:rFonts w:eastAsiaTheme="majorEastAsia"/>
            <w:color w:val="1155CC"/>
          </w:rPr>
          <w:t>https://doi.org/10.1186/s12888-022-04202-9</w:t>
        </w:r>
      </w:hyperlink>
      <w:r>
        <w:t xml:space="preserve"> </w:t>
      </w:r>
    </w:p>
    <w:p w14:paraId="1418596E" w14:textId="77777777" w:rsidR="00FD3B41" w:rsidRDefault="00FD3B41"/>
    <w:p w14:paraId="741C907B" w14:textId="77777777" w:rsidR="00FD3B41" w:rsidRDefault="00FD3B41"/>
    <w:p w14:paraId="51AAB0A0" w14:textId="77777777" w:rsidR="00FD3B41" w:rsidRDefault="00FD3B41"/>
    <w:p w14:paraId="644E3014" w14:textId="77777777" w:rsidR="00FD3B41" w:rsidRDefault="00FD3B41"/>
    <w:p w14:paraId="1785A3D5" w14:textId="77777777" w:rsidR="00FD3B41" w:rsidRDefault="00FD3B41"/>
    <w:p w14:paraId="5B26012F" w14:textId="77777777" w:rsidR="00FD3B41" w:rsidRDefault="00FD3B41"/>
    <w:p w14:paraId="432347B3" w14:textId="77777777" w:rsidR="00FD3B41" w:rsidRDefault="00FD3B41"/>
    <w:p w14:paraId="1537E89A" w14:textId="77777777" w:rsidR="00FD3B41" w:rsidRDefault="00FD3B41"/>
    <w:p w14:paraId="4FB09E70" w14:textId="77777777" w:rsidR="00FD3B41" w:rsidRDefault="00FD3B41"/>
    <w:p w14:paraId="3428EA5F" w14:textId="77777777" w:rsidR="00FD3B41" w:rsidRDefault="00FD3B41"/>
    <w:p w14:paraId="349BEE76" w14:textId="77777777" w:rsidR="00FD3B41" w:rsidRDefault="00FD3B41"/>
    <w:p w14:paraId="787CE67F" w14:textId="77777777" w:rsidR="00FD3B41" w:rsidRDefault="00FD3B41"/>
    <w:p w14:paraId="214F9368" w14:textId="77777777" w:rsidR="00FD3B41" w:rsidRDefault="00FD3B41"/>
    <w:p w14:paraId="3C84F685" w14:textId="77777777" w:rsidR="00FD3B41" w:rsidRDefault="00FD3B41"/>
    <w:p w14:paraId="0858E49E" w14:textId="77777777" w:rsidR="00FD3B41" w:rsidRDefault="00FD3B41"/>
    <w:p w14:paraId="27262E29" w14:textId="77777777" w:rsidR="00FD3B41" w:rsidRDefault="00FD3B41"/>
    <w:sectPr w:rsidR="00FD3B41">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F3A69D" w14:textId="77777777" w:rsidR="000C67DE" w:rsidRDefault="000C67DE" w:rsidP="00985D25">
      <w:pPr>
        <w:spacing w:after="0" w:line="240" w:lineRule="auto"/>
      </w:pPr>
      <w:r>
        <w:separator/>
      </w:r>
    </w:p>
  </w:endnote>
  <w:endnote w:type="continuationSeparator" w:id="0">
    <w:p w14:paraId="17305C26" w14:textId="77777777" w:rsidR="000C67DE" w:rsidRDefault="000C67DE" w:rsidP="00985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317440"/>
      <w:docPartObj>
        <w:docPartGallery w:val="Page Numbers (Bottom of Page)"/>
        <w:docPartUnique/>
      </w:docPartObj>
    </w:sdtPr>
    <w:sdtEndPr>
      <w:rPr>
        <w:noProof/>
      </w:rPr>
    </w:sdtEndPr>
    <w:sdtContent>
      <w:p w14:paraId="19A2F9E4" w14:textId="29119231" w:rsidR="00985D25" w:rsidRDefault="00985D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B5784C" w14:textId="77777777" w:rsidR="00985D25" w:rsidRDefault="00985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8D9EB" w14:textId="77777777" w:rsidR="000C67DE" w:rsidRDefault="000C67DE" w:rsidP="00985D25">
      <w:pPr>
        <w:spacing w:after="0" w:line="240" w:lineRule="auto"/>
      </w:pPr>
      <w:r>
        <w:separator/>
      </w:r>
    </w:p>
  </w:footnote>
  <w:footnote w:type="continuationSeparator" w:id="0">
    <w:p w14:paraId="0D799D76" w14:textId="77777777" w:rsidR="000C67DE" w:rsidRDefault="000C67DE" w:rsidP="00985D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91693"/>
    <w:multiLevelType w:val="multilevel"/>
    <w:tmpl w:val="7054A09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34CE091C"/>
    <w:multiLevelType w:val="multilevel"/>
    <w:tmpl w:val="512C5F0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45227344"/>
    <w:multiLevelType w:val="multilevel"/>
    <w:tmpl w:val="AC501D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934316903">
    <w:abstractNumId w:val="2"/>
  </w:num>
  <w:num w:numId="2" w16cid:durableId="951012977">
    <w:abstractNumId w:val="1"/>
  </w:num>
  <w:num w:numId="3" w16cid:durableId="1737779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B41"/>
    <w:rsid w:val="000C67DE"/>
    <w:rsid w:val="00232B73"/>
    <w:rsid w:val="002B7363"/>
    <w:rsid w:val="002F26B9"/>
    <w:rsid w:val="003128FE"/>
    <w:rsid w:val="00356A3B"/>
    <w:rsid w:val="003F6963"/>
    <w:rsid w:val="004436CB"/>
    <w:rsid w:val="00445EBC"/>
    <w:rsid w:val="00751412"/>
    <w:rsid w:val="00985D25"/>
    <w:rsid w:val="009959EE"/>
    <w:rsid w:val="009D4630"/>
    <w:rsid w:val="009E5D4B"/>
    <w:rsid w:val="00A32375"/>
    <w:rsid w:val="00A7525F"/>
    <w:rsid w:val="00AA3E8B"/>
    <w:rsid w:val="00B07BBD"/>
    <w:rsid w:val="00C153CA"/>
    <w:rsid w:val="00C23985"/>
    <w:rsid w:val="00C47758"/>
    <w:rsid w:val="00D94C46"/>
    <w:rsid w:val="00EC2657"/>
    <w:rsid w:val="00FD3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9AB56"/>
  <w15:chartTrackingRefBased/>
  <w15:docId w15:val="{44E5D2A7-0001-4050-B795-CE63BDE3E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B41"/>
    <w:pPr>
      <w:spacing w:after="240" w:line="360" w:lineRule="auto"/>
      <w:jc w:val="both"/>
    </w:pPr>
    <w:rPr>
      <w:rFonts w:ascii="Arial" w:eastAsia="Times New Roman" w:hAnsi="Arial" w:cs="Times New Roman"/>
      <w:szCs w:val="24"/>
      <w:lang w:val="en" w:eastAsia="en-GB"/>
    </w:rPr>
  </w:style>
  <w:style w:type="paragraph" w:styleId="Heading1">
    <w:name w:val="heading 1"/>
    <w:basedOn w:val="Normal"/>
    <w:next w:val="Normal"/>
    <w:link w:val="Heading1Char"/>
    <w:uiPriority w:val="9"/>
    <w:qFormat/>
    <w:rsid w:val="00FD3B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3B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B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B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B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B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B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B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B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B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3B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B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B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B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B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B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B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B41"/>
    <w:rPr>
      <w:rFonts w:eastAsiaTheme="majorEastAsia" w:cstheme="majorBidi"/>
      <w:color w:val="272727" w:themeColor="text1" w:themeTint="D8"/>
    </w:rPr>
  </w:style>
  <w:style w:type="paragraph" w:styleId="Title">
    <w:name w:val="Title"/>
    <w:basedOn w:val="Normal"/>
    <w:next w:val="Normal"/>
    <w:link w:val="TitleChar"/>
    <w:uiPriority w:val="10"/>
    <w:qFormat/>
    <w:rsid w:val="00FD3B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B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B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B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B41"/>
    <w:pPr>
      <w:spacing w:before="160"/>
      <w:jc w:val="center"/>
    </w:pPr>
    <w:rPr>
      <w:i/>
      <w:iCs/>
      <w:color w:val="404040" w:themeColor="text1" w:themeTint="BF"/>
    </w:rPr>
  </w:style>
  <w:style w:type="character" w:customStyle="1" w:styleId="QuoteChar">
    <w:name w:val="Quote Char"/>
    <w:basedOn w:val="DefaultParagraphFont"/>
    <w:link w:val="Quote"/>
    <w:uiPriority w:val="29"/>
    <w:rsid w:val="00FD3B41"/>
    <w:rPr>
      <w:i/>
      <w:iCs/>
      <w:color w:val="404040" w:themeColor="text1" w:themeTint="BF"/>
    </w:rPr>
  </w:style>
  <w:style w:type="paragraph" w:styleId="ListParagraph">
    <w:name w:val="List Paragraph"/>
    <w:basedOn w:val="Normal"/>
    <w:uiPriority w:val="34"/>
    <w:qFormat/>
    <w:rsid w:val="00FD3B41"/>
    <w:pPr>
      <w:ind w:left="720"/>
      <w:contextualSpacing/>
    </w:pPr>
  </w:style>
  <w:style w:type="character" w:styleId="IntenseEmphasis">
    <w:name w:val="Intense Emphasis"/>
    <w:basedOn w:val="DefaultParagraphFont"/>
    <w:uiPriority w:val="21"/>
    <w:qFormat/>
    <w:rsid w:val="00FD3B41"/>
    <w:rPr>
      <w:i/>
      <w:iCs/>
      <w:color w:val="0F4761" w:themeColor="accent1" w:themeShade="BF"/>
    </w:rPr>
  </w:style>
  <w:style w:type="paragraph" w:styleId="IntenseQuote">
    <w:name w:val="Intense Quote"/>
    <w:basedOn w:val="Normal"/>
    <w:next w:val="Normal"/>
    <w:link w:val="IntenseQuoteChar"/>
    <w:uiPriority w:val="30"/>
    <w:qFormat/>
    <w:rsid w:val="00FD3B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B41"/>
    <w:rPr>
      <w:i/>
      <w:iCs/>
      <w:color w:val="0F4761" w:themeColor="accent1" w:themeShade="BF"/>
    </w:rPr>
  </w:style>
  <w:style w:type="character" w:styleId="IntenseReference">
    <w:name w:val="Intense Reference"/>
    <w:basedOn w:val="DefaultParagraphFont"/>
    <w:uiPriority w:val="32"/>
    <w:qFormat/>
    <w:rsid w:val="00FD3B41"/>
    <w:rPr>
      <w:b/>
      <w:bCs/>
      <w:smallCaps/>
      <w:color w:val="0F4761" w:themeColor="accent1" w:themeShade="BF"/>
      <w:spacing w:val="5"/>
    </w:rPr>
  </w:style>
  <w:style w:type="character" w:styleId="Hyperlink">
    <w:name w:val="Hyperlink"/>
    <w:basedOn w:val="DefaultParagraphFont"/>
    <w:uiPriority w:val="99"/>
    <w:unhideWhenUsed/>
    <w:rsid w:val="00FD3B41"/>
    <w:rPr>
      <w:color w:val="467886" w:themeColor="hyperlink"/>
      <w:u w:val="single"/>
    </w:rPr>
  </w:style>
  <w:style w:type="paragraph" w:styleId="TOC1">
    <w:name w:val="toc 1"/>
    <w:basedOn w:val="Normal"/>
    <w:next w:val="Normal"/>
    <w:autoRedefine/>
    <w:uiPriority w:val="39"/>
    <w:unhideWhenUsed/>
    <w:rsid w:val="00FD3B41"/>
    <w:pPr>
      <w:spacing w:after="100"/>
    </w:pPr>
  </w:style>
  <w:style w:type="paragraph" w:styleId="TOC2">
    <w:name w:val="toc 2"/>
    <w:basedOn w:val="Normal"/>
    <w:next w:val="Normal"/>
    <w:autoRedefine/>
    <w:uiPriority w:val="39"/>
    <w:unhideWhenUsed/>
    <w:rsid w:val="00FD3B41"/>
    <w:pPr>
      <w:spacing w:after="100"/>
      <w:ind w:left="240"/>
    </w:pPr>
  </w:style>
  <w:style w:type="paragraph" w:styleId="TableofFigures">
    <w:name w:val="table of figures"/>
    <w:basedOn w:val="Normal"/>
    <w:next w:val="Normal"/>
    <w:uiPriority w:val="99"/>
    <w:semiHidden/>
    <w:unhideWhenUsed/>
    <w:rsid w:val="00FD3B41"/>
  </w:style>
  <w:style w:type="table" w:customStyle="1" w:styleId="a">
    <w:name w:val="a"/>
    <w:basedOn w:val="TableNormal"/>
    <w:rsid w:val="00FD3B41"/>
    <w:pPr>
      <w:spacing w:after="0" w:line="360" w:lineRule="auto"/>
      <w:jc w:val="both"/>
    </w:pPr>
    <w:rPr>
      <w:rFonts w:ascii="Times New Roman" w:eastAsia="Times New Roman" w:hAnsi="Times New Roman" w:cs="Times New Roman"/>
      <w:sz w:val="24"/>
      <w:szCs w:val="24"/>
      <w:lang w:val="en" w:eastAsia="en-GB"/>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FD3B41"/>
    <w:pPr>
      <w:spacing w:after="0" w:line="360" w:lineRule="auto"/>
      <w:jc w:val="both"/>
    </w:pPr>
    <w:rPr>
      <w:rFonts w:ascii="Times New Roman" w:eastAsia="Times New Roman" w:hAnsi="Times New Roman" w:cs="Times New Roman"/>
      <w:sz w:val="24"/>
      <w:szCs w:val="24"/>
      <w:lang w:val="en" w:eastAsia="en-GB"/>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985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D25"/>
    <w:rPr>
      <w:rFonts w:ascii="Arial" w:eastAsia="Times New Roman" w:hAnsi="Arial" w:cs="Times New Roman"/>
      <w:szCs w:val="24"/>
      <w:lang w:val="en" w:eastAsia="en-GB"/>
    </w:rPr>
  </w:style>
  <w:style w:type="paragraph" w:styleId="Footer">
    <w:name w:val="footer"/>
    <w:basedOn w:val="Normal"/>
    <w:link w:val="FooterChar"/>
    <w:uiPriority w:val="99"/>
    <w:unhideWhenUsed/>
    <w:rsid w:val="00985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D25"/>
    <w:rPr>
      <w:rFonts w:ascii="Arial" w:eastAsia="Times New Roman" w:hAnsi="Arial" w:cs="Times New Roman"/>
      <w:szCs w:val="24"/>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18"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6" Type="http://schemas.openxmlformats.org/officeDocument/2006/relationships/image" Target="media/image3.png"/><Relationship Id="rId39" Type="http://schemas.openxmlformats.org/officeDocument/2006/relationships/hyperlink" Target="https://doi.org/10.1111/1468-0009.12459" TargetMode="External"/><Relationship Id="rId21"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34" Type="http://schemas.openxmlformats.org/officeDocument/2006/relationships/hyperlink" Target="https://www.england.nhs.uk/long-read/working-in-partnership-with-people-and-communities-statutory-guidance/" TargetMode="External"/><Relationship Id="rId42" Type="http://schemas.openxmlformats.org/officeDocument/2006/relationships/hyperlink" Target="https://doi.org/10.1136/bmjopen-2022-062144" TargetMode="External"/><Relationship Id="rId47" Type="http://schemas.openxmlformats.org/officeDocument/2006/relationships/hyperlink" Target="https://www.socialworkers.org/About/Ethics/Code-of-Ethics/Code-of-Ethics-English" TargetMode="External"/><Relationship Id="rId50" Type="http://schemas.openxmlformats.org/officeDocument/2006/relationships/hyperlink" Target="https://doi.org/10.1186/s12913-025-13206-6" TargetMode="External"/><Relationship Id="rId55" Type="http://schemas.openxmlformats.org/officeDocument/2006/relationships/theme" Target="theme/theme1.xml"/><Relationship Id="rId7"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 Type="http://schemas.openxmlformats.org/officeDocument/2006/relationships/styles" Target="styles.xml"/><Relationship Id="rId16"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9" Type="http://schemas.openxmlformats.org/officeDocument/2006/relationships/image" Target="media/image6.png"/><Relationship Id="rId11"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4" Type="http://schemas.openxmlformats.org/officeDocument/2006/relationships/image" Target="media/image1.png"/><Relationship Id="rId32" Type="http://schemas.openxmlformats.org/officeDocument/2006/relationships/hyperlink" Target="https://hej.hyperion.ro/articles/1(11)_2024/HEJ%20nr1(11)_2024_A4Braicu.pdf" TargetMode="External"/><Relationship Id="rId37" Type="http://schemas.openxmlformats.org/officeDocument/2006/relationships/hyperlink" Target="https://doi.org/10.1177/14733250211024734" TargetMode="External"/><Relationship Id="rId40" Type="http://schemas.openxmlformats.org/officeDocument/2006/relationships/hyperlink" Target="https://doi.org/10.1186/s40561-024-00310-z" TargetMode="External"/><Relationship Id="rId45" Type="http://schemas.openxmlformats.org/officeDocument/2006/relationships/hyperlink" Target="https://doi.org/10.52403/ijhsr.20211133"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19"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31" Type="http://schemas.openxmlformats.org/officeDocument/2006/relationships/image" Target="media/image8.png"/><Relationship Id="rId44" Type="http://schemas.openxmlformats.org/officeDocument/2006/relationships/hyperlink" Target="https://search.proquest.com/openview/1f9f5ad8e5798a6b992e4c1bee830cbb/1?pq-origsite=gscholar&amp;cbl=2029989" TargetMode="External"/><Relationship Id="rId52" Type="http://schemas.openxmlformats.org/officeDocument/2006/relationships/hyperlink" Target="https://doi.org/10.1186/s12888-022-04202-9" TargetMode="External"/><Relationship Id="rId4" Type="http://schemas.openxmlformats.org/officeDocument/2006/relationships/webSettings" Target="webSettings.xml"/><Relationship Id="rId9"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14"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2"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hyperlink" Target="https://doi.org/10.1080/1359432x.2023.2276532" TargetMode="External"/><Relationship Id="rId43" Type="http://schemas.openxmlformats.org/officeDocument/2006/relationships/hyperlink" Target="https://www.nhsjobs.com/job/UK/Hertfordshire/Hemel_Hempstead/Hertfordshire_Partnership_NHS_Foundation_Trust/Adult_Mental_Health/Adult_Mental_Health-v7483909?_ts=1" TargetMode="External"/><Relationship Id="rId48" Type="http://schemas.openxmlformats.org/officeDocument/2006/relationships/hyperlink" Target="https://doi.org/10.12927/hcpol.2020.26292" TargetMode="External"/><Relationship Id="rId8"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51" Type="http://schemas.openxmlformats.org/officeDocument/2006/relationships/hyperlink" Target="https://doi.org/10.1111/1468-5973.12541" TargetMode="External"/><Relationship Id="rId3" Type="http://schemas.openxmlformats.org/officeDocument/2006/relationships/settings" Target="settings.xml"/><Relationship Id="rId12"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17"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5" Type="http://schemas.openxmlformats.org/officeDocument/2006/relationships/image" Target="media/image2.png"/><Relationship Id="rId33" Type="http://schemas.openxmlformats.org/officeDocument/2006/relationships/hyperlink" Target="https://doi.org/10.1080/10401334.2023.2204074" TargetMode="External"/><Relationship Id="rId38" Type="http://schemas.openxmlformats.org/officeDocument/2006/relationships/hyperlink" Target="https://www.taylorfrancis.com/chapters/edit/10.4324/9781041055846-6/anti-oppressive-practice-social-work-values-ethics-sue-hollinrake" TargetMode="External"/><Relationship Id="rId46" Type="http://schemas.openxmlformats.org/officeDocument/2006/relationships/hyperlink" Target="https://doi.org/10.1080/23311975.2024.2434966" TargetMode="External"/><Relationship Id="rId20"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41" Type="http://schemas.openxmlformats.org/officeDocument/2006/relationships/hyperlink" Target="https://doi.org/10.7759/cureus.39111"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3" Type="http://schemas.openxmlformats.org/officeDocument/2006/relationships/hyperlink" Target="file:///C:\Users\berth\AppData\Local\Microsoft\Olk\Attachments\ooa-933333a6-ef49-408a-9640-4efb9cc6eee0\efa39308753ebdbef3d2ca99596625da11f0bd4b5ddee5aa4d9708b97dc0eaad\e3bf73802abb007a81f01333b022bfb2ea310039f225fd799a382093c9f.docx" TargetMode="External"/><Relationship Id="rId28" Type="http://schemas.openxmlformats.org/officeDocument/2006/relationships/image" Target="media/image5.png"/><Relationship Id="rId36" Type="http://schemas.openxmlformats.org/officeDocument/2006/relationships/hyperlink" Target="https://progress.futurelearn.com/degree/arden-university-level4-certhe-health-and-care-management" TargetMode="External"/><Relationship Id="rId49" Type="http://schemas.openxmlformats.org/officeDocument/2006/relationships/hyperlink" Target="https://doi.org/10.1016/j.nedt.2022.1054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25</Pages>
  <Words>4473</Words>
  <Characters>25502</Characters>
  <Application>Microsoft Office Word</Application>
  <DocSecurity>0</DocSecurity>
  <Lines>212</Lines>
  <Paragraphs>59</Paragraphs>
  <ScaleCrop>false</ScaleCrop>
  <Company/>
  <LinksUpToDate>false</LinksUpToDate>
  <CharactersWithSpaces>29916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Bertha Quarschie Ep Amoah (2324071)</dc:creator>
  <cp:keywords/>
  <dc:description/>
  <cp:lastModifiedBy>Bertha Quarschie Ep Amoah (2324071)</cp:lastModifiedBy>
  <cp:revision>17</cp:revision>
  <dcterms:created xsi:type="dcterms:W3CDTF">2025-11-08T15:04:00Z</dcterms:created>
  <dcterms:modified xsi:type="dcterms:W3CDTF">2025-11-15T19:12:00Z</dcterms:modified>
</cp:coreProperties>
</file>