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D08E1" w14:textId="77777777" w:rsidR="002C5669" w:rsidRDefault="00000000">
      <w:r>
        <w:rPr>
          <w:noProof/>
        </w:rPr>
        <w:drawing>
          <wp:inline distT="0" distB="0" distL="0" distR="0" wp14:anchorId="231D08E1" wp14:editId="231D08E2">
            <wp:extent cx="5730873" cy="2865116"/>
            <wp:effectExtent l="0" t="0" r="3177" b="0"/>
            <wp:docPr id="96949306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0873" cy="2865116"/>
                    </a:xfrm>
                    <a:prstGeom prst="rect">
                      <a:avLst/>
                    </a:prstGeom>
                    <a:noFill/>
                    <a:ln>
                      <a:noFill/>
                      <a:prstDash/>
                    </a:ln>
                  </pic:spPr>
                </pic:pic>
              </a:graphicData>
            </a:graphic>
          </wp:inline>
        </w:drawing>
      </w:r>
    </w:p>
    <w:p w14:paraId="231D08E2" w14:textId="77777777" w:rsidR="002C5669" w:rsidRDefault="00000000">
      <w:r>
        <w:rPr>
          <w:b/>
          <w:bCs/>
        </w:rPr>
        <w:t>Name:</w:t>
      </w:r>
      <w:r>
        <w:t xml:space="preserve"> Kal O’Donnell</w:t>
      </w:r>
    </w:p>
    <w:p w14:paraId="231D08E3" w14:textId="77777777" w:rsidR="002C5669" w:rsidRDefault="002C5669"/>
    <w:p w14:paraId="231D08E4" w14:textId="77777777" w:rsidR="002C5669" w:rsidRDefault="00000000">
      <w:r>
        <w:rPr>
          <w:b/>
          <w:bCs/>
        </w:rPr>
        <w:t>Student number:</w:t>
      </w:r>
      <w:r>
        <w:t xml:space="preserve"> 2504649</w:t>
      </w:r>
    </w:p>
    <w:p w14:paraId="231D08E5" w14:textId="77777777" w:rsidR="002C5669" w:rsidRDefault="002C5669"/>
    <w:p w14:paraId="231D08E6" w14:textId="77777777" w:rsidR="002C5669" w:rsidRDefault="00000000">
      <w:r>
        <w:rPr>
          <w:b/>
          <w:bCs/>
        </w:rPr>
        <w:t>Course:</w:t>
      </w:r>
      <w:r>
        <w:t xml:space="preserve"> HND Quantity Surveying (Higher Apprenticeship)</w:t>
      </w:r>
    </w:p>
    <w:p w14:paraId="231D08E7" w14:textId="77777777" w:rsidR="002C5669" w:rsidRDefault="002C5669"/>
    <w:p w14:paraId="231D08E8" w14:textId="677DA325" w:rsidR="002C5669" w:rsidRDefault="00000000">
      <w:r>
        <w:rPr>
          <w:b/>
          <w:bCs/>
        </w:rPr>
        <w:t>Module:</w:t>
      </w:r>
      <w:r>
        <w:t xml:space="preserve"> </w:t>
      </w:r>
      <w:r w:rsidR="00F83913">
        <w:t>Health, Safety and Welfare</w:t>
      </w:r>
    </w:p>
    <w:p w14:paraId="231D08E9" w14:textId="77777777" w:rsidR="002C5669" w:rsidRDefault="002C5669"/>
    <w:p w14:paraId="231D08EA" w14:textId="77777777" w:rsidR="002C5669" w:rsidRDefault="00000000">
      <w:pPr>
        <w:rPr>
          <w:b/>
          <w:bCs/>
        </w:rPr>
      </w:pPr>
      <w:r>
        <w:rPr>
          <w:b/>
          <w:bCs/>
        </w:rPr>
        <w:t xml:space="preserve">Assignment title: </w:t>
      </w:r>
    </w:p>
    <w:p w14:paraId="231D08EB" w14:textId="77777777" w:rsidR="002C5669" w:rsidRDefault="002C5669"/>
    <w:p w14:paraId="231D08EC" w14:textId="77777777" w:rsidR="002C5669" w:rsidRDefault="00000000">
      <w:r>
        <w:rPr>
          <w:b/>
          <w:bCs/>
        </w:rPr>
        <w:t>Lecturer:</w:t>
      </w:r>
      <w:r>
        <w:t xml:space="preserve"> Rhodri Thomas</w:t>
      </w:r>
    </w:p>
    <w:p w14:paraId="12622E69" w14:textId="77777777" w:rsidR="00AE61A2" w:rsidRDefault="00AE61A2"/>
    <w:p w14:paraId="6AC84D61" w14:textId="77777777" w:rsidR="00AE61A2" w:rsidRDefault="00AE61A2"/>
    <w:p w14:paraId="32841DFA" w14:textId="77777777" w:rsidR="00AE61A2" w:rsidRDefault="00AE61A2"/>
    <w:p w14:paraId="46ED428C" w14:textId="77777777" w:rsidR="00AE61A2" w:rsidRDefault="00AE61A2"/>
    <w:p w14:paraId="11B07470" w14:textId="77777777" w:rsidR="00AE61A2" w:rsidRDefault="00AE61A2"/>
    <w:p w14:paraId="0C79C4C0" w14:textId="77777777" w:rsidR="00AE61A2" w:rsidRDefault="00AE61A2"/>
    <w:p w14:paraId="0DD8C257" w14:textId="77777777" w:rsidR="00AE61A2" w:rsidRDefault="00AE61A2"/>
    <w:p w14:paraId="6C90F364" w14:textId="77777777" w:rsidR="00AE61A2" w:rsidRDefault="00AE61A2"/>
    <w:sdt>
      <w:sdtPr>
        <w:rPr>
          <w:sz w:val="36"/>
          <w:szCs w:val="36"/>
        </w:rPr>
        <w:id w:val="685715751"/>
        <w:docPartObj>
          <w:docPartGallery w:val="Table of Contents"/>
          <w:docPartUnique/>
        </w:docPartObj>
      </w:sdtPr>
      <w:sdtEndPr>
        <w:rPr>
          <w:rFonts w:ascii="Aptos" w:eastAsia="Aptos" w:hAnsi="Aptos" w:cs="Times New Roman"/>
          <w:b/>
          <w:bCs/>
          <w:color w:val="auto"/>
          <w:kern w:val="3"/>
          <w:sz w:val="28"/>
          <w:szCs w:val="28"/>
          <w:lang w:eastAsia="en-US"/>
        </w:rPr>
      </w:sdtEndPr>
      <w:sdtContent>
        <w:p w14:paraId="1E09A648" w14:textId="25CF1544" w:rsidR="00AE61A2" w:rsidRPr="00AE61A2" w:rsidRDefault="00AE61A2">
          <w:pPr>
            <w:pStyle w:val="TOCHeading"/>
            <w:rPr>
              <w:sz w:val="36"/>
              <w:szCs w:val="36"/>
            </w:rPr>
          </w:pPr>
          <w:r w:rsidRPr="00AE61A2">
            <w:rPr>
              <w:sz w:val="36"/>
              <w:szCs w:val="36"/>
            </w:rPr>
            <w:t>Contents</w:t>
          </w:r>
        </w:p>
        <w:p w14:paraId="7E7E99BE" w14:textId="3C53EFEB" w:rsidR="00AE61A2" w:rsidRPr="00AE61A2" w:rsidRDefault="00AE61A2">
          <w:pPr>
            <w:pStyle w:val="TOC1"/>
            <w:tabs>
              <w:tab w:val="right" w:leader="dot" w:pos="9016"/>
            </w:tabs>
            <w:rPr>
              <w:noProof/>
              <w:sz w:val="28"/>
              <w:szCs w:val="28"/>
            </w:rPr>
          </w:pPr>
          <w:r w:rsidRPr="00AE61A2">
            <w:rPr>
              <w:sz w:val="28"/>
              <w:szCs w:val="28"/>
            </w:rPr>
            <w:fldChar w:fldCharType="begin"/>
          </w:r>
          <w:r w:rsidRPr="00AE61A2">
            <w:rPr>
              <w:sz w:val="28"/>
              <w:szCs w:val="28"/>
            </w:rPr>
            <w:instrText xml:space="preserve"> TOC \o "1-3" \h \z \u </w:instrText>
          </w:r>
          <w:r w:rsidRPr="00AE61A2">
            <w:rPr>
              <w:sz w:val="28"/>
              <w:szCs w:val="28"/>
            </w:rPr>
            <w:fldChar w:fldCharType="separate"/>
          </w:r>
          <w:hyperlink w:anchor="_Toc229049966" w:history="1">
            <w:r w:rsidRPr="00AE61A2">
              <w:rPr>
                <w:rStyle w:val="Hyperlink"/>
                <w:noProof/>
                <w:sz w:val="28"/>
                <w:szCs w:val="28"/>
              </w:rPr>
              <w:t>Introduction</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_Toc229049966 \h </w:instrText>
            </w:r>
            <w:r w:rsidRPr="00AE61A2">
              <w:rPr>
                <w:noProof/>
                <w:webHidden/>
                <w:sz w:val="28"/>
                <w:szCs w:val="28"/>
              </w:rPr>
            </w:r>
            <w:r w:rsidRPr="00AE61A2">
              <w:rPr>
                <w:noProof/>
                <w:webHidden/>
                <w:sz w:val="28"/>
                <w:szCs w:val="28"/>
              </w:rPr>
              <w:fldChar w:fldCharType="separate"/>
            </w:r>
            <w:r w:rsidRPr="00AE61A2">
              <w:rPr>
                <w:noProof/>
                <w:webHidden/>
                <w:sz w:val="28"/>
                <w:szCs w:val="28"/>
              </w:rPr>
              <w:t>2</w:t>
            </w:r>
            <w:r w:rsidRPr="00AE61A2">
              <w:rPr>
                <w:noProof/>
                <w:webHidden/>
                <w:sz w:val="28"/>
                <w:szCs w:val="28"/>
              </w:rPr>
              <w:fldChar w:fldCharType="end"/>
            </w:r>
          </w:hyperlink>
        </w:p>
        <w:p w14:paraId="59DCFC04" w14:textId="46228981" w:rsidR="00AE61A2" w:rsidRPr="00AE61A2" w:rsidRDefault="00AE61A2">
          <w:pPr>
            <w:pStyle w:val="TOC1"/>
            <w:tabs>
              <w:tab w:val="right" w:leader="dot" w:pos="9016"/>
            </w:tabs>
            <w:rPr>
              <w:noProof/>
              <w:sz w:val="28"/>
              <w:szCs w:val="28"/>
            </w:rPr>
          </w:pPr>
          <w:hyperlink w:anchor="_Toc229049967" w:history="1">
            <w:r w:rsidRPr="00AE61A2">
              <w:rPr>
                <w:rStyle w:val="Hyperlink"/>
                <w:noProof/>
                <w:sz w:val="28"/>
                <w:szCs w:val="28"/>
              </w:rPr>
              <w:t>Building Safety Legislation and Its Impact</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_Toc229049967 \h </w:instrText>
            </w:r>
            <w:r w:rsidRPr="00AE61A2">
              <w:rPr>
                <w:noProof/>
                <w:webHidden/>
                <w:sz w:val="28"/>
                <w:szCs w:val="28"/>
              </w:rPr>
            </w:r>
            <w:r w:rsidRPr="00AE61A2">
              <w:rPr>
                <w:noProof/>
                <w:webHidden/>
                <w:sz w:val="28"/>
                <w:szCs w:val="28"/>
              </w:rPr>
              <w:fldChar w:fldCharType="separate"/>
            </w:r>
            <w:r w:rsidRPr="00AE61A2">
              <w:rPr>
                <w:noProof/>
                <w:webHidden/>
                <w:sz w:val="28"/>
                <w:szCs w:val="28"/>
              </w:rPr>
              <w:t>2</w:t>
            </w:r>
            <w:r w:rsidRPr="00AE61A2">
              <w:rPr>
                <w:noProof/>
                <w:webHidden/>
                <w:sz w:val="28"/>
                <w:szCs w:val="28"/>
              </w:rPr>
              <w:fldChar w:fldCharType="end"/>
            </w:r>
          </w:hyperlink>
        </w:p>
        <w:p w14:paraId="0DBD182C" w14:textId="015FAF8E" w:rsidR="00AE61A2" w:rsidRPr="00AE61A2" w:rsidRDefault="00AE61A2">
          <w:pPr>
            <w:pStyle w:val="TOC1"/>
            <w:tabs>
              <w:tab w:val="right" w:leader="dot" w:pos="9016"/>
            </w:tabs>
            <w:rPr>
              <w:noProof/>
              <w:sz w:val="28"/>
              <w:szCs w:val="28"/>
            </w:rPr>
          </w:pPr>
          <w:hyperlink w:anchor="_Toc229049968" w:history="1">
            <w:r w:rsidRPr="00AE61A2">
              <w:rPr>
                <w:rStyle w:val="Hyperlink"/>
                <w:noProof/>
                <w:sz w:val="28"/>
                <w:szCs w:val="28"/>
              </w:rPr>
              <w:t>Health and Safety Legislation and Managerial Compliance</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_Toc229049968 \h </w:instrText>
            </w:r>
            <w:r w:rsidRPr="00AE61A2">
              <w:rPr>
                <w:noProof/>
                <w:webHidden/>
                <w:sz w:val="28"/>
                <w:szCs w:val="28"/>
              </w:rPr>
            </w:r>
            <w:r w:rsidRPr="00AE61A2">
              <w:rPr>
                <w:noProof/>
                <w:webHidden/>
                <w:sz w:val="28"/>
                <w:szCs w:val="28"/>
              </w:rPr>
              <w:fldChar w:fldCharType="separate"/>
            </w:r>
            <w:r w:rsidRPr="00AE61A2">
              <w:rPr>
                <w:noProof/>
                <w:webHidden/>
                <w:sz w:val="28"/>
                <w:szCs w:val="28"/>
              </w:rPr>
              <w:t>3</w:t>
            </w:r>
            <w:r w:rsidRPr="00AE61A2">
              <w:rPr>
                <w:noProof/>
                <w:webHidden/>
                <w:sz w:val="28"/>
                <w:szCs w:val="28"/>
              </w:rPr>
              <w:fldChar w:fldCharType="end"/>
            </w:r>
          </w:hyperlink>
        </w:p>
        <w:p w14:paraId="2A5506FC" w14:textId="48002FE3" w:rsidR="00AE61A2" w:rsidRPr="00AE61A2" w:rsidRDefault="00AE61A2">
          <w:pPr>
            <w:pStyle w:val="TOC1"/>
            <w:tabs>
              <w:tab w:val="right" w:leader="dot" w:pos="9016"/>
            </w:tabs>
            <w:rPr>
              <w:noProof/>
              <w:sz w:val="28"/>
              <w:szCs w:val="28"/>
            </w:rPr>
          </w:pPr>
          <w:hyperlink w:anchor="_Toc229049969" w:history="1">
            <w:r w:rsidRPr="00AE61A2">
              <w:rPr>
                <w:rStyle w:val="Hyperlink"/>
                <w:noProof/>
                <w:sz w:val="28"/>
                <w:szCs w:val="28"/>
              </w:rPr>
              <w:t>Application of CDM Regulations 2015</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_Toc229049969 \h </w:instrText>
            </w:r>
            <w:r w:rsidRPr="00AE61A2">
              <w:rPr>
                <w:noProof/>
                <w:webHidden/>
                <w:sz w:val="28"/>
                <w:szCs w:val="28"/>
              </w:rPr>
            </w:r>
            <w:r w:rsidRPr="00AE61A2">
              <w:rPr>
                <w:noProof/>
                <w:webHidden/>
                <w:sz w:val="28"/>
                <w:szCs w:val="28"/>
              </w:rPr>
              <w:fldChar w:fldCharType="separate"/>
            </w:r>
            <w:r w:rsidRPr="00AE61A2">
              <w:rPr>
                <w:noProof/>
                <w:webHidden/>
                <w:sz w:val="28"/>
                <w:szCs w:val="28"/>
              </w:rPr>
              <w:t>5</w:t>
            </w:r>
            <w:r w:rsidRPr="00AE61A2">
              <w:rPr>
                <w:noProof/>
                <w:webHidden/>
                <w:sz w:val="28"/>
                <w:szCs w:val="28"/>
              </w:rPr>
              <w:fldChar w:fldCharType="end"/>
            </w:r>
          </w:hyperlink>
        </w:p>
        <w:p w14:paraId="1AF9B177" w14:textId="2B1EF831" w:rsidR="00AE61A2" w:rsidRPr="00AE61A2" w:rsidRDefault="00AE61A2">
          <w:pPr>
            <w:pStyle w:val="TOC1"/>
            <w:tabs>
              <w:tab w:val="right" w:leader="dot" w:pos="9016"/>
            </w:tabs>
            <w:rPr>
              <w:noProof/>
              <w:sz w:val="28"/>
              <w:szCs w:val="28"/>
            </w:rPr>
          </w:pPr>
          <w:hyperlink w:anchor="_Toc229049970" w:history="1">
            <w:r w:rsidRPr="00AE61A2">
              <w:rPr>
                <w:rStyle w:val="Hyperlink"/>
                <w:noProof/>
                <w:sz w:val="28"/>
                <w:szCs w:val="28"/>
              </w:rPr>
              <w:t>Resident Safety and Public Protection</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_Toc229049970 \h </w:instrText>
            </w:r>
            <w:r w:rsidRPr="00AE61A2">
              <w:rPr>
                <w:noProof/>
                <w:webHidden/>
                <w:sz w:val="28"/>
                <w:szCs w:val="28"/>
              </w:rPr>
            </w:r>
            <w:r w:rsidRPr="00AE61A2">
              <w:rPr>
                <w:noProof/>
                <w:webHidden/>
                <w:sz w:val="28"/>
                <w:szCs w:val="28"/>
              </w:rPr>
              <w:fldChar w:fldCharType="separate"/>
            </w:r>
            <w:r w:rsidRPr="00AE61A2">
              <w:rPr>
                <w:noProof/>
                <w:webHidden/>
                <w:sz w:val="28"/>
                <w:szCs w:val="28"/>
              </w:rPr>
              <w:t>6</w:t>
            </w:r>
            <w:r w:rsidRPr="00AE61A2">
              <w:rPr>
                <w:noProof/>
                <w:webHidden/>
                <w:sz w:val="28"/>
                <w:szCs w:val="28"/>
              </w:rPr>
              <w:fldChar w:fldCharType="end"/>
            </w:r>
          </w:hyperlink>
        </w:p>
        <w:p w14:paraId="7819D361" w14:textId="2EF3A3BB" w:rsidR="00AE61A2" w:rsidRPr="00AE61A2" w:rsidRDefault="00AE61A2">
          <w:pPr>
            <w:pStyle w:val="TOC1"/>
            <w:tabs>
              <w:tab w:val="right" w:leader="dot" w:pos="9016"/>
            </w:tabs>
            <w:rPr>
              <w:noProof/>
              <w:sz w:val="28"/>
              <w:szCs w:val="28"/>
            </w:rPr>
          </w:pPr>
          <w:hyperlink w:anchor="_Toc229049971" w:history="1">
            <w:r w:rsidRPr="00AE61A2">
              <w:rPr>
                <w:rStyle w:val="Hyperlink"/>
                <w:noProof/>
                <w:sz w:val="28"/>
                <w:szCs w:val="28"/>
              </w:rPr>
              <w:t>Conclusion</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_Toc229049971 \h </w:instrText>
            </w:r>
            <w:r w:rsidRPr="00AE61A2">
              <w:rPr>
                <w:noProof/>
                <w:webHidden/>
                <w:sz w:val="28"/>
                <w:szCs w:val="28"/>
              </w:rPr>
            </w:r>
            <w:r w:rsidRPr="00AE61A2">
              <w:rPr>
                <w:noProof/>
                <w:webHidden/>
                <w:sz w:val="28"/>
                <w:szCs w:val="28"/>
              </w:rPr>
              <w:fldChar w:fldCharType="separate"/>
            </w:r>
            <w:r w:rsidRPr="00AE61A2">
              <w:rPr>
                <w:noProof/>
                <w:webHidden/>
                <w:sz w:val="28"/>
                <w:szCs w:val="28"/>
              </w:rPr>
              <w:t>6</w:t>
            </w:r>
            <w:r w:rsidRPr="00AE61A2">
              <w:rPr>
                <w:noProof/>
                <w:webHidden/>
                <w:sz w:val="28"/>
                <w:szCs w:val="28"/>
              </w:rPr>
              <w:fldChar w:fldCharType="end"/>
            </w:r>
          </w:hyperlink>
        </w:p>
        <w:p w14:paraId="11CF3670" w14:textId="5EDD13DB" w:rsidR="00AE61A2" w:rsidRPr="00AE61A2" w:rsidRDefault="00AE61A2">
          <w:pPr>
            <w:pStyle w:val="TOC1"/>
            <w:tabs>
              <w:tab w:val="right" w:leader="dot" w:pos="9016"/>
            </w:tabs>
            <w:rPr>
              <w:noProof/>
              <w:sz w:val="28"/>
              <w:szCs w:val="28"/>
            </w:rPr>
          </w:pPr>
          <w:hyperlink w:anchor="_Toc229049972" w:history="1">
            <w:r w:rsidRPr="00AE61A2">
              <w:rPr>
                <w:rStyle w:val="Hyperlink"/>
                <w:noProof/>
                <w:sz w:val="28"/>
                <w:szCs w:val="28"/>
              </w:rPr>
              <w:t>Bibliography</w:t>
            </w:r>
            <w:r w:rsidRPr="00AE61A2">
              <w:rPr>
                <w:noProof/>
                <w:webHidden/>
                <w:sz w:val="28"/>
                <w:szCs w:val="28"/>
              </w:rPr>
              <w:tab/>
            </w:r>
            <w:r w:rsidRPr="00AE61A2">
              <w:rPr>
                <w:noProof/>
                <w:webHidden/>
                <w:sz w:val="28"/>
                <w:szCs w:val="28"/>
              </w:rPr>
              <w:fldChar w:fldCharType="begin"/>
            </w:r>
            <w:r w:rsidRPr="00AE61A2">
              <w:rPr>
                <w:noProof/>
                <w:webHidden/>
                <w:sz w:val="28"/>
                <w:szCs w:val="28"/>
              </w:rPr>
              <w:instrText xml:space="preserve"> PAGEREF _Toc229049972 \h </w:instrText>
            </w:r>
            <w:r w:rsidRPr="00AE61A2">
              <w:rPr>
                <w:noProof/>
                <w:webHidden/>
                <w:sz w:val="28"/>
                <w:szCs w:val="28"/>
              </w:rPr>
            </w:r>
            <w:r w:rsidRPr="00AE61A2">
              <w:rPr>
                <w:noProof/>
                <w:webHidden/>
                <w:sz w:val="28"/>
                <w:szCs w:val="28"/>
              </w:rPr>
              <w:fldChar w:fldCharType="separate"/>
            </w:r>
            <w:r w:rsidRPr="00AE61A2">
              <w:rPr>
                <w:noProof/>
                <w:webHidden/>
                <w:sz w:val="28"/>
                <w:szCs w:val="28"/>
              </w:rPr>
              <w:t>7</w:t>
            </w:r>
            <w:r w:rsidRPr="00AE61A2">
              <w:rPr>
                <w:noProof/>
                <w:webHidden/>
                <w:sz w:val="28"/>
                <w:szCs w:val="28"/>
              </w:rPr>
              <w:fldChar w:fldCharType="end"/>
            </w:r>
          </w:hyperlink>
        </w:p>
        <w:p w14:paraId="733CCFD3" w14:textId="624FADE5" w:rsidR="00AE61A2" w:rsidRPr="00AE61A2" w:rsidRDefault="00AE61A2">
          <w:pPr>
            <w:rPr>
              <w:sz w:val="28"/>
              <w:szCs w:val="28"/>
            </w:rPr>
          </w:pPr>
          <w:r w:rsidRPr="00AE61A2">
            <w:rPr>
              <w:b/>
              <w:bCs/>
              <w:sz w:val="28"/>
              <w:szCs w:val="28"/>
            </w:rPr>
            <w:fldChar w:fldCharType="end"/>
          </w:r>
        </w:p>
      </w:sdtContent>
    </w:sdt>
    <w:p w14:paraId="25F89779" w14:textId="77777777" w:rsidR="00AE61A2" w:rsidRDefault="00AE61A2"/>
    <w:p w14:paraId="0277501A" w14:textId="77777777" w:rsidR="00AE61A2" w:rsidRDefault="00AE61A2"/>
    <w:p w14:paraId="1D20706D" w14:textId="77777777" w:rsidR="00AE61A2" w:rsidRDefault="00AE61A2"/>
    <w:p w14:paraId="29A04B75" w14:textId="77777777" w:rsidR="00AE61A2" w:rsidRDefault="00AE61A2"/>
    <w:p w14:paraId="712BFE2F" w14:textId="77777777" w:rsidR="00AE61A2" w:rsidRDefault="00AE61A2"/>
    <w:p w14:paraId="43301125" w14:textId="77777777" w:rsidR="00AE61A2" w:rsidRDefault="00AE61A2"/>
    <w:p w14:paraId="17C6C910" w14:textId="77777777" w:rsidR="00AE61A2" w:rsidRDefault="00AE61A2"/>
    <w:p w14:paraId="15A281F1" w14:textId="77777777" w:rsidR="00AE61A2" w:rsidRDefault="00AE61A2"/>
    <w:p w14:paraId="6F39B8FF" w14:textId="77777777" w:rsidR="00AE61A2" w:rsidRDefault="00AE61A2"/>
    <w:p w14:paraId="4FBE823C" w14:textId="77777777" w:rsidR="00AE61A2" w:rsidRDefault="00AE61A2"/>
    <w:p w14:paraId="70B789F2" w14:textId="77777777" w:rsidR="00AE61A2" w:rsidRDefault="00AE61A2"/>
    <w:p w14:paraId="231D08ED" w14:textId="77777777" w:rsidR="002C5669" w:rsidRDefault="002C5669"/>
    <w:p w14:paraId="231D08EE" w14:textId="77777777" w:rsidR="002C5669" w:rsidRDefault="002C5669"/>
    <w:p w14:paraId="231D08EF" w14:textId="77777777" w:rsidR="002C5669" w:rsidRDefault="002C5669"/>
    <w:p w14:paraId="231D08F0" w14:textId="77777777" w:rsidR="002C5669" w:rsidRDefault="002C5669"/>
    <w:p w14:paraId="231D08F1" w14:textId="77777777" w:rsidR="002C5669" w:rsidRDefault="002C5669"/>
    <w:p w14:paraId="231D08F2" w14:textId="77777777" w:rsidR="002C5669" w:rsidRDefault="002C5669"/>
    <w:p w14:paraId="231D08F3" w14:textId="77777777" w:rsidR="002C5669" w:rsidRDefault="002C5669"/>
    <w:p w14:paraId="231D08F4" w14:textId="77777777" w:rsidR="002C5669" w:rsidRDefault="00000000">
      <w:pPr>
        <w:pStyle w:val="Heading1"/>
      </w:pPr>
      <w:bookmarkStart w:id="0" w:name="_Toc229049966"/>
      <w:r>
        <w:lastRenderedPageBreak/>
        <w:t>Introduction</w:t>
      </w:r>
      <w:bookmarkEnd w:id="0"/>
      <w:r>
        <w:t xml:space="preserve"> </w:t>
      </w:r>
    </w:p>
    <w:p w14:paraId="231D08F5" w14:textId="1AF07C57" w:rsidR="002C5669" w:rsidRDefault="00000000">
      <w:r>
        <w:t xml:space="preserve">The construction industry presents significant health and safety challenges, particularly when working on high-rise residential buildings that remain occupied during refurbishment. The proposed retrofit of Croft Street Block 2 in Swansea includes installation of kitchens, bathrooms, fire sprinkler systems, and external cladding, all of which introduce hazards such as working at height, fire risks, and interaction with residents. Effective management of these risks requires the application of relevant legislation, including the Health and Safety at Work etc. Act 1974 and the Construction (Design and Management) Regulations 2015, alongside structured safety management systems. This report evaluates the impact of key building safety legislation and explains how health and safety requirements can be implemented in practice to ensure a safe working environment </w:t>
      </w:r>
      <w:sdt>
        <w:sdtPr>
          <w:id w:val="-1533794134"/>
          <w:citation/>
        </w:sdtPr>
        <w:sdtContent>
          <w:r w:rsidR="00262B8A">
            <w:fldChar w:fldCharType="begin"/>
          </w:r>
          <w:r w:rsidR="00262B8A">
            <w:instrText xml:space="preserve"> CITATION UKG224 \l 2057 </w:instrText>
          </w:r>
          <w:r w:rsidR="00262B8A">
            <w:fldChar w:fldCharType="separate"/>
          </w:r>
          <w:r w:rsidR="00AE61A2">
            <w:rPr>
              <w:noProof/>
            </w:rPr>
            <w:t>(UK Government, 2022)</w:t>
          </w:r>
          <w:r w:rsidR="00262B8A">
            <w:fldChar w:fldCharType="end"/>
          </w:r>
        </w:sdtContent>
      </w:sdt>
      <w:r>
        <w:t>.</w:t>
      </w:r>
    </w:p>
    <w:p w14:paraId="231D08F6" w14:textId="77777777" w:rsidR="002C5669" w:rsidRDefault="002C5669"/>
    <w:p w14:paraId="231D08F7" w14:textId="77777777" w:rsidR="002C5669" w:rsidRDefault="00000000">
      <w:pPr>
        <w:pStyle w:val="Heading1"/>
      </w:pPr>
      <w:bookmarkStart w:id="1" w:name="_Toc229049967"/>
      <w:r>
        <w:t>Building Safety Legislation and Its Impact</w:t>
      </w:r>
      <w:bookmarkEnd w:id="1"/>
    </w:p>
    <w:p w14:paraId="231D08F8" w14:textId="74A5B4AB" w:rsidR="002C5669" w:rsidRDefault="00000000">
      <w:r>
        <w:t xml:space="preserve">The Building Safety Act 2022 is highly relevant to the Croft Street Block 2 project due to its focus on high-rise residential buildings and its aim to improve safety and accountability across the construction lifecycle </w:t>
      </w:r>
      <w:sdt>
        <w:sdtPr>
          <w:id w:val="-16307967"/>
          <w:citation/>
        </w:sdtPr>
        <w:sdtContent>
          <w:r w:rsidR="00262B8A">
            <w:fldChar w:fldCharType="begin"/>
          </w:r>
          <w:r w:rsidR="00262B8A">
            <w:instrText xml:space="preserve"> CITATION UKG225 \l 2057 </w:instrText>
          </w:r>
          <w:r w:rsidR="00262B8A">
            <w:fldChar w:fldCharType="separate"/>
          </w:r>
          <w:r w:rsidR="00AE61A2">
            <w:rPr>
              <w:noProof/>
            </w:rPr>
            <w:t>(UK Government, 2022)</w:t>
          </w:r>
          <w:r w:rsidR="00262B8A">
            <w:fldChar w:fldCharType="end"/>
          </w:r>
        </w:sdtContent>
      </w:sdt>
      <w:r>
        <w:t>. Introduced in response to systemic failures highlighted by the Grenfell Tower fire, the Act strengthens regulatory oversight and places clear legal responsibilities on duty holders. In this project, it requires that all retrofit works, particularly cladding and fire safety installations, are carefully designed, managed, and documented to ensure compliance and long-term safety.</w:t>
      </w:r>
    </w:p>
    <w:p w14:paraId="231D08F9" w14:textId="27D748BB" w:rsidR="002C5669" w:rsidRDefault="00000000">
      <w:r>
        <w:t xml:space="preserve">A key requirement of the Act is the introduction of clearly defined duty holders, including clients, designers, and contractors, who are legally responsible for managing risks </w:t>
      </w:r>
      <w:sdt>
        <w:sdtPr>
          <w:id w:val="1700121484"/>
          <w:citation/>
        </w:sdtPr>
        <w:sdtContent>
          <w:r w:rsidR="00262B8A">
            <w:fldChar w:fldCharType="begin"/>
          </w:r>
          <w:r w:rsidR="00262B8A">
            <w:instrText xml:space="preserve"> CITATION Swe24 \l 2057 </w:instrText>
          </w:r>
          <w:r w:rsidR="00262B8A">
            <w:fldChar w:fldCharType="separate"/>
          </w:r>
          <w:r w:rsidR="00AE61A2">
            <w:rPr>
              <w:noProof/>
            </w:rPr>
            <w:t>(Sweco, 2024)</w:t>
          </w:r>
          <w:r w:rsidR="00262B8A">
            <w:fldChar w:fldCharType="end"/>
          </w:r>
        </w:sdtContent>
      </w:sdt>
      <w:r>
        <w:t>. This increases accountability and ensures that safety is considered at every stage of the project. For example, Joe Bloggs Construction must ensure that competent workers are employed and that all materials used, such as cladding systems, meet fire safety standards. Failure to comply can result in legal consequences, highlighting the importance of robust management systems.</w:t>
      </w:r>
    </w:p>
    <w:p w14:paraId="231D08FA" w14:textId="77777777" w:rsidR="002C5669" w:rsidRDefault="00000000">
      <w:r>
        <w:t>The Act also introduces the concept of the “golden thread” of information, requiring accurate and accessible records to be maintained throughout the building’s lifecycle. In the context of this project, this includes documentation of fire sprinkler installations, cladding materials, and safety inspections. This improves transparency and supports future maintenance and safety management, although it also increases administrative demands on contractors.</w:t>
      </w:r>
    </w:p>
    <w:p w14:paraId="231D08FB" w14:textId="77777777" w:rsidR="002C5669" w:rsidRDefault="002C5669"/>
    <w:p w14:paraId="231D08FC" w14:textId="77777777" w:rsidR="002C5669" w:rsidRDefault="00000000">
      <w:pPr>
        <w:pStyle w:val="Heading1"/>
      </w:pPr>
      <w:bookmarkStart w:id="2" w:name="_Toc229049968"/>
      <w:r>
        <w:lastRenderedPageBreak/>
        <w:t>Health and Safety Legislation and Managerial Compliance</w:t>
      </w:r>
      <w:bookmarkEnd w:id="2"/>
    </w:p>
    <w:p w14:paraId="231D08FD" w14:textId="77777777" w:rsidR="002C5669" w:rsidRDefault="00000000">
      <w:pPr>
        <w:rPr>
          <w:b/>
          <w:bCs/>
        </w:rPr>
      </w:pPr>
      <w:r>
        <w:rPr>
          <w:b/>
          <w:bCs/>
        </w:rPr>
        <w:t>Health and Safety at Work etc. Act 1974</w:t>
      </w:r>
    </w:p>
    <w:p w14:paraId="231D08FE" w14:textId="47B024CB" w:rsidR="002C5669" w:rsidRDefault="00000000">
      <w:r>
        <w:t xml:space="preserve">The Health and Safety at Work etc. Act 1974 provides the overarching framework for health and safety management in the UK </w:t>
      </w:r>
      <w:sdt>
        <w:sdtPr>
          <w:id w:val="-356354233"/>
          <w:citation/>
        </w:sdtPr>
        <w:sdtContent>
          <w:r w:rsidR="00262B8A">
            <w:fldChar w:fldCharType="begin"/>
          </w:r>
          <w:r w:rsidR="00262B8A">
            <w:instrText xml:space="preserve"> CITATION Hea232 \l 2057 </w:instrText>
          </w:r>
          <w:r w:rsidR="00262B8A">
            <w:fldChar w:fldCharType="separate"/>
          </w:r>
          <w:r w:rsidR="00AE61A2">
            <w:rPr>
              <w:noProof/>
            </w:rPr>
            <w:t>(Health and Safety Executive, 2023)</w:t>
          </w:r>
          <w:r w:rsidR="00262B8A">
            <w:fldChar w:fldCharType="end"/>
          </w:r>
        </w:sdtContent>
      </w:sdt>
      <w:r>
        <w:t>. It requires employers to ensure, so far as is reasonably practicable, the health, safety, and welfare of employees and others affected by their work. In this project, this means implementing safe systems of work, conducting risk assessments, and providing adequate supervision. For example, before removing kitchens and bathrooms, risks such as electrical hazards, dust exposure, and structural instability must be assessed and controlled through appropriate procedures.</w:t>
      </w:r>
    </w:p>
    <w:p w14:paraId="231D08FF" w14:textId="77777777" w:rsidR="002C5669" w:rsidRDefault="00000000">
      <w:pPr>
        <w:rPr>
          <w:b/>
          <w:bCs/>
        </w:rPr>
      </w:pPr>
      <w:r>
        <w:rPr>
          <w:b/>
          <w:bCs/>
        </w:rPr>
        <w:t>Working at Height Regulations 2005</w:t>
      </w:r>
    </w:p>
    <w:p w14:paraId="231D0900" w14:textId="5DB0269F" w:rsidR="002C5669" w:rsidRDefault="00000000">
      <w:r>
        <w:t xml:space="preserve">The Working at Height Regulations 2005 are particularly relevant due to external cladding works </w:t>
      </w:r>
      <w:sdt>
        <w:sdtPr>
          <w:id w:val="-509061856"/>
          <w:citation/>
        </w:sdtPr>
        <w:sdtContent>
          <w:r w:rsidR="00B71E5A">
            <w:fldChar w:fldCharType="begin"/>
          </w:r>
          <w:r w:rsidR="00B71E5A">
            <w:instrText xml:space="preserve"> CITATION Hea266 \l 2057 </w:instrText>
          </w:r>
          <w:r w:rsidR="00B71E5A">
            <w:fldChar w:fldCharType="separate"/>
          </w:r>
          <w:r w:rsidR="00AE61A2">
            <w:rPr>
              <w:noProof/>
            </w:rPr>
            <w:t>(Health and Safety Executive, n.d.)</w:t>
          </w:r>
          <w:r w:rsidR="00B71E5A">
            <w:fldChar w:fldCharType="end"/>
          </w:r>
        </w:sdtContent>
      </w:sdt>
      <w:r>
        <w:t>. These regulations require that all work at height is properly planned, supervised, and carried out by competent persons. In practice, this involves the use of scaffolding erected by trained professionals, regular inspections, and the implementation of fall prevention measures such as guardrails and harnesses. For instance, scaffolding must be inspected at least every seven days and after adverse weather conditions to ensure ongoing safety.</w:t>
      </w:r>
    </w:p>
    <w:p w14:paraId="231D0901" w14:textId="77777777" w:rsidR="002C5669" w:rsidRDefault="00000000">
      <w:pPr>
        <w:rPr>
          <w:b/>
          <w:bCs/>
        </w:rPr>
      </w:pPr>
      <w:r>
        <w:rPr>
          <w:b/>
          <w:bCs/>
        </w:rPr>
        <w:t>COSHH Regulations 2002</w:t>
      </w:r>
    </w:p>
    <w:p w14:paraId="231D0902" w14:textId="5B8DB8C9" w:rsidR="002C5669" w:rsidRDefault="00000000">
      <w:r>
        <w:t xml:space="preserve">The COSHH Regulations 2002 require the control of substances hazardous to health, including dust, chemicals, and adhesives used during refurbishment </w:t>
      </w:r>
      <w:sdt>
        <w:sdtPr>
          <w:id w:val="263733657"/>
          <w:citation/>
        </w:sdtPr>
        <w:sdtContent>
          <w:r w:rsidR="00B71E5A">
            <w:fldChar w:fldCharType="begin"/>
          </w:r>
          <w:r w:rsidR="00B71E5A">
            <w:instrText xml:space="preserve"> CITATION Hea267 \l 2057 </w:instrText>
          </w:r>
          <w:r w:rsidR="00B71E5A">
            <w:fldChar w:fldCharType="separate"/>
          </w:r>
          <w:r w:rsidR="00AE61A2">
            <w:rPr>
              <w:noProof/>
            </w:rPr>
            <w:t>(Health and Safety Executive, n.d.)</w:t>
          </w:r>
          <w:r w:rsidR="00B71E5A">
            <w:fldChar w:fldCharType="end"/>
          </w:r>
        </w:sdtContent>
      </w:sdt>
      <w:r>
        <w:t>. Managers must carry out COSHH assessments, provide appropriate PPE, and ensure safe handling and storage of substances. For example, dust generated during the removal of old fixtures must be controlled using extraction systems and respiratory protection to prevent respiratory illnesses such as occupational asthma and long-term lung damage among workers and nearby residents.</w:t>
      </w:r>
    </w:p>
    <w:p w14:paraId="231D0903" w14:textId="77777777" w:rsidR="002C5669" w:rsidRDefault="00000000">
      <w:pPr>
        <w:rPr>
          <w:b/>
          <w:bCs/>
        </w:rPr>
      </w:pPr>
      <w:r>
        <w:rPr>
          <w:b/>
          <w:bCs/>
        </w:rPr>
        <w:t>Personal Protective Equipment at Work Regulations 2022</w:t>
      </w:r>
    </w:p>
    <w:p w14:paraId="231D0904" w14:textId="77A3961E" w:rsidR="002C5669" w:rsidRDefault="00000000">
      <w:r>
        <w:t xml:space="preserve">The Personal Protective Equipment at Work Regulations 2022 are highly relevant to the Croft Street Block 2 refurbishment project due to the variety of hazards workers may encounter during construction activities </w:t>
      </w:r>
      <w:sdt>
        <w:sdtPr>
          <w:id w:val="1625271970"/>
          <w:citation/>
        </w:sdtPr>
        <w:sdtContent>
          <w:r w:rsidR="00B71E5A">
            <w:fldChar w:fldCharType="begin"/>
          </w:r>
          <w:r w:rsidR="00B71E5A">
            <w:instrText xml:space="preserve"> CITATION Hea268 \l 2057 </w:instrText>
          </w:r>
          <w:r w:rsidR="00B71E5A">
            <w:fldChar w:fldCharType="separate"/>
          </w:r>
          <w:r w:rsidR="00AE61A2">
            <w:rPr>
              <w:noProof/>
            </w:rPr>
            <w:t>(Health and Safety Executive , n.d.)</w:t>
          </w:r>
          <w:r w:rsidR="00B71E5A">
            <w:fldChar w:fldCharType="end"/>
          </w:r>
        </w:sdtContent>
      </w:sdt>
      <w:r>
        <w:t xml:space="preserve">. PPE acts as the last line of defence when risks cannot be fully eliminated through other control measures. Workers involved in demolition, cladding installation, plumbing, and sprinkler fitting may be exposed to hazards such as falling objects, sharp materials, dust inhalation, noise, and chemical exposure. Managers therefore have a responsibility to ensure suitable PPE is provided, maintained, and correctly used on site. This may </w:t>
      </w:r>
      <w:r>
        <w:lastRenderedPageBreak/>
        <w:t>include hard hats, safety boots, gloves, respiratory protective equipment (RPE), eye protection, and high-visibility clothing. In addition, workers must receive training on the correct use, storage, and limitations of PPE to ensure it remains effective. However, ensuring consistent PPE compliance on a busy refurbishment project may be challenging, particularly when multiple contractors are working simultaneously in confined and occupied areas. Failure to provide suitable PPE could increase the likelihood of injury and lead to breaches of health and safety legislation.</w:t>
      </w:r>
    </w:p>
    <w:p w14:paraId="231D0905" w14:textId="77777777" w:rsidR="002C5669" w:rsidRDefault="00000000">
      <w:pPr>
        <w:rPr>
          <w:b/>
          <w:bCs/>
        </w:rPr>
      </w:pPr>
      <w:r>
        <w:rPr>
          <w:b/>
          <w:bCs/>
        </w:rPr>
        <w:t>Manual Handling Operations Regulations 1992</w:t>
      </w:r>
    </w:p>
    <w:p w14:paraId="231D0906" w14:textId="5BBAE0E8" w:rsidR="002C5669" w:rsidRDefault="00000000">
      <w:r>
        <w:t>The Manual Handling Operations Regulations 1992 aim to reduce the risk of injury caused by manual handling activities in the workplac</w:t>
      </w:r>
      <w:r w:rsidR="00AE61A2">
        <w:t xml:space="preserve">e </w:t>
      </w:r>
      <w:sdt>
        <w:sdtPr>
          <w:id w:val="-2138250337"/>
          <w:citation/>
        </w:sdtPr>
        <w:sdtContent>
          <w:r w:rsidR="00AE61A2">
            <w:fldChar w:fldCharType="begin"/>
          </w:r>
          <w:r w:rsidR="00AE61A2">
            <w:instrText xml:space="preserve"> CITATION Hea269 \l 2057 </w:instrText>
          </w:r>
          <w:r w:rsidR="00AE61A2">
            <w:fldChar w:fldCharType="separate"/>
          </w:r>
          <w:r w:rsidR="00AE61A2">
            <w:rPr>
              <w:noProof/>
            </w:rPr>
            <w:t>(Health and Safety Executive, n.d.)</w:t>
          </w:r>
          <w:r w:rsidR="00AE61A2">
            <w:fldChar w:fldCharType="end"/>
          </w:r>
        </w:sdtContent>
      </w:sdt>
      <w:r>
        <w:t>. These regulations are particularly relevant to the Croft Street Block 2 refurbishment project, where workers will be required to move heavy materials such as kitchen units, bathroom fixtures, tools, and construction equipment throughout the building. Due to the occupied nature of the residential block, materials may need to be transported through confined spaces such as corridors and stairwells, increasing the risk of strain injuries and accidents. To reduce these risks, managers should ensure that manual handling tasks are avoided where possible using mechanical aids such as trolleys and hoists. Where manual handling cannot be avoided, team lifting techniques and safe lifting procedures must be implemented. In addition, workers should receive appropriate training in correct lifting methods and risk awareness to minimise the likelihood of musculoskeletal injuries and long-term physical strain. Failure to manage manual handling risks effectively could result in worker injuries, reduced productivity, and potential legal consequences for the contractor.</w:t>
      </w:r>
    </w:p>
    <w:p w14:paraId="231D0907" w14:textId="77777777" w:rsidR="002C5669" w:rsidRDefault="00000000">
      <w:pPr>
        <w:rPr>
          <w:b/>
          <w:bCs/>
        </w:rPr>
      </w:pPr>
      <w:r>
        <w:rPr>
          <w:b/>
          <w:bCs/>
        </w:rPr>
        <w:t>Fire Safety Management During Construction</w:t>
      </w:r>
    </w:p>
    <w:p w14:paraId="231D0908" w14:textId="48B5EBDE" w:rsidR="002C5669" w:rsidRDefault="00000000">
      <w:r>
        <w:t xml:space="preserve">Fire safety is one of the most significant considerations within the Croft Street Block 2 refurbishment project due to the building being occupied during construction works </w:t>
      </w:r>
      <w:sdt>
        <w:sdtPr>
          <w:id w:val="-1530022534"/>
          <w:citation/>
        </w:sdtPr>
        <w:sdtContent>
          <w:r w:rsidR="00AE61A2">
            <w:fldChar w:fldCharType="begin"/>
          </w:r>
          <w:r w:rsidR="00AE61A2">
            <w:instrText xml:space="preserve">CITATION Hea2610 \l 2057 </w:instrText>
          </w:r>
          <w:r w:rsidR="00AE61A2">
            <w:fldChar w:fldCharType="separate"/>
          </w:r>
          <w:r w:rsidR="00AE61A2">
            <w:rPr>
              <w:noProof/>
            </w:rPr>
            <w:t>(Health and Safety Executive, 2022)</w:t>
          </w:r>
          <w:r w:rsidR="00AE61A2">
            <w:fldChar w:fldCharType="end"/>
          </w:r>
        </w:sdtContent>
      </w:sdt>
      <w:r>
        <w:t xml:space="preserve">. Activities such as electrical installations, hot works, temporary wiring, and cladding installation may increase the risk of fire if not properly managed. The introduction of new sprinkler systems also demonstrates the importance of improving fire protection measures within the building. Managers must ensure that fire risk assessments are regularly reviewed throughout the project and that suitable emergency procedures are implemented. This includes maintaining clear evacuation routes, installing temporary fire alarms where necessary, and ensuring fire extinguishers are available in high-risk work areas. Workers involved in hot works such as welding must operate under permit-to-work systems to minimise ignition risks. Additionally, residents must be informed of any temporary changes to fire escape routes or evacuation procedures to ensure their safety during the refurbishment process. However, maintaining effective fire safety procedures within an occupied residential building may create additional logistical challenges, particularly when </w:t>
      </w:r>
      <w:r>
        <w:lastRenderedPageBreak/>
        <w:t>construction activities temporarily affect access routes and resident movement. Effective fire safety management is particularly important following increased scrutiny of high-rise residential buildings after the Grenfell Tower fire disaster.</w:t>
      </w:r>
    </w:p>
    <w:p w14:paraId="231D0909" w14:textId="77777777" w:rsidR="002C5669" w:rsidRDefault="002C5669"/>
    <w:p w14:paraId="231D090A" w14:textId="77777777" w:rsidR="002C5669" w:rsidRDefault="00000000">
      <w:pPr>
        <w:pStyle w:val="Heading1"/>
      </w:pPr>
      <w:bookmarkStart w:id="3" w:name="_Toc229049969"/>
      <w:r>
        <w:t>Application of CDM Regulations 2015</w:t>
      </w:r>
      <w:bookmarkEnd w:id="3"/>
    </w:p>
    <w:p w14:paraId="6A172199" w14:textId="20828B9E" w:rsidR="0067296D" w:rsidRDefault="00CD5647" w:rsidP="0067296D">
      <w:r w:rsidRPr="00CD5647">
        <w:t xml:space="preserve">The Construction (Design and Management) Regulations 2015 provide a framework for managing health and safety throughout the lifecycle of construction </w:t>
      </w:r>
      <w:r w:rsidR="0067296D">
        <w:t xml:space="preserve">projects </w:t>
      </w:r>
      <w:sdt>
        <w:sdtPr>
          <w:id w:val="424146725"/>
          <w:citation/>
        </w:sdtPr>
        <w:sdtContent>
          <w:r w:rsidR="00AE61A2">
            <w:fldChar w:fldCharType="begin"/>
          </w:r>
          <w:r w:rsidR="00AE61A2">
            <w:instrText xml:space="preserve"> CITATION Hea2611 \l 2057 </w:instrText>
          </w:r>
          <w:r w:rsidR="00AE61A2">
            <w:fldChar w:fldCharType="separate"/>
          </w:r>
          <w:r w:rsidR="00AE61A2">
            <w:rPr>
              <w:noProof/>
            </w:rPr>
            <w:t>(Health and Safety Executive, n.d.)</w:t>
          </w:r>
          <w:r w:rsidR="00AE61A2">
            <w:fldChar w:fldCharType="end"/>
          </w:r>
        </w:sdtContent>
      </w:sdt>
      <w:r w:rsidR="00000000">
        <w:t xml:space="preserve">. </w:t>
      </w:r>
      <w:r w:rsidR="0067296D">
        <w:t>They require duty holders, including the client, principal designer, and principal contractor, to plan, manage, and monitor work to reduce risks. In this project, the client is Swansea Council, who has a legal duty to make suitable arrangements for managing health and safety. This includes appointing competent designers and contractors, ensuring adequate time and resources are provided, and supplying relevant pre-construction information such as asbestos surveys, structural details, and fire safety documentation.</w:t>
      </w:r>
    </w:p>
    <w:p w14:paraId="47261E25" w14:textId="30CEA24C" w:rsidR="0067296D" w:rsidRDefault="0067296D" w:rsidP="0067296D">
      <w:r>
        <w:t>The principal contractor is responsible for managing site safety and ensuring that all workers follow safe working practices, including the coordination of subcontractors and control of site activities. The CDM regulations emphasise risk reduction through design and planning. For example, selecting non-combustible cladding materials reduces fire risk, while prefabricated components can reduce time spent working at height. Additionally, a construction phase plan must be developed to outline risk control measures, emergency procedures, and site rules.</w:t>
      </w:r>
    </w:p>
    <w:p w14:paraId="231D090B" w14:textId="1C5F4E6E" w:rsidR="002C5669" w:rsidRDefault="0067296D" w:rsidP="0067296D">
      <w:r>
        <w:t>However, implementing CDM requirements within an occupied residential refurbishment project may create additional coordination challenges, particularly in maintaining resident safety while ensuring construction activities remain compliant. Overall, CDM ensures that hazards are identified and managed before work begins through clear allocation of responsibilities and effective planning.</w:t>
      </w:r>
    </w:p>
    <w:p w14:paraId="231D090C" w14:textId="77777777" w:rsidR="002C5669" w:rsidRDefault="002C5669"/>
    <w:p w14:paraId="231D090D" w14:textId="77777777" w:rsidR="002C5669" w:rsidRDefault="00000000">
      <w:pPr>
        <w:pStyle w:val="Heading1"/>
      </w:pPr>
      <w:bookmarkStart w:id="4" w:name="_Toc229049970"/>
      <w:r>
        <w:t>Resident Safety and Public Protection</w:t>
      </w:r>
      <w:bookmarkEnd w:id="4"/>
    </w:p>
    <w:p w14:paraId="231D090E" w14:textId="47153FB5" w:rsidR="002C5669" w:rsidRDefault="00000000">
      <w:r>
        <w:t xml:space="preserve">Due to Croft Street Block 2 remaining occupied throughout refurbishment works, protecting residents and members of the public is a major health and safety consideration. Construction activities such as scaffolding erection, material deliveries, internal refurbishment works, and cladding installation may create hazards including falling objects, excessive noise, dust exposure, restricted access routes, and slips or trips within communal areas. Under the CDM Regulations 2015, contractors have a duty to protect not only workers but also anyone who may be affected by construction </w:t>
      </w:r>
      <w:r>
        <w:lastRenderedPageBreak/>
        <w:t xml:space="preserve">activities </w:t>
      </w:r>
      <w:sdt>
        <w:sdtPr>
          <w:id w:val="-1304457431"/>
          <w:citation/>
        </w:sdtPr>
        <w:sdtContent>
          <w:r w:rsidR="00AE61A2">
            <w:fldChar w:fldCharType="begin"/>
          </w:r>
          <w:r w:rsidR="00AE61A2">
            <w:instrText xml:space="preserve"> CITATION Hea2612 \l 2057 </w:instrText>
          </w:r>
          <w:r w:rsidR="00AE61A2">
            <w:fldChar w:fldCharType="separate"/>
          </w:r>
          <w:r w:rsidR="00AE61A2">
            <w:rPr>
              <w:noProof/>
            </w:rPr>
            <w:t>(Health and Safety Executive, n.d.)</w:t>
          </w:r>
          <w:r w:rsidR="00AE61A2">
            <w:fldChar w:fldCharType="end"/>
          </w:r>
        </w:sdtContent>
      </w:sdt>
      <w:r>
        <w:t>. To minimise these risks, managers should implement segregated pedestrian routes, clear warning signage, controlled access points, and designated storage areas for tools and materials. Construction schedules may also need to be carefully coordinated to reduce disruption to residents, particularly vulnerable occupants such as elderly individuals, disabled residents, or families with children. Regular communication with residents through notices, meetings, and updates regarding temporary service interruptions or changes to fire escape routes can further improve safety and cooperation throughout the refurbishment process. Although these measures may increase project complexity and management responsibilities, they are essential for maintaining resident safety and ensuring compliance with health and safety legislation during occupied refurbishment works.</w:t>
      </w:r>
    </w:p>
    <w:p w14:paraId="231D090F" w14:textId="77777777" w:rsidR="002C5669" w:rsidRDefault="002C5669"/>
    <w:p w14:paraId="231D0910" w14:textId="77777777" w:rsidR="002C5669" w:rsidRDefault="00000000">
      <w:pPr>
        <w:pStyle w:val="Heading1"/>
      </w:pPr>
      <w:bookmarkStart w:id="5" w:name="_Toc229049971"/>
      <w:r>
        <w:t>Conclusion</w:t>
      </w:r>
      <w:bookmarkEnd w:id="5"/>
    </w:p>
    <w:p w14:paraId="048A0964" w14:textId="77777777" w:rsidR="00407118" w:rsidRDefault="00407118" w:rsidP="00407118">
      <w:r>
        <w:t>The refurbishment of Croft Street Block 2 presents significant health and safety challenges due to the scale of the works and the fact that the building remains occupied throughout the project. Activities such as external cladding installation, kitchen and bathroom upgrades, sprinkler system installation, and working at height introduce considerable risks to workers, residents, and members of the public, making effective control measures essential.</w:t>
      </w:r>
    </w:p>
    <w:p w14:paraId="3E9701D8" w14:textId="77777777" w:rsidR="00407118" w:rsidRDefault="00407118" w:rsidP="00407118">
      <w:r>
        <w:t>Key legislation, including the Building Safety Act 2022, the Building Safety (Wales) Bill, the Health and Safety at Work etc. Act 1974, and the CDM Regulations 2015, provides a structured framework for managing these risks. These regulations ensure that responsibility is clearly allocated, hazards are identified early, and safe systems of work are implemented throughout the project lifecycle.</w:t>
      </w:r>
    </w:p>
    <w:p w14:paraId="2A4E4225" w14:textId="422E7E01" w:rsidR="00262B8A" w:rsidRDefault="00407118" w:rsidP="00407118">
      <w:r>
        <w:t>Overall, the successful delivery of the project relies on strong planning, competent management, and effective communication between all duty holders. Consistent application of safety procedures, alongside monitoring and coordination, is essential to ensure legal compliance and to protect both construction workers and building occupants throughout the refurbishment process.</w:t>
      </w:r>
    </w:p>
    <w:p w14:paraId="7485C5D4" w14:textId="77777777" w:rsidR="00407118" w:rsidRDefault="00407118" w:rsidP="00407118"/>
    <w:bookmarkStart w:id="6" w:name="_Toc229049972" w:displacedByCustomXml="next"/>
    <w:sdt>
      <w:sdtPr>
        <w:id w:val="1509561518"/>
        <w:docPartObj>
          <w:docPartGallery w:val="Bibliographies"/>
          <w:docPartUnique/>
        </w:docPartObj>
      </w:sdtPr>
      <w:sdtEndPr>
        <w:rPr>
          <w:rFonts w:ascii="Aptos" w:eastAsia="Aptos" w:hAnsi="Aptos"/>
          <w:color w:val="auto"/>
          <w:sz w:val="24"/>
          <w:szCs w:val="24"/>
        </w:rPr>
      </w:sdtEndPr>
      <w:sdtContent>
        <w:p w14:paraId="02D5BA4B" w14:textId="27186312" w:rsidR="00262B8A" w:rsidRDefault="00262B8A">
          <w:pPr>
            <w:pStyle w:val="Heading1"/>
          </w:pPr>
          <w:r>
            <w:t>Bibliography</w:t>
          </w:r>
          <w:bookmarkEnd w:id="6"/>
        </w:p>
        <w:sdt>
          <w:sdtPr>
            <w:id w:val="111145805"/>
            <w:bibliography/>
          </w:sdtPr>
          <w:sdtContent>
            <w:p w14:paraId="2478F46E" w14:textId="77777777" w:rsidR="00AE61A2" w:rsidRDefault="00262B8A" w:rsidP="00AE61A2">
              <w:pPr>
                <w:pStyle w:val="Bibliography"/>
                <w:ind w:left="720" w:hanging="720"/>
                <w:rPr>
                  <w:noProof/>
                  <w:kern w:val="0"/>
                </w:rPr>
              </w:pPr>
              <w:r>
                <w:fldChar w:fldCharType="begin"/>
              </w:r>
              <w:r>
                <w:instrText>BIBLIOGRAPHY</w:instrText>
              </w:r>
              <w:r>
                <w:fldChar w:fldCharType="separate"/>
              </w:r>
              <w:r w:rsidR="00AE61A2">
                <w:rPr>
                  <w:noProof/>
                </w:rPr>
                <w:t xml:space="preserve">Health and Safety Executive . (n.d.). </w:t>
              </w:r>
              <w:r w:rsidR="00AE61A2">
                <w:rPr>
                  <w:i/>
                  <w:iCs/>
                  <w:noProof/>
                </w:rPr>
                <w:t>The Construction (Design and Management)</w:t>
              </w:r>
              <w:r w:rsidR="00AE61A2">
                <w:rPr>
                  <w:noProof/>
                </w:rPr>
                <w:t>. Retrieved May 2, 2026, from HSE: https://www.hse.gov.uk/ppe/overview.htm</w:t>
              </w:r>
            </w:p>
            <w:p w14:paraId="4F45EBF0" w14:textId="77777777" w:rsidR="00AE61A2" w:rsidRDefault="00AE61A2" w:rsidP="00AE61A2">
              <w:pPr>
                <w:pStyle w:val="Bibliography"/>
                <w:ind w:left="720" w:hanging="720"/>
                <w:rPr>
                  <w:noProof/>
                </w:rPr>
              </w:pPr>
              <w:r>
                <w:rPr>
                  <w:noProof/>
                </w:rPr>
                <w:t xml:space="preserve">Health and Safety Executive. (2022, July). </w:t>
              </w:r>
              <w:r>
                <w:rPr>
                  <w:i/>
                  <w:iCs/>
                  <w:noProof/>
                </w:rPr>
                <w:t>Fire Safety in construction</w:t>
              </w:r>
              <w:r>
                <w:rPr>
                  <w:noProof/>
                </w:rPr>
                <w:t>. Retrieved May 5, 2026, from HSE: https://www.hse.gov.uk/pubns/books/hsg168.htm</w:t>
              </w:r>
            </w:p>
            <w:p w14:paraId="48793712" w14:textId="77777777" w:rsidR="00AE61A2" w:rsidRDefault="00AE61A2" w:rsidP="00AE61A2">
              <w:pPr>
                <w:pStyle w:val="Bibliography"/>
                <w:ind w:left="720" w:hanging="720"/>
                <w:rPr>
                  <w:noProof/>
                </w:rPr>
              </w:pPr>
              <w:r>
                <w:rPr>
                  <w:noProof/>
                </w:rPr>
                <w:lastRenderedPageBreak/>
                <w:t xml:space="preserve">Health and Safety Executive. (2023). </w:t>
              </w:r>
              <w:r>
                <w:rPr>
                  <w:i/>
                  <w:iCs/>
                  <w:noProof/>
                </w:rPr>
                <w:t>The Health and Safety at Work etc. Act 1974</w:t>
              </w:r>
              <w:r>
                <w:rPr>
                  <w:noProof/>
                </w:rPr>
                <w:t>. Retrieved April 24, 2026, from HSE: https://www.hse.gov.uk/legislation/hswa.htm</w:t>
              </w:r>
            </w:p>
            <w:p w14:paraId="6D42820E" w14:textId="77777777" w:rsidR="00AE61A2" w:rsidRDefault="00AE61A2" w:rsidP="00AE61A2">
              <w:pPr>
                <w:pStyle w:val="Bibliography"/>
                <w:ind w:left="720" w:hanging="720"/>
                <w:rPr>
                  <w:noProof/>
                </w:rPr>
              </w:pPr>
              <w:r>
                <w:rPr>
                  <w:noProof/>
                </w:rPr>
                <w:t xml:space="preserve">Health and Safety Executive. (n.d.). </w:t>
              </w:r>
              <w:r>
                <w:rPr>
                  <w:i/>
                  <w:iCs/>
                  <w:noProof/>
                </w:rPr>
                <w:t>COSHH: Control of Substances Hazardous to Health</w:t>
              </w:r>
              <w:r>
                <w:rPr>
                  <w:noProof/>
                </w:rPr>
                <w:t>. Retrieved April 29, 2026, from HSE: https://www.hse.gov.uk/coshh/</w:t>
              </w:r>
            </w:p>
            <w:p w14:paraId="2B844F18" w14:textId="77777777" w:rsidR="00AE61A2" w:rsidRDefault="00AE61A2" w:rsidP="00AE61A2">
              <w:pPr>
                <w:pStyle w:val="Bibliography"/>
                <w:ind w:left="720" w:hanging="720"/>
                <w:rPr>
                  <w:noProof/>
                </w:rPr>
              </w:pPr>
              <w:r>
                <w:rPr>
                  <w:noProof/>
                </w:rPr>
                <w:t xml:space="preserve">Health and Safety Executive. (n.d.). </w:t>
              </w:r>
              <w:r>
                <w:rPr>
                  <w:i/>
                  <w:iCs/>
                  <w:noProof/>
                </w:rPr>
                <w:t>Manual handling at work</w:t>
              </w:r>
              <w:r>
                <w:rPr>
                  <w:noProof/>
                </w:rPr>
                <w:t>. Retrieved May 4, 2026, from HSE: https://www.hse.gov.uk/msd/manual-handling/index.htm</w:t>
              </w:r>
            </w:p>
            <w:p w14:paraId="0DDB16E0" w14:textId="77777777" w:rsidR="00AE61A2" w:rsidRDefault="00AE61A2" w:rsidP="00AE61A2">
              <w:pPr>
                <w:pStyle w:val="Bibliography"/>
                <w:ind w:left="720" w:hanging="720"/>
                <w:rPr>
                  <w:noProof/>
                </w:rPr>
              </w:pPr>
              <w:r>
                <w:rPr>
                  <w:noProof/>
                </w:rPr>
                <w:t xml:space="preserve">Health and Safety Executive. (n.d.). </w:t>
              </w:r>
              <w:r>
                <w:rPr>
                  <w:i/>
                  <w:iCs/>
                  <w:noProof/>
                </w:rPr>
                <w:t>The Construction (Design and Mangement) Regulations 2015</w:t>
              </w:r>
              <w:r>
                <w:rPr>
                  <w:noProof/>
                </w:rPr>
                <w:t>. Retrieved May 6, 2026, from HSE: https://www.hse.gov.uk/construction/cdm/2015/index.htm</w:t>
              </w:r>
            </w:p>
            <w:p w14:paraId="290949F8" w14:textId="77777777" w:rsidR="00AE61A2" w:rsidRDefault="00AE61A2" w:rsidP="00AE61A2">
              <w:pPr>
                <w:pStyle w:val="Bibliography"/>
                <w:ind w:left="720" w:hanging="720"/>
                <w:rPr>
                  <w:noProof/>
                </w:rPr>
              </w:pPr>
              <w:r>
                <w:rPr>
                  <w:noProof/>
                </w:rPr>
                <w:t xml:space="preserve">Health and Safety Executive. (n.d.). </w:t>
              </w:r>
              <w:r>
                <w:rPr>
                  <w:i/>
                  <w:iCs/>
                  <w:noProof/>
                </w:rPr>
                <w:t>The Construction (Design and Mangement) Regulations 2015</w:t>
              </w:r>
              <w:r>
                <w:rPr>
                  <w:noProof/>
                </w:rPr>
                <w:t>. Retrieved May 7, 2026, from HSE: https://www.hse.gov.uk/construction/cdm/2015/index.htm</w:t>
              </w:r>
            </w:p>
            <w:p w14:paraId="64678A94" w14:textId="77777777" w:rsidR="00AE61A2" w:rsidRDefault="00AE61A2" w:rsidP="00AE61A2">
              <w:pPr>
                <w:pStyle w:val="Bibliography"/>
                <w:ind w:left="720" w:hanging="720"/>
                <w:rPr>
                  <w:noProof/>
                </w:rPr>
              </w:pPr>
              <w:r>
                <w:rPr>
                  <w:noProof/>
                </w:rPr>
                <w:t xml:space="preserve">Health and Safety Executive. (n.d.). </w:t>
              </w:r>
              <w:r>
                <w:rPr>
                  <w:i/>
                  <w:iCs/>
                  <w:noProof/>
                </w:rPr>
                <w:t>Work at Height Regulations 2005</w:t>
              </w:r>
              <w:r>
                <w:rPr>
                  <w:noProof/>
                </w:rPr>
                <w:t>. Retrieved April 27, 2026, from HSE: https://www.hse.gov.uk/work-at-height/the-law.htm</w:t>
              </w:r>
            </w:p>
            <w:p w14:paraId="733C47A6" w14:textId="77777777" w:rsidR="00AE61A2" w:rsidRDefault="00AE61A2" w:rsidP="00AE61A2">
              <w:pPr>
                <w:pStyle w:val="Bibliography"/>
                <w:ind w:left="720" w:hanging="720"/>
                <w:rPr>
                  <w:noProof/>
                </w:rPr>
              </w:pPr>
              <w:r>
                <w:rPr>
                  <w:noProof/>
                </w:rPr>
                <w:t xml:space="preserve">Sweco. (2024). </w:t>
              </w:r>
              <w:r>
                <w:rPr>
                  <w:i/>
                  <w:iCs/>
                  <w:noProof/>
                </w:rPr>
                <w:t>Building Safety Act 2022 - Summary Guidance</w:t>
              </w:r>
              <w:r>
                <w:rPr>
                  <w:noProof/>
                </w:rPr>
                <w:t>. Retrieved April 23, 2026, from Sweco UK: https://www.sweco.co.uk/services/building-standards/bsa-building-safety-act-2022-summary/</w:t>
              </w:r>
            </w:p>
            <w:p w14:paraId="6A959D1E" w14:textId="77777777" w:rsidR="00AE61A2" w:rsidRDefault="00AE61A2" w:rsidP="00AE61A2">
              <w:pPr>
                <w:pStyle w:val="Bibliography"/>
                <w:ind w:left="720" w:hanging="720"/>
                <w:rPr>
                  <w:noProof/>
                </w:rPr>
              </w:pPr>
              <w:r>
                <w:rPr>
                  <w:noProof/>
                </w:rPr>
                <w:t xml:space="preserve">UK Government. (2022). </w:t>
              </w:r>
              <w:r>
                <w:rPr>
                  <w:i/>
                  <w:iCs/>
                  <w:noProof/>
                </w:rPr>
                <w:t>Building Safety Act 2022</w:t>
              </w:r>
              <w:r>
                <w:rPr>
                  <w:noProof/>
                </w:rPr>
                <w:t>. Retrieved April 20, 2026, from GOV.UK: https://www.gov.uk/guidance/the-building-safety-act</w:t>
              </w:r>
            </w:p>
            <w:p w14:paraId="08B984CF" w14:textId="77777777" w:rsidR="00AE61A2" w:rsidRDefault="00AE61A2" w:rsidP="00AE61A2">
              <w:pPr>
                <w:pStyle w:val="Bibliography"/>
                <w:ind w:left="720" w:hanging="720"/>
                <w:rPr>
                  <w:noProof/>
                </w:rPr>
              </w:pPr>
              <w:r>
                <w:rPr>
                  <w:noProof/>
                </w:rPr>
                <w:t xml:space="preserve">UK Government. (2022). </w:t>
              </w:r>
              <w:r>
                <w:rPr>
                  <w:i/>
                  <w:iCs/>
                  <w:noProof/>
                </w:rPr>
                <w:t>Building Safety Act 2022</w:t>
              </w:r>
              <w:r>
                <w:rPr>
                  <w:noProof/>
                </w:rPr>
                <w:t>. Retrieved April 20, 2026, from GOV.UK: https://www.gov.uk/guidance/the-building-safety-act</w:t>
              </w:r>
            </w:p>
            <w:p w14:paraId="5C58795B" w14:textId="42476819" w:rsidR="00262B8A" w:rsidRDefault="00262B8A" w:rsidP="00AE61A2">
              <w:r>
                <w:rPr>
                  <w:b/>
                  <w:bCs/>
                </w:rPr>
                <w:fldChar w:fldCharType="end"/>
              </w:r>
            </w:p>
          </w:sdtContent>
        </w:sdt>
      </w:sdtContent>
    </w:sdt>
    <w:p w14:paraId="65805AE4" w14:textId="77777777" w:rsidR="00262B8A" w:rsidRDefault="00262B8A" w:rsidP="00262B8A">
      <w:pPr>
        <w:pStyle w:val="Heading1"/>
      </w:pPr>
    </w:p>
    <w:p w14:paraId="231D0914" w14:textId="77777777" w:rsidR="002C5669" w:rsidRDefault="002C5669"/>
    <w:sectPr w:rsidR="002C566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66CFA" w14:textId="77777777" w:rsidR="0070512B" w:rsidRDefault="0070512B">
      <w:pPr>
        <w:spacing w:after="0" w:line="240" w:lineRule="auto"/>
      </w:pPr>
      <w:r>
        <w:separator/>
      </w:r>
    </w:p>
  </w:endnote>
  <w:endnote w:type="continuationSeparator" w:id="0">
    <w:p w14:paraId="1FAD7E7B" w14:textId="77777777" w:rsidR="0070512B" w:rsidRDefault="00705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58923" w14:textId="77777777" w:rsidR="0070512B" w:rsidRDefault="0070512B">
      <w:pPr>
        <w:spacing w:after="0" w:line="240" w:lineRule="auto"/>
      </w:pPr>
      <w:r>
        <w:rPr>
          <w:color w:val="000000"/>
        </w:rPr>
        <w:separator/>
      </w:r>
    </w:p>
  </w:footnote>
  <w:footnote w:type="continuationSeparator" w:id="0">
    <w:p w14:paraId="173C981E" w14:textId="77777777" w:rsidR="0070512B" w:rsidRDefault="007051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C5669"/>
    <w:rsid w:val="00086C36"/>
    <w:rsid w:val="00262B8A"/>
    <w:rsid w:val="002C5669"/>
    <w:rsid w:val="002D04EE"/>
    <w:rsid w:val="00407118"/>
    <w:rsid w:val="005E422A"/>
    <w:rsid w:val="0067296D"/>
    <w:rsid w:val="0070512B"/>
    <w:rsid w:val="00AE61A2"/>
    <w:rsid w:val="00B71E5A"/>
    <w:rsid w:val="00CD5647"/>
    <w:rsid w:val="00CE12AC"/>
    <w:rsid w:val="00F83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D08E1"/>
  <w15:docId w15:val="{EBDB7DD9-05CE-4DCF-B47D-0162BDF75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ibliography">
    <w:name w:val="Bibliography"/>
    <w:basedOn w:val="Normal"/>
    <w:next w:val="Normal"/>
    <w:uiPriority w:val="37"/>
    <w:unhideWhenUsed/>
    <w:rsid w:val="00AE61A2"/>
  </w:style>
  <w:style w:type="paragraph" w:styleId="TOCHeading">
    <w:name w:val="TOC Heading"/>
    <w:basedOn w:val="Heading1"/>
    <w:next w:val="Normal"/>
    <w:uiPriority w:val="39"/>
    <w:unhideWhenUsed/>
    <w:qFormat/>
    <w:rsid w:val="00AE61A2"/>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AE61A2"/>
    <w:pPr>
      <w:spacing w:after="100"/>
    </w:pPr>
  </w:style>
  <w:style w:type="character" w:styleId="Hyperlink">
    <w:name w:val="Hyperlink"/>
    <w:basedOn w:val="DefaultParagraphFont"/>
    <w:uiPriority w:val="99"/>
    <w:unhideWhenUsed/>
    <w:rsid w:val="00AE61A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279630">
      <w:bodyDiv w:val="1"/>
      <w:marLeft w:val="0"/>
      <w:marRight w:val="0"/>
      <w:marTop w:val="0"/>
      <w:marBottom w:val="0"/>
      <w:divBdr>
        <w:top w:val="none" w:sz="0" w:space="0" w:color="auto"/>
        <w:left w:val="none" w:sz="0" w:space="0" w:color="auto"/>
        <w:bottom w:val="none" w:sz="0" w:space="0" w:color="auto"/>
        <w:right w:val="none" w:sz="0" w:space="0" w:color="auto"/>
      </w:divBdr>
    </w:div>
    <w:div w:id="271480801">
      <w:bodyDiv w:val="1"/>
      <w:marLeft w:val="0"/>
      <w:marRight w:val="0"/>
      <w:marTop w:val="0"/>
      <w:marBottom w:val="0"/>
      <w:divBdr>
        <w:top w:val="none" w:sz="0" w:space="0" w:color="auto"/>
        <w:left w:val="none" w:sz="0" w:space="0" w:color="auto"/>
        <w:bottom w:val="none" w:sz="0" w:space="0" w:color="auto"/>
        <w:right w:val="none" w:sz="0" w:space="0" w:color="auto"/>
      </w:divBdr>
    </w:div>
    <w:div w:id="358967342">
      <w:bodyDiv w:val="1"/>
      <w:marLeft w:val="0"/>
      <w:marRight w:val="0"/>
      <w:marTop w:val="0"/>
      <w:marBottom w:val="0"/>
      <w:divBdr>
        <w:top w:val="none" w:sz="0" w:space="0" w:color="auto"/>
        <w:left w:val="none" w:sz="0" w:space="0" w:color="auto"/>
        <w:bottom w:val="none" w:sz="0" w:space="0" w:color="auto"/>
        <w:right w:val="none" w:sz="0" w:space="0" w:color="auto"/>
      </w:divBdr>
    </w:div>
    <w:div w:id="553469952">
      <w:bodyDiv w:val="1"/>
      <w:marLeft w:val="0"/>
      <w:marRight w:val="0"/>
      <w:marTop w:val="0"/>
      <w:marBottom w:val="0"/>
      <w:divBdr>
        <w:top w:val="none" w:sz="0" w:space="0" w:color="auto"/>
        <w:left w:val="none" w:sz="0" w:space="0" w:color="auto"/>
        <w:bottom w:val="none" w:sz="0" w:space="0" w:color="auto"/>
        <w:right w:val="none" w:sz="0" w:space="0" w:color="auto"/>
      </w:divBdr>
    </w:div>
    <w:div w:id="667051532">
      <w:bodyDiv w:val="1"/>
      <w:marLeft w:val="0"/>
      <w:marRight w:val="0"/>
      <w:marTop w:val="0"/>
      <w:marBottom w:val="0"/>
      <w:divBdr>
        <w:top w:val="none" w:sz="0" w:space="0" w:color="auto"/>
        <w:left w:val="none" w:sz="0" w:space="0" w:color="auto"/>
        <w:bottom w:val="none" w:sz="0" w:space="0" w:color="auto"/>
        <w:right w:val="none" w:sz="0" w:space="0" w:color="auto"/>
      </w:divBdr>
    </w:div>
    <w:div w:id="675575744">
      <w:bodyDiv w:val="1"/>
      <w:marLeft w:val="0"/>
      <w:marRight w:val="0"/>
      <w:marTop w:val="0"/>
      <w:marBottom w:val="0"/>
      <w:divBdr>
        <w:top w:val="none" w:sz="0" w:space="0" w:color="auto"/>
        <w:left w:val="none" w:sz="0" w:space="0" w:color="auto"/>
        <w:bottom w:val="none" w:sz="0" w:space="0" w:color="auto"/>
        <w:right w:val="none" w:sz="0" w:space="0" w:color="auto"/>
      </w:divBdr>
    </w:div>
    <w:div w:id="717974923">
      <w:bodyDiv w:val="1"/>
      <w:marLeft w:val="0"/>
      <w:marRight w:val="0"/>
      <w:marTop w:val="0"/>
      <w:marBottom w:val="0"/>
      <w:divBdr>
        <w:top w:val="none" w:sz="0" w:space="0" w:color="auto"/>
        <w:left w:val="none" w:sz="0" w:space="0" w:color="auto"/>
        <w:bottom w:val="none" w:sz="0" w:space="0" w:color="auto"/>
        <w:right w:val="none" w:sz="0" w:space="0" w:color="auto"/>
      </w:divBdr>
    </w:div>
    <w:div w:id="853803855">
      <w:bodyDiv w:val="1"/>
      <w:marLeft w:val="0"/>
      <w:marRight w:val="0"/>
      <w:marTop w:val="0"/>
      <w:marBottom w:val="0"/>
      <w:divBdr>
        <w:top w:val="none" w:sz="0" w:space="0" w:color="auto"/>
        <w:left w:val="none" w:sz="0" w:space="0" w:color="auto"/>
        <w:bottom w:val="none" w:sz="0" w:space="0" w:color="auto"/>
        <w:right w:val="none" w:sz="0" w:space="0" w:color="auto"/>
      </w:divBdr>
    </w:div>
    <w:div w:id="974914064">
      <w:bodyDiv w:val="1"/>
      <w:marLeft w:val="0"/>
      <w:marRight w:val="0"/>
      <w:marTop w:val="0"/>
      <w:marBottom w:val="0"/>
      <w:divBdr>
        <w:top w:val="none" w:sz="0" w:space="0" w:color="auto"/>
        <w:left w:val="none" w:sz="0" w:space="0" w:color="auto"/>
        <w:bottom w:val="none" w:sz="0" w:space="0" w:color="auto"/>
        <w:right w:val="none" w:sz="0" w:space="0" w:color="auto"/>
      </w:divBdr>
    </w:div>
    <w:div w:id="1001011276">
      <w:bodyDiv w:val="1"/>
      <w:marLeft w:val="0"/>
      <w:marRight w:val="0"/>
      <w:marTop w:val="0"/>
      <w:marBottom w:val="0"/>
      <w:divBdr>
        <w:top w:val="none" w:sz="0" w:space="0" w:color="auto"/>
        <w:left w:val="none" w:sz="0" w:space="0" w:color="auto"/>
        <w:bottom w:val="none" w:sz="0" w:space="0" w:color="auto"/>
        <w:right w:val="none" w:sz="0" w:space="0" w:color="auto"/>
      </w:divBdr>
    </w:div>
    <w:div w:id="1103722649">
      <w:bodyDiv w:val="1"/>
      <w:marLeft w:val="0"/>
      <w:marRight w:val="0"/>
      <w:marTop w:val="0"/>
      <w:marBottom w:val="0"/>
      <w:divBdr>
        <w:top w:val="none" w:sz="0" w:space="0" w:color="auto"/>
        <w:left w:val="none" w:sz="0" w:space="0" w:color="auto"/>
        <w:bottom w:val="none" w:sz="0" w:space="0" w:color="auto"/>
        <w:right w:val="none" w:sz="0" w:space="0" w:color="auto"/>
      </w:divBdr>
    </w:div>
    <w:div w:id="1110007945">
      <w:bodyDiv w:val="1"/>
      <w:marLeft w:val="0"/>
      <w:marRight w:val="0"/>
      <w:marTop w:val="0"/>
      <w:marBottom w:val="0"/>
      <w:divBdr>
        <w:top w:val="none" w:sz="0" w:space="0" w:color="auto"/>
        <w:left w:val="none" w:sz="0" w:space="0" w:color="auto"/>
        <w:bottom w:val="none" w:sz="0" w:space="0" w:color="auto"/>
        <w:right w:val="none" w:sz="0" w:space="0" w:color="auto"/>
      </w:divBdr>
    </w:div>
    <w:div w:id="1113020422">
      <w:bodyDiv w:val="1"/>
      <w:marLeft w:val="0"/>
      <w:marRight w:val="0"/>
      <w:marTop w:val="0"/>
      <w:marBottom w:val="0"/>
      <w:divBdr>
        <w:top w:val="none" w:sz="0" w:space="0" w:color="auto"/>
        <w:left w:val="none" w:sz="0" w:space="0" w:color="auto"/>
        <w:bottom w:val="none" w:sz="0" w:space="0" w:color="auto"/>
        <w:right w:val="none" w:sz="0" w:space="0" w:color="auto"/>
      </w:divBdr>
    </w:div>
    <w:div w:id="1173109421">
      <w:bodyDiv w:val="1"/>
      <w:marLeft w:val="0"/>
      <w:marRight w:val="0"/>
      <w:marTop w:val="0"/>
      <w:marBottom w:val="0"/>
      <w:divBdr>
        <w:top w:val="none" w:sz="0" w:space="0" w:color="auto"/>
        <w:left w:val="none" w:sz="0" w:space="0" w:color="auto"/>
        <w:bottom w:val="none" w:sz="0" w:space="0" w:color="auto"/>
        <w:right w:val="none" w:sz="0" w:space="0" w:color="auto"/>
      </w:divBdr>
    </w:div>
    <w:div w:id="1220821960">
      <w:bodyDiv w:val="1"/>
      <w:marLeft w:val="0"/>
      <w:marRight w:val="0"/>
      <w:marTop w:val="0"/>
      <w:marBottom w:val="0"/>
      <w:divBdr>
        <w:top w:val="none" w:sz="0" w:space="0" w:color="auto"/>
        <w:left w:val="none" w:sz="0" w:space="0" w:color="auto"/>
        <w:bottom w:val="none" w:sz="0" w:space="0" w:color="auto"/>
        <w:right w:val="none" w:sz="0" w:space="0" w:color="auto"/>
      </w:divBdr>
    </w:div>
    <w:div w:id="1233081414">
      <w:bodyDiv w:val="1"/>
      <w:marLeft w:val="0"/>
      <w:marRight w:val="0"/>
      <w:marTop w:val="0"/>
      <w:marBottom w:val="0"/>
      <w:divBdr>
        <w:top w:val="none" w:sz="0" w:space="0" w:color="auto"/>
        <w:left w:val="none" w:sz="0" w:space="0" w:color="auto"/>
        <w:bottom w:val="none" w:sz="0" w:space="0" w:color="auto"/>
        <w:right w:val="none" w:sz="0" w:space="0" w:color="auto"/>
      </w:divBdr>
    </w:div>
    <w:div w:id="1317226075">
      <w:bodyDiv w:val="1"/>
      <w:marLeft w:val="0"/>
      <w:marRight w:val="0"/>
      <w:marTop w:val="0"/>
      <w:marBottom w:val="0"/>
      <w:divBdr>
        <w:top w:val="none" w:sz="0" w:space="0" w:color="auto"/>
        <w:left w:val="none" w:sz="0" w:space="0" w:color="auto"/>
        <w:bottom w:val="none" w:sz="0" w:space="0" w:color="auto"/>
        <w:right w:val="none" w:sz="0" w:space="0" w:color="auto"/>
      </w:divBdr>
    </w:div>
    <w:div w:id="1410421411">
      <w:bodyDiv w:val="1"/>
      <w:marLeft w:val="0"/>
      <w:marRight w:val="0"/>
      <w:marTop w:val="0"/>
      <w:marBottom w:val="0"/>
      <w:divBdr>
        <w:top w:val="none" w:sz="0" w:space="0" w:color="auto"/>
        <w:left w:val="none" w:sz="0" w:space="0" w:color="auto"/>
        <w:bottom w:val="none" w:sz="0" w:space="0" w:color="auto"/>
        <w:right w:val="none" w:sz="0" w:space="0" w:color="auto"/>
      </w:divBdr>
    </w:div>
    <w:div w:id="1469779099">
      <w:bodyDiv w:val="1"/>
      <w:marLeft w:val="0"/>
      <w:marRight w:val="0"/>
      <w:marTop w:val="0"/>
      <w:marBottom w:val="0"/>
      <w:divBdr>
        <w:top w:val="none" w:sz="0" w:space="0" w:color="auto"/>
        <w:left w:val="none" w:sz="0" w:space="0" w:color="auto"/>
        <w:bottom w:val="none" w:sz="0" w:space="0" w:color="auto"/>
        <w:right w:val="none" w:sz="0" w:space="0" w:color="auto"/>
      </w:divBdr>
    </w:div>
    <w:div w:id="1611430454">
      <w:bodyDiv w:val="1"/>
      <w:marLeft w:val="0"/>
      <w:marRight w:val="0"/>
      <w:marTop w:val="0"/>
      <w:marBottom w:val="0"/>
      <w:divBdr>
        <w:top w:val="none" w:sz="0" w:space="0" w:color="auto"/>
        <w:left w:val="none" w:sz="0" w:space="0" w:color="auto"/>
        <w:bottom w:val="none" w:sz="0" w:space="0" w:color="auto"/>
        <w:right w:val="none" w:sz="0" w:space="0" w:color="auto"/>
      </w:divBdr>
    </w:div>
    <w:div w:id="1620867614">
      <w:bodyDiv w:val="1"/>
      <w:marLeft w:val="0"/>
      <w:marRight w:val="0"/>
      <w:marTop w:val="0"/>
      <w:marBottom w:val="0"/>
      <w:divBdr>
        <w:top w:val="none" w:sz="0" w:space="0" w:color="auto"/>
        <w:left w:val="none" w:sz="0" w:space="0" w:color="auto"/>
        <w:bottom w:val="none" w:sz="0" w:space="0" w:color="auto"/>
        <w:right w:val="none" w:sz="0" w:space="0" w:color="auto"/>
      </w:divBdr>
    </w:div>
    <w:div w:id="1650016537">
      <w:bodyDiv w:val="1"/>
      <w:marLeft w:val="0"/>
      <w:marRight w:val="0"/>
      <w:marTop w:val="0"/>
      <w:marBottom w:val="0"/>
      <w:divBdr>
        <w:top w:val="none" w:sz="0" w:space="0" w:color="auto"/>
        <w:left w:val="none" w:sz="0" w:space="0" w:color="auto"/>
        <w:bottom w:val="none" w:sz="0" w:space="0" w:color="auto"/>
        <w:right w:val="none" w:sz="0" w:space="0" w:color="auto"/>
      </w:divBdr>
    </w:div>
    <w:div w:id="1724669813">
      <w:bodyDiv w:val="1"/>
      <w:marLeft w:val="0"/>
      <w:marRight w:val="0"/>
      <w:marTop w:val="0"/>
      <w:marBottom w:val="0"/>
      <w:divBdr>
        <w:top w:val="none" w:sz="0" w:space="0" w:color="auto"/>
        <w:left w:val="none" w:sz="0" w:space="0" w:color="auto"/>
        <w:bottom w:val="none" w:sz="0" w:space="0" w:color="auto"/>
        <w:right w:val="none" w:sz="0" w:space="0" w:color="auto"/>
      </w:divBdr>
    </w:div>
    <w:div w:id="1789858455">
      <w:bodyDiv w:val="1"/>
      <w:marLeft w:val="0"/>
      <w:marRight w:val="0"/>
      <w:marTop w:val="0"/>
      <w:marBottom w:val="0"/>
      <w:divBdr>
        <w:top w:val="none" w:sz="0" w:space="0" w:color="auto"/>
        <w:left w:val="none" w:sz="0" w:space="0" w:color="auto"/>
        <w:bottom w:val="none" w:sz="0" w:space="0" w:color="auto"/>
        <w:right w:val="none" w:sz="0" w:space="0" w:color="auto"/>
      </w:divBdr>
    </w:div>
    <w:div w:id="1982417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UKG224</b:Tag>
    <b:SourceType>InternetSite</b:SourceType>
    <b:Guid>{3EE09B4D-1609-4AB5-A43E-795DB9D970D5}</b:Guid>
    <b:Author>
      <b:Author>
        <b:Corporate>UK Government</b:Corporate>
      </b:Author>
    </b:Author>
    <b:Title>Building Safety Act 2022</b:Title>
    <b:InternetSiteTitle>GOV.UK</b:InternetSiteTitle>
    <b:Year>2022</b:Year>
    <b:URL>https://www.gov.uk/guidance/the-building-safety-act</b:URL>
    <b:YearAccessed>2026</b:YearAccessed>
    <b:MonthAccessed>April</b:MonthAccessed>
    <b:DayAccessed>20</b:DayAccessed>
    <b:RefOrder>1</b:RefOrder>
  </b:Source>
  <b:Source>
    <b:Tag>UKG225</b:Tag>
    <b:SourceType>InternetSite</b:SourceType>
    <b:Guid>{2621A30F-12EF-42F9-AAC6-446BE0E120E4}</b:Guid>
    <b:Title>Building Safety Act 2022</b:Title>
    <b:InternetSiteTitle>GOV.UK</b:InternetSiteTitle>
    <b:Year>2022</b:Year>
    <b:URL>https://www.gov.uk/guidance/the-building-safety-act</b:URL>
    <b:Author>
      <b:Author>
        <b:Corporate>UK Government</b:Corporate>
      </b:Author>
    </b:Author>
    <b:YearAccessed>2026</b:YearAccessed>
    <b:MonthAccessed>April</b:MonthAccessed>
    <b:DayAccessed>20</b:DayAccessed>
    <b:RefOrder>2</b:RefOrder>
  </b:Source>
  <b:Source>
    <b:Tag>Swe24</b:Tag>
    <b:SourceType>InternetSite</b:SourceType>
    <b:Guid>{7C1859B9-1120-4F0A-9446-5ECF0F22F1BD}</b:Guid>
    <b:Author>
      <b:Author>
        <b:Corporate>Sweco</b:Corporate>
      </b:Author>
    </b:Author>
    <b:Title>Building Safety Act 2022 - Summary Guidance</b:Title>
    <b:InternetSiteTitle>Sweco UK</b:InternetSiteTitle>
    <b:Year>2024</b:Year>
    <b:URL>https://www.sweco.co.uk/services/building-standards/bsa-building-safety-act-2022-summary/</b:URL>
    <b:YearAccessed>2026</b:YearAccessed>
    <b:MonthAccessed>April</b:MonthAccessed>
    <b:DayAccessed>23</b:DayAccessed>
    <b:RefOrder>3</b:RefOrder>
  </b:Source>
  <b:Source>
    <b:Tag>Hea232</b:Tag>
    <b:SourceType>InternetSite</b:SourceType>
    <b:Guid>{7279DB89-AB10-4024-BC94-C90BA9F01CEE}</b:Guid>
    <b:Author>
      <b:Author>
        <b:Corporate>Health and Safety Executive</b:Corporate>
      </b:Author>
    </b:Author>
    <b:Title>The Health and Safety at Work etc. Act 1974</b:Title>
    <b:InternetSiteTitle>HSE</b:InternetSiteTitle>
    <b:Year>2023</b:Year>
    <b:URL>https://www.hse.gov.uk/legislation/hswa.htm</b:URL>
    <b:YearAccessed>2026</b:YearAccessed>
    <b:MonthAccessed>April</b:MonthAccessed>
    <b:DayAccessed>24</b:DayAccessed>
    <b:RefOrder>4</b:RefOrder>
  </b:Source>
  <b:Source>
    <b:Tag>Hea266</b:Tag>
    <b:SourceType>InternetSite</b:SourceType>
    <b:Guid>{F97D834F-E36F-47C4-8C88-64176DE793D9}</b:Guid>
    <b:Author>
      <b:Author>
        <b:Corporate>Health and Safety Executive</b:Corporate>
      </b:Author>
    </b:Author>
    <b:Title>Work at Height Regulations 2005</b:Title>
    <b:InternetSiteTitle>HSE</b:InternetSiteTitle>
    <b:URL>https://www.hse.gov.uk/work-at-height/the-law.htm</b:URL>
    <b:YearAccessed>2026</b:YearAccessed>
    <b:MonthAccessed>April</b:MonthAccessed>
    <b:DayAccessed>27</b:DayAccessed>
    <b:RefOrder>5</b:RefOrder>
  </b:Source>
  <b:Source>
    <b:Tag>Hea267</b:Tag>
    <b:SourceType>InternetSite</b:SourceType>
    <b:Guid>{FFB7F0FE-2710-4582-B447-378C1E91FD1F}</b:Guid>
    <b:Author>
      <b:Author>
        <b:Corporate>Health and Safety Executive</b:Corporate>
      </b:Author>
    </b:Author>
    <b:Title>COSHH: Control of Substances Hazardous to Health</b:Title>
    <b:InternetSiteTitle>HSE</b:InternetSiteTitle>
    <b:URL>https://www.hse.gov.uk/coshh/</b:URL>
    <b:YearAccessed>2026</b:YearAccessed>
    <b:MonthAccessed>April</b:MonthAccessed>
    <b:DayAccessed>29</b:DayAccessed>
    <b:RefOrder>6</b:RefOrder>
  </b:Source>
  <b:Source>
    <b:Tag>Hea268</b:Tag>
    <b:SourceType>InternetSite</b:SourceType>
    <b:Guid>{2064A3FA-4E96-4117-8D9A-4FE380EB43E3}</b:Guid>
    <b:Title>The Construction (Design and Management)</b:Title>
    <b:InternetSiteTitle>HSE</b:InternetSiteTitle>
    <b:URL>https://www.hse.gov.uk/ppe/overview.htm</b:URL>
    <b:Author>
      <b:Author>
        <b:Corporate>Health and Safety Executive </b:Corporate>
      </b:Author>
    </b:Author>
    <b:YearAccessed>2026</b:YearAccessed>
    <b:MonthAccessed>May</b:MonthAccessed>
    <b:DayAccessed>2</b:DayAccessed>
    <b:RefOrder>7</b:RefOrder>
  </b:Source>
  <b:Source>
    <b:Tag>Hea269</b:Tag>
    <b:SourceType>InternetSite</b:SourceType>
    <b:Guid>{550C1100-2DC3-43BC-AD4C-A1107F4A960C}</b:Guid>
    <b:Title>Manual handling at work</b:Title>
    <b:InternetSiteTitle>HSE</b:InternetSiteTitle>
    <b:URL>https://www.hse.gov.uk/msd/manual-handling/index.htm</b:URL>
    <b:Author>
      <b:Author>
        <b:Corporate>Health and Safety Executive</b:Corporate>
      </b:Author>
    </b:Author>
    <b:YearAccessed>2026</b:YearAccessed>
    <b:MonthAccessed>May</b:MonthAccessed>
    <b:DayAccessed>4</b:DayAccessed>
    <b:RefOrder>8</b:RefOrder>
  </b:Source>
  <b:Source>
    <b:Tag>Hea2611</b:Tag>
    <b:SourceType>InternetSite</b:SourceType>
    <b:Guid>{2810C1B4-7BDF-4531-A896-45A48A8CF988}</b:Guid>
    <b:Title>The Construction (Design and Mangement) Regulations 2015</b:Title>
    <b:InternetSiteTitle>HSE</b:InternetSiteTitle>
    <b:URL>https://www.hse.gov.uk/construction/cdm/2015/index.htm</b:URL>
    <b:Author>
      <b:Author>
        <b:Corporate>Health and Safety Executive</b:Corporate>
      </b:Author>
    </b:Author>
    <b:YearAccessed>2026</b:YearAccessed>
    <b:MonthAccessed>May</b:MonthAccessed>
    <b:DayAccessed>6</b:DayAccessed>
    <b:RefOrder>10</b:RefOrder>
  </b:Source>
  <b:Source>
    <b:Tag>Hea2610</b:Tag>
    <b:SourceType>InternetSite</b:SourceType>
    <b:Guid>{91AA8A3F-1703-4E8F-A82B-9F0F694FB90D}</b:Guid>
    <b:Title>Fire Safety in construction</b:Title>
    <b:InternetSiteTitle>HSE</b:InternetSiteTitle>
    <b:URL>https://www.hse.gov.uk/pubns/books/hsg168.htm</b:URL>
    <b:Author>
      <b:Author>
        <b:Corporate>Health and Safety Executive</b:Corporate>
      </b:Author>
    </b:Author>
    <b:YearAccessed>2026</b:YearAccessed>
    <b:MonthAccessed>May</b:MonthAccessed>
    <b:DayAccessed>5</b:DayAccessed>
    <b:Year>2022</b:Year>
    <b:Month>July</b:Month>
    <b:RefOrder>9</b:RefOrder>
  </b:Source>
  <b:Source>
    <b:Tag>Hea2612</b:Tag>
    <b:SourceType>InternetSite</b:SourceType>
    <b:Guid>{F227F3E6-9EB8-4A26-A2D1-F3E066998E54}</b:Guid>
    <b:Title>The Construction (Design and Mangement) Regulations 2015</b:Title>
    <b:InternetSiteTitle>HSE</b:InternetSiteTitle>
    <b:URL>https://www.hse.gov.uk/construction/cdm/2015/index.htm</b:URL>
    <b:Author>
      <b:Author>
        <b:Corporate>Health and Safety Executive</b:Corporate>
      </b:Author>
    </b:Author>
    <b:YearAccessed>2026</b:YearAccessed>
    <b:MonthAccessed>May</b:MonthAccessed>
    <b:DayAccessed>7</b:DayAccessed>
    <b:RefOrder>11</b:RefOrder>
  </b:Source>
</b:Sources>
</file>

<file path=customXml/itemProps1.xml><?xml version="1.0" encoding="utf-8"?>
<ds:datastoreItem xmlns:ds="http://schemas.openxmlformats.org/officeDocument/2006/customXml" ds:itemID="{2FF0132A-7EC4-4C1C-A0F8-9951A7E1D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8</Pages>
  <Words>2415</Words>
  <Characters>13767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 O'Donnell</dc:creator>
  <dc:description/>
  <cp:lastModifiedBy>Kal O'Donnell</cp:lastModifiedBy>
  <cp:revision>8</cp:revision>
  <dcterms:created xsi:type="dcterms:W3CDTF">2026-05-07T11:40:00Z</dcterms:created>
  <dcterms:modified xsi:type="dcterms:W3CDTF">2026-05-07T15:46:00Z</dcterms:modified>
</cp:coreProperties>
</file>