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E08A4" w14:textId="77777777" w:rsidR="00B7643F" w:rsidRDefault="00B7643F" w:rsidP="00442AE0">
      <w:pPr>
        <w:jc w:val="both"/>
      </w:pPr>
      <w:r>
        <w:t>SECTION 1</w:t>
      </w:r>
    </w:p>
    <w:p w14:paraId="435A7463" w14:textId="1C3A5CFD" w:rsidR="00AF4CBC" w:rsidRDefault="00AF4CBC" w:rsidP="00442AE0">
      <w:pPr>
        <w:jc w:val="both"/>
      </w:pPr>
      <w:r>
        <w:t>INTRODUCTION</w:t>
      </w:r>
    </w:p>
    <w:p w14:paraId="0087DE34" w14:textId="29C779E6" w:rsidR="00AF4CBC" w:rsidRDefault="00F16025" w:rsidP="00442AE0">
      <w:pPr>
        <w:jc w:val="both"/>
      </w:pPr>
      <w:r>
        <w:t xml:space="preserve">Evidence-based practice and the use of data analysis have become </w:t>
      </w:r>
      <w:r w:rsidR="00A31923">
        <w:t>more mainstream</w:t>
      </w:r>
      <w:r>
        <w:t xml:space="preserve"> over the last few years.</w:t>
      </w:r>
      <w:r w:rsidR="00A41B08">
        <w:t xml:space="preserve"> The structures of HR departments have been changed and </w:t>
      </w:r>
      <w:r w:rsidR="00E55CFB">
        <w:t>the contribution of people practitioners to the whole business has greatly</w:t>
      </w:r>
      <w:r w:rsidR="00A41B08">
        <w:t xml:space="preserve"> </w:t>
      </w:r>
      <w:r w:rsidR="0096636C">
        <w:t>increased</w:t>
      </w:r>
      <w:r w:rsidR="00E55CFB">
        <w:t xml:space="preserve">. </w:t>
      </w:r>
      <w:r w:rsidR="00AF4CBC">
        <w:t xml:space="preserve">In the report, I provide the </w:t>
      </w:r>
      <w:r>
        <w:t>key terms</w:t>
      </w:r>
      <w:r w:rsidR="00AF4CBC">
        <w:t xml:space="preserve">, </w:t>
      </w:r>
      <w:r>
        <w:t>applications</w:t>
      </w:r>
      <w:r w:rsidR="00A41B08">
        <w:t>,</w:t>
      </w:r>
      <w:r w:rsidR="00AF4CBC">
        <w:t xml:space="preserve"> and examples of evidence-based practice as well as the role of HR professionals</w:t>
      </w:r>
      <w:r>
        <w:t xml:space="preserve"> in creating value</w:t>
      </w:r>
      <w:r w:rsidR="00AF4CBC">
        <w:t xml:space="preserve"> </w:t>
      </w:r>
      <w:r>
        <w:t>within</w:t>
      </w:r>
      <w:r w:rsidR="00AF4CBC">
        <w:t xml:space="preserve"> the organization</w:t>
      </w:r>
      <w:r>
        <w:t>.</w:t>
      </w:r>
    </w:p>
    <w:p w14:paraId="27A22C29" w14:textId="19BB5938" w:rsidR="00B07CE1" w:rsidRDefault="00A207BE" w:rsidP="00442AE0">
      <w:pPr>
        <w:jc w:val="both"/>
      </w:pPr>
      <w:r>
        <w:t>1.1.</w:t>
      </w:r>
    </w:p>
    <w:p w14:paraId="6442C12C" w14:textId="76DDADF9" w:rsidR="008D563C" w:rsidRDefault="00A207BE" w:rsidP="00442AE0">
      <w:pPr>
        <w:jc w:val="both"/>
      </w:pPr>
      <w:r>
        <w:t xml:space="preserve">An evidence-based practice can be defined as the process in which any decision is evaluated against data, real experience, experts’ </w:t>
      </w:r>
      <w:r w:rsidR="004639D4">
        <w:t>opinions,</w:t>
      </w:r>
      <w:r>
        <w:t xml:space="preserve"> and other types of relevant information </w:t>
      </w:r>
      <w:r w:rsidR="004639D4">
        <w:t xml:space="preserve">(Miller, 2018). </w:t>
      </w:r>
      <w:r w:rsidR="00794170">
        <w:t>It is</w:t>
      </w:r>
      <w:r w:rsidR="00442AE0">
        <w:t xml:space="preserve">    “</w:t>
      </w:r>
      <w:r w:rsidR="00794170">
        <w:t xml:space="preserve"> a combination of using critical thinking </w:t>
      </w:r>
      <w:r w:rsidR="00442AE0">
        <w:t>and</w:t>
      </w:r>
      <w:r w:rsidR="00794170">
        <w:t xml:space="preserve"> the best available evidence</w:t>
      </w:r>
      <w:r w:rsidR="00442AE0">
        <w:t>” (</w:t>
      </w:r>
      <w:r w:rsidR="00EF0B9F">
        <w:t>CIPD</w:t>
      </w:r>
      <w:r w:rsidR="00442AE0">
        <w:t>, 2022)</w:t>
      </w:r>
      <w:r w:rsidR="004241AC">
        <w:t xml:space="preserve"> to ensure that the decision-maker is minimising the risk of relying on personal opinions</w:t>
      </w:r>
      <w:r w:rsidR="002F19A7">
        <w:t>, popular ideas</w:t>
      </w:r>
      <w:r w:rsidR="003E7202">
        <w:t xml:space="preserve"> or</w:t>
      </w:r>
      <w:r w:rsidR="004241AC">
        <w:t xml:space="preserve"> bias</w:t>
      </w:r>
      <w:r w:rsidR="003E7202">
        <w:t>.</w:t>
      </w:r>
      <w:r w:rsidR="0042001B">
        <w:t xml:space="preserve"> </w:t>
      </w:r>
    </w:p>
    <w:p w14:paraId="0CD55206" w14:textId="36D560F9" w:rsidR="00A207BE" w:rsidRDefault="00F90698" w:rsidP="00442AE0">
      <w:pPr>
        <w:jc w:val="both"/>
      </w:pPr>
      <w:r>
        <w:t>The evidence-based process can be divided into six steps</w:t>
      </w:r>
      <w:r w:rsidR="00DD539A">
        <w:t>:</w:t>
      </w:r>
    </w:p>
    <w:p w14:paraId="32F5F4DE" w14:textId="07FDBAE1" w:rsidR="00DD539A" w:rsidRDefault="00DD539A" w:rsidP="00DD539A">
      <w:pPr>
        <w:pStyle w:val="ListParagraph"/>
        <w:numPr>
          <w:ilvl w:val="0"/>
          <w:numId w:val="1"/>
        </w:numPr>
        <w:jc w:val="both"/>
      </w:pPr>
      <w:r>
        <w:t>ASKING – transforming the problem into a question</w:t>
      </w:r>
    </w:p>
    <w:p w14:paraId="2BF7089B" w14:textId="6CB038BE" w:rsidR="00DD539A" w:rsidRDefault="00DD539A" w:rsidP="00DD539A">
      <w:pPr>
        <w:pStyle w:val="ListParagraph"/>
        <w:numPr>
          <w:ilvl w:val="0"/>
          <w:numId w:val="1"/>
        </w:numPr>
        <w:jc w:val="both"/>
      </w:pPr>
      <w:r>
        <w:t>ACQUIRING – searching for suitable evidence</w:t>
      </w:r>
    </w:p>
    <w:p w14:paraId="3F7DCEFA" w14:textId="3FF3078A" w:rsidR="00DD539A" w:rsidRDefault="00DD539A" w:rsidP="00DD539A">
      <w:pPr>
        <w:pStyle w:val="ListParagraph"/>
        <w:numPr>
          <w:ilvl w:val="0"/>
          <w:numId w:val="1"/>
        </w:numPr>
        <w:jc w:val="both"/>
      </w:pPr>
      <w:r>
        <w:t>APPRAISING – critically judging the consistency, reliability and integrity of evidence</w:t>
      </w:r>
    </w:p>
    <w:p w14:paraId="69751691" w14:textId="1F189230" w:rsidR="00DD539A" w:rsidRDefault="00DD539A" w:rsidP="00DD539A">
      <w:pPr>
        <w:pStyle w:val="ListParagraph"/>
        <w:numPr>
          <w:ilvl w:val="0"/>
          <w:numId w:val="1"/>
        </w:numPr>
        <w:jc w:val="both"/>
      </w:pPr>
      <w:r>
        <w:t>AGGREGATING – weighing and grouping together the evidence</w:t>
      </w:r>
    </w:p>
    <w:p w14:paraId="0CACF5E3" w14:textId="6A2BB696" w:rsidR="00DD539A" w:rsidRDefault="00DD539A" w:rsidP="00DD539A">
      <w:pPr>
        <w:pStyle w:val="ListParagraph"/>
        <w:numPr>
          <w:ilvl w:val="0"/>
          <w:numId w:val="1"/>
        </w:numPr>
        <w:jc w:val="both"/>
      </w:pPr>
      <w:r>
        <w:t xml:space="preserve">APPLYING </w:t>
      </w:r>
      <w:r w:rsidR="000771A0">
        <w:t>–</w:t>
      </w:r>
      <w:r>
        <w:t xml:space="preserve"> </w:t>
      </w:r>
      <w:r w:rsidR="000771A0">
        <w:t>using the evidence to decide</w:t>
      </w:r>
    </w:p>
    <w:p w14:paraId="5A0470EE" w14:textId="2A0880CB" w:rsidR="000771A0" w:rsidRDefault="000771A0" w:rsidP="00DD539A">
      <w:pPr>
        <w:pStyle w:val="ListParagraph"/>
        <w:numPr>
          <w:ilvl w:val="0"/>
          <w:numId w:val="1"/>
        </w:numPr>
        <w:jc w:val="both"/>
      </w:pPr>
      <w:r>
        <w:t>ASSESSING – evaluating the outcome of the decision</w:t>
      </w:r>
    </w:p>
    <w:p w14:paraId="2341BF98" w14:textId="33BAE6B5" w:rsidR="000771A0" w:rsidRDefault="000771A0" w:rsidP="000771A0">
      <w:pPr>
        <w:pStyle w:val="ListParagraph"/>
        <w:ind w:left="6480"/>
        <w:jc w:val="both"/>
      </w:pPr>
      <w:r>
        <w:t>(Briner, 2019)</w:t>
      </w:r>
    </w:p>
    <w:p w14:paraId="243184BF" w14:textId="69611614" w:rsidR="0052655B" w:rsidRDefault="0052655B" w:rsidP="0052655B">
      <w:pPr>
        <w:jc w:val="both"/>
      </w:pPr>
      <w:r>
        <w:t>It is significant for people practitioners to properly adopt this approach as the decisions they make influence all aspects of the organization as well as employees’ wellbeing.</w:t>
      </w:r>
      <w:r w:rsidR="009149E1">
        <w:t xml:space="preserve"> That is why, they should gather all available and relevant evidence, constantly challenge stereotypical </w:t>
      </w:r>
      <w:r w:rsidR="00FE6964">
        <w:t>views,</w:t>
      </w:r>
      <w:r w:rsidR="009149E1">
        <w:t xml:space="preserve"> and consider everything thoroughly before making a decision.</w:t>
      </w:r>
    </w:p>
    <w:p w14:paraId="48FF9F14" w14:textId="368EAD30" w:rsidR="008D563C" w:rsidRDefault="008D563C" w:rsidP="0052655B">
      <w:pPr>
        <w:jc w:val="both"/>
      </w:pPr>
      <w:r>
        <w:t>Data analysis helps us develop factual knowledge and understanding of the problems in an organization. There are 4 types of analytics:</w:t>
      </w:r>
    </w:p>
    <w:p w14:paraId="019E2AC4" w14:textId="1A80F570" w:rsidR="008D563C" w:rsidRPr="008D563C" w:rsidRDefault="008D563C" w:rsidP="0052655B">
      <w:pPr>
        <w:jc w:val="both"/>
      </w:pPr>
      <w:r w:rsidRPr="008D563C">
        <w:rPr>
          <w:b/>
          <w:bCs/>
        </w:rPr>
        <w:t>Descriptive</w:t>
      </w:r>
      <w:r>
        <w:rPr>
          <w:b/>
          <w:bCs/>
        </w:rPr>
        <w:t xml:space="preserve"> – </w:t>
      </w:r>
      <w:r w:rsidR="00F71304">
        <w:t xml:space="preserve">summarising current or past </w:t>
      </w:r>
      <w:r>
        <w:t>data through existing intelligence processes, for instance, the summary of absence days per department</w:t>
      </w:r>
      <w:r w:rsidR="00AF3329">
        <w:t>.</w:t>
      </w:r>
    </w:p>
    <w:p w14:paraId="2796BB58" w14:textId="1CE6A01E" w:rsidR="008D563C" w:rsidRPr="00A2139A" w:rsidRDefault="008D563C" w:rsidP="0052655B">
      <w:pPr>
        <w:jc w:val="both"/>
      </w:pPr>
      <w:r>
        <w:rPr>
          <w:b/>
          <w:bCs/>
        </w:rPr>
        <w:t xml:space="preserve">Diagnostic – </w:t>
      </w:r>
      <w:r w:rsidR="00254AEC" w:rsidRPr="00A2139A">
        <w:t xml:space="preserve">drilling down </w:t>
      </w:r>
      <w:r w:rsidR="00794E97" w:rsidRPr="00A2139A">
        <w:t>into past data to understand the causes of the problem</w:t>
      </w:r>
      <w:r w:rsidR="00A2139A" w:rsidRPr="00A2139A">
        <w:t>.</w:t>
      </w:r>
    </w:p>
    <w:p w14:paraId="195F5BEF" w14:textId="7A569C96" w:rsidR="00A2139A" w:rsidRPr="00A2139A" w:rsidRDefault="008D563C" w:rsidP="0052655B">
      <w:pPr>
        <w:jc w:val="both"/>
      </w:pPr>
      <w:r>
        <w:rPr>
          <w:b/>
          <w:bCs/>
        </w:rPr>
        <w:t xml:space="preserve">Predictive – </w:t>
      </w:r>
      <w:r w:rsidR="00A2139A">
        <w:t>using statistical models to predict the possible outcome.</w:t>
      </w:r>
    </w:p>
    <w:p w14:paraId="1DCBB26B" w14:textId="33537ADA" w:rsidR="008D563C" w:rsidRDefault="008D563C" w:rsidP="0052655B">
      <w:pPr>
        <w:jc w:val="both"/>
      </w:pPr>
      <w:r>
        <w:rPr>
          <w:b/>
          <w:bCs/>
        </w:rPr>
        <w:t xml:space="preserve">Prescriptive </w:t>
      </w:r>
      <w:r w:rsidR="00A2139A">
        <w:rPr>
          <w:b/>
          <w:bCs/>
        </w:rPr>
        <w:t>–</w:t>
      </w:r>
      <w:r>
        <w:rPr>
          <w:b/>
          <w:bCs/>
        </w:rPr>
        <w:t xml:space="preserve"> </w:t>
      </w:r>
      <w:r w:rsidR="00A2139A">
        <w:t>recommending future solutions based on analysed data.</w:t>
      </w:r>
    </w:p>
    <w:p w14:paraId="249CDE74" w14:textId="01CA5592" w:rsidR="00F71304" w:rsidRDefault="00F71304" w:rsidP="0052655B">
      <w:pPr>
        <w:jc w:val="both"/>
      </w:pPr>
      <w:r>
        <w:tab/>
      </w:r>
      <w:r>
        <w:tab/>
      </w:r>
      <w:r>
        <w:tab/>
      </w:r>
      <w:r>
        <w:tab/>
      </w:r>
      <w:r>
        <w:tab/>
      </w:r>
      <w:r>
        <w:tab/>
      </w:r>
      <w:r>
        <w:tab/>
      </w:r>
      <w:r>
        <w:tab/>
      </w:r>
      <w:r>
        <w:tab/>
      </w:r>
      <w:r>
        <w:tab/>
        <w:t>(Waite, et al. 2021)</w:t>
      </w:r>
    </w:p>
    <w:p w14:paraId="4A416DB9" w14:textId="4B1B2814" w:rsidR="00056BAE" w:rsidRDefault="00056BAE" w:rsidP="0052655B">
      <w:pPr>
        <w:jc w:val="both"/>
      </w:pPr>
    </w:p>
    <w:p w14:paraId="6BDD57E3" w14:textId="6B7F6242" w:rsidR="00056BAE" w:rsidRDefault="00056BAE" w:rsidP="0052655B">
      <w:pPr>
        <w:jc w:val="both"/>
      </w:pPr>
      <w:r>
        <w:t>1.2</w:t>
      </w:r>
    </w:p>
    <w:p w14:paraId="10E981A1" w14:textId="61BD3D7A" w:rsidR="00496F87" w:rsidRDefault="00496F87" w:rsidP="0052655B">
      <w:pPr>
        <w:jc w:val="both"/>
      </w:pPr>
      <w:r>
        <w:t>There are numerous reasons why using data in an organization is vital for its success.  Firstly, good data provides indisputable evidence that leads to correct conclusions</w:t>
      </w:r>
      <w:r w:rsidR="005050E9">
        <w:t xml:space="preserve"> and allows people practitioners to measure the effectiveness of the given strategy. By monitoring data, we can be proactive and identify any challenges before they become major issues.</w:t>
      </w:r>
      <w:r w:rsidR="000E54BD">
        <w:t xml:space="preserve"> Moreover, we can visualise any correlations in departments and systems</w:t>
      </w:r>
      <w:r w:rsidR="00CE4E3C">
        <w:t>, and determine the roots of problems. These, in turn, allow us to increase efficiency through effective planning</w:t>
      </w:r>
      <w:r w:rsidR="00B97725">
        <w:t xml:space="preserve"> and</w:t>
      </w:r>
      <w:r w:rsidR="00CE4E3C">
        <w:t xml:space="preserve"> </w:t>
      </w:r>
      <w:r w:rsidR="00B97725">
        <w:t xml:space="preserve">prioritizing of work. Whenever a company faces an organizational change, HR people can use data to explain their decisions to stakeholders and illustrate their arguments. </w:t>
      </w:r>
      <w:r w:rsidR="00C32116">
        <w:t xml:space="preserve">Good data collection enables organizations to keep track of projects, identify high-performing programs and set future goals. </w:t>
      </w:r>
      <w:r w:rsidR="000701F9">
        <w:t>Finally</w:t>
      </w:r>
      <w:r w:rsidR="00C32116">
        <w:t xml:space="preserve">, an effective data system can </w:t>
      </w:r>
      <w:r w:rsidR="00576FF8">
        <w:t>support an organization in improving employees’ lives and quality of work</w:t>
      </w:r>
      <w:r w:rsidR="000701F9">
        <w:t xml:space="preserve"> (12 Reasons Why Data Is Important, no date).</w:t>
      </w:r>
    </w:p>
    <w:p w14:paraId="33EC5A5F" w14:textId="45A0B02A" w:rsidR="000701F9" w:rsidRDefault="002F09C2" w:rsidP="0052655B">
      <w:pPr>
        <w:jc w:val="both"/>
      </w:pPr>
      <w:proofErr w:type="spellStart"/>
      <w:r>
        <w:t>Barends</w:t>
      </w:r>
      <w:proofErr w:type="spellEnd"/>
      <w:r>
        <w:t>, Rousseau and Briner</w:t>
      </w:r>
      <w:r w:rsidR="005267BE">
        <w:t xml:space="preserve"> (2014)</w:t>
      </w:r>
      <w:r>
        <w:t xml:space="preserve"> describe</w:t>
      </w:r>
      <w:r w:rsidR="003525BE">
        <w:t xml:space="preserve"> </w:t>
      </w:r>
      <w:r>
        <w:t>4 sources of data</w:t>
      </w:r>
      <w:r w:rsidR="003525BE">
        <w:t>:</w:t>
      </w:r>
    </w:p>
    <w:p w14:paraId="70B80304" w14:textId="66E0169B" w:rsidR="003525BE" w:rsidRDefault="003525BE" w:rsidP="0052655B">
      <w:pPr>
        <w:jc w:val="both"/>
      </w:pPr>
      <w:r w:rsidRPr="002807AC">
        <w:rPr>
          <w:b/>
          <w:bCs/>
        </w:rPr>
        <w:lastRenderedPageBreak/>
        <w:t>Scientific evidence</w:t>
      </w:r>
      <w:r>
        <w:t xml:space="preserve"> – can be found in various types of literature, depending on the subject. The most common is </w:t>
      </w:r>
      <w:r w:rsidR="005267BE">
        <w:t>m</w:t>
      </w:r>
      <w:r>
        <w:t xml:space="preserve">anagement and HR literature which cover </w:t>
      </w:r>
      <w:r w:rsidR="00FE6964">
        <w:t>most</w:t>
      </w:r>
      <w:r>
        <w:t xml:space="preserve"> </w:t>
      </w:r>
      <w:r w:rsidR="005267BE">
        <w:t>topics;</w:t>
      </w:r>
      <w:r>
        <w:t xml:space="preserve"> however</w:t>
      </w:r>
      <w:r w:rsidR="005267BE">
        <w:t>,</w:t>
      </w:r>
      <w:r>
        <w:t xml:space="preserve"> we can also reach for </w:t>
      </w:r>
      <w:r w:rsidR="005267BE">
        <w:t>s</w:t>
      </w:r>
      <w:r>
        <w:t xml:space="preserve">ociology or </w:t>
      </w:r>
      <w:r w:rsidR="005267BE">
        <w:t>p</w:t>
      </w:r>
      <w:r>
        <w:t>sychology literature</w:t>
      </w:r>
      <w:r w:rsidR="005267BE">
        <w:t xml:space="preserve">, especially when searching for data about motivation, </w:t>
      </w:r>
      <w:r w:rsidR="00452DBB">
        <w:t>engagement,</w:t>
      </w:r>
      <w:r w:rsidR="005267BE">
        <w:t xml:space="preserve"> or types of behaviour. </w:t>
      </w:r>
    </w:p>
    <w:p w14:paraId="669A265F" w14:textId="736A0326" w:rsidR="005267BE" w:rsidRDefault="005267BE" w:rsidP="0052655B">
      <w:pPr>
        <w:jc w:val="both"/>
      </w:pPr>
      <w:r w:rsidRPr="002807AC">
        <w:rPr>
          <w:b/>
          <w:bCs/>
        </w:rPr>
        <w:t>Organizational evidence</w:t>
      </w:r>
      <w:r>
        <w:t xml:space="preserve"> </w:t>
      </w:r>
      <w:r w:rsidR="001F363D">
        <w:t>–</w:t>
      </w:r>
      <w:r>
        <w:t xml:space="preserve"> </w:t>
      </w:r>
      <w:r w:rsidR="00FE6964" w:rsidRPr="00FE6964">
        <w:t xml:space="preserve">external – comes from customers and clients, for example, customer satisfaction; or internal – comes from the organization itself, such as employee turnover </w:t>
      </w:r>
      <w:r w:rsidR="00FE6964">
        <w:t>or sickness absence data.</w:t>
      </w:r>
    </w:p>
    <w:p w14:paraId="4507AF02" w14:textId="5C8E277E" w:rsidR="00FE6964" w:rsidRDefault="00FE6964" w:rsidP="0052655B">
      <w:pPr>
        <w:jc w:val="both"/>
      </w:pPr>
      <w:r w:rsidRPr="002807AC">
        <w:rPr>
          <w:b/>
          <w:bCs/>
        </w:rPr>
        <w:t>Experiential evidence</w:t>
      </w:r>
      <w:r>
        <w:t xml:space="preserve"> – expertise and judgement of people within the organizatio</w:t>
      </w:r>
      <w:r w:rsidR="00C91149">
        <w:t>n. It is specialised and professional knowledge accumulated over time.</w:t>
      </w:r>
    </w:p>
    <w:p w14:paraId="548E06E8" w14:textId="10AF3858" w:rsidR="00C91149" w:rsidRDefault="00C91149" w:rsidP="0052655B">
      <w:pPr>
        <w:jc w:val="both"/>
      </w:pPr>
      <w:r w:rsidRPr="002807AC">
        <w:rPr>
          <w:b/>
          <w:bCs/>
        </w:rPr>
        <w:t>Stakeholder evidence</w:t>
      </w:r>
      <w:r>
        <w:t xml:space="preserve"> – comes from internal and external interest groups</w:t>
      </w:r>
      <w:r w:rsidR="002807AC">
        <w:t xml:space="preserve">. Knowing the stakeholders’ values and concerns may result in adjusting the outcomes of decisions or prioritizing problems. </w:t>
      </w:r>
    </w:p>
    <w:p w14:paraId="0278D320" w14:textId="229EE37E" w:rsidR="00C91149" w:rsidRDefault="009E00DF" w:rsidP="0052655B">
      <w:pPr>
        <w:jc w:val="both"/>
      </w:pPr>
      <w:r>
        <w:t>When gathering the evidence, we need to ensure that our data is reliable and valid</w:t>
      </w:r>
      <w:r w:rsidR="004E4400">
        <w:t xml:space="preserve">. </w:t>
      </w:r>
      <w:r w:rsidRPr="004E4400">
        <w:rPr>
          <w:u w:val="single"/>
        </w:rPr>
        <w:t>Reliability</w:t>
      </w:r>
      <w:r>
        <w:t xml:space="preserve"> can be achieved by using different data sources and </w:t>
      </w:r>
      <w:r w:rsidR="005C50F3">
        <w:t>collection</w:t>
      </w:r>
      <w:r>
        <w:t xml:space="preserve"> tools</w:t>
      </w:r>
      <w:r w:rsidR="005C50F3">
        <w:t xml:space="preserve"> along with collecting the data at different time periods. </w:t>
      </w:r>
      <w:r w:rsidR="005C50F3" w:rsidRPr="004E4400">
        <w:rPr>
          <w:u w:val="single"/>
        </w:rPr>
        <w:t>Validity</w:t>
      </w:r>
      <w:r w:rsidR="005C50F3">
        <w:t xml:space="preserve"> refers to how precisely the data </w:t>
      </w:r>
      <w:r w:rsidR="002207DE">
        <w:t>measures</w:t>
      </w:r>
      <w:r w:rsidR="005C50F3">
        <w:t xml:space="preserve"> </w:t>
      </w:r>
      <w:r w:rsidR="002207DE">
        <w:t>what it is intended to measure.</w:t>
      </w:r>
      <w:r w:rsidR="00A926C3">
        <w:t xml:space="preserve"> Using evidence that is not credible can lead to false assumptions, nondeliberate neglect of the issue and making </w:t>
      </w:r>
      <w:r w:rsidR="004F58CA">
        <w:t xml:space="preserve">harmful </w:t>
      </w:r>
      <w:r w:rsidR="005938E0">
        <w:t>decisions for the organization (Waite, et al. 2021)</w:t>
      </w:r>
      <w:r w:rsidR="004F58CA">
        <w:t>.</w:t>
      </w:r>
    </w:p>
    <w:p w14:paraId="448A1A56" w14:textId="261443DC" w:rsidR="00D0584F" w:rsidRDefault="00D0584F" w:rsidP="0052655B">
      <w:pPr>
        <w:jc w:val="both"/>
      </w:pPr>
      <w:r>
        <w:t>1.3</w:t>
      </w:r>
    </w:p>
    <w:p w14:paraId="727C1ABF" w14:textId="2DDAC105" w:rsidR="00D0584F" w:rsidRDefault="005F6AD8" w:rsidP="0052655B">
      <w:pPr>
        <w:jc w:val="both"/>
      </w:pPr>
      <w:r>
        <w:t xml:space="preserve">HR departments use quantitative and qualitative types of data to reflect the qualities of employees and measure current issues in </w:t>
      </w:r>
      <w:r w:rsidR="00A92F78">
        <w:t xml:space="preserve">an </w:t>
      </w:r>
      <w:r>
        <w:t>organization.</w:t>
      </w:r>
    </w:p>
    <w:p w14:paraId="45F349F6" w14:textId="6ADCEC18" w:rsidR="005F6AD8" w:rsidRDefault="00A92F78" w:rsidP="0052655B">
      <w:pPr>
        <w:jc w:val="both"/>
      </w:pPr>
      <w:r w:rsidRPr="00000BED">
        <w:rPr>
          <w:b/>
          <w:bCs/>
        </w:rPr>
        <w:t>Quantitative data</w:t>
      </w:r>
      <w:r w:rsidR="00000BED">
        <w:t xml:space="preserve"> involves information that </w:t>
      </w:r>
      <w:r w:rsidR="00A3114A">
        <w:t>is</w:t>
      </w:r>
      <w:r w:rsidR="00000BED">
        <w:t xml:space="preserve"> expressed numerically and can be used to produce statistics and measure </w:t>
      </w:r>
      <w:r w:rsidR="00485C92">
        <w:t>patterns</w:t>
      </w:r>
      <w:r w:rsidR="00000BED">
        <w:t xml:space="preserve"> over a period of time or in a particular department. </w:t>
      </w:r>
      <w:r w:rsidR="003F1226">
        <w:t xml:space="preserve">The most common </w:t>
      </w:r>
      <w:r w:rsidR="00A3114A">
        <w:t>examples</w:t>
      </w:r>
      <w:r w:rsidR="003F1226">
        <w:t xml:space="preserve"> are</w:t>
      </w:r>
      <w:r w:rsidR="00A3114A">
        <w:t xml:space="preserve"> salary, retention and turnover rate, overtime hours, absence reports, demographic data, and different types of surveys.</w:t>
      </w:r>
      <w:r w:rsidR="00773333">
        <w:t xml:space="preserve"> Demographic data can give us numerous information such as retiring age, or the number of minorities being recruited. </w:t>
      </w:r>
      <w:r w:rsidR="00013DA3">
        <w:t xml:space="preserve">The </w:t>
      </w:r>
      <w:r w:rsidR="00773333">
        <w:t xml:space="preserve">Labour turnover rate helps HR people estimate current and future manpower </w:t>
      </w:r>
      <w:r w:rsidR="00013DA3">
        <w:t>requirements (Loy, 2021).</w:t>
      </w:r>
    </w:p>
    <w:p w14:paraId="119E50DE" w14:textId="0329EE48" w:rsidR="00CD6357" w:rsidRDefault="00CD6357" w:rsidP="0052655B">
      <w:pPr>
        <w:jc w:val="both"/>
      </w:pPr>
      <w:r w:rsidRPr="00CD6357">
        <w:rPr>
          <w:b/>
          <w:bCs/>
        </w:rPr>
        <w:t xml:space="preserve">Qualitative data </w:t>
      </w:r>
      <w:r>
        <w:t xml:space="preserve">involves actions and information that are observed and expressed as words.  </w:t>
      </w:r>
      <w:r w:rsidR="007005B8">
        <w:t xml:space="preserve">It is useful when trying to understand the views and perceptions of how employees feel about the subject under review. These data can be collected through brainstorming, surveys, </w:t>
      </w:r>
      <w:r w:rsidR="00297E48">
        <w:t>interviews,</w:t>
      </w:r>
      <w:r w:rsidR="007005B8">
        <w:t xml:space="preserve"> </w:t>
      </w:r>
      <w:r w:rsidR="001E3897">
        <w:t xml:space="preserve">or </w:t>
      </w:r>
      <w:r w:rsidR="007005B8">
        <w:t xml:space="preserve">observations. </w:t>
      </w:r>
      <w:r w:rsidR="00297E48">
        <w:t xml:space="preserve">Brainstorming is a great method to gain ideas from people with different experiences, knowledge, and perspectives. </w:t>
      </w:r>
      <w:r w:rsidR="001E3897">
        <w:t xml:space="preserve">Surveys can be used to determine trends, capture employees’ perceptions about the quality of work, or assess the effectiveness of current programs. Exit and stay interviews are a great source of information about issues happening on the </w:t>
      </w:r>
      <w:r w:rsidR="001541C2">
        <w:t>shop floor</w:t>
      </w:r>
      <w:r w:rsidR="001E3897">
        <w:t xml:space="preserve"> that HR may not be aware of.</w:t>
      </w:r>
      <w:r w:rsidR="009211AB">
        <w:t xml:space="preserve"> Observations </w:t>
      </w:r>
      <w:r w:rsidR="00A52210">
        <w:t xml:space="preserve">are often conducted by supervisors </w:t>
      </w:r>
      <w:r w:rsidR="00576B1E">
        <w:t>to</w:t>
      </w:r>
      <w:r w:rsidR="00A52210">
        <w:t xml:space="preserve"> record employees’ behaviours, </w:t>
      </w:r>
      <w:r w:rsidR="001A7305">
        <w:t>habits,</w:t>
      </w:r>
      <w:r w:rsidR="00A52210">
        <w:t xml:space="preserve"> or problems they encounter during their shifts.</w:t>
      </w:r>
      <w:r w:rsidR="001E3897">
        <w:t xml:space="preserve"> </w:t>
      </w:r>
      <w:r w:rsidR="007005B8">
        <w:t xml:space="preserve">However, it is </w:t>
      </w:r>
      <w:r w:rsidR="00297E48">
        <w:t>worth</w:t>
      </w:r>
      <w:r w:rsidR="007005B8">
        <w:t xml:space="preserve"> remembering that </w:t>
      </w:r>
      <w:r w:rsidR="00576B1E">
        <w:t xml:space="preserve">notes from the observations can be </w:t>
      </w:r>
      <w:r w:rsidR="001A7305">
        <w:t>affected</w:t>
      </w:r>
      <w:r w:rsidR="00576B1E">
        <w:t xml:space="preserve"> by bias</w:t>
      </w:r>
      <w:r w:rsidR="001A7305">
        <w:t xml:space="preserve"> thus it is recommended that two or more people are assigned to assess </w:t>
      </w:r>
      <w:r w:rsidR="00FD33D2">
        <w:t xml:space="preserve">each </w:t>
      </w:r>
      <w:r w:rsidR="00415620">
        <w:t>employee’s</w:t>
      </w:r>
      <w:r w:rsidR="001A7305">
        <w:t xml:space="preserve"> performance (</w:t>
      </w:r>
      <w:proofErr w:type="spellStart"/>
      <w:r w:rsidR="001A7305">
        <w:t>Currence</w:t>
      </w:r>
      <w:proofErr w:type="spellEnd"/>
      <w:r w:rsidR="001A7305">
        <w:t>, 2019).</w:t>
      </w:r>
    </w:p>
    <w:p w14:paraId="6CC7CD35" w14:textId="67AFE980" w:rsidR="00485C92" w:rsidRPr="00CD6357" w:rsidRDefault="00485C92" w:rsidP="0052655B">
      <w:pPr>
        <w:jc w:val="both"/>
      </w:pPr>
      <w:r>
        <w:t xml:space="preserve">To achieve the best results in identifying trends and areas for improvement within the organization both quantitative and qualitative data should be combined. </w:t>
      </w:r>
      <w:r w:rsidR="00D80F2F">
        <w:t>For instance, the absence</w:t>
      </w:r>
      <w:r>
        <w:t xml:space="preserve"> report of an individual person will be </w:t>
      </w:r>
      <w:r w:rsidR="00D80F2F">
        <w:t>supported by notes from disciplinary or welfare meetings. The high turnover rate in a particular department should be matched with exit interviews and satisfaction surveys to gain a deeper understanding of current issues. Measuring performance is achieved by collecting quantitative data on employee productivity and qualitative data such as observations or examining employees’ perceptions</w:t>
      </w:r>
      <w:r w:rsidR="00FF4E01">
        <w:t xml:space="preserve"> (Smith, 2017, Lawson 2017)</w:t>
      </w:r>
      <w:r w:rsidR="00D80F2F">
        <w:t>.</w:t>
      </w:r>
    </w:p>
    <w:p w14:paraId="42E1AC03" w14:textId="50B4004A" w:rsidR="005267BE" w:rsidRDefault="00295BB4" w:rsidP="0052655B">
      <w:pPr>
        <w:jc w:val="both"/>
      </w:pPr>
      <w:r>
        <w:t>1.6</w:t>
      </w:r>
    </w:p>
    <w:p w14:paraId="247BE8C8" w14:textId="3D617EBA" w:rsidR="00295BB4" w:rsidRDefault="00510804" w:rsidP="0052655B">
      <w:pPr>
        <w:jc w:val="both"/>
      </w:pPr>
      <w:r>
        <w:t>HR p</w:t>
      </w:r>
      <w:r w:rsidR="00295BB4">
        <w:t>olicies and procedures are</w:t>
      </w:r>
      <w:r w:rsidR="000744A2">
        <w:t xml:space="preserve"> written rules and instructions that all members of an organization must </w:t>
      </w:r>
      <w:r w:rsidR="00847008">
        <w:t>adhere to</w:t>
      </w:r>
      <w:r w:rsidR="000744A2">
        <w:t>.</w:t>
      </w:r>
      <w:r w:rsidR="00295BB4">
        <w:t xml:space="preserve"> </w:t>
      </w:r>
      <w:r w:rsidR="000744A2">
        <w:t xml:space="preserve">They </w:t>
      </w:r>
      <w:r w:rsidR="00295BB4">
        <w:t>provide guidance for HR members, management,</w:t>
      </w:r>
      <w:r>
        <w:t xml:space="preserve"> </w:t>
      </w:r>
      <w:r w:rsidR="000744A2">
        <w:t>employees,</w:t>
      </w:r>
      <w:r>
        <w:t xml:space="preserve"> and contractors</w:t>
      </w:r>
      <w:r w:rsidR="00295BB4">
        <w:t xml:space="preserve"> in their day-to-day operations</w:t>
      </w:r>
      <w:r w:rsidR="00847008">
        <w:t>. They describe the rights of all parties</w:t>
      </w:r>
      <w:r w:rsidR="00C24C8A">
        <w:t xml:space="preserve"> as well as their responsibilities</w:t>
      </w:r>
      <w:r w:rsidR="00847008">
        <w:t xml:space="preserve"> and the consequences </w:t>
      </w:r>
      <w:r w:rsidR="00196F6A">
        <w:t xml:space="preserve">of </w:t>
      </w:r>
      <w:r w:rsidR="00847008">
        <w:t>not following them</w:t>
      </w:r>
      <w:r w:rsidR="00C24C8A">
        <w:t>.</w:t>
      </w:r>
      <w:r w:rsidR="00F47C23">
        <w:t xml:space="preserve"> They cover different aspects of HR management including recruitment, overtime, absence management, learning and development, vacation and leave, assessment of performance, reward system, termination of employment, code of conduct, etc.</w:t>
      </w:r>
      <w:r w:rsidR="00460C3C">
        <w:t xml:space="preserve"> Policies and procedures are especially important in a decision-making process as they cover various HR matters and can provide clear solutions to different problems. Adhering to policies enables </w:t>
      </w:r>
      <w:r w:rsidR="00C92D7C">
        <w:t xml:space="preserve">the </w:t>
      </w:r>
      <w:r w:rsidR="00460C3C">
        <w:t xml:space="preserve">HR department to be consistent and fair </w:t>
      </w:r>
      <w:r w:rsidR="00B665B0">
        <w:t xml:space="preserve">while judging and reviewing </w:t>
      </w:r>
      <w:r w:rsidR="00AC0622">
        <w:t>data</w:t>
      </w:r>
      <w:r w:rsidR="00B665B0">
        <w:t xml:space="preserve">. Having clear procedures in place, people practitioners can </w:t>
      </w:r>
      <w:r w:rsidR="00B665B0">
        <w:lastRenderedPageBreak/>
        <w:t xml:space="preserve">eliminate unethical and unprofessional practices </w:t>
      </w:r>
      <w:r w:rsidR="00976F0B">
        <w:t xml:space="preserve">while making decisions about recruitment, rewards or selecting employees for development. </w:t>
      </w:r>
      <w:r w:rsidR="001A0C09">
        <w:t>HR policies support business goals and strategy as well as can help to make important decisions about organizational change.</w:t>
      </w:r>
      <w:r w:rsidR="006A6379">
        <w:t xml:space="preserve"> </w:t>
      </w:r>
      <w:r w:rsidR="0011741C">
        <w:t>Certain HR policies are introduced to comply with legislation and case law</w:t>
      </w:r>
      <w:r w:rsidR="00255657">
        <w:t xml:space="preserve"> such as disciplinary, dismissal and grievance policies.</w:t>
      </w:r>
      <w:r w:rsidR="005F14EB">
        <w:t xml:space="preserve"> They protect both the employees from unfair treatment and the organization from legal claims.</w:t>
      </w:r>
      <w:r w:rsidR="009D317C">
        <w:t xml:space="preserve"> </w:t>
      </w:r>
      <w:r w:rsidR="00C92D7C">
        <w:t xml:space="preserve">There is no doubt that </w:t>
      </w:r>
      <w:r w:rsidR="00093400">
        <w:t xml:space="preserve">HR policies </w:t>
      </w:r>
      <w:r w:rsidR="00C92D7C">
        <w:t>contribute to</w:t>
      </w:r>
      <w:r w:rsidR="00093400">
        <w:t xml:space="preserve"> boosting the overall success of a </w:t>
      </w:r>
      <w:r w:rsidR="00C92D7C">
        <w:t>business;</w:t>
      </w:r>
      <w:r w:rsidR="00093400">
        <w:t xml:space="preserve"> however</w:t>
      </w:r>
      <w:r w:rsidR="00D42C26">
        <w:t>,</w:t>
      </w:r>
      <w:r w:rsidR="00093400">
        <w:t xml:space="preserve"> </w:t>
      </w:r>
      <w:r w:rsidR="00D42C26">
        <w:t xml:space="preserve">they need to be </w:t>
      </w:r>
      <w:r w:rsidR="00093400">
        <w:t xml:space="preserve">clear, </w:t>
      </w:r>
      <w:r w:rsidR="00C92D7C">
        <w:t>transparent</w:t>
      </w:r>
      <w:r w:rsidR="00093400">
        <w:t xml:space="preserve"> and properly implemented both by HR professionals and managers</w:t>
      </w:r>
      <w:r w:rsidR="00C92D7C">
        <w:t xml:space="preserve"> (</w:t>
      </w:r>
      <w:r w:rsidR="001925BC">
        <w:t>George</w:t>
      </w:r>
      <w:r w:rsidR="00C92D7C">
        <w:t xml:space="preserve">, 2022; </w:t>
      </w:r>
      <w:r w:rsidR="001925BC">
        <w:t xml:space="preserve">Lee 2022; Indeed, </w:t>
      </w:r>
      <w:r w:rsidR="00D67FF9">
        <w:t>2021</w:t>
      </w:r>
      <w:r w:rsidR="003B1382">
        <w:t>).</w:t>
      </w:r>
    </w:p>
    <w:p w14:paraId="58123D20" w14:textId="7C441ACC" w:rsidR="00FD33D2" w:rsidRDefault="00FD33D2" w:rsidP="0052655B">
      <w:pPr>
        <w:jc w:val="both"/>
      </w:pPr>
      <w:r>
        <w:t>2.1</w:t>
      </w:r>
    </w:p>
    <w:p w14:paraId="5BC50163" w14:textId="443D311D" w:rsidR="00FD33D2" w:rsidRDefault="00B772F7" w:rsidP="0052655B">
      <w:pPr>
        <w:jc w:val="both"/>
      </w:pPr>
      <w:r>
        <w:t xml:space="preserve">Each organization is created to provide value for its customers and internal and external stakeholders. Apart from clients and business partners, there are 3 main stakeholders: senior management, line managers and employees. </w:t>
      </w:r>
      <w:r w:rsidR="00827B09">
        <w:t xml:space="preserve">Other stakeholders may include the local community, trade unions, suppliers etc. HR professionals play a crucial role in creating value for all of them. This, in general, can be achieved by </w:t>
      </w:r>
      <w:r w:rsidR="004251F1">
        <w:t xml:space="preserve">the </w:t>
      </w:r>
      <w:r w:rsidR="00827B09">
        <w:t xml:space="preserve">development of </w:t>
      </w:r>
      <w:r w:rsidR="004251F1">
        <w:t xml:space="preserve">structural and human capital. Structural capital includes software systems, processes, databases, and supply chains, while human capital consists of </w:t>
      </w:r>
      <w:r w:rsidR="00A01B52">
        <w:t xml:space="preserve">the </w:t>
      </w:r>
      <w:r w:rsidR="004251F1">
        <w:t xml:space="preserve">knowledge, skills, </w:t>
      </w:r>
      <w:r w:rsidR="00A01B52">
        <w:t>abilities,</w:t>
      </w:r>
      <w:r w:rsidR="004251F1">
        <w:t xml:space="preserve"> and expertise of people within the organization.</w:t>
      </w:r>
      <w:r w:rsidR="004A6D67">
        <w:t xml:space="preserve"> </w:t>
      </w:r>
      <w:r w:rsidR="0089090B">
        <w:t>HR professionals are especially involved in adding value through the proper management of human capital which has an indirect impact on strategic investment and operational decisions</w:t>
      </w:r>
      <w:r w:rsidR="004A6D67">
        <w:t xml:space="preserve"> (Waite, et al. 2021)</w:t>
      </w:r>
      <w:r w:rsidR="0089090B">
        <w:t xml:space="preserve">. </w:t>
      </w:r>
    </w:p>
    <w:p w14:paraId="7A91EDB0" w14:textId="26965E0F" w:rsidR="004A6D67" w:rsidRDefault="004A6D67" w:rsidP="0052655B">
      <w:pPr>
        <w:jc w:val="both"/>
      </w:pPr>
      <w:r>
        <w:t>HR department is responsible for the quality of the employees and their performances</w:t>
      </w:r>
      <w:r w:rsidR="002A0F56">
        <w:t>. This has an enormous impact on the success of the organization which is dependent on the motivation, capabilities and achievements of its people. Careful selection of applicants and proper management of the recruitment process is one of the main aspects of value creation.</w:t>
      </w:r>
      <w:r w:rsidR="00A11CF3">
        <w:t xml:space="preserve"> Apart from acquiring the right talent, people practitioners need to identify skill gaps and implement learning and development programs based on the company’s needs. </w:t>
      </w:r>
      <w:r w:rsidR="00EB5768">
        <w:t>Remembering that employees are the main asset of the company HR people ought to cooperate with managers and supervisors to keep the workforce motivated and create a positive culture within an organization</w:t>
      </w:r>
      <w:r w:rsidR="00525646">
        <w:t xml:space="preserve"> (Schaefer, 2019)</w:t>
      </w:r>
      <w:r w:rsidR="00EB5768">
        <w:t>.</w:t>
      </w:r>
    </w:p>
    <w:p w14:paraId="71A333E5" w14:textId="1FDDF045" w:rsidR="00525646" w:rsidRDefault="00525646" w:rsidP="0052655B">
      <w:pPr>
        <w:jc w:val="both"/>
      </w:pPr>
      <w:r>
        <w:t>Another important task of HR professionals is to protect the company from lawsuits.</w:t>
      </w:r>
      <w:r w:rsidR="002B0A4A">
        <w:t xml:space="preserve"> They need to constantly follow changes in employee rights, health and safety regulations and business legal requirements</w:t>
      </w:r>
      <w:r w:rsidR="004518F8">
        <w:t>,</w:t>
      </w:r>
      <w:r w:rsidR="002B0A4A">
        <w:t xml:space="preserve"> </w:t>
      </w:r>
      <w:r w:rsidR="004518F8">
        <w:t>promote fair practices and advise managers when needed.</w:t>
      </w:r>
      <w:r w:rsidR="00845E69">
        <w:t xml:space="preserve"> </w:t>
      </w:r>
    </w:p>
    <w:p w14:paraId="3915C84B" w14:textId="0871599C" w:rsidR="00845E69" w:rsidRDefault="00845E69" w:rsidP="0052655B">
      <w:pPr>
        <w:jc w:val="both"/>
      </w:pPr>
      <w:r>
        <w:t xml:space="preserve">HR department </w:t>
      </w:r>
      <w:r w:rsidR="002C7F1C">
        <w:t>adds value</w:t>
      </w:r>
      <w:r w:rsidR="00DB5778">
        <w:t xml:space="preserve"> to the organization</w:t>
      </w:r>
      <w:r w:rsidR="002C7F1C">
        <w:t xml:space="preserve"> by participating in</w:t>
      </w:r>
      <w:r>
        <w:t xml:space="preserve"> long-term planning and strategic thinking</w:t>
      </w:r>
      <w:r w:rsidR="00DB5778">
        <w:t xml:space="preserve">. They assess </w:t>
      </w:r>
      <w:r w:rsidR="007165C4">
        <w:t xml:space="preserve">the strengths and weaknesses of the company and </w:t>
      </w:r>
      <w:r w:rsidR="00DB5778">
        <w:t>highlight</w:t>
      </w:r>
      <w:r w:rsidR="007165C4">
        <w:t xml:space="preserve"> </w:t>
      </w:r>
      <w:r w:rsidR="004518F8">
        <w:t>threats</w:t>
      </w:r>
      <w:r w:rsidR="007165C4">
        <w:t xml:space="preserve"> and opportunities. </w:t>
      </w:r>
      <w:r w:rsidR="0050203C">
        <w:t>They play a crucial role in implementing organizational changes</w:t>
      </w:r>
      <w:r w:rsidR="00FE70F6">
        <w:t xml:space="preserve"> </w:t>
      </w:r>
      <w:r w:rsidR="009E1C6F">
        <w:t xml:space="preserve">and </w:t>
      </w:r>
      <w:r w:rsidR="00FE70F6">
        <w:t>promoting business goals and strategies</w:t>
      </w:r>
      <w:r w:rsidR="0075777E">
        <w:t xml:space="preserve"> (Hurst, 2021)</w:t>
      </w:r>
      <w:r w:rsidR="00FE70F6">
        <w:t>.</w:t>
      </w:r>
    </w:p>
    <w:p w14:paraId="3EBC2E9E" w14:textId="3E8D8B49" w:rsidR="000701F9" w:rsidRDefault="00A3114A" w:rsidP="00A3114A">
      <w:pPr>
        <w:tabs>
          <w:tab w:val="left" w:pos="3153"/>
        </w:tabs>
        <w:jc w:val="both"/>
      </w:pPr>
      <w:r>
        <w:tab/>
      </w:r>
      <w:r w:rsidR="0089090B">
        <w:tab/>
      </w:r>
    </w:p>
    <w:p w14:paraId="57254649" w14:textId="3006B8AE" w:rsidR="00F755AE" w:rsidRDefault="00F755AE" w:rsidP="00A3114A">
      <w:pPr>
        <w:tabs>
          <w:tab w:val="left" w:pos="3153"/>
        </w:tabs>
        <w:jc w:val="both"/>
      </w:pPr>
      <w:r>
        <w:t>2.2</w:t>
      </w:r>
    </w:p>
    <w:p w14:paraId="0CE7B82A" w14:textId="250B8A54" w:rsidR="00F755AE" w:rsidRDefault="00F755AE" w:rsidP="00A3114A">
      <w:pPr>
        <w:tabs>
          <w:tab w:val="left" w:pos="3153"/>
        </w:tabs>
        <w:jc w:val="both"/>
      </w:pPr>
      <w:r>
        <w:t>Our company operates in the automotive industry</w:t>
      </w:r>
      <w:r w:rsidR="003F2313">
        <w:t>, which has faced many</w:t>
      </w:r>
      <w:r>
        <w:t xml:space="preserve"> challenges and uncertainty during </w:t>
      </w:r>
      <w:r w:rsidR="004F7B51">
        <w:t xml:space="preserve">the </w:t>
      </w:r>
      <w:r>
        <w:t xml:space="preserve">last few years. </w:t>
      </w:r>
      <w:r w:rsidR="004F7B51">
        <w:t xml:space="preserve">Our main aim is to produce sustainable business growth and profitability which is why we need to stay </w:t>
      </w:r>
      <w:r w:rsidR="00C0407D">
        <w:t>customer oriented</w:t>
      </w:r>
      <w:r w:rsidR="004F7B51">
        <w:t xml:space="preserve">. </w:t>
      </w:r>
      <w:r w:rsidR="00C0407D">
        <w:t xml:space="preserve">As HR professionals we need to know our customers, market demands and external factors influencing our organization. </w:t>
      </w:r>
      <w:r w:rsidR="009A3197">
        <w:t>Combining these with the knowledge about internal issues</w:t>
      </w:r>
      <w:r w:rsidR="00D92B26">
        <w:t xml:space="preserve"> and</w:t>
      </w:r>
      <w:r w:rsidR="009A3197">
        <w:t xml:space="preserve"> employees’ perceptions we can play a pivotal part in implementing a new customer-focused strategy and supporting company goals. </w:t>
      </w:r>
      <w:r w:rsidR="002B5800">
        <w:t>We need to be focused on employee satisfaction and engagement as a happy employee is more productive</w:t>
      </w:r>
      <w:r w:rsidR="00415620">
        <w:t xml:space="preserve">, </w:t>
      </w:r>
      <w:r w:rsidR="002B5800">
        <w:t>loyal to the company</w:t>
      </w:r>
      <w:r w:rsidR="00415620">
        <w:t xml:space="preserve"> and makes improvements that will benefit the customer</w:t>
      </w:r>
      <w:r w:rsidR="00D92B26">
        <w:t xml:space="preserve">. Fostering </w:t>
      </w:r>
      <w:r w:rsidR="00883105">
        <w:t xml:space="preserve">a </w:t>
      </w:r>
      <w:r w:rsidR="00D92B26">
        <w:t xml:space="preserve">positive </w:t>
      </w:r>
      <w:r w:rsidR="00883105">
        <w:t>culture and introducing</w:t>
      </w:r>
      <w:r w:rsidR="00D92B26">
        <w:t xml:space="preserve"> a fair reward system </w:t>
      </w:r>
      <w:r w:rsidR="00883105">
        <w:t xml:space="preserve">and training program will contribute to our company’s success and customer satisfaction making our brand outstanding on the market </w:t>
      </w:r>
      <w:r w:rsidR="00FD794A">
        <w:t>(Perrin, 2022</w:t>
      </w:r>
      <w:r w:rsidR="00883105">
        <w:t>; Brown 2015</w:t>
      </w:r>
      <w:r w:rsidR="00FD794A">
        <w:t>)</w:t>
      </w:r>
      <w:r w:rsidR="00415620">
        <w:t>.</w:t>
      </w:r>
    </w:p>
    <w:p w14:paraId="795FCA69" w14:textId="39D9073C" w:rsidR="00A31923" w:rsidRDefault="00A31923" w:rsidP="00A3114A">
      <w:pPr>
        <w:tabs>
          <w:tab w:val="left" w:pos="3153"/>
        </w:tabs>
        <w:jc w:val="both"/>
      </w:pPr>
    </w:p>
    <w:p w14:paraId="55F75838" w14:textId="3EA224D7" w:rsidR="00A31923" w:rsidRDefault="00A31923" w:rsidP="00A3114A">
      <w:pPr>
        <w:tabs>
          <w:tab w:val="left" w:pos="3153"/>
        </w:tabs>
        <w:jc w:val="both"/>
      </w:pPr>
      <w:r>
        <w:t>CONCLUSION</w:t>
      </w:r>
    </w:p>
    <w:p w14:paraId="0D677D89" w14:textId="0F5D7868" w:rsidR="00E64A0D" w:rsidRDefault="00A31923" w:rsidP="00A3114A">
      <w:pPr>
        <w:tabs>
          <w:tab w:val="left" w:pos="3153"/>
        </w:tabs>
        <w:jc w:val="both"/>
      </w:pPr>
      <w:r>
        <w:t xml:space="preserve">HR practitioners play a significant role in </w:t>
      </w:r>
      <w:r w:rsidR="00E75020">
        <w:t>most aspects of an organization adding value for all the stakeholders and creating a safe and positive culture for employees. The use of evidence-based practice and people analytics improves the process of making decisions and solving business problems.</w:t>
      </w:r>
      <w:r w:rsidR="00706556">
        <w:t xml:space="preserve"> </w:t>
      </w:r>
      <w:r w:rsidR="00A407BB">
        <w:t xml:space="preserve">Even though collecting and analysing evidence can be time-consuming, it may contribute to company success by improving performance and even saving money. </w:t>
      </w:r>
    </w:p>
    <w:p w14:paraId="0AF8336F" w14:textId="2359B644" w:rsidR="00E64A0D" w:rsidRDefault="00E64A0D" w:rsidP="00A3114A">
      <w:pPr>
        <w:tabs>
          <w:tab w:val="left" w:pos="3153"/>
        </w:tabs>
        <w:jc w:val="both"/>
      </w:pPr>
      <w:r>
        <w:lastRenderedPageBreak/>
        <w:t>SECTION 2</w:t>
      </w:r>
    </w:p>
    <w:p w14:paraId="1FE7C66D" w14:textId="77777777" w:rsidR="00E64A0D" w:rsidRDefault="00E64A0D" w:rsidP="00E64A0D">
      <w:r>
        <w:t>1.4</w:t>
      </w:r>
    </w:p>
    <w:tbl>
      <w:tblPr>
        <w:tblW w:w="10520" w:type="dxa"/>
        <w:tblLook w:val="04A0" w:firstRow="1" w:lastRow="0" w:firstColumn="1" w:lastColumn="0" w:noHBand="0" w:noVBand="1"/>
      </w:tblPr>
      <w:tblGrid>
        <w:gridCol w:w="1400"/>
        <w:gridCol w:w="2400"/>
        <w:gridCol w:w="960"/>
        <w:gridCol w:w="960"/>
        <w:gridCol w:w="960"/>
        <w:gridCol w:w="960"/>
        <w:gridCol w:w="960"/>
        <w:gridCol w:w="960"/>
        <w:gridCol w:w="960"/>
      </w:tblGrid>
      <w:tr w:rsidR="00E64A0D" w:rsidRPr="0013681B" w14:paraId="24DC636E" w14:textId="77777777" w:rsidTr="003166F2">
        <w:trPr>
          <w:trHeight w:val="290"/>
        </w:trPr>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B41293" w14:textId="77777777" w:rsidR="00E64A0D" w:rsidRPr="0013681B" w:rsidRDefault="00E64A0D" w:rsidP="003166F2">
            <w:pPr>
              <w:spacing w:after="0" w:line="240" w:lineRule="auto"/>
              <w:rPr>
                <w:rFonts w:ascii="Calibri" w:eastAsia="Times New Roman" w:hAnsi="Calibri" w:cs="Calibri"/>
                <w:color w:val="000000"/>
                <w:lang w:eastAsia="en-GB"/>
              </w:rPr>
            </w:pPr>
            <w:r w:rsidRPr="0013681B">
              <w:rPr>
                <w:rFonts w:ascii="Calibri" w:eastAsia="Times New Roman" w:hAnsi="Calibri" w:cs="Calibri"/>
                <w:color w:val="000000"/>
                <w:lang w:eastAsia="en-GB"/>
              </w:rPr>
              <w:t> </w:t>
            </w:r>
          </w:p>
        </w:tc>
        <w:tc>
          <w:tcPr>
            <w:tcW w:w="2400" w:type="dxa"/>
            <w:tcBorders>
              <w:top w:val="single" w:sz="4" w:space="0" w:color="auto"/>
              <w:left w:val="nil"/>
              <w:bottom w:val="single" w:sz="4" w:space="0" w:color="auto"/>
              <w:right w:val="single" w:sz="4" w:space="0" w:color="auto"/>
            </w:tcBorders>
            <w:shd w:val="clear" w:color="auto" w:fill="auto"/>
            <w:noWrap/>
            <w:vAlign w:val="bottom"/>
            <w:hideMark/>
          </w:tcPr>
          <w:p w14:paraId="2C39561D" w14:textId="77777777" w:rsidR="00E64A0D" w:rsidRPr="0013681B" w:rsidRDefault="00E64A0D" w:rsidP="003166F2">
            <w:pPr>
              <w:spacing w:after="0" w:line="240" w:lineRule="auto"/>
              <w:rPr>
                <w:rFonts w:ascii="Calibri" w:eastAsia="Times New Roman" w:hAnsi="Calibri" w:cs="Calibri"/>
                <w:color w:val="000000"/>
                <w:lang w:eastAsia="en-GB"/>
              </w:rPr>
            </w:pPr>
            <w:r w:rsidRPr="0013681B">
              <w:rPr>
                <w:rFonts w:ascii="Calibri" w:eastAsia="Times New Roman" w:hAnsi="Calibri" w:cs="Calibri"/>
                <w:color w:val="000000"/>
                <w:lang w:eastAsia="en-GB"/>
              </w:rPr>
              <w:t> </w:t>
            </w:r>
          </w:p>
        </w:tc>
        <w:tc>
          <w:tcPr>
            <w:tcW w:w="960" w:type="dxa"/>
            <w:tcBorders>
              <w:top w:val="single" w:sz="4" w:space="0" w:color="auto"/>
              <w:left w:val="nil"/>
              <w:bottom w:val="nil"/>
              <w:right w:val="single" w:sz="4" w:space="0" w:color="auto"/>
            </w:tcBorders>
            <w:shd w:val="clear" w:color="auto" w:fill="auto"/>
            <w:noWrap/>
            <w:vAlign w:val="bottom"/>
            <w:hideMark/>
          </w:tcPr>
          <w:p w14:paraId="2EA95FAB" w14:textId="77777777" w:rsidR="00E64A0D" w:rsidRPr="0013681B" w:rsidRDefault="00E64A0D" w:rsidP="003166F2">
            <w:pPr>
              <w:spacing w:after="0" w:line="240" w:lineRule="auto"/>
              <w:rPr>
                <w:rFonts w:ascii="Calibri" w:eastAsia="Times New Roman" w:hAnsi="Calibri" w:cs="Calibri"/>
                <w:color w:val="000000"/>
                <w:lang w:eastAsia="en-GB"/>
              </w:rPr>
            </w:pPr>
            <w:r w:rsidRPr="0013681B">
              <w:rPr>
                <w:rFonts w:ascii="Calibri" w:eastAsia="Times New Roman" w:hAnsi="Calibri" w:cs="Calibri"/>
                <w:color w:val="000000"/>
                <w:lang w:eastAsia="en-GB"/>
              </w:rPr>
              <w:t xml:space="preserve">Age </w:t>
            </w:r>
          </w:p>
        </w:tc>
        <w:tc>
          <w:tcPr>
            <w:tcW w:w="960" w:type="dxa"/>
            <w:tcBorders>
              <w:top w:val="single" w:sz="4" w:space="0" w:color="auto"/>
              <w:left w:val="nil"/>
              <w:bottom w:val="nil"/>
              <w:right w:val="single" w:sz="4" w:space="0" w:color="auto"/>
            </w:tcBorders>
            <w:shd w:val="clear" w:color="auto" w:fill="auto"/>
            <w:noWrap/>
            <w:vAlign w:val="bottom"/>
            <w:hideMark/>
          </w:tcPr>
          <w:p w14:paraId="32C7E163" w14:textId="77777777" w:rsidR="00E64A0D" w:rsidRPr="0013681B" w:rsidRDefault="00E64A0D" w:rsidP="003166F2">
            <w:pPr>
              <w:spacing w:after="0" w:line="240" w:lineRule="auto"/>
              <w:rPr>
                <w:rFonts w:ascii="Calibri" w:eastAsia="Times New Roman" w:hAnsi="Calibri" w:cs="Calibri"/>
                <w:color w:val="000000"/>
                <w:lang w:eastAsia="en-GB"/>
              </w:rPr>
            </w:pPr>
            <w:r w:rsidRPr="0013681B">
              <w:rPr>
                <w:rFonts w:ascii="Calibri" w:eastAsia="Times New Roman" w:hAnsi="Calibri" w:cs="Calibri"/>
                <w:color w:val="000000"/>
                <w:lang w:eastAsia="en-GB"/>
              </w:rPr>
              <w:t xml:space="preserve">Age </w:t>
            </w:r>
          </w:p>
        </w:tc>
        <w:tc>
          <w:tcPr>
            <w:tcW w:w="960" w:type="dxa"/>
            <w:tcBorders>
              <w:top w:val="single" w:sz="4" w:space="0" w:color="auto"/>
              <w:left w:val="nil"/>
              <w:bottom w:val="nil"/>
              <w:right w:val="single" w:sz="4" w:space="0" w:color="auto"/>
            </w:tcBorders>
            <w:shd w:val="clear" w:color="auto" w:fill="auto"/>
            <w:noWrap/>
            <w:vAlign w:val="bottom"/>
            <w:hideMark/>
          </w:tcPr>
          <w:p w14:paraId="391E6AA2" w14:textId="77777777" w:rsidR="00E64A0D" w:rsidRPr="0013681B" w:rsidRDefault="00E64A0D" w:rsidP="003166F2">
            <w:pPr>
              <w:spacing w:after="0" w:line="240" w:lineRule="auto"/>
              <w:rPr>
                <w:rFonts w:ascii="Calibri" w:eastAsia="Times New Roman" w:hAnsi="Calibri" w:cs="Calibri"/>
                <w:color w:val="000000"/>
                <w:lang w:eastAsia="en-GB"/>
              </w:rPr>
            </w:pPr>
            <w:r w:rsidRPr="0013681B">
              <w:rPr>
                <w:rFonts w:ascii="Calibri" w:eastAsia="Times New Roman" w:hAnsi="Calibri" w:cs="Calibri"/>
                <w:color w:val="000000"/>
                <w:lang w:eastAsia="en-GB"/>
              </w:rPr>
              <w:t xml:space="preserve">Age </w:t>
            </w:r>
          </w:p>
        </w:tc>
        <w:tc>
          <w:tcPr>
            <w:tcW w:w="960" w:type="dxa"/>
            <w:tcBorders>
              <w:top w:val="single" w:sz="4" w:space="0" w:color="auto"/>
              <w:left w:val="nil"/>
              <w:bottom w:val="nil"/>
              <w:right w:val="single" w:sz="4" w:space="0" w:color="auto"/>
            </w:tcBorders>
            <w:shd w:val="clear" w:color="auto" w:fill="auto"/>
            <w:noWrap/>
            <w:vAlign w:val="bottom"/>
            <w:hideMark/>
          </w:tcPr>
          <w:p w14:paraId="5EED9042" w14:textId="77777777" w:rsidR="00E64A0D" w:rsidRPr="0013681B" w:rsidRDefault="00E64A0D" w:rsidP="003166F2">
            <w:pPr>
              <w:spacing w:after="0" w:line="240" w:lineRule="auto"/>
              <w:rPr>
                <w:rFonts w:ascii="Calibri" w:eastAsia="Times New Roman" w:hAnsi="Calibri" w:cs="Calibri"/>
                <w:color w:val="000000"/>
                <w:lang w:eastAsia="en-GB"/>
              </w:rPr>
            </w:pPr>
            <w:r w:rsidRPr="0013681B">
              <w:rPr>
                <w:rFonts w:ascii="Calibri" w:eastAsia="Times New Roman" w:hAnsi="Calibri" w:cs="Calibri"/>
                <w:color w:val="000000"/>
                <w:lang w:eastAsia="en-GB"/>
              </w:rPr>
              <w:t xml:space="preserve">Age </w:t>
            </w:r>
          </w:p>
        </w:tc>
        <w:tc>
          <w:tcPr>
            <w:tcW w:w="960" w:type="dxa"/>
            <w:tcBorders>
              <w:top w:val="single" w:sz="4" w:space="0" w:color="auto"/>
              <w:left w:val="nil"/>
              <w:bottom w:val="nil"/>
              <w:right w:val="single" w:sz="4" w:space="0" w:color="auto"/>
            </w:tcBorders>
            <w:shd w:val="clear" w:color="auto" w:fill="auto"/>
            <w:noWrap/>
            <w:vAlign w:val="bottom"/>
            <w:hideMark/>
          </w:tcPr>
          <w:p w14:paraId="5AC411C9" w14:textId="77777777" w:rsidR="00E64A0D" w:rsidRPr="0013681B" w:rsidRDefault="00E64A0D" w:rsidP="003166F2">
            <w:pPr>
              <w:spacing w:after="0" w:line="240" w:lineRule="auto"/>
              <w:rPr>
                <w:rFonts w:ascii="Calibri" w:eastAsia="Times New Roman" w:hAnsi="Calibri" w:cs="Calibri"/>
                <w:color w:val="000000"/>
                <w:lang w:eastAsia="en-GB"/>
              </w:rPr>
            </w:pPr>
            <w:r w:rsidRPr="0013681B">
              <w:rPr>
                <w:rFonts w:ascii="Calibri" w:eastAsia="Times New Roman" w:hAnsi="Calibri" w:cs="Calibri"/>
                <w:color w:val="000000"/>
                <w:lang w:eastAsia="en-GB"/>
              </w:rPr>
              <w:t xml:space="preserve">Age </w:t>
            </w:r>
          </w:p>
        </w:tc>
        <w:tc>
          <w:tcPr>
            <w:tcW w:w="960" w:type="dxa"/>
            <w:tcBorders>
              <w:top w:val="single" w:sz="4" w:space="0" w:color="auto"/>
              <w:left w:val="nil"/>
              <w:bottom w:val="nil"/>
              <w:right w:val="single" w:sz="4" w:space="0" w:color="auto"/>
            </w:tcBorders>
            <w:shd w:val="clear" w:color="auto" w:fill="auto"/>
            <w:noWrap/>
            <w:vAlign w:val="bottom"/>
            <w:hideMark/>
          </w:tcPr>
          <w:p w14:paraId="2EEB35BF" w14:textId="77777777" w:rsidR="00E64A0D" w:rsidRPr="0013681B" w:rsidRDefault="00E64A0D" w:rsidP="003166F2">
            <w:pPr>
              <w:spacing w:after="0" w:line="240" w:lineRule="auto"/>
              <w:rPr>
                <w:rFonts w:ascii="Calibri" w:eastAsia="Times New Roman" w:hAnsi="Calibri" w:cs="Calibri"/>
                <w:color w:val="000000"/>
                <w:lang w:eastAsia="en-GB"/>
              </w:rPr>
            </w:pPr>
            <w:r w:rsidRPr="0013681B">
              <w:rPr>
                <w:rFonts w:ascii="Calibri" w:eastAsia="Times New Roman" w:hAnsi="Calibri" w:cs="Calibri"/>
                <w:color w:val="000000"/>
                <w:lang w:eastAsia="en-GB"/>
              </w:rPr>
              <w:t xml:space="preserve">Age </w:t>
            </w:r>
          </w:p>
        </w:tc>
        <w:tc>
          <w:tcPr>
            <w:tcW w:w="960" w:type="dxa"/>
            <w:tcBorders>
              <w:top w:val="single" w:sz="4" w:space="0" w:color="auto"/>
              <w:left w:val="nil"/>
              <w:bottom w:val="nil"/>
              <w:right w:val="single" w:sz="4" w:space="0" w:color="auto"/>
            </w:tcBorders>
            <w:shd w:val="clear" w:color="auto" w:fill="auto"/>
            <w:noWrap/>
            <w:vAlign w:val="bottom"/>
            <w:hideMark/>
          </w:tcPr>
          <w:p w14:paraId="10799F2E" w14:textId="77777777" w:rsidR="00E64A0D" w:rsidRPr="0013681B" w:rsidRDefault="00E64A0D" w:rsidP="003166F2">
            <w:pPr>
              <w:spacing w:after="0" w:line="240" w:lineRule="auto"/>
              <w:rPr>
                <w:rFonts w:ascii="Calibri" w:eastAsia="Times New Roman" w:hAnsi="Calibri" w:cs="Calibri"/>
                <w:color w:val="000000"/>
                <w:lang w:eastAsia="en-GB"/>
              </w:rPr>
            </w:pPr>
            <w:r w:rsidRPr="0013681B">
              <w:rPr>
                <w:rFonts w:ascii="Calibri" w:eastAsia="Times New Roman" w:hAnsi="Calibri" w:cs="Calibri"/>
                <w:color w:val="000000"/>
                <w:lang w:eastAsia="en-GB"/>
              </w:rPr>
              <w:t xml:space="preserve">Age </w:t>
            </w:r>
          </w:p>
        </w:tc>
      </w:tr>
      <w:tr w:rsidR="00E64A0D" w:rsidRPr="0013681B" w14:paraId="72238032" w14:textId="77777777" w:rsidTr="003166F2">
        <w:trPr>
          <w:trHeight w:val="290"/>
        </w:trPr>
        <w:tc>
          <w:tcPr>
            <w:tcW w:w="1400" w:type="dxa"/>
            <w:tcBorders>
              <w:top w:val="nil"/>
              <w:left w:val="single" w:sz="4" w:space="0" w:color="auto"/>
              <w:bottom w:val="single" w:sz="4" w:space="0" w:color="auto"/>
              <w:right w:val="single" w:sz="4" w:space="0" w:color="auto"/>
            </w:tcBorders>
            <w:shd w:val="clear" w:color="auto" w:fill="auto"/>
            <w:noWrap/>
            <w:vAlign w:val="bottom"/>
            <w:hideMark/>
          </w:tcPr>
          <w:p w14:paraId="35DF43E2" w14:textId="77777777" w:rsidR="00E64A0D" w:rsidRPr="0013681B" w:rsidRDefault="00E64A0D" w:rsidP="003166F2">
            <w:pPr>
              <w:spacing w:after="0" w:line="240" w:lineRule="auto"/>
              <w:rPr>
                <w:rFonts w:ascii="Calibri" w:eastAsia="Times New Roman" w:hAnsi="Calibri" w:cs="Calibri"/>
                <w:color w:val="000000"/>
                <w:lang w:eastAsia="en-GB"/>
              </w:rPr>
            </w:pPr>
            <w:r w:rsidRPr="0013681B">
              <w:rPr>
                <w:rFonts w:ascii="Calibri" w:eastAsia="Times New Roman" w:hAnsi="Calibri" w:cs="Calibri"/>
                <w:color w:val="000000"/>
                <w:lang w:eastAsia="en-GB"/>
              </w:rPr>
              <w:t> </w:t>
            </w:r>
          </w:p>
        </w:tc>
        <w:tc>
          <w:tcPr>
            <w:tcW w:w="2400" w:type="dxa"/>
            <w:tcBorders>
              <w:top w:val="nil"/>
              <w:left w:val="nil"/>
              <w:bottom w:val="single" w:sz="4" w:space="0" w:color="auto"/>
              <w:right w:val="single" w:sz="4" w:space="0" w:color="auto"/>
            </w:tcBorders>
            <w:shd w:val="clear" w:color="auto" w:fill="auto"/>
            <w:noWrap/>
            <w:vAlign w:val="bottom"/>
            <w:hideMark/>
          </w:tcPr>
          <w:p w14:paraId="513C1589" w14:textId="77777777" w:rsidR="00E64A0D" w:rsidRPr="0013681B" w:rsidRDefault="00E64A0D" w:rsidP="003166F2">
            <w:pPr>
              <w:spacing w:after="0" w:line="240" w:lineRule="auto"/>
              <w:rPr>
                <w:rFonts w:ascii="Calibri" w:eastAsia="Times New Roman" w:hAnsi="Calibri" w:cs="Calibri"/>
                <w:color w:val="000000"/>
                <w:lang w:eastAsia="en-GB"/>
              </w:rPr>
            </w:pPr>
            <w:r w:rsidRPr="0013681B">
              <w:rPr>
                <w:rFonts w:ascii="Calibri" w:eastAsia="Times New Roman" w:hAnsi="Calibri" w:cs="Calibri"/>
                <w:color w:val="000000"/>
                <w:lang w:eastAsia="en-GB"/>
              </w:rPr>
              <w:t>Total in each department</w:t>
            </w:r>
          </w:p>
        </w:tc>
        <w:tc>
          <w:tcPr>
            <w:tcW w:w="960" w:type="dxa"/>
            <w:tcBorders>
              <w:top w:val="nil"/>
              <w:left w:val="nil"/>
              <w:bottom w:val="single" w:sz="4" w:space="0" w:color="auto"/>
              <w:right w:val="single" w:sz="4" w:space="0" w:color="auto"/>
            </w:tcBorders>
            <w:shd w:val="clear" w:color="auto" w:fill="auto"/>
            <w:noWrap/>
            <w:vAlign w:val="bottom"/>
            <w:hideMark/>
          </w:tcPr>
          <w:p w14:paraId="0912F9D8" w14:textId="77777777" w:rsidR="00E64A0D" w:rsidRPr="0013681B" w:rsidRDefault="00E64A0D" w:rsidP="003166F2">
            <w:pPr>
              <w:spacing w:after="0" w:line="240" w:lineRule="auto"/>
              <w:rPr>
                <w:rFonts w:ascii="Calibri" w:eastAsia="Times New Roman" w:hAnsi="Calibri" w:cs="Calibri"/>
                <w:color w:val="000000"/>
                <w:lang w:eastAsia="en-GB"/>
              </w:rPr>
            </w:pPr>
            <w:r w:rsidRPr="0013681B">
              <w:rPr>
                <w:rFonts w:ascii="Calibri" w:eastAsia="Times New Roman" w:hAnsi="Calibri" w:cs="Calibri"/>
                <w:color w:val="000000"/>
                <w:lang w:eastAsia="en-GB"/>
              </w:rPr>
              <w:t xml:space="preserve">16 -25 </w:t>
            </w:r>
          </w:p>
        </w:tc>
        <w:tc>
          <w:tcPr>
            <w:tcW w:w="960" w:type="dxa"/>
            <w:tcBorders>
              <w:top w:val="nil"/>
              <w:left w:val="nil"/>
              <w:bottom w:val="single" w:sz="4" w:space="0" w:color="auto"/>
              <w:right w:val="single" w:sz="4" w:space="0" w:color="auto"/>
            </w:tcBorders>
            <w:shd w:val="clear" w:color="auto" w:fill="auto"/>
            <w:noWrap/>
            <w:vAlign w:val="bottom"/>
            <w:hideMark/>
          </w:tcPr>
          <w:p w14:paraId="38079B7A" w14:textId="77777777" w:rsidR="00E64A0D" w:rsidRPr="0013681B" w:rsidRDefault="00E64A0D" w:rsidP="003166F2">
            <w:pPr>
              <w:spacing w:after="0" w:line="240" w:lineRule="auto"/>
              <w:rPr>
                <w:rFonts w:ascii="Calibri" w:eastAsia="Times New Roman" w:hAnsi="Calibri" w:cs="Calibri"/>
                <w:color w:val="000000"/>
                <w:lang w:eastAsia="en-GB"/>
              </w:rPr>
            </w:pPr>
            <w:r w:rsidRPr="0013681B">
              <w:rPr>
                <w:rFonts w:ascii="Calibri" w:eastAsia="Times New Roman" w:hAnsi="Calibri" w:cs="Calibri"/>
                <w:color w:val="000000"/>
                <w:lang w:eastAsia="en-GB"/>
              </w:rPr>
              <w:t>26 - 35</w:t>
            </w:r>
          </w:p>
        </w:tc>
        <w:tc>
          <w:tcPr>
            <w:tcW w:w="960" w:type="dxa"/>
            <w:tcBorders>
              <w:top w:val="nil"/>
              <w:left w:val="nil"/>
              <w:bottom w:val="single" w:sz="4" w:space="0" w:color="auto"/>
              <w:right w:val="single" w:sz="4" w:space="0" w:color="auto"/>
            </w:tcBorders>
            <w:shd w:val="clear" w:color="auto" w:fill="auto"/>
            <w:noWrap/>
            <w:vAlign w:val="bottom"/>
            <w:hideMark/>
          </w:tcPr>
          <w:p w14:paraId="16E46027" w14:textId="77777777" w:rsidR="00E64A0D" w:rsidRPr="0013681B" w:rsidRDefault="00E64A0D" w:rsidP="003166F2">
            <w:pPr>
              <w:spacing w:after="0" w:line="240" w:lineRule="auto"/>
              <w:rPr>
                <w:rFonts w:ascii="Calibri" w:eastAsia="Times New Roman" w:hAnsi="Calibri" w:cs="Calibri"/>
                <w:color w:val="000000"/>
                <w:lang w:eastAsia="en-GB"/>
              </w:rPr>
            </w:pPr>
            <w:r w:rsidRPr="0013681B">
              <w:rPr>
                <w:rFonts w:ascii="Calibri" w:eastAsia="Times New Roman" w:hAnsi="Calibri" w:cs="Calibri"/>
                <w:color w:val="000000"/>
                <w:lang w:eastAsia="en-GB"/>
              </w:rPr>
              <w:t xml:space="preserve">36 - 45 </w:t>
            </w:r>
          </w:p>
        </w:tc>
        <w:tc>
          <w:tcPr>
            <w:tcW w:w="960" w:type="dxa"/>
            <w:tcBorders>
              <w:top w:val="nil"/>
              <w:left w:val="nil"/>
              <w:bottom w:val="single" w:sz="4" w:space="0" w:color="auto"/>
              <w:right w:val="single" w:sz="4" w:space="0" w:color="auto"/>
            </w:tcBorders>
            <w:shd w:val="clear" w:color="auto" w:fill="auto"/>
            <w:noWrap/>
            <w:vAlign w:val="bottom"/>
            <w:hideMark/>
          </w:tcPr>
          <w:p w14:paraId="524980EC" w14:textId="77777777" w:rsidR="00E64A0D" w:rsidRPr="0013681B" w:rsidRDefault="00E64A0D" w:rsidP="003166F2">
            <w:pPr>
              <w:spacing w:after="0" w:line="240" w:lineRule="auto"/>
              <w:rPr>
                <w:rFonts w:ascii="Calibri" w:eastAsia="Times New Roman" w:hAnsi="Calibri" w:cs="Calibri"/>
                <w:color w:val="000000"/>
                <w:lang w:eastAsia="en-GB"/>
              </w:rPr>
            </w:pPr>
            <w:r w:rsidRPr="0013681B">
              <w:rPr>
                <w:rFonts w:ascii="Calibri" w:eastAsia="Times New Roman" w:hAnsi="Calibri" w:cs="Calibri"/>
                <w:color w:val="000000"/>
                <w:lang w:eastAsia="en-GB"/>
              </w:rPr>
              <w:t>46 - 55</w:t>
            </w:r>
          </w:p>
        </w:tc>
        <w:tc>
          <w:tcPr>
            <w:tcW w:w="960" w:type="dxa"/>
            <w:tcBorders>
              <w:top w:val="nil"/>
              <w:left w:val="nil"/>
              <w:bottom w:val="single" w:sz="4" w:space="0" w:color="auto"/>
              <w:right w:val="single" w:sz="4" w:space="0" w:color="auto"/>
            </w:tcBorders>
            <w:shd w:val="clear" w:color="auto" w:fill="auto"/>
            <w:noWrap/>
            <w:vAlign w:val="bottom"/>
            <w:hideMark/>
          </w:tcPr>
          <w:p w14:paraId="68E3C5E2" w14:textId="77777777" w:rsidR="00E64A0D" w:rsidRPr="0013681B" w:rsidRDefault="00E64A0D" w:rsidP="003166F2">
            <w:pPr>
              <w:spacing w:after="0" w:line="240" w:lineRule="auto"/>
              <w:rPr>
                <w:rFonts w:ascii="Calibri" w:eastAsia="Times New Roman" w:hAnsi="Calibri" w:cs="Calibri"/>
                <w:color w:val="000000"/>
                <w:lang w:eastAsia="en-GB"/>
              </w:rPr>
            </w:pPr>
            <w:r w:rsidRPr="0013681B">
              <w:rPr>
                <w:rFonts w:ascii="Calibri" w:eastAsia="Times New Roman" w:hAnsi="Calibri" w:cs="Calibri"/>
                <w:color w:val="000000"/>
                <w:lang w:eastAsia="en-GB"/>
              </w:rPr>
              <w:t xml:space="preserve">56 - 65 </w:t>
            </w:r>
          </w:p>
        </w:tc>
        <w:tc>
          <w:tcPr>
            <w:tcW w:w="960" w:type="dxa"/>
            <w:tcBorders>
              <w:top w:val="nil"/>
              <w:left w:val="nil"/>
              <w:bottom w:val="single" w:sz="4" w:space="0" w:color="auto"/>
              <w:right w:val="single" w:sz="4" w:space="0" w:color="auto"/>
            </w:tcBorders>
            <w:shd w:val="clear" w:color="auto" w:fill="auto"/>
            <w:noWrap/>
            <w:vAlign w:val="bottom"/>
            <w:hideMark/>
          </w:tcPr>
          <w:p w14:paraId="052B5B60" w14:textId="77777777" w:rsidR="00E64A0D" w:rsidRPr="0013681B" w:rsidRDefault="00E64A0D" w:rsidP="003166F2">
            <w:pPr>
              <w:spacing w:after="0" w:line="240" w:lineRule="auto"/>
              <w:rPr>
                <w:rFonts w:ascii="Calibri" w:eastAsia="Times New Roman" w:hAnsi="Calibri" w:cs="Calibri"/>
                <w:color w:val="000000"/>
                <w:lang w:eastAsia="en-GB"/>
              </w:rPr>
            </w:pPr>
            <w:r w:rsidRPr="0013681B">
              <w:rPr>
                <w:rFonts w:ascii="Calibri" w:eastAsia="Times New Roman" w:hAnsi="Calibri" w:cs="Calibri"/>
                <w:color w:val="000000"/>
                <w:lang w:eastAsia="en-GB"/>
              </w:rPr>
              <w:t xml:space="preserve"> 66 - 75</w:t>
            </w:r>
          </w:p>
        </w:tc>
        <w:tc>
          <w:tcPr>
            <w:tcW w:w="960" w:type="dxa"/>
            <w:tcBorders>
              <w:top w:val="nil"/>
              <w:left w:val="nil"/>
              <w:bottom w:val="single" w:sz="4" w:space="0" w:color="auto"/>
              <w:right w:val="single" w:sz="4" w:space="0" w:color="auto"/>
            </w:tcBorders>
            <w:shd w:val="clear" w:color="auto" w:fill="auto"/>
            <w:noWrap/>
            <w:vAlign w:val="bottom"/>
            <w:hideMark/>
          </w:tcPr>
          <w:p w14:paraId="6B5D3768" w14:textId="77777777" w:rsidR="00E64A0D" w:rsidRPr="0013681B" w:rsidRDefault="00E64A0D" w:rsidP="003166F2">
            <w:pPr>
              <w:spacing w:after="0" w:line="240" w:lineRule="auto"/>
              <w:rPr>
                <w:rFonts w:ascii="Calibri" w:eastAsia="Times New Roman" w:hAnsi="Calibri" w:cs="Calibri"/>
                <w:color w:val="000000"/>
                <w:lang w:eastAsia="en-GB"/>
              </w:rPr>
            </w:pPr>
            <w:r w:rsidRPr="0013681B">
              <w:rPr>
                <w:rFonts w:ascii="Calibri" w:eastAsia="Times New Roman" w:hAnsi="Calibri" w:cs="Calibri"/>
                <w:color w:val="000000"/>
                <w:lang w:eastAsia="en-GB"/>
              </w:rPr>
              <w:t>76 - 80</w:t>
            </w:r>
          </w:p>
        </w:tc>
      </w:tr>
      <w:tr w:rsidR="00E64A0D" w:rsidRPr="0013681B" w14:paraId="7FA62001" w14:textId="77777777" w:rsidTr="003166F2">
        <w:trPr>
          <w:trHeight w:val="290"/>
        </w:trPr>
        <w:tc>
          <w:tcPr>
            <w:tcW w:w="1400" w:type="dxa"/>
            <w:tcBorders>
              <w:top w:val="nil"/>
              <w:left w:val="single" w:sz="4" w:space="0" w:color="auto"/>
              <w:bottom w:val="single" w:sz="4" w:space="0" w:color="auto"/>
              <w:right w:val="single" w:sz="4" w:space="0" w:color="auto"/>
            </w:tcBorders>
            <w:shd w:val="clear" w:color="000000" w:fill="FFFF00"/>
            <w:noWrap/>
            <w:vAlign w:val="bottom"/>
            <w:hideMark/>
          </w:tcPr>
          <w:p w14:paraId="56FA0243" w14:textId="77777777" w:rsidR="00E64A0D" w:rsidRPr="0013681B" w:rsidRDefault="00E64A0D" w:rsidP="003166F2">
            <w:pPr>
              <w:spacing w:after="0" w:line="240" w:lineRule="auto"/>
              <w:rPr>
                <w:rFonts w:ascii="Calibri" w:eastAsia="Times New Roman" w:hAnsi="Calibri" w:cs="Calibri"/>
                <w:color w:val="000000"/>
                <w:lang w:eastAsia="en-GB"/>
              </w:rPr>
            </w:pPr>
            <w:r w:rsidRPr="0013681B">
              <w:rPr>
                <w:rFonts w:ascii="Calibri" w:eastAsia="Times New Roman" w:hAnsi="Calibri" w:cs="Calibri"/>
                <w:color w:val="000000"/>
                <w:lang w:eastAsia="en-GB"/>
              </w:rPr>
              <w:t>Department C</w:t>
            </w:r>
          </w:p>
        </w:tc>
        <w:tc>
          <w:tcPr>
            <w:tcW w:w="2400" w:type="dxa"/>
            <w:tcBorders>
              <w:top w:val="nil"/>
              <w:left w:val="nil"/>
              <w:bottom w:val="single" w:sz="4" w:space="0" w:color="auto"/>
              <w:right w:val="single" w:sz="4" w:space="0" w:color="auto"/>
            </w:tcBorders>
            <w:shd w:val="clear" w:color="000000" w:fill="FFFF00"/>
            <w:noWrap/>
            <w:vAlign w:val="bottom"/>
            <w:hideMark/>
          </w:tcPr>
          <w:p w14:paraId="5035A72B" w14:textId="77777777" w:rsidR="00E64A0D" w:rsidRPr="0013681B" w:rsidRDefault="00E64A0D" w:rsidP="003166F2">
            <w:pPr>
              <w:spacing w:after="0" w:line="240" w:lineRule="auto"/>
              <w:jc w:val="right"/>
              <w:rPr>
                <w:rFonts w:ascii="Calibri" w:eastAsia="Times New Roman" w:hAnsi="Calibri" w:cs="Calibri"/>
                <w:color w:val="000000"/>
                <w:lang w:eastAsia="en-GB"/>
              </w:rPr>
            </w:pPr>
            <w:r w:rsidRPr="0013681B">
              <w:rPr>
                <w:rFonts w:ascii="Calibri" w:eastAsia="Times New Roman" w:hAnsi="Calibri" w:cs="Calibri"/>
                <w:color w:val="000000"/>
                <w:lang w:eastAsia="en-GB"/>
              </w:rPr>
              <w:t>172</w:t>
            </w:r>
          </w:p>
        </w:tc>
        <w:tc>
          <w:tcPr>
            <w:tcW w:w="960" w:type="dxa"/>
            <w:tcBorders>
              <w:top w:val="nil"/>
              <w:left w:val="nil"/>
              <w:bottom w:val="single" w:sz="4" w:space="0" w:color="auto"/>
              <w:right w:val="single" w:sz="4" w:space="0" w:color="auto"/>
            </w:tcBorders>
            <w:shd w:val="clear" w:color="000000" w:fill="FFFF00"/>
            <w:noWrap/>
            <w:vAlign w:val="bottom"/>
            <w:hideMark/>
          </w:tcPr>
          <w:p w14:paraId="355B0CDD" w14:textId="77777777" w:rsidR="00E64A0D" w:rsidRPr="0013681B" w:rsidRDefault="00E64A0D" w:rsidP="003166F2">
            <w:pPr>
              <w:spacing w:after="0" w:line="240" w:lineRule="auto"/>
              <w:jc w:val="right"/>
              <w:rPr>
                <w:rFonts w:ascii="Calibri" w:eastAsia="Times New Roman" w:hAnsi="Calibri" w:cs="Calibri"/>
                <w:color w:val="000000"/>
                <w:lang w:eastAsia="en-GB"/>
              </w:rPr>
            </w:pPr>
            <w:r w:rsidRPr="0013681B">
              <w:rPr>
                <w:rFonts w:ascii="Calibri" w:eastAsia="Times New Roman" w:hAnsi="Calibri" w:cs="Calibri"/>
                <w:color w:val="000000"/>
                <w:lang w:eastAsia="en-GB"/>
              </w:rPr>
              <w:t>18.6%</w:t>
            </w:r>
          </w:p>
        </w:tc>
        <w:tc>
          <w:tcPr>
            <w:tcW w:w="960" w:type="dxa"/>
            <w:tcBorders>
              <w:top w:val="nil"/>
              <w:left w:val="nil"/>
              <w:bottom w:val="single" w:sz="4" w:space="0" w:color="auto"/>
              <w:right w:val="single" w:sz="4" w:space="0" w:color="auto"/>
            </w:tcBorders>
            <w:shd w:val="clear" w:color="000000" w:fill="FFFF00"/>
            <w:noWrap/>
            <w:vAlign w:val="bottom"/>
            <w:hideMark/>
          </w:tcPr>
          <w:p w14:paraId="010957E0" w14:textId="77777777" w:rsidR="00E64A0D" w:rsidRPr="0013681B" w:rsidRDefault="00E64A0D" w:rsidP="003166F2">
            <w:pPr>
              <w:spacing w:after="0" w:line="240" w:lineRule="auto"/>
              <w:jc w:val="right"/>
              <w:rPr>
                <w:rFonts w:ascii="Calibri" w:eastAsia="Times New Roman" w:hAnsi="Calibri" w:cs="Calibri"/>
                <w:color w:val="000000"/>
                <w:lang w:eastAsia="en-GB"/>
              </w:rPr>
            </w:pPr>
            <w:r w:rsidRPr="0013681B">
              <w:rPr>
                <w:rFonts w:ascii="Calibri" w:eastAsia="Times New Roman" w:hAnsi="Calibri" w:cs="Calibri"/>
                <w:color w:val="000000"/>
                <w:lang w:eastAsia="en-GB"/>
              </w:rPr>
              <w:t>7.0%</w:t>
            </w:r>
          </w:p>
        </w:tc>
        <w:tc>
          <w:tcPr>
            <w:tcW w:w="960" w:type="dxa"/>
            <w:tcBorders>
              <w:top w:val="nil"/>
              <w:left w:val="nil"/>
              <w:bottom w:val="single" w:sz="4" w:space="0" w:color="auto"/>
              <w:right w:val="single" w:sz="4" w:space="0" w:color="auto"/>
            </w:tcBorders>
            <w:shd w:val="clear" w:color="000000" w:fill="FFFF00"/>
            <w:noWrap/>
            <w:vAlign w:val="bottom"/>
            <w:hideMark/>
          </w:tcPr>
          <w:p w14:paraId="5E7CDAD4" w14:textId="77777777" w:rsidR="00E64A0D" w:rsidRPr="0013681B" w:rsidRDefault="00E64A0D" w:rsidP="003166F2">
            <w:pPr>
              <w:spacing w:after="0" w:line="240" w:lineRule="auto"/>
              <w:jc w:val="right"/>
              <w:rPr>
                <w:rFonts w:ascii="Calibri" w:eastAsia="Times New Roman" w:hAnsi="Calibri" w:cs="Calibri"/>
                <w:color w:val="000000"/>
                <w:lang w:eastAsia="en-GB"/>
              </w:rPr>
            </w:pPr>
            <w:r w:rsidRPr="0013681B">
              <w:rPr>
                <w:rFonts w:ascii="Calibri" w:eastAsia="Times New Roman" w:hAnsi="Calibri" w:cs="Calibri"/>
                <w:color w:val="000000"/>
                <w:lang w:eastAsia="en-GB"/>
              </w:rPr>
              <w:t>18.6%</w:t>
            </w:r>
          </w:p>
        </w:tc>
        <w:tc>
          <w:tcPr>
            <w:tcW w:w="960" w:type="dxa"/>
            <w:tcBorders>
              <w:top w:val="nil"/>
              <w:left w:val="nil"/>
              <w:bottom w:val="single" w:sz="4" w:space="0" w:color="auto"/>
              <w:right w:val="single" w:sz="4" w:space="0" w:color="auto"/>
            </w:tcBorders>
            <w:shd w:val="clear" w:color="000000" w:fill="FFFF00"/>
            <w:noWrap/>
            <w:vAlign w:val="bottom"/>
            <w:hideMark/>
          </w:tcPr>
          <w:p w14:paraId="76E3E888" w14:textId="77777777" w:rsidR="00E64A0D" w:rsidRPr="0013681B" w:rsidRDefault="00E64A0D" w:rsidP="003166F2">
            <w:pPr>
              <w:spacing w:after="0" w:line="240" w:lineRule="auto"/>
              <w:jc w:val="right"/>
              <w:rPr>
                <w:rFonts w:ascii="Calibri" w:eastAsia="Times New Roman" w:hAnsi="Calibri" w:cs="Calibri"/>
                <w:color w:val="000000"/>
                <w:lang w:eastAsia="en-GB"/>
              </w:rPr>
            </w:pPr>
            <w:r w:rsidRPr="0013681B">
              <w:rPr>
                <w:rFonts w:ascii="Calibri" w:eastAsia="Times New Roman" w:hAnsi="Calibri" w:cs="Calibri"/>
                <w:color w:val="000000"/>
                <w:lang w:eastAsia="en-GB"/>
              </w:rPr>
              <w:t>15.7%</w:t>
            </w:r>
          </w:p>
        </w:tc>
        <w:tc>
          <w:tcPr>
            <w:tcW w:w="960" w:type="dxa"/>
            <w:tcBorders>
              <w:top w:val="nil"/>
              <w:left w:val="nil"/>
              <w:bottom w:val="single" w:sz="4" w:space="0" w:color="auto"/>
              <w:right w:val="single" w:sz="4" w:space="0" w:color="auto"/>
            </w:tcBorders>
            <w:shd w:val="clear" w:color="000000" w:fill="FFFF00"/>
            <w:noWrap/>
            <w:vAlign w:val="bottom"/>
            <w:hideMark/>
          </w:tcPr>
          <w:p w14:paraId="205C95D4" w14:textId="77777777" w:rsidR="00E64A0D" w:rsidRPr="0013681B" w:rsidRDefault="00E64A0D" w:rsidP="003166F2">
            <w:pPr>
              <w:spacing w:after="0" w:line="240" w:lineRule="auto"/>
              <w:jc w:val="right"/>
              <w:rPr>
                <w:rFonts w:ascii="Calibri" w:eastAsia="Times New Roman" w:hAnsi="Calibri" w:cs="Calibri"/>
                <w:color w:val="000000"/>
                <w:lang w:eastAsia="en-GB"/>
              </w:rPr>
            </w:pPr>
            <w:r w:rsidRPr="0013681B">
              <w:rPr>
                <w:rFonts w:ascii="Calibri" w:eastAsia="Times New Roman" w:hAnsi="Calibri" w:cs="Calibri"/>
                <w:color w:val="000000"/>
                <w:lang w:eastAsia="en-GB"/>
              </w:rPr>
              <w:t>29.7%</w:t>
            </w:r>
          </w:p>
        </w:tc>
        <w:tc>
          <w:tcPr>
            <w:tcW w:w="960" w:type="dxa"/>
            <w:tcBorders>
              <w:top w:val="nil"/>
              <w:left w:val="nil"/>
              <w:bottom w:val="single" w:sz="4" w:space="0" w:color="auto"/>
              <w:right w:val="single" w:sz="4" w:space="0" w:color="auto"/>
            </w:tcBorders>
            <w:shd w:val="clear" w:color="000000" w:fill="FFFF00"/>
            <w:noWrap/>
            <w:vAlign w:val="bottom"/>
            <w:hideMark/>
          </w:tcPr>
          <w:p w14:paraId="1AECB990" w14:textId="77777777" w:rsidR="00E64A0D" w:rsidRPr="0013681B" w:rsidRDefault="00E64A0D" w:rsidP="003166F2">
            <w:pPr>
              <w:spacing w:after="0" w:line="240" w:lineRule="auto"/>
              <w:jc w:val="right"/>
              <w:rPr>
                <w:rFonts w:ascii="Calibri" w:eastAsia="Times New Roman" w:hAnsi="Calibri" w:cs="Calibri"/>
                <w:color w:val="000000"/>
                <w:lang w:eastAsia="en-GB"/>
              </w:rPr>
            </w:pPr>
            <w:r w:rsidRPr="0013681B">
              <w:rPr>
                <w:rFonts w:ascii="Calibri" w:eastAsia="Times New Roman" w:hAnsi="Calibri" w:cs="Calibri"/>
                <w:color w:val="000000"/>
                <w:lang w:eastAsia="en-GB"/>
              </w:rPr>
              <w:t>9.9%</w:t>
            </w:r>
          </w:p>
        </w:tc>
        <w:tc>
          <w:tcPr>
            <w:tcW w:w="960" w:type="dxa"/>
            <w:tcBorders>
              <w:top w:val="nil"/>
              <w:left w:val="nil"/>
              <w:bottom w:val="single" w:sz="4" w:space="0" w:color="auto"/>
              <w:right w:val="single" w:sz="4" w:space="0" w:color="auto"/>
            </w:tcBorders>
            <w:shd w:val="clear" w:color="000000" w:fill="FFFF00"/>
            <w:noWrap/>
            <w:vAlign w:val="bottom"/>
            <w:hideMark/>
          </w:tcPr>
          <w:p w14:paraId="06979119" w14:textId="77777777" w:rsidR="00E64A0D" w:rsidRPr="0013681B" w:rsidRDefault="00E64A0D" w:rsidP="003166F2">
            <w:pPr>
              <w:spacing w:after="0" w:line="240" w:lineRule="auto"/>
              <w:jc w:val="right"/>
              <w:rPr>
                <w:rFonts w:ascii="Calibri" w:eastAsia="Times New Roman" w:hAnsi="Calibri" w:cs="Calibri"/>
                <w:color w:val="000000"/>
                <w:lang w:eastAsia="en-GB"/>
              </w:rPr>
            </w:pPr>
            <w:r w:rsidRPr="0013681B">
              <w:rPr>
                <w:rFonts w:ascii="Calibri" w:eastAsia="Times New Roman" w:hAnsi="Calibri" w:cs="Calibri"/>
                <w:color w:val="000000"/>
                <w:lang w:eastAsia="en-GB"/>
              </w:rPr>
              <w:t>0.6%</w:t>
            </w:r>
          </w:p>
        </w:tc>
      </w:tr>
      <w:tr w:rsidR="00E64A0D" w:rsidRPr="0013681B" w14:paraId="4C235FBA" w14:textId="77777777" w:rsidTr="003166F2">
        <w:trPr>
          <w:trHeight w:val="290"/>
        </w:trPr>
        <w:tc>
          <w:tcPr>
            <w:tcW w:w="1400" w:type="dxa"/>
            <w:tcBorders>
              <w:top w:val="nil"/>
              <w:left w:val="single" w:sz="4" w:space="0" w:color="auto"/>
              <w:bottom w:val="nil"/>
              <w:right w:val="single" w:sz="4" w:space="0" w:color="auto"/>
            </w:tcBorders>
            <w:shd w:val="clear" w:color="000000" w:fill="FFFF00"/>
            <w:noWrap/>
            <w:vAlign w:val="bottom"/>
            <w:hideMark/>
          </w:tcPr>
          <w:p w14:paraId="2326C1D9" w14:textId="77777777" w:rsidR="00E64A0D" w:rsidRPr="0013681B" w:rsidRDefault="00E64A0D" w:rsidP="003166F2">
            <w:pPr>
              <w:spacing w:after="0" w:line="240" w:lineRule="auto"/>
              <w:rPr>
                <w:rFonts w:ascii="Calibri" w:eastAsia="Times New Roman" w:hAnsi="Calibri" w:cs="Calibri"/>
                <w:color w:val="000000"/>
                <w:lang w:eastAsia="en-GB"/>
              </w:rPr>
            </w:pPr>
            <w:r w:rsidRPr="0013681B">
              <w:rPr>
                <w:rFonts w:ascii="Calibri" w:eastAsia="Times New Roman" w:hAnsi="Calibri" w:cs="Calibri"/>
                <w:color w:val="000000"/>
                <w:lang w:eastAsia="en-GB"/>
              </w:rPr>
              <w:t>Department D</w:t>
            </w:r>
          </w:p>
        </w:tc>
        <w:tc>
          <w:tcPr>
            <w:tcW w:w="2400" w:type="dxa"/>
            <w:tcBorders>
              <w:top w:val="nil"/>
              <w:left w:val="nil"/>
              <w:bottom w:val="nil"/>
              <w:right w:val="single" w:sz="4" w:space="0" w:color="auto"/>
            </w:tcBorders>
            <w:shd w:val="clear" w:color="000000" w:fill="FFFF00"/>
            <w:noWrap/>
            <w:vAlign w:val="bottom"/>
            <w:hideMark/>
          </w:tcPr>
          <w:p w14:paraId="20E7627F" w14:textId="77777777" w:rsidR="00E64A0D" w:rsidRPr="0013681B" w:rsidRDefault="00E64A0D" w:rsidP="003166F2">
            <w:pPr>
              <w:spacing w:after="0" w:line="240" w:lineRule="auto"/>
              <w:jc w:val="right"/>
              <w:rPr>
                <w:rFonts w:ascii="Calibri" w:eastAsia="Times New Roman" w:hAnsi="Calibri" w:cs="Calibri"/>
                <w:color w:val="000000"/>
                <w:lang w:eastAsia="en-GB"/>
              </w:rPr>
            </w:pPr>
            <w:r w:rsidRPr="0013681B">
              <w:rPr>
                <w:rFonts w:ascii="Calibri" w:eastAsia="Times New Roman" w:hAnsi="Calibri" w:cs="Calibri"/>
                <w:color w:val="000000"/>
                <w:lang w:eastAsia="en-GB"/>
              </w:rPr>
              <w:t>90</w:t>
            </w:r>
          </w:p>
        </w:tc>
        <w:tc>
          <w:tcPr>
            <w:tcW w:w="960" w:type="dxa"/>
            <w:tcBorders>
              <w:top w:val="nil"/>
              <w:left w:val="nil"/>
              <w:bottom w:val="nil"/>
              <w:right w:val="single" w:sz="4" w:space="0" w:color="auto"/>
            </w:tcBorders>
            <w:shd w:val="clear" w:color="000000" w:fill="FFFF00"/>
            <w:noWrap/>
            <w:vAlign w:val="bottom"/>
            <w:hideMark/>
          </w:tcPr>
          <w:p w14:paraId="67BA729C" w14:textId="77777777" w:rsidR="00E64A0D" w:rsidRPr="0013681B" w:rsidRDefault="00E64A0D" w:rsidP="003166F2">
            <w:pPr>
              <w:spacing w:after="0" w:line="240" w:lineRule="auto"/>
              <w:jc w:val="right"/>
              <w:rPr>
                <w:rFonts w:ascii="Calibri" w:eastAsia="Times New Roman" w:hAnsi="Calibri" w:cs="Calibri"/>
                <w:color w:val="000000"/>
                <w:lang w:eastAsia="en-GB"/>
              </w:rPr>
            </w:pPr>
            <w:r w:rsidRPr="0013681B">
              <w:rPr>
                <w:rFonts w:ascii="Calibri" w:eastAsia="Times New Roman" w:hAnsi="Calibri" w:cs="Calibri"/>
                <w:color w:val="000000"/>
                <w:lang w:eastAsia="en-GB"/>
              </w:rPr>
              <w:t>0.0%</w:t>
            </w:r>
          </w:p>
        </w:tc>
        <w:tc>
          <w:tcPr>
            <w:tcW w:w="960" w:type="dxa"/>
            <w:tcBorders>
              <w:top w:val="nil"/>
              <w:left w:val="nil"/>
              <w:bottom w:val="nil"/>
              <w:right w:val="single" w:sz="4" w:space="0" w:color="auto"/>
            </w:tcBorders>
            <w:shd w:val="clear" w:color="000000" w:fill="FFFF00"/>
            <w:noWrap/>
            <w:vAlign w:val="bottom"/>
            <w:hideMark/>
          </w:tcPr>
          <w:p w14:paraId="76CBA7A8" w14:textId="77777777" w:rsidR="00E64A0D" w:rsidRPr="0013681B" w:rsidRDefault="00E64A0D" w:rsidP="003166F2">
            <w:pPr>
              <w:spacing w:after="0" w:line="240" w:lineRule="auto"/>
              <w:jc w:val="right"/>
              <w:rPr>
                <w:rFonts w:ascii="Calibri" w:eastAsia="Times New Roman" w:hAnsi="Calibri" w:cs="Calibri"/>
                <w:color w:val="000000"/>
                <w:lang w:eastAsia="en-GB"/>
              </w:rPr>
            </w:pPr>
            <w:r w:rsidRPr="0013681B">
              <w:rPr>
                <w:rFonts w:ascii="Calibri" w:eastAsia="Times New Roman" w:hAnsi="Calibri" w:cs="Calibri"/>
                <w:color w:val="000000"/>
                <w:lang w:eastAsia="en-GB"/>
              </w:rPr>
              <w:t>2.2%</w:t>
            </w:r>
          </w:p>
        </w:tc>
        <w:tc>
          <w:tcPr>
            <w:tcW w:w="960" w:type="dxa"/>
            <w:tcBorders>
              <w:top w:val="nil"/>
              <w:left w:val="nil"/>
              <w:bottom w:val="nil"/>
              <w:right w:val="single" w:sz="4" w:space="0" w:color="auto"/>
            </w:tcBorders>
            <w:shd w:val="clear" w:color="000000" w:fill="FFFF00"/>
            <w:noWrap/>
            <w:vAlign w:val="bottom"/>
            <w:hideMark/>
          </w:tcPr>
          <w:p w14:paraId="7DEBC1D4" w14:textId="77777777" w:rsidR="00E64A0D" w:rsidRPr="0013681B" w:rsidRDefault="00E64A0D" w:rsidP="003166F2">
            <w:pPr>
              <w:spacing w:after="0" w:line="240" w:lineRule="auto"/>
              <w:jc w:val="right"/>
              <w:rPr>
                <w:rFonts w:ascii="Calibri" w:eastAsia="Times New Roman" w:hAnsi="Calibri" w:cs="Calibri"/>
                <w:color w:val="000000"/>
                <w:lang w:eastAsia="en-GB"/>
              </w:rPr>
            </w:pPr>
            <w:r w:rsidRPr="0013681B">
              <w:rPr>
                <w:rFonts w:ascii="Calibri" w:eastAsia="Times New Roman" w:hAnsi="Calibri" w:cs="Calibri"/>
                <w:color w:val="000000"/>
                <w:lang w:eastAsia="en-GB"/>
              </w:rPr>
              <w:t>4.4%</w:t>
            </w:r>
          </w:p>
        </w:tc>
        <w:tc>
          <w:tcPr>
            <w:tcW w:w="960" w:type="dxa"/>
            <w:tcBorders>
              <w:top w:val="nil"/>
              <w:left w:val="nil"/>
              <w:bottom w:val="nil"/>
              <w:right w:val="single" w:sz="4" w:space="0" w:color="auto"/>
            </w:tcBorders>
            <w:shd w:val="clear" w:color="000000" w:fill="FFFF00"/>
            <w:noWrap/>
            <w:vAlign w:val="bottom"/>
            <w:hideMark/>
          </w:tcPr>
          <w:p w14:paraId="5877CE23" w14:textId="77777777" w:rsidR="00E64A0D" w:rsidRPr="0013681B" w:rsidRDefault="00E64A0D" w:rsidP="003166F2">
            <w:pPr>
              <w:spacing w:after="0" w:line="240" w:lineRule="auto"/>
              <w:jc w:val="right"/>
              <w:rPr>
                <w:rFonts w:ascii="Calibri" w:eastAsia="Times New Roman" w:hAnsi="Calibri" w:cs="Calibri"/>
                <w:color w:val="000000"/>
                <w:lang w:eastAsia="en-GB"/>
              </w:rPr>
            </w:pPr>
            <w:r w:rsidRPr="0013681B">
              <w:rPr>
                <w:rFonts w:ascii="Calibri" w:eastAsia="Times New Roman" w:hAnsi="Calibri" w:cs="Calibri"/>
                <w:color w:val="000000"/>
                <w:lang w:eastAsia="en-GB"/>
              </w:rPr>
              <w:t>10.0%</w:t>
            </w:r>
          </w:p>
        </w:tc>
        <w:tc>
          <w:tcPr>
            <w:tcW w:w="960" w:type="dxa"/>
            <w:tcBorders>
              <w:top w:val="nil"/>
              <w:left w:val="nil"/>
              <w:bottom w:val="nil"/>
              <w:right w:val="single" w:sz="4" w:space="0" w:color="auto"/>
            </w:tcBorders>
            <w:shd w:val="clear" w:color="000000" w:fill="FFFF00"/>
            <w:noWrap/>
            <w:vAlign w:val="bottom"/>
            <w:hideMark/>
          </w:tcPr>
          <w:p w14:paraId="072BF2C1" w14:textId="77777777" w:rsidR="00E64A0D" w:rsidRPr="0013681B" w:rsidRDefault="00E64A0D" w:rsidP="003166F2">
            <w:pPr>
              <w:spacing w:after="0" w:line="240" w:lineRule="auto"/>
              <w:jc w:val="right"/>
              <w:rPr>
                <w:rFonts w:ascii="Calibri" w:eastAsia="Times New Roman" w:hAnsi="Calibri" w:cs="Calibri"/>
                <w:color w:val="000000"/>
                <w:lang w:eastAsia="en-GB"/>
              </w:rPr>
            </w:pPr>
            <w:r w:rsidRPr="0013681B">
              <w:rPr>
                <w:rFonts w:ascii="Calibri" w:eastAsia="Times New Roman" w:hAnsi="Calibri" w:cs="Calibri"/>
                <w:color w:val="000000"/>
                <w:lang w:eastAsia="en-GB"/>
              </w:rPr>
              <w:t>22.2%</w:t>
            </w:r>
          </w:p>
        </w:tc>
        <w:tc>
          <w:tcPr>
            <w:tcW w:w="960" w:type="dxa"/>
            <w:tcBorders>
              <w:top w:val="nil"/>
              <w:left w:val="nil"/>
              <w:bottom w:val="nil"/>
              <w:right w:val="single" w:sz="4" w:space="0" w:color="auto"/>
            </w:tcBorders>
            <w:shd w:val="clear" w:color="000000" w:fill="FFFF00"/>
            <w:noWrap/>
            <w:vAlign w:val="bottom"/>
            <w:hideMark/>
          </w:tcPr>
          <w:p w14:paraId="3C0C8804" w14:textId="77777777" w:rsidR="00E64A0D" w:rsidRPr="0013681B" w:rsidRDefault="00E64A0D" w:rsidP="003166F2">
            <w:pPr>
              <w:spacing w:after="0" w:line="240" w:lineRule="auto"/>
              <w:jc w:val="right"/>
              <w:rPr>
                <w:rFonts w:ascii="Calibri" w:eastAsia="Times New Roman" w:hAnsi="Calibri" w:cs="Calibri"/>
                <w:color w:val="000000"/>
                <w:lang w:eastAsia="en-GB"/>
              </w:rPr>
            </w:pPr>
            <w:r w:rsidRPr="0013681B">
              <w:rPr>
                <w:rFonts w:ascii="Calibri" w:eastAsia="Times New Roman" w:hAnsi="Calibri" w:cs="Calibri"/>
                <w:color w:val="000000"/>
                <w:lang w:eastAsia="en-GB"/>
              </w:rPr>
              <w:t>61.1%</w:t>
            </w:r>
          </w:p>
        </w:tc>
        <w:tc>
          <w:tcPr>
            <w:tcW w:w="960" w:type="dxa"/>
            <w:tcBorders>
              <w:top w:val="nil"/>
              <w:left w:val="nil"/>
              <w:bottom w:val="nil"/>
              <w:right w:val="single" w:sz="4" w:space="0" w:color="auto"/>
            </w:tcBorders>
            <w:shd w:val="clear" w:color="000000" w:fill="FFFF00"/>
            <w:noWrap/>
            <w:vAlign w:val="bottom"/>
            <w:hideMark/>
          </w:tcPr>
          <w:p w14:paraId="47CADA3E" w14:textId="77777777" w:rsidR="00E64A0D" w:rsidRPr="0013681B" w:rsidRDefault="00E64A0D" w:rsidP="003166F2">
            <w:pPr>
              <w:spacing w:after="0" w:line="240" w:lineRule="auto"/>
              <w:jc w:val="right"/>
              <w:rPr>
                <w:rFonts w:ascii="Calibri" w:eastAsia="Times New Roman" w:hAnsi="Calibri" w:cs="Calibri"/>
                <w:color w:val="000000"/>
                <w:lang w:eastAsia="en-GB"/>
              </w:rPr>
            </w:pPr>
            <w:r w:rsidRPr="0013681B">
              <w:rPr>
                <w:rFonts w:ascii="Calibri" w:eastAsia="Times New Roman" w:hAnsi="Calibri" w:cs="Calibri"/>
                <w:color w:val="000000"/>
                <w:lang w:eastAsia="en-GB"/>
              </w:rPr>
              <w:t>0.0%</w:t>
            </w:r>
          </w:p>
        </w:tc>
      </w:tr>
      <w:tr w:rsidR="00E64A0D" w:rsidRPr="0013681B" w14:paraId="12539B53" w14:textId="77777777" w:rsidTr="003166F2">
        <w:trPr>
          <w:trHeight w:val="290"/>
        </w:trPr>
        <w:tc>
          <w:tcPr>
            <w:tcW w:w="1400" w:type="dxa"/>
            <w:tcBorders>
              <w:top w:val="nil"/>
              <w:left w:val="single" w:sz="4" w:space="0" w:color="auto"/>
              <w:bottom w:val="single" w:sz="4" w:space="0" w:color="auto"/>
              <w:right w:val="single" w:sz="4" w:space="0" w:color="auto"/>
            </w:tcBorders>
            <w:shd w:val="clear" w:color="000000" w:fill="FFFF00"/>
            <w:noWrap/>
            <w:vAlign w:val="bottom"/>
          </w:tcPr>
          <w:p w14:paraId="041C4F4C" w14:textId="77777777" w:rsidR="00E64A0D" w:rsidRPr="0013681B" w:rsidRDefault="00E64A0D" w:rsidP="003166F2">
            <w:pPr>
              <w:spacing w:after="0" w:line="240" w:lineRule="auto"/>
              <w:rPr>
                <w:rFonts w:ascii="Calibri" w:eastAsia="Times New Roman" w:hAnsi="Calibri" w:cs="Calibri"/>
                <w:color w:val="000000"/>
                <w:lang w:eastAsia="en-GB"/>
              </w:rPr>
            </w:pPr>
          </w:p>
        </w:tc>
        <w:tc>
          <w:tcPr>
            <w:tcW w:w="2400" w:type="dxa"/>
            <w:tcBorders>
              <w:top w:val="nil"/>
              <w:left w:val="nil"/>
              <w:bottom w:val="single" w:sz="4" w:space="0" w:color="auto"/>
              <w:right w:val="single" w:sz="4" w:space="0" w:color="auto"/>
            </w:tcBorders>
            <w:shd w:val="clear" w:color="000000" w:fill="FFFF00"/>
            <w:noWrap/>
            <w:vAlign w:val="bottom"/>
          </w:tcPr>
          <w:p w14:paraId="4D1AB93A" w14:textId="77777777" w:rsidR="00E64A0D" w:rsidRPr="0013681B" w:rsidRDefault="00E64A0D" w:rsidP="003166F2">
            <w:pPr>
              <w:spacing w:after="0" w:line="240" w:lineRule="auto"/>
              <w:jc w:val="right"/>
              <w:rPr>
                <w:rFonts w:ascii="Calibri" w:eastAsia="Times New Roman" w:hAnsi="Calibri" w:cs="Calibri"/>
                <w:color w:val="000000"/>
                <w:lang w:eastAsia="en-GB"/>
              </w:rPr>
            </w:pPr>
          </w:p>
        </w:tc>
        <w:tc>
          <w:tcPr>
            <w:tcW w:w="960" w:type="dxa"/>
            <w:tcBorders>
              <w:top w:val="nil"/>
              <w:left w:val="nil"/>
              <w:bottom w:val="single" w:sz="4" w:space="0" w:color="auto"/>
              <w:right w:val="single" w:sz="4" w:space="0" w:color="auto"/>
            </w:tcBorders>
            <w:shd w:val="clear" w:color="000000" w:fill="FFFF00"/>
            <w:noWrap/>
            <w:vAlign w:val="bottom"/>
          </w:tcPr>
          <w:p w14:paraId="1540BCC4" w14:textId="77777777" w:rsidR="00E64A0D" w:rsidRPr="0013681B" w:rsidRDefault="00E64A0D" w:rsidP="003166F2">
            <w:pPr>
              <w:spacing w:after="0" w:line="240" w:lineRule="auto"/>
              <w:jc w:val="right"/>
              <w:rPr>
                <w:rFonts w:ascii="Calibri" w:eastAsia="Times New Roman" w:hAnsi="Calibri" w:cs="Calibri"/>
                <w:color w:val="000000"/>
                <w:lang w:eastAsia="en-GB"/>
              </w:rPr>
            </w:pPr>
          </w:p>
        </w:tc>
        <w:tc>
          <w:tcPr>
            <w:tcW w:w="960" w:type="dxa"/>
            <w:tcBorders>
              <w:top w:val="nil"/>
              <w:left w:val="nil"/>
              <w:bottom w:val="single" w:sz="4" w:space="0" w:color="auto"/>
              <w:right w:val="single" w:sz="4" w:space="0" w:color="auto"/>
            </w:tcBorders>
            <w:shd w:val="clear" w:color="000000" w:fill="FFFF00"/>
            <w:noWrap/>
            <w:vAlign w:val="bottom"/>
          </w:tcPr>
          <w:p w14:paraId="6F9664BF" w14:textId="77777777" w:rsidR="00E64A0D" w:rsidRPr="0013681B" w:rsidRDefault="00E64A0D" w:rsidP="003166F2">
            <w:pPr>
              <w:spacing w:after="0" w:line="240" w:lineRule="auto"/>
              <w:jc w:val="right"/>
              <w:rPr>
                <w:rFonts w:ascii="Calibri" w:eastAsia="Times New Roman" w:hAnsi="Calibri" w:cs="Calibri"/>
                <w:color w:val="000000"/>
                <w:lang w:eastAsia="en-GB"/>
              </w:rPr>
            </w:pPr>
          </w:p>
        </w:tc>
        <w:tc>
          <w:tcPr>
            <w:tcW w:w="960" w:type="dxa"/>
            <w:tcBorders>
              <w:top w:val="nil"/>
              <w:left w:val="nil"/>
              <w:bottom w:val="single" w:sz="4" w:space="0" w:color="auto"/>
              <w:right w:val="single" w:sz="4" w:space="0" w:color="auto"/>
            </w:tcBorders>
            <w:shd w:val="clear" w:color="000000" w:fill="FFFF00"/>
            <w:noWrap/>
            <w:vAlign w:val="bottom"/>
          </w:tcPr>
          <w:p w14:paraId="77A3E068" w14:textId="77777777" w:rsidR="00E64A0D" w:rsidRPr="0013681B" w:rsidRDefault="00E64A0D" w:rsidP="003166F2">
            <w:pPr>
              <w:spacing w:after="0" w:line="240" w:lineRule="auto"/>
              <w:jc w:val="right"/>
              <w:rPr>
                <w:rFonts w:ascii="Calibri" w:eastAsia="Times New Roman" w:hAnsi="Calibri" w:cs="Calibri"/>
                <w:color w:val="000000"/>
                <w:lang w:eastAsia="en-GB"/>
              </w:rPr>
            </w:pPr>
          </w:p>
        </w:tc>
        <w:tc>
          <w:tcPr>
            <w:tcW w:w="960" w:type="dxa"/>
            <w:tcBorders>
              <w:top w:val="nil"/>
              <w:left w:val="nil"/>
              <w:bottom w:val="single" w:sz="4" w:space="0" w:color="auto"/>
              <w:right w:val="single" w:sz="4" w:space="0" w:color="auto"/>
            </w:tcBorders>
            <w:shd w:val="clear" w:color="000000" w:fill="FFFF00"/>
            <w:noWrap/>
            <w:vAlign w:val="bottom"/>
          </w:tcPr>
          <w:p w14:paraId="64E4DAB5" w14:textId="77777777" w:rsidR="00E64A0D" w:rsidRPr="0013681B" w:rsidRDefault="00E64A0D" w:rsidP="003166F2">
            <w:pPr>
              <w:spacing w:after="0" w:line="240" w:lineRule="auto"/>
              <w:jc w:val="right"/>
              <w:rPr>
                <w:rFonts w:ascii="Calibri" w:eastAsia="Times New Roman" w:hAnsi="Calibri" w:cs="Calibri"/>
                <w:color w:val="000000"/>
                <w:lang w:eastAsia="en-GB"/>
              </w:rPr>
            </w:pPr>
          </w:p>
        </w:tc>
        <w:tc>
          <w:tcPr>
            <w:tcW w:w="960" w:type="dxa"/>
            <w:tcBorders>
              <w:top w:val="nil"/>
              <w:left w:val="nil"/>
              <w:bottom w:val="single" w:sz="4" w:space="0" w:color="auto"/>
              <w:right w:val="single" w:sz="4" w:space="0" w:color="auto"/>
            </w:tcBorders>
            <w:shd w:val="clear" w:color="000000" w:fill="FFFF00"/>
            <w:noWrap/>
            <w:vAlign w:val="bottom"/>
          </w:tcPr>
          <w:p w14:paraId="3AA7455E" w14:textId="77777777" w:rsidR="00E64A0D" w:rsidRPr="0013681B" w:rsidRDefault="00E64A0D" w:rsidP="003166F2">
            <w:pPr>
              <w:spacing w:after="0" w:line="240" w:lineRule="auto"/>
              <w:jc w:val="right"/>
              <w:rPr>
                <w:rFonts w:ascii="Calibri" w:eastAsia="Times New Roman" w:hAnsi="Calibri" w:cs="Calibri"/>
                <w:color w:val="000000"/>
                <w:lang w:eastAsia="en-GB"/>
              </w:rPr>
            </w:pPr>
          </w:p>
        </w:tc>
        <w:tc>
          <w:tcPr>
            <w:tcW w:w="960" w:type="dxa"/>
            <w:tcBorders>
              <w:top w:val="nil"/>
              <w:left w:val="nil"/>
              <w:bottom w:val="single" w:sz="4" w:space="0" w:color="auto"/>
              <w:right w:val="single" w:sz="4" w:space="0" w:color="auto"/>
            </w:tcBorders>
            <w:shd w:val="clear" w:color="000000" w:fill="FFFF00"/>
            <w:noWrap/>
            <w:vAlign w:val="bottom"/>
          </w:tcPr>
          <w:p w14:paraId="3E1D0B67" w14:textId="77777777" w:rsidR="00E64A0D" w:rsidRPr="0013681B" w:rsidRDefault="00E64A0D" w:rsidP="003166F2">
            <w:pPr>
              <w:spacing w:after="0" w:line="240" w:lineRule="auto"/>
              <w:jc w:val="right"/>
              <w:rPr>
                <w:rFonts w:ascii="Calibri" w:eastAsia="Times New Roman" w:hAnsi="Calibri" w:cs="Calibri"/>
                <w:color w:val="000000"/>
                <w:lang w:eastAsia="en-GB"/>
              </w:rPr>
            </w:pPr>
          </w:p>
        </w:tc>
        <w:tc>
          <w:tcPr>
            <w:tcW w:w="960" w:type="dxa"/>
            <w:tcBorders>
              <w:top w:val="nil"/>
              <w:left w:val="nil"/>
              <w:bottom w:val="single" w:sz="4" w:space="0" w:color="auto"/>
              <w:right w:val="single" w:sz="4" w:space="0" w:color="auto"/>
            </w:tcBorders>
            <w:shd w:val="clear" w:color="000000" w:fill="FFFF00"/>
            <w:noWrap/>
            <w:vAlign w:val="bottom"/>
          </w:tcPr>
          <w:p w14:paraId="7B4B499A" w14:textId="77777777" w:rsidR="00E64A0D" w:rsidRPr="0013681B" w:rsidRDefault="00E64A0D" w:rsidP="003166F2">
            <w:pPr>
              <w:spacing w:after="0" w:line="240" w:lineRule="auto"/>
              <w:jc w:val="right"/>
              <w:rPr>
                <w:rFonts w:ascii="Calibri" w:eastAsia="Times New Roman" w:hAnsi="Calibri" w:cs="Calibri"/>
                <w:color w:val="000000"/>
                <w:lang w:eastAsia="en-GB"/>
              </w:rPr>
            </w:pPr>
          </w:p>
        </w:tc>
      </w:tr>
    </w:tbl>
    <w:p w14:paraId="6A8E56D2" w14:textId="77777777" w:rsidR="00E64A0D" w:rsidRDefault="00E64A0D" w:rsidP="00E64A0D"/>
    <w:p w14:paraId="2C7A74BA" w14:textId="236B1023" w:rsidR="00E64A0D" w:rsidRDefault="00E64A0D" w:rsidP="00E64A0D">
      <w:r>
        <w:t>‘</w:t>
      </w:r>
      <w:r w:rsidRPr="00E64A0D">
        <w:t>Number of people in age group</w:t>
      </w:r>
      <w:r>
        <w:t>’ divided by ‘</w:t>
      </w:r>
      <w:r w:rsidRPr="00E64A0D">
        <w:t>Total number of people in a department</w:t>
      </w:r>
      <w:r>
        <w:t>’ multiple by 100</w:t>
      </w:r>
    </w:p>
    <w:p w14:paraId="0F98B920" w14:textId="77777777" w:rsidR="002008A3" w:rsidRDefault="002008A3" w:rsidP="00E64A0D"/>
    <w:p w14:paraId="5D56C1AA" w14:textId="06DAB685" w:rsidR="002008A3" w:rsidRDefault="002008A3" w:rsidP="00E64A0D">
      <w:r>
        <w:t>1.5</w:t>
      </w:r>
    </w:p>
    <w:p w14:paraId="70CEC3E4" w14:textId="473DF7D7" w:rsidR="002008A3" w:rsidRPr="00E64A0D" w:rsidRDefault="002008A3" w:rsidP="00E64A0D">
      <w:r>
        <w:rPr>
          <w:noProof/>
        </w:rPr>
        <w:drawing>
          <wp:inline distT="0" distB="0" distL="0" distR="0" wp14:anchorId="2F59D03E" wp14:editId="2396ABE6">
            <wp:extent cx="5365750" cy="3968750"/>
            <wp:effectExtent l="0" t="0" r="6350" b="12700"/>
            <wp:docPr id="1" name="Chart 1">
              <a:extLst xmlns:a="http://schemas.openxmlformats.org/drawingml/2006/main">
                <a:ext uri="{FF2B5EF4-FFF2-40B4-BE49-F238E27FC236}">
                  <a16:creationId xmlns:a16="http://schemas.microsoft.com/office/drawing/2014/main" id="{861F5AC9-D769-1077-A637-D34C1DDB9E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43B207F3" w14:textId="1182C57C" w:rsidR="00E64A0D" w:rsidRDefault="002008A3" w:rsidP="00A3114A">
      <w:pPr>
        <w:tabs>
          <w:tab w:val="left" w:pos="3153"/>
        </w:tabs>
        <w:jc w:val="both"/>
      </w:pPr>
      <w:r>
        <w:rPr>
          <w:noProof/>
        </w:rPr>
        <w:lastRenderedPageBreak/>
        <w:drawing>
          <wp:inline distT="0" distB="0" distL="0" distR="0" wp14:anchorId="0111B3A6" wp14:editId="1F259E14">
            <wp:extent cx="5251450" cy="3187700"/>
            <wp:effectExtent l="0" t="0" r="6350" b="12700"/>
            <wp:docPr id="2" name="Chart 2">
              <a:extLst xmlns:a="http://schemas.openxmlformats.org/drawingml/2006/main">
                <a:ext uri="{FF2B5EF4-FFF2-40B4-BE49-F238E27FC236}">
                  <a16:creationId xmlns:a16="http://schemas.microsoft.com/office/drawing/2014/main" id="{993C8B43-A29A-43F3-89C6-D825A48205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0DED613" w14:textId="5FC7814D" w:rsidR="002008A3" w:rsidRDefault="002008A3" w:rsidP="00A3114A">
      <w:pPr>
        <w:tabs>
          <w:tab w:val="left" w:pos="3153"/>
        </w:tabs>
        <w:jc w:val="both"/>
      </w:pPr>
    </w:p>
    <w:p w14:paraId="4E33C1E4" w14:textId="15A18122" w:rsidR="002008A3" w:rsidRDefault="002008A3" w:rsidP="002008A3">
      <w:pPr>
        <w:jc w:val="both"/>
      </w:pPr>
      <w:r>
        <w:t>The analysis of diagrams presenting age distribution in departments C and D draws our attention to the issue of the ageing of our workforce. While we can be proud of retaining a high percentage of experienced employees aged over 50 &amp; 60, we should foresee the potential risks of that. There is a big age variance in Department D, with over 80% of staff at their retirement age or close to it, and no employees under the age of 25. Knowing that the majority of the department may leave very soon taking with them their skills and experiences should be alarming for us. First of all, we need to attract the young generation to our company through apprenticeship programs, cooperation with schools and high-standard training. We may consider being salary competitive for people under 23 and offer hourly rates higher than government guidance. Whilst the recruitment and training process of new employees can be long, we need to think about how to create a safe and friendly environment for the current employees to utilise their skills as long as possible. We may provide flexible work options, and age-friendly policies as well as promote lifelong learning. A retirement scheme with an option to gradually reduce working days can help us and the employees prepare for their leaving.  During this time, they can contribute to our company by mentoring and guiding their younger colleagues (World Economic Forum, 2021). In Department C the age variance is not as high as in Department D. The number of people in each age category is quite similar which is a good sign for us. However, the biggest group is still represented by employees aged 56-65. There is also 1 person over 75 years old and we need to make sure the appropriate support for her is provided. Having so many employees approaching retirement age we may need to examine their productivity and general performance. If needed, we may reskill them and move them to lighter positions that do not require heavy lifting and bending. Elderly people are more prone to illnesses and serious health conditions which is why it is worth checking their absence records. We have to organize for them regular appointments with Occupational Health to ensure there are no health issues that could prevent them from working safely. A safe working environment should be always one of our main goals. However, no matter how much we try, we cannot help getting older thus our recruitment team as well as the whole company must start acting straight away. Replacing such a huge number of pensioners will be a difficult challenge for us. If our plan of investing in young workers fails or does not bring the required numbers, we have to be ready to recruit migrants to fill the labour supply gap. Another solution is rising productivity by utilizing new technologies. This will not only reduce the number of vacancies but also attract young people who are more technology-oriented than the elderly. The most important thing, however, is creating a positive culture in which people feel supported and respected (CIPD, 2015).</w:t>
      </w:r>
    </w:p>
    <w:p w14:paraId="6FE3C273" w14:textId="0FA7B276" w:rsidR="002008A3" w:rsidRDefault="002008A3" w:rsidP="002008A3">
      <w:pPr>
        <w:jc w:val="both"/>
      </w:pPr>
    </w:p>
    <w:p w14:paraId="2F7615EF" w14:textId="60344D16" w:rsidR="002008A3" w:rsidRDefault="002008A3" w:rsidP="002008A3">
      <w:pPr>
        <w:jc w:val="both"/>
      </w:pPr>
    </w:p>
    <w:p w14:paraId="517E27F9" w14:textId="6FD05345" w:rsidR="002008A3" w:rsidRDefault="002008A3" w:rsidP="002008A3">
      <w:pPr>
        <w:jc w:val="both"/>
      </w:pPr>
    </w:p>
    <w:p w14:paraId="261779C6" w14:textId="6DA77692" w:rsidR="002008A3" w:rsidRDefault="002008A3" w:rsidP="002008A3">
      <w:pPr>
        <w:jc w:val="both"/>
      </w:pPr>
    </w:p>
    <w:p w14:paraId="668B38D2" w14:textId="77777777" w:rsidR="002008A3" w:rsidRDefault="002008A3" w:rsidP="002008A3">
      <w:r>
        <w:lastRenderedPageBreak/>
        <w:t>REFERENCES</w:t>
      </w:r>
    </w:p>
    <w:p w14:paraId="060FBDD7" w14:textId="77777777" w:rsidR="002008A3" w:rsidRDefault="002008A3" w:rsidP="002008A3">
      <w:pPr>
        <w:tabs>
          <w:tab w:val="right" w:pos="9026"/>
        </w:tabs>
        <w:jc w:val="both"/>
      </w:pPr>
      <w:proofErr w:type="spellStart"/>
      <w:r>
        <w:t>Barends</w:t>
      </w:r>
      <w:proofErr w:type="spellEnd"/>
      <w:r>
        <w:t>, E., Rousseau, D. and Briner, R. (2014). Evidence Based Management: The basic principles. Amsterdam: Centre for Evidence-Based Management.</w:t>
      </w:r>
    </w:p>
    <w:p w14:paraId="24F283A6" w14:textId="77777777" w:rsidR="002008A3" w:rsidRDefault="002008A3" w:rsidP="002008A3">
      <w:pPr>
        <w:jc w:val="both"/>
      </w:pPr>
      <w:r>
        <w:t xml:space="preserve">Briner, R. (2019) The basics of evidence-based practice, </w:t>
      </w:r>
      <w:proofErr w:type="spellStart"/>
      <w:r w:rsidRPr="00C01B90">
        <w:rPr>
          <w:i/>
          <w:iCs/>
        </w:rPr>
        <w:t>People+Strategy</w:t>
      </w:r>
      <w:proofErr w:type="spellEnd"/>
      <w:r>
        <w:t>, 42 (1).</w:t>
      </w:r>
    </w:p>
    <w:p w14:paraId="06B14708" w14:textId="77777777" w:rsidR="002008A3" w:rsidRDefault="002008A3" w:rsidP="002008A3">
      <w:pPr>
        <w:tabs>
          <w:tab w:val="right" w:pos="9026"/>
        </w:tabs>
        <w:jc w:val="both"/>
      </w:pPr>
      <w:r>
        <w:t xml:space="preserve">Brown, L. (2015) </w:t>
      </w:r>
      <w:r w:rsidRPr="000606C5">
        <w:rPr>
          <w:i/>
          <w:iCs/>
        </w:rPr>
        <w:t>10 steps for HR: how to build a strong customer culture</w:t>
      </w:r>
      <w:r>
        <w:t xml:space="preserve">. Available at: </w:t>
      </w:r>
      <w:hyperlink r:id="rId7" w:history="1">
        <w:r w:rsidRPr="00F1428C">
          <w:rPr>
            <w:color w:val="0000FF"/>
            <w:u w:val="single"/>
          </w:rPr>
          <w:t>10 steps for HR: how to build a strong customer culture - Inside HR</w:t>
        </w:r>
      </w:hyperlink>
      <w:r>
        <w:rPr>
          <w:color w:val="0000FF"/>
          <w:u w:val="single"/>
        </w:rPr>
        <w:t xml:space="preserve"> </w:t>
      </w:r>
      <w:r w:rsidRPr="007672F3">
        <w:rPr>
          <w:u w:val="single"/>
        </w:rPr>
        <w:t>(</w:t>
      </w:r>
      <w:r w:rsidRPr="00D71522">
        <w:rPr>
          <w:rStyle w:val="Hyperlink"/>
        </w:rPr>
        <w:t xml:space="preserve">Accessed: </w:t>
      </w:r>
      <w:r>
        <w:rPr>
          <w:rStyle w:val="Hyperlink"/>
        </w:rPr>
        <w:t>30</w:t>
      </w:r>
      <w:r w:rsidRPr="00D71522">
        <w:rPr>
          <w:rStyle w:val="Hyperlink"/>
        </w:rPr>
        <w:t xml:space="preserve"> December 2022)</w:t>
      </w:r>
      <w:r>
        <w:rPr>
          <w:rStyle w:val="Hyperlink"/>
        </w:rPr>
        <w:t>.</w:t>
      </w:r>
    </w:p>
    <w:p w14:paraId="59FEBB92" w14:textId="77777777" w:rsidR="002008A3" w:rsidRDefault="002008A3" w:rsidP="002008A3">
      <w:pPr>
        <w:jc w:val="both"/>
      </w:pPr>
      <w:r>
        <w:t xml:space="preserve">CIPD (2015) </w:t>
      </w:r>
      <w:r w:rsidRPr="00D55BED">
        <w:rPr>
          <w:i/>
          <w:iCs/>
        </w:rPr>
        <w:t>Avoiding the demographic crunch labour supply and ageing workforce</w:t>
      </w:r>
      <w:r>
        <w:t>.</w:t>
      </w:r>
      <w:r w:rsidRPr="00D55BED">
        <w:t xml:space="preserve"> </w:t>
      </w:r>
      <w:r w:rsidRPr="000A2C10">
        <w:t>London: Charted Institute of Personnel and Development.</w:t>
      </w:r>
      <w:r>
        <w:t xml:space="preserve"> Available at: </w:t>
      </w:r>
      <w:hyperlink r:id="rId8" w:history="1">
        <w:r>
          <w:rPr>
            <w:rStyle w:val="Hyperlink"/>
          </w:rPr>
          <w:t>avoiding-the-demographic-crunch-labour-supply-and-ageing-workforce_tcm18-10235.pdf (cipd.co.uk)</w:t>
        </w:r>
      </w:hyperlink>
      <w:r>
        <w:rPr>
          <w:rStyle w:val="Hyperlink"/>
        </w:rPr>
        <w:t xml:space="preserve"> </w:t>
      </w:r>
      <w:r w:rsidRPr="007672F3">
        <w:rPr>
          <w:u w:val="single"/>
        </w:rPr>
        <w:t>(</w:t>
      </w:r>
      <w:r w:rsidRPr="00D71522">
        <w:rPr>
          <w:rStyle w:val="Hyperlink"/>
        </w:rPr>
        <w:t xml:space="preserve">Accessed: </w:t>
      </w:r>
      <w:r>
        <w:rPr>
          <w:rStyle w:val="Hyperlink"/>
        </w:rPr>
        <w:t>6 January 2023</w:t>
      </w:r>
      <w:r w:rsidRPr="00D71522">
        <w:rPr>
          <w:rStyle w:val="Hyperlink"/>
        </w:rPr>
        <w:t>)</w:t>
      </w:r>
      <w:r>
        <w:rPr>
          <w:rStyle w:val="Hyperlink"/>
        </w:rPr>
        <w:t>.</w:t>
      </w:r>
    </w:p>
    <w:p w14:paraId="1C6EBCB0" w14:textId="77777777" w:rsidR="002008A3" w:rsidRDefault="002008A3" w:rsidP="002008A3">
      <w:pPr>
        <w:jc w:val="both"/>
      </w:pPr>
      <w:r>
        <w:t xml:space="preserve">CIPD (2022) </w:t>
      </w:r>
      <w:r w:rsidRPr="00D71522">
        <w:rPr>
          <w:i/>
          <w:iCs/>
        </w:rPr>
        <w:t>Evidence-based practice for effective decision-making</w:t>
      </w:r>
      <w:r>
        <w:rPr>
          <w:i/>
          <w:iCs/>
        </w:rPr>
        <w:t xml:space="preserve">. </w:t>
      </w:r>
      <w:r w:rsidRPr="000A2C10">
        <w:t>London:</w:t>
      </w:r>
      <w:r>
        <w:t xml:space="preserve"> </w:t>
      </w:r>
      <w:r w:rsidRPr="000A2C10">
        <w:t>Charted Institute of Personnel and Development.</w:t>
      </w:r>
      <w:r>
        <w:t xml:space="preserve"> Available at: </w:t>
      </w:r>
      <w:hyperlink r:id="rId9" w:history="1">
        <w:r>
          <w:rPr>
            <w:rStyle w:val="Hyperlink"/>
          </w:rPr>
          <w:t>Evidence-based practice for effective decision-making | Factsheets | CIPD</w:t>
        </w:r>
      </w:hyperlink>
      <w:r>
        <w:rPr>
          <w:rStyle w:val="Hyperlink"/>
        </w:rPr>
        <w:t xml:space="preserve"> </w:t>
      </w:r>
      <w:r w:rsidRPr="00D71522">
        <w:rPr>
          <w:rStyle w:val="Hyperlink"/>
        </w:rPr>
        <w:t>(Accessed: 27 December 2022)</w:t>
      </w:r>
      <w:r>
        <w:rPr>
          <w:rStyle w:val="Hyperlink"/>
        </w:rPr>
        <w:t>.</w:t>
      </w:r>
    </w:p>
    <w:p w14:paraId="5F496DF3" w14:textId="77777777" w:rsidR="002008A3" w:rsidRDefault="002008A3" w:rsidP="002008A3">
      <w:pPr>
        <w:tabs>
          <w:tab w:val="right" w:pos="9026"/>
        </w:tabs>
        <w:jc w:val="both"/>
      </w:pPr>
      <w:proofErr w:type="spellStart"/>
      <w:r>
        <w:t>Currence</w:t>
      </w:r>
      <w:proofErr w:type="spellEnd"/>
      <w:r>
        <w:t xml:space="preserve">, J. (2019) </w:t>
      </w:r>
      <w:r w:rsidRPr="00A41553">
        <w:rPr>
          <w:i/>
          <w:iCs/>
        </w:rPr>
        <w:t>Three Key Tools for Collecting Qualitative data</w:t>
      </w:r>
      <w:r>
        <w:t xml:space="preserve">. Available at: </w:t>
      </w:r>
      <w:hyperlink r:id="rId10" w:history="1">
        <w:r w:rsidRPr="00D45DF4">
          <w:rPr>
            <w:color w:val="0000FF"/>
            <w:u w:val="single"/>
          </w:rPr>
          <w:t>Three Key Tools for Collecting Qualitative Data (shrm.org)</w:t>
        </w:r>
      </w:hyperlink>
      <w:r>
        <w:rPr>
          <w:color w:val="0000FF"/>
          <w:u w:val="single"/>
        </w:rPr>
        <w:t xml:space="preserve"> </w:t>
      </w:r>
      <w:r w:rsidRPr="00D71522">
        <w:rPr>
          <w:rStyle w:val="Hyperlink"/>
        </w:rPr>
        <w:t>(Accessed: 2</w:t>
      </w:r>
      <w:r>
        <w:rPr>
          <w:rStyle w:val="Hyperlink"/>
        </w:rPr>
        <w:t>8</w:t>
      </w:r>
      <w:r w:rsidRPr="00D71522">
        <w:rPr>
          <w:rStyle w:val="Hyperlink"/>
        </w:rPr>
        <w:t xml:space="preserve"> December 2022)</w:t>
      </w:r>
      <w:r>
        <w:rPr>
          <w:rStyle w:val="Hyperlink"/>
        </w:rPr>
        <w:t>.</w:t>
      </w:r>
    </w:p>
    <w:p w14:paraId="1F0BDE18" w14:textId="77777777" w:rsidR="002008A3" w:rsidRDefault="002008A3" w:rsidP="002008A3">
      <w:pPr>
        <w:tabs>
          <w:tab w:val="right" w:pos="9026"/>
        </w:tabs>
        <w:jc w:val="both"/>
        <w:rPr>
          <w:color w:val="0000FF"/>
          <w:u w:val="single"/>
        </w:rPr>
      </w:pPr>
      <w:r>
        <w:t xml:space="preserve">George, S. (2022) </w:t>
      </w:r>
      <w:r w:rsidRPr="00A57288">
        <w:rPr>
          <w:i/>
          <w:iCs/>
        </w:rPr>
        <w:t>HR Policies, CIPD</w:t>
      </w:r>
      <w:r>
        <w:t xml:space="preserve">. Available at: </w:t>
      </w:r>
      <w:hyperlink r:id="rId11" w:anchor="gref" w:history="1">
        <w:r w:rsidRPr="0047156D">
          <w:rPr>
            <w:color w:val="0000FF"/>
            <w:u w:val="single"/>
          </w:rPr>
          <w:t>HR Policies | Factsheets | CIPD</w:t>
        </w:r>
      </w:hyperlink>
      <w:r>
        <w:rPr>
          <w:color w:val="0000FF"/>
          <w:u w:val="single"/>
        </w:rPr>
        <w:t xml:space="preserve"> </w:t>
      </w:r>
      <w:r w:rsidRPr="007672F3">
        <w:rPr>
          <w:u w:val="single"/>
        </w:rPr>
        <w:t>(</w:t>
      </w:r>
      <w:r w:rsidRPr="00D71522">
        <w:rPr>
          <w:rStyle w:val="Hyperlink"/>
        </w:rPr>
        <w:t xml:space="preserve">Accessed: </w:t>
      </w:r>
      <w:r>
        <w:rPr>
          <w:rStyle w:val="Hyperlink"/>
        </w:rPr>
        <w:t>30</w:t>
      </w:r>
      <w:r w:rsidRPr="00D71522">
        <w:rPr>
          <w:rStyle w:val="Hyperlink"/>
        </w:rPr>
        <w:t xml:space="preserve"> December 2022)</w:t>
      </w:r>
      <w:r>
        <w:rPr>
          <w:rStyle w:val="Hyperlink"/>
        </w:rPr>
        <w:t>.</w:t>
      </w:r>
    </w:p>
    <w:p w14:paraId="2553F7E4" w14:textId="77777777" w:rsidR="002008A3" w:rsidRDefault="002008A3" w:rsidP="002008A3">
      <w:pPr>
        <w:tabs>
          <w:tab w:val="right" w:pos="9026"/>
        </w:tabs>
        <w:jc w:val="both"/>
        <w:rPr>
          <w:rStyle w:val="Hyperlink"/>
        </w:rPr>
      </w:pPr>
      <w:r>
        <w:t xml:space="preserve">Hurst, J. (2021) </w:t>
      </w:r>
      <w:r w:rsidRPr="00A04D21">
        <w:rPr>
          <w:i/>
          <w:iCs/>
        </w:rPr>
        <w:t>How does HR add value?</w:t>
      </w:r>
      <w:r>
        <w:t xml:space="preserve"> Available at: </w:t>
      </w:r>
      <w:hyperlink r:id="rId12" w:history="1">
        <w:r w:rsidRPr="0066598D">
          <w:rPr>
            <w:color w:val="0000FF"/>
            <w:u w:val="single"/>
          </w:rPr>
          <w:t>How does HR add value? - Real Business</w:t>
        </w:r>
      </w:hyperlink>
      <w:r>
        <w:rPr>
          <w:color w:val="0000FF"/>
          <w:u w:val="single"/>
        </w:rPr>
        <w:t xml:space="preserve"> </w:t>
      </w:r>
      <w:r w:rsidRPr="007672F3">
        <w:rPr>
          <w:u w:val="single"/>
        </w:rPr>
        <w:t>(</w:t>
      </w:r>
      <w:r w:rsidRPr="00D71522">
        <w:rPr>
          <w:rStyle w:val="Hyperlink"/>
        </w:rPr>
        <w:t xml:space="preserve">Accessed: </w:t>
      </w:r>
      <w:r>
        <w:rPr>
          <w:rStyle w:val="Hyperlink"/>
        </w:rPr>
        <w:t>30</w:t>
      </w:r>
      <w:r w:rsidRPr="00D71522">
        <w:rPr>
          <w:rStyle w:val="Hyperlink"/>
        </w:rPr>
        <w:t xml:space="preserve"> December 2022)</w:t>
      </w:r>
      <w:r>
        <w:rPr>
          <w:rStyle w:val="Hyperlink"/>
        </w:rPr>
        <w:t>.</w:t>
      </w:r>
    </w:p>
    <w:p w14:paraId="2159B002" w14:textId="77777777" w:rsidR="002008A3" w:rsidRDefault="002008A3" w:rsidP="002008A3">
      <w:pPr>
        <w:jc w:val="both"/>
      </w:pPr>
      <w:r>
        <w:t xml:space="preserve">Indeed (2021) </w:t>
      </w:r>
      <w:r w:rsidRPr="00926AB3">
        <w:rPr>
          <w:i/>
          <w:iCs/>
        </w:rPr>
        <w:t>10 Key HR Policies and Procedures Including Examples.</w:t>
      </w:r>
      <w:r>
        <w:t xml:space="preserve"> Available at: </w:t>
      </w:r>
      <w:hyperlink r:id="rId13" w:history="1">
        <w:r w:rsidRPr="00023C76">
          <w:rPr>
            <w:color w:val="0000FF"/>
            <w:u w:val="single"/>
          </w:rPr>
          <w:t>10 Key HR Policies and Procedures Including Examples | Indeed.com UK</w:t>
        </w:r>
      </w:hyperlink>
      <w:r>
        <w:t xml:space="preserve"> </w:t>
      </w:r>
      <w:r w:rsidRPr="007672F3">
        <w:rPr>
          <w:u w:val="single"/>
        </w:rPr>
        <w:t>(</w:t>
      </w:r>
      <w:r w:rsidRPr="00D71522">
        <w:rPr>
          <w:rStyle w:val="Hyperlink"/>
        </w:rPr>
        <w:t xml:space="preserve">Accessed: </w:t>
      </w:r>
      <w:r>
        <w:rPr>
          <w:rStyle w:val="Hyperlink"/>
        </w:rPr>
        <w:t>30</w:t>
      </w:r>
      <w:r w:rsidRPr="00D71522">
        <w:rPr>
          <w:rStyle w:val="Hyperlink"/>
        </w:rPr>
        <w:t xml:space="preserve"> December 2022)</w:t>
      </w:r>
      <w:r>
        <w:rPr>
          <w:rStyle w:val="Hyperlink"/>
        </w:rPr>
        <w:t>.</w:t>
      </w:r>
    </w:p>
    <w:p w14:paraId="08C20FD3" w14:textId="77777777" w:rsidR="002008A3" w:rsidRDefault="002008A3" w:rsidP="002008A3">
      <w:pPr>
        <w:tabs>
          <w:tab w:val="right" w:pos="9026"/>
        </w:tabs>
        <w:jc w:val="both"/>
        <w:rPr>
          <w:rStyle w:val="Hyperlink"/>
        </w:rPr>
      </w:pPr>
      <w:r>
        <w:t xml:space="preserve">Lawson K. (2017) </w:t>
      </w:r>
      <w:r>
        <w:rPr>
          <w:i/>
          <w:iCs/>
        </w:rPr>
        <w:t>How can HR departments use qualitative and quantitative data</w:t>
      </w:r>
      <w:r>
        <w:t xml:space="preserve">? Available at: </w:t>
      </w:r>
      <w:hyperlink r:id="rId14" w:history="1">
        <w:r w:rsidRPr="003A016F">
          <w:rPr>
            <w:color w:val="0000FF"/>
            <w:u w:val="single"/>
          </w:rPr>
          <w:t xml:space="preserve">How Can HR Departments Use Quantitative and Qualitative Data? | </w:t>
        </w:r>
        <w:proofErr w:type="spellStart"/>
        <w:r w:rsidRPr="003A016F">
          <w:rPr>
            <w:color w:val="0000FF"/>
            <w:u w:val="single"/>
          </w:rPr>
          <w:t>Bizfluent</w:t>
        </w:r>
        <w:proofErr w:type="spellEnd"/>
      </w:hyperlink>
      <w:r>
        <w:rPr>
          <w:color w:val="0000FF"/>
          <w:u w:val="single"/>
        </w:rPr>
        <w:t xml:space="preserve"> </w:t>
      </w:r>
      <w:r w:rsidRPr="007672F3">
        <w:rPr>
          <w:u w:val="single"/>
        </w:rPr>
        <w:t>(</w:t>
      </w:r>
      <w:r w:rsidRPr="00D71522">
        <w:rPr>
          <w:rStyle w:val="Hyperlink"/>
        </w:rPr>
        <w:t>Accessed: 2</w:t>
      </w:r>
      <w:r>
        <w:rPr>
          <w:rStyle w:val="Hyperlink"/>
        </w:rPr>
        <w:t>8</w:t>
      </w:r>
      <w:r w:rsidRPr="00D71522">
        <w:rPr>
          <w:rStyle w:val="Hyperlink"/>
        </w:rPr>
        <w:t xml:space="preserve"> December 2022)</w:t>
      </w:r>
      <w:r>
        <w:rPr>
          <w:rStyle w:val="Hyperlink"/>
        </w:rPr>
        <w:t>.</w:t>
      </w:r>
    </w:p>
    <w:p w14:paraId="17E5D5FD" w14:textId="77777777" w:rsidR="002008A3" w:rsidRDefault="002008A3" w:rsidP="002008A3">
      <w:pPr>
        <w:tabs>
          <w:tab w:val="right" w:pos="9026"/>
        </w:tabs>
        <w:jc w:val="both"/>
        <w:rPr>
          <w:color w:val="0000FF"/>
          <w:u w:val="single"/>
        </w:rPr>
      </w:pPr>
      <w:r>
        <w:t xml:space="preserve">Lee, E. (2022) </w:t>
      </w:r>
      <w:r w:rsidRPr="00202623">
        <w:rPr>
          <w:i/>
          <w:iCs/>
        </w:rPr>
        <w:t>What are the HR Policies of a Company?</w:t>
      </w:r>
      <w:r>
        <w:t xml:space="preserve"> Available at: </w:t>
      </w:r>
      <w:hyperlink r:id="rId15" w:history="1">
        <w:r w:rsidRPr="0047156D">
          <w:rPr>
            <w:color w:val="0000FF"/>
            <w:u w:val="single"/>
          </w:rPr>
          <w:t>What are the HR Policies of a Company? | Responsibilities &amp; requirements (cpdonline.co.uk)</w:t>
        </w:r>
      </w:hyperlink>
      <w:r>
        <w:rPr>
          <w:color w:val="0000FF"/>
          <w:u w:val="single"/>
        </w:rPr>
        <w:t xml:space="preserve"> </w:t>
      </w:r>
      <w:r w:rsidRPr="007672F3">
        <w:rPr>
          <w:u w:val="single"/>
        </w:rPr>
        <w:t>(</w:t>
      </w:r>
      <w:r w:rsidRPr="00D71522">
        <w:rPr>
          <w:rStyle w:val="Hyperlink"/>
        </w:rPr>
        <w:t xml:space="preserve">Accessed: </w:t>
      </w:r>
      <w:r>
        <w:rPr>
          <w:rStyle w:val="Hyperlink"/>
        </w:rPr>
        <w:t>30</w:t>
      </w:r>
      <w:r w:rsidRPr="00D71522">
        <w:rPr>
          <w:rStyle w:val="Hyperlink"/>
        </w:rPr>
        <w:t xml:space="preserve"> December 2022)</w:t>
      </w:r>
      <w:r>
        <w:rPr>
          <w:rStyle w:val="Hyperlink"/>
        </w:rPr>
        <w:t>.</w:t>
      </w:r>
    </w:p>
    <w:p w14:paraId="674F178F" w14:textId="77777777" w:rsidR="002008A3" w:rsidRDefault="002008A3" w:rsidP="002008A3">
      <w:pPr>
        <w:tabs>
          <w:tab w:val="right" w:pos="9026"/>
        </w:tabs>
        <w:jc w:val="both"/>
        <w:rPr>
          <w:rStyle w:val="Hyperlink"/>
        </w:rPr>
      </w:pPr>
      <w:r>
        <w:t xml:space="preserve">Loy, B. (2021) </w:t>
      </w:r>
      <w:r w:rsidRPr="00A41553">
        <w:rPr>
          <w:i/>
          <w:iCs/>
        </w:rPr>
        <w:t>HR Metrics: Qualitative &amp; Quantitative Data</w:t>
      </w:r>
      <w:r>
        <w:t xml:space="preserve">. Available at:  </w:t>
      </w:r>
      <w:hyperlink r:id="rId16" w:history="1">
        <w:r w:rsidRPr="00307D6A">
          <w:rPr>
            <w:color w:val="0000FF"/>
            <w:u w:val="single"/>
          </w:rPr>
          <w:t>HR Metrics: Qualitative &amp; Quantitative Data - Video &amp; Lesson Transcript | Study.com</w:t>
        </w:r>
      </w:hyperlink>
      <w:r>
        <w:rPr>
          <w:color w:val="0000FF"/>
          <w:u w:val="single"/>
        </w:rPr>
        <w:t xml:space="preserve"> </w:t>
      </w:r>
      <w:r w:rsidRPr="00D71522">
        <w:rPr>
          <w:rStyle w:val="Hyperlink"/>
        </w:rPr>
        <w:t>(Accessed: 27 December 2022)</w:t>
      </w:r>
      <w:r>
        <w:rPr>
          <w:rStyle w:val="Hyperlink"/>
        </w:rPr>
        <w:t>.</w:t>
      </w:r>
    </w:p>
    <w:p w14:paraId="6047C22E" w14:textId="77777777" w:rsidR="002008A3" w:rsidRDefault="002008A3" w:rsidP="002008A3">
      <w:pPr>
        <w:jc w:val="both"/>
        <w:rPr>
          <w:rStyle w:val="Hyperlink"/>
        </w:rPr>
      </w:pPr>
      <w:r>
        <w:t xml:space="preserve">Miller, B. (2018) </w:t>
      </w:r>
      <w:r w:rsidRPr="00224AE9">
        <w:rPr>
          <w:i/>
          <w:iCs/>
        </w:rPr>
        <w:t>What is Evidence-Based HR?</w:t>
      </w:r>
      <w:r>
        <w:t xml:space="preserve"> Available at: </w:t>
      </w:r>
      <w:hyperlink r:id="rId17" w:history="1">
        <w:r>
          <w:rPr>
            <w:rStyle w:val="Hyperlink"/>
          </w:rPr>
          <w:t>What is Evidence-Based HR? - HR Daily Advisor (blr.com)</w:t>
        </w:r>
      </w:hyperlink>
      <w:r>
        <w:rPr>
          <w:rStyle w:val="Hyperlink"/>
        </w:rPr>
        <w:t xml:space="preserve"> </w:t>
      </w:r>
      <w:r w:rsidRPr="00D71522">
        <w:rPr>
          <w:rStyle w:val="Hyperlink"/>
        </w:rPr>
        <w:t>(Accessed: 27 December 2022)</w:t>
      </w:r>
      <w:r>
        <w:rPr>
          <w:rStyle w:val="Hyperlink"/>
        </w:rPr>
        <w:t>.</w:t>
      </w:r>
    </w:p>
    <w:p w14:paraId="3BF15ADE" w14:textId="77777777" w:rsidR="002008A3" w:rsidRDefault="002008A3" w:rsidP="002008A3">
      <w:pPr>
        <w:tabs>
          <w:tab w:val="right" w:pos="9026"/>
        </w:tabs>
        <w:jc w:val="both"/>
      </w:pPr>
      <w:r>
        <w:t xml:space="preserve">Perrin, O. (2022) </w:t>
      </w:r>
      <w:r w:rsidRPr="000606C5">
        <w:rPr>
          <w:i/>
          <w:iCs/>
        </w:rPr>
        <w:t>How HR Can Shape a Customer Experience Focused Workforce</w:t>
      </w:r>
      <w:r>
        <w:t xml:space="preserve">. Available at: </w:t>
      </w:r>
      <w:hyperlink r:id="rId18" w:history="1">
        <w:r w:rsidRPr="00250925">
          <w:rPr>
            <w:color w:val="0000FF"/>
            <w:u w:val="single"/>
          </w:rPr>
          <w:t xml:space="preserve">How HR Can Shape a Customer Experience Focused Workforce - </w:t>
        </w:r>
        <w:proofErr w:type="spellStart"/>
        <w:r w:rsidRPr="00250925">
          <w:rPr>
            <w:color w:val="0000FF"/>
            <w:u w:val="single"/>
          </w:rPr>
          <w:t>EmployeeConnect</w:t>
        </w:r>
        <w:proofErr w:type="spellEnd"/>
        <w:r w:rsidRPr="00250925">
          <w:rPr>
            <w:color w:val="0000FF"/>
            <w:u w:val="single"/>
          </w:rPr>
          <w:t xml:space="preserve"> HRIS</w:t>
        </w:r>
      </w:hyperlink>
      <w:r>
        <w:rPr>
          <w:color w:val="0000FF"/>
          <w:u w:val="single"/>
        </w:rPr>
        <w:t xml:space="preserve"> </w:t>
      </w:r>
      <w:r w:rsidRPr="007672F3">
        <w:rPr>
          <w:u w:val="single"/>
        </w:rPr>
        <w:t>(</w:t>
      </w:r>
      <w:r w:rsidRPr="00D71522">
        <w:rPr>
          <w:rStyle w:val="Hyperlink"/>
        </w:rPr>
        <w:t xml:space="preserve">Accessed: </w:t>
      </w:r>
      <w:r>
        <w:rPr>
          <w:rStyle w:val="Hyperlink"/>
        </w:rPr>
        <w:t>30</w:t>
      </w:r>
      <w:r w:rsidRPr="00D71522">
        <w:rPr>
          <w:rStyle w:val="Hyperlink"/>
        </w:rPr>
        <w:t xml:space="preserve"> December 2022)</w:t>
      </w:r>
      <w:r>
        <w:rPr>
          <w:rStyle w:val="Hyperlink"/>
        </w:rPr>
        <w:t>.</w:t>
      </w:r>
    </w:p>
    <w:p w14:paraId="3537CFAA" w14:textId="77777777" w:rsidR="002008A3" w:rsidRDefault="002008A3" w:rsidP="002008A3">
      <w:pPr>
        <w:jc w:val="both"/>
      </w:pPr>
      <w:r>
        <w:t xml:space="preserve">12 Reasons Why Data is Important (no date). Available at: </w:t>
      </w:r>
      <w:hyperlink r:id="rId19" w:history="1">
        <w:r>
          <w:rPr>
            <w:rStyle w:val="Hyperlink"/>
          </w:rPr>
          <w:t>12 Reasons Why Data Is Important - The Council on Quality and Leadership (c-q-l.org)</w:t>
        </w:r>
      </w:hyperlink>
      <w:r>
        <w:rPr>
          <w:rStyle w:val="Hyperlink"/>
        </w:rPr>
        <w:t xml:space="preserve"> </w:t>
      </w:r>
      <w:r w:rsidRPr="00D71522">
        <w:rPr>
          <w:rStyle w:val="Hyperlink"/>
        </w:rPr>
        <w:t>(Accessed: 27 December 2022)</w:t>
      </w:r>
      <w:r>
        <w:rPr>
          <w:rStyle w:val="Hyperlink"/>
        </w:rPr>
        <w:t>.</w:t>
      </w:r>
      <w:r>
        <w:tab/>
      </w:r>
    </w:p>
    <w:p w14:paraId="39267E81" w14:textId="77777777" w:rsidR="002008A3" w:rsidRDefault="002008A3" w:rsidP="002008A3">
      <w:pPr>
        <w:tabs>
          <w:tab w:val="right" w:pos="9026"/>
        </w:tabs>
        <w:jc w:val="both"/>
      </w:pPr>
      <w:r w:rsidRPr="0066598D">
        <w:rPr>
          <w:color w:val="000000" w:themeColor="text1"/>
        </w:rPr>
        <w:t>Schaefer</w:t>
      </w:r>
      <w:r>
        <w:rPr>
          <w:color w:val="000000" w:themeColor="text1"/>
        </w:rPr>
        <w:t>,</w:t>
      </w:r>
      <w:r w:rsidRPr="0066598D">
        <w:rPr>
          <w:color w:val="000000" w:themeColor="text1"/>
        </w:rPr>
        <w:t xml:space="preserve"> J</w:t>
      </w:r>
      <w:r>
        <w:rPr>
          <w:color w:val="000000" w:themeColor="text1"/>
        </w:rPr>
        <w:t>.</w:t>
      </w:r>
      <w:r w:rsidRPr="0066598D">
        <w:rPr>
          <w:color w:val="000000" w:themeColor="text1"/>
        </w:rPr>
        <w:t xml:space="preserve"> </w:t>
      </w:r>
      <w:r>
        <w:rPr>
          <w:color w:val="000000" w:themeColor="text1"/>
        </w:rPr>
        <w:t>(</w:t>
      </w:r>
      <w:r w:rsidRPr="0066598D">
        <w:rPr>
          <w:color w:val="000000" w:themeColor="text1"/>
        </w:rPr>
        <w:t>2019</w:t>
      </w:r>
      <w:r w:rsidRPr="00202623">
        <w:rPr>
          <w:i/>
          <w:iCs/>
          <w:color w:val="000000" w:themeColor="text1"/>
        </w:rPr>
        <w:t>) 4 Ways HR Function Can Add Value to the Business</w:t>
      </w:r>
      <w:r>
        <w:rPr>
          <w:color w:val="000000" w:themeColor="text1"/>
        </w:rPr>
        <w:t xml:space="preserve">? Available at: </w:t>
      </w:r>
      <w:r>
        <w:rPr>
          <w:color w:val="0000FF"/>
          <w:u w:val="single"/>
        </w:rPr>
        <w:t xml:space="preserve">  </w:t>
      </w:r>
      <w:hyperlink r:id="rId20" w:history="1">
        <w:r w:rsidRPr="0066598D">
          <w:rPr>
            <w:color w:val="0000FF"/>
            <w:u w:val="single"/>
          </w:rPr>
          <w:t>4 Ways HR Function Can Add Value to the Business? | JS Benefits Group</w:t>
        </w:r>
      </w:hyperlink>
      <w:r>
        <w:rPr>
          <w:color w:val="0000FF"/>
          <w:u w:val="single"/>
        </w:rPr>
        <w:t xml:space="preserve"> </w:t>
      </w:r>
      <w:r w:rsidRPr="007672F3">
        <w:rPr>
          <w:u w:val="single"/>
        </w:rPr>
        <w:t>(</w:t>
      </w:r>
      <w:r w:rsidRPr="00D71522">
        <w:rPr>
          <w:rStyle w:val="Hyperlink"/>
        </w:rPr>
        <w:t xml:space="preserve">Accessed: </w:t>
      </w:r>
      <w:r>
        <w:rPr>
          <w:rStyle w:val="Hyperlink"/>
        </w:rPr>
        <w:t>30</w:t>
      </w:r>
      <w:r w:rsidRPr="00D71522">
        <w:rPr>
          <w:rStyle w:val="Hyperlink"/>
        </w:rPr>
        <w:t xml:space="preserve"> December 2022)</w:t>
      </w:r>
      <w:r>
        <w:rPr>
          <w:rStyle w:val="Hyperlink"/>
        </w:rPr>
        <w:t>.</w:t>
      </w:r>
    </w:p>
    <w:p w14:paraId="14CFFB39" w14:textId="77777777" w:rsidR="002008A3" w:rsidRDefault="002008A3" w:rsidP="002008A3">
      <w:pPr>
        <w:tabs>
          <w:tab w:val="right" w:pos="9026"/>
        </w:tabs>
        <w:jc w:val="both"/>
      </w:pPr>
      <w:r>
        <w:t xml:space="preserve">Smith, S. (2017) </w:t>
      </w:r>
      <w:r>
        <w:rPr>
          <w:i/>
          <w:iCs/>
        </w:rPr>
        <w:t>How can HR departments use qualitative and quantitative data?</w:t>
      </w:r>
      <w:r>
        <w:t xml:space="preserve"> Available at:  </w:t>
      </w:r>
      <w:hyperlink r:id="rId21" w:history="1">
        <w:r w:rsidRPr="003A016F">
          <w:rPr>
            <w:color w:val="0000FF"/>
            <w:u w:val="single"/>
          </w:rPr>
          <w:t>Compare &amp; Contrast Performance Management &amp; Performance Appraisal (pocketpence.co.uk)</w:t>
        </w:r>
      </w:hyperlink>
      <w:r>
        <w:rPr>
          <w:color w:val="0000FF"/>
          <w:u w:val="single"/>
        </w:rPr>
        <w:t xml:space="preserve"> </w:t>
      </w:r>
      <w:r w:rsidRPr="00D71522">
        <w:rPr>
          <w:rStyle w:val="Hyperlink"/>
        </w:rPr>
        <w:t>(Accessed: 2</w:t>
      </w:r>
      <w:r>
        <w:rPr>
          <w:rStyle w:val="Hyperlink"/>
        </w:rPr>
        <w:t>8</w:t>
      </w:r>
      <w:r w:rsidRPr="00D71522">
        <w:rPr>
          <w:rStyle w:val="Hyperlink"/>
        </w:rPr>
        <w:t xml:space="preserve"> December 2022)</w:t>
      </w:r>
      <w:r>
        <w:rPr>
          <w:rStyle w:val="Hyperlink"/>
        </w:rPr>
        <w:t>.</w:t>
      </w:r>
    </w:p>
    <w:p w14:paraId="09E583D1" w14:textId="77777777" w:rsidR="002008A3" w:rsidRDefault="002008A3" w:rsidP="002008A3">
      <w:pPr>
        <w:tabs>
          <w:tab w:val="right" w:pos="9026"/>
        </w:tabs>
        <w:jc w:val="both"/>
      </w:pPr>
      <w:proofErr w:type="spellStart"/>
      <w:r>
        <w:t>Sofiat</w:t>
      </w:r>
      <w:proofErr w:type="spellEnd"/>
      <w:r>
        <w:t xml:space="preserve">, A. (2021) </w:t>
      </w:r>
      <w:r w:rsidRPr="000606C5">
        <w:rPr>
          <w:i/>
          <w:iCs/>
        </w:rPr>
        <w:t>How can we best engage older workers in reskilling efforts?</w:t>
      </w:r>
      <w:r>
        <w:t xml:space="preserve"> Available at: </w:t>
      </w:r>
      <w:hyperlink r:id="rId22" w:history="1">
        <w:r>
          <w:rPr>
            <w:rStyle w:val="Hyperlink"/>
          </w:rPr>
          <w:t>How can we best engage older workers in reskilling efforts? | World Economic Forum (weforum.org)</w:t>
        </w:r>
      </w:hyperlink>
      <w:r>
        <w:rPr>
          <w:rStyle w:val="Hyperlink"/>
        </w:rPr>
        <w:t xml:space="preserve"> </w:t>
      </w:r>
      <w:r w:rsidRPr="007672F3">
        <w:rPr>
          <w:u w:val="single"/>
        </w:rPr>
        <w:t>(</w:t>
      </w:r>
      <w:r w:rsidRPr="00D71522">
        <w:rPr>
          <w:rStyle w:val="Hyperlink"/>
        </w:rPr>
        <w:t xml:space="preserve">Accessed: </w:t>
      </w:r>
      <w:r>
        <w:rPr>
          <w:rStyle w:val="Hyperlink"/>
        </w:rPr>
        <w:t>6 January 2023</w:t>
      </w:r>
      <w:r w:rsidRPr="00D71522">
        <w:rPr>
          <w:rStyle w:val="Hyperlink"/>
        </w:rPr>
        <w:t>)</w:t>
      </w:r>
      <w:r>
        <w:rPr>
          <w:rStyle w:val="Hyperlink"/>
        </w:rPr>
        <w:t>.</w:t>
      </w:r>
    </w:p>
    <w:p w14:paraId="44FE8EB1" w14:textId="77777777" w:rsidR="002008A3" w:rsidRPr="000A2C10" w:rsidRDefault="002008A3" w:rsidP="002008A3">
      <w:pPr>
        <w:jc w:val="both"/>
      </w:pPr>
      <w:r w:rsidRPr="000A2C10">
        <w:t xml:space="preserve">Waite, K., </w:t>
      </w:r>
      <w:proofErr w:type="spellStart"/>
      <w:r w:rsidRPr="000A2C10">
        <w:t>Beevers</w:t>
      </w:r>
      <w:proofErr w:type="spellEnd"/>
      <w:r w:rsidRPr="000A2C10">
        <w:t>, K., Small N., Tomlinson, K. and Hussain, Sh. (2021). People Practice</w:t>
      </w:r>
      <w:r>
        <w:t>. A</w:t>
      </w:r>
      <w:r w:rsidRPr="000A2C10">
        <w:t xml:space="preserve"> </w:t>
      </w:r>
      <w:r w:rsidRPr="007022BF">
        <w:t xml:space="preserve">Complete Guide. </w:t>
      </w:r>
      <w:r w:rsidRPr="000A2C10">
        <w:t>London: Kogan Page.</w:t>
      </w:r>
    </w:p>
    <w:p w14:paraId="74B4E4C1" w14:textId="77777777" w:rsidR="002008A3" w:rsidRDefault="002008A3" w:rsidP="002008A3">
      <w:pPr>
        <w:tabs>
          <w:tab w:val="right" w:pos="9026"/>
        </w:tabs>
        <w:jc w:val="both"/>
      </w:pPr>
    </w:p>
    <w:p w14:paraId="5AB8B2C1" w14:textId="77777777" w:rsidR="002008A3" w:rsidRPr="00D71522" w:rsidRDefault="002008A3" w:rsidP="002008A3">
      <w:pPr>
        <w:jc w:val="both"/>
      </w:pPr>
    </w:p>
    <w:p w14:paraId="4C7CB07B" w14:textId="77777777" w:rsidR="002008A3" w:rsidRDefault="002008A3" w:rsidP="002008A3">
      <w:pPr>
        <w:jc w:val="both"/>
      </w:pPr>
    </w:p>
    <w:p w14:paraId="03B83E1E" w14:textId="77777777" w:rsidR="002008A3" w:rsidRDefault="002008A3" w:rsidP="00A3114A">
      <w:pPr>
        <w:tabs>
          <w:tab w:val="left" w:pos="3153"/>
        </w:tabs>
        <w:jc w:val="both"/>
      </w:pPr>
    </w:p>
    <w:p w14:paraId="0289F522" w14:textId="77777777" w:rsidR="002008A3" w:rsidRPr="00A2139A" w:rsidRDefault="002008A3" w:rsidP="00A3114A">
      <w:pPr>
        <w:tabs>
          <w:tab w:val="left" w:pos="3153"/>
        </w:tabs>
        <w:jc w:val="both"/>
      </w:pPr>
    </w:p>
    <w:sectPr w:rsidR="002008A3" w:rsidRPr="00A2139A" w:rsidSect="00E64A0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25311"/>
    <w:multiLevelType w:val="hybridMultilevel"/>
    <w:tmpl w:val="E9BA37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8117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B2F"/>
    <w:rsid w:val="00000BED"/>
    <w:rsid w:val="00013DA3"/>
    <w:rsid w:val="00056BAE"/>
    <w:rsid w:val="000701F9"/>
    <w:rsid w:val="00070E97"/>
    <w:rsid w:val="000744A2"/>
    <w:rsid w:val="000771A0"/>
    <w:rsid w:val="00093400"/>
    <w:rsid w:val="000C6F34"/>
    <w:rsid w:val="000E54BD"/>
    <w:rsid w:val="0011741C"/>
    <w:rsid w:val="001541C2"/>
    <w:rsid w:val="001925BC"/>
    <w:rsid w:val="00196F6A"/>
    <w:rsid w:val="001A0C09"/>
    <w:rsid w:val="001A7305"/>
    <w:rsid w:val="001E3897"/>
    <w:rsid w:val="001F363D"/>
    <w:rsid w:val="002008A3"/>
    <w:rsid w:val="0021318B"/>
    <w:rsid w:val="002207DE"/>
    <w:rsid w:val="00254AEC"/>
    <w:rsid w:val="00255657"/>
    <w:rsid w:val="002807AC"/>
    <w:rsid w:val="002862A6"/>
    <w:rsid w:val="00295BB4"/>
    <w:rsid w:val="00297E48"/>
    <w:rsid w:val="002A0F56"/>
    <w:rsid w:val="002B0A4A"/>
    <w:rsid w:val="002B5800"/>
    <w:rsid w:val="002C7F1C"/>
    <w:rsid w:val="002F09C2"/>
    <w:rsid w:val="002F19A7"/>
    <w:rsid w:val="003379C1"/>
    <w:rsid w:val="003525BE"/>
    <w:rsid w:val="003B1382"/>
    <w:rsid w:val="003E7202"/>
    <w:rsid w:val="003F1226"/>
    <w:rsid w:val="003F2313"/>
    <w:rsid w:val="00415620"/>
    <w:rsid w:val="0042001B"/>
    <w:rsid w:val="004241AC"/>
    <w:rsid w:val="004251F1"/>
    <w:rsid w:val="004374A6"/>
    <w:rsid w:val="00442AE0"/>
    <w:rsid w:val="004518F8"/>
    <w:rsid w:val="00452DBB"/>
    <w:rsid w:val="00460C3C"/>
    <w:rsid w:val="004639D4"/>
    <w:rsid w:val="00485C92"/>
    <w:rsid w:val="00496F87"/>
    <w:rsid w:val="004A6D67"/>
    <w:rsid w:val="004E4400"/>
    <w:rsid w:val="004F58CA"/>
    <w:rsid w:val="004F7B51"/>
    <w:rsid w:val="0050203C"/>
    <w:rsid w:val="005050E9"/>
    <w:rsid w:val="00510804"/>
    <w:rsid w:val="00525646"/>
    <w:rsid w:val="0052655B"/>
    <w:rsid w:val="005267BE"/>
    <w:rsid w:val="00576B1E"/>
    <w:rsid w:val="00576FF8"/>
    <w:rsid w:val="005938E0"/>
    <w:rsid w:val="005A2FC0"/>
    <w:rsid w:val="005A6F59"/>
    <w:rsid w:val="005C50F3"/>
    <w:rsid w:val="005F14EB"/>
    <w:rsid w:val="005F6AD8"/>
    <w:rsid w:val="006A6379"/>
    <w:rsid w:val="007005B8"/>
    <w:rsid w:val="00706556"/>
    <w:rsid w:val="007165C4"/>
    <w:rsid w:val="0075777E"/>
    <w:rsid w:val="00773333"/>
    <w:rsid w:val="00794170"/>
    <w:rsid w:val="00794E97"/>
    <w:rsid w:val="00827B09"/>
    <w:rsid w:val="008400FE"/>
    <w:rsid w:val="00845E69"/>
    <w:rsid w:val="00846B2F"/>
    <w:rsid w:val="00847008"/>
    <w:rsid w:val="00883105"/>
    <w:rsid w:val="0089090B"/>
    <w:rsid w:val="008D563C"/>
    <w:rsid w:val="009149E1"/>
    <w:rsid w:val="009211AB"/>
    <w:rsid w:val="0096636C"/>
    <w:rsid w:val="00976F0B"/>
    <w:rsid w:val="009A3197"/>
    <w:rsid w:val="009D317C"/>
    <w:rsid w:val="009E00DF"/>
    <w:rsid w:val="009E1C6F"/>
    <w:rsid w:val="00A01B52"/>
    <w:rsid w:val="00A11CF3"/>
    <w:rsid w:val="00A207BE"/>
    <w:rsid w:val="00A2139A"/>
    <w:rsid w:val="00A3114A"/>
    <w:rsid w:val="00A31923"/>
    <w:rsid w:val="00A407BB"/>
    <w:rsid w:val="00A41B08"/>
    <w:rsid w:val="00A52210"/>
    <w:rsid w:val="00A85916"/>
    <w:rsid w:val="00A926C3"/>
    <w:rsid w:val="00A92F78"/>
    <w:rsid w:val="00AC0622"/>
    <w:rsid w:val="00AF3329"/>
    <w:rsid w:val="00AF4CBC"/>
    <w:rsid w:val="00B07CE1"/>
    <w:rsid w:val="00B665B0"/>
    <w:rsid w:val="00B7643F"/>
    <w:rsid w:val="00B772F7"/>
    <w:rsid w:val="00B97725"/>
    <w:rsid w:val="00C0407D"/>
    <w:rsid w:val="00C24C8A"/>
    <w:rsid w:val="00C32116"/>
    <w:rsid w:val="00C91149"/>
    <w:rsid w:val="00C92D7C"/>
    <w:rsid w:val="00CD6357"/>
    <w:rsid w:val="00CE4E3C"/>
    <w:rsid w:val="00D0584F"/>
    <w:rsid w:val="00D42C26"/>
    <w:rsid w:val="00D62C2C"/>
    <w:rsid w:val="00D67FF9"/>
    <w:rsid w:val="00D80F2F"/>
    <w:rsid w:val="00D92B26"/>
    <w:rsid w:val="00DB5778"/>
    <w:rsid w:val="00DD539A"/>
    <w:rsid w:val="00DE57A7"/>
    <w:rsid w:val="00E43D3F"/>
    <w:rsid w:val="00E55CFB"/>
    <w:rsid w:val="00E64A0D"/>
    <w:rsid w:val="00E75020"/>
    <w:rsid w:val="00EB5768"/>
    <w:rsid w:val="00ED4750"/>
    <w:rsid w:val="00EF0B9F"/>
    <w:rsid w:val="00F16025"/>
    <w:rsid w:val="00F47C23"/>
    <w:rsid w:val="00F71304"/>
    <w:rsid w:val="00F755AE"/>
    <w:rsid w:val="00F90698"/>
    <w:rsid w:val="00FD33D2"/>
    <w:rsid w:val="00FD794A"/>
    <w:rsid w:val="00FE6964"/>
    <w:rsid w:val="00FE70F6"/>
    <w:rsid w:val="00FF4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51FD6"/>
  <w15:chartTrackingRefBased/>
  <w15:docId w15:val="{CB49D85F-67FD-4359-BE05-C24B1CC3D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539A"/>
    <w:pPr>
      <w:ind w:left="720"/>
      <w:contextualSpacing/>
    </w:pPr>
  </w:style>
  <w:style w:type="character" w:styleId="Hyperlink">
    <w:name w:val="Hyperlink"/>
    <w:basedOn w:val="DefaultParagraphFont"/>
    <w:uiPriority w:val="99"/>
    <w:semiHidden/>
    <w:unhideWhenUsed/>
    <w:rsid w:val="002008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Images/avoiding-the-demographic-crunch-labour-supply-and-ageing-workforce_tcm18-10235.pdf" TargetMode="External"/><Relationship Id="rId13" Type="http://schemas.openxmlformats.org/officeDocument/2006/relationships/hyperlink" Target="https://uk.indeed.com/career-advice/career-development/hr-policies" TargetMode="External"/><Relationship Id="rId18" Type="http://schemas.openxmlformats.org/officeDocument/2006/relationships/hyperlink" Target="https://www.employeeconnect.com/blog/hr-can-shape-customer-experience-focused-workforce/" TargetMode="External"/><Relationship Id="rId3" Type="http://schemas.openxmlformats.org/officeDocument/2006/relationships/settings" Target="settings.xml"/><Relationship Id="rId21" Type="http://schemas.openxmlformats.org/officeDocument/2006/relationships/hyperlink" Target="https://www.pocketpence.co.uk/compare-performance-management-performance-appraisal-8110768.html" TargetMode="External"/><Relationship Id="rId7" Type="http://schemas.openxmlformats.org/officeDocument/2006/relationships/hyperlink" Target="https://www.insidehr.com.au/10-steps-to-building-a-customer-focused-culture/" TargetMode="External"/><Relationship Id="rId12" Type="http://schemas.openxmlformats.org/officeDocument/2006/relationships/hyperlink" Target="https://realbusiness.co.uk/hr-add-value" TargetMode="External"/><Relationship Id="rId17" Type="http://schemas.openxmlformats.org/officeDocument/2006/relationships/hyperlink" Target="https://hrdailyadvisor.blr.com/2017/09/29/evidence-based-hr/" TargetMode="External"/><Relationship Id="rId2" Type="http://schemas.openxmlformats.org/officeDocument/2006/relationships/styles" Target="styles.xml"/><Relationship Id="rId16" Type="http://schemas.openxmlformats.org/officeDocument/2006/relationships/hyperlink" Target="https://study.com/academy/lesson/hr-metrics-qualitative-quantitative-data.html" TargetMode="External"/><Relationship Id="rId20" Type="http://schemas.openxmlformats.org/officeDocument/2006/relationships/hyperlink" Target="https://jsbenefitsgroup.com/4-ways-hr-function-can-add-value-to-the-business/" TargetMode="Externa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hyperlink" Target="https://www.cipd.co.uk/knowledge/fundamentals/people/hr/policies-factsheet" TargetMode="External"/><Relationship Id="rId24" Type="http://schemas.openxmlformats.org/officeDocument/2006/relationships/theme" Target="theme/theme1.xml"/><Relationship Id="rId5" Type="http://schemas.openxmlformats.org/officeDocument/2006/relationships/chart" Target="charts/chart1.xml"/><Relationship Id="rId15" Type="http://schemas.openxmlformats.org/officeDocument/2006/relationships/hyperlink" Target="https://cpdonline.co.uk/knowledge-base/business/hr-policies-company/" TargetMode="External"/><Relationship Id="rId23" Type="http://schemas.openxmlformats.org/officeDocument/2006/relationships/fontTable" Target="fontTable.xml"/><Relationship Id="rId10" Type="http://schemas.openxmlformats.org/officeDocument/2006/relationships/hyperlink" Target="https://www.shrm.org/resourcesandtools/hr-topics/behavioral-competencies/pages/three-key-tools-for-collecting-qualitative-data.aspx" TargetMode="External"/><Relationship Id="rId19" Type="http://schemas.openxmlformats.org/officeDocument/2006/relationships/hyperlink" Target="https://www.c-q-l.org/resources/guides/12-reasons-why-data-is-important/" TargetMode="External"/><Relationship Id="rId4" Type="http://schemas.openxmlformats.org/officeDocument/2006/relationships/webSettings" Target="webSettings.xml"/><Relationship Id="rId9" Type="http://schemas.openxmlformats.org/officeDocument/2006/relationships/hyperlink" Target="https://www.cipd.co.uk/knowledge/strategy/analytics/evidence-based-practice-factsheet" TargetMode="External"/><Relationship Id="rId14" Type="http://schemas.openxmlformats.org/officeDocument/2006/relationships/hyperlink" Target="https://bizfluent.com/info-10035314-can-hr-departments-use-quantitative-qualitative-data.html" TargetMode="External"/><Relationship Id="rId22" Type="http://schemas.openxmlformats.org/officeDocument/2006/relationships/hyperlink" Target="https://www.weforum.org/agenda/2021/05/how-can-we-engage-older-workers-in-reskilling-efforts-jobs-reset-summit-ageing-workforce-longevity-upskilling/"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 percentage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Sheet1!$B$15:$C$15</c:f>
              <c:strCache>
                <c:ptCount val="2"/>
                <c:pt idx="0">
                  <c:v>Department C</c:v>
                </c:pt>
                <c:pt idx="1">
                  <c:v>172</c:v>
                </c:pt>
              </c:strCache>
            </c:strRef>
          </c:tx>
          <c:spPr>
            <a:solidFill>
              <a:schemeClr val="accent1"/>
            </a:solidFill>
            <a:ln>
              <a:noFill/>
            </a:ln>
            <a:effectLst/>
          </c:spPr>
          <c:invertIfNegative val="0"/>
          <c:cat>
            <c:multiLvlStrRef>
              <c:f>Sheet1!$D$13:$J$14</c:f>
              <c:multiLvlStrCache>
                <c:ptCount val="7"/>
                <c:lvl>
                  <c:pt idx="0">
                    <c:v>16 -25 </c:v>
                  </c:pt>
                  <c:pt idx="1">
                    <c:v>26 - 35</c:v>
                  </c:pt>
                  <c:pt idx="2">
                    <c:v>36 - 45 </c:v>
                  </c:pt>
                  <c:pt idx="3">
                    <c:v>46 - 55</c:v>
                  </c:pt>
                  <c:pt idx="4">
                    <c:v>56 - 65 </c:v>
                  </c:pt>
                  <c:pt idx="5">
                    <c:v> 66 - 75</c:v>
                  </c:pt>
                  <c:pt idx="6">
                    <c:v>76 - 80</c:v>
                  </c:pt>
                </c:lvl>
                <c:lvl>
                  <c:pt idx="0">
                    <c:v>Age </c:v>
                  </c:pt>
                  <c:pt idx="1">
                    <c:v>Age </c:v>
                  </c:pt>
                  <c:pt idx="2">
                    <c:v>Age </c:v>
                  </c:pt>
                  <c:pt idx="3">
                    <c:v>Age </c:v>
                  </c:pt>
                  <c:pt idx="4">
                    <c:v>Age </c:v>
                  </c:pt>
                  <c:pt idx="5">
                    <c:v>Age </c:v>
                  </c:pt>
                  <c:pt idx="6">
                    <c:v>Age </c:v>
                  </c:pt>
                </c:lvl>
              </c:multiLvlStrCache>
            </c:multiLvlStrRef>
          </c:cat>
          <c:val>
            <c:numRef>
              <c:f>Sheet1!$D$15:$J$15</c:f>
              <c:numCache>
                <c:formatCode>0.0%</c:formatCode>
                <c:ptCount val="7"/>
                <c:pt idx="0">
                  <c:v>0.18604651162790697</c:v>
                </c:pt>
                <c:pt idx="1">
                  <c:v>6.9767441860465115E-2</c:v>
                </c:pt>
                <c:pt idx="2">
                  <c:v>0.18604651162790697</c:v>
                </c:pt>
                <c:pt idx="3">
                  <c:v>0.15697674418604651</c:v>
                </c:pt>
                <c:pt idx="4">
                  <c:v>0.29651162790697677</c:v>
                </c:pt>
                <c:pt idx="5">
                  <c:v>9.8837209302325577E-2</c:v>
                </c:pt>
                <c:pt idx="6">
                  <c:v>5.8139534883720929E-3</c:v>
                </c:pt>
              </c:numCache>
            </c:numRef>
          </c:val>
          <c:extLst>
            <c:ext xmlns:c16="http://schemas.microsoft.com/office/drawing/2014/chart" uri="{C3380CC4-5D6E-409C-BE32-E72D297353CC}">
              <c16:uniqueId val="{00000000-C13E-400A-80E1-8322E6DC6C5A}"/>
            </c:ext>
          </c:extLst>
        </c:ser>
        <c:ser>
          <c:idx val="1"/>
          <c:order val="1"/>
          <c:tx>
            <c:strRef>
              <c:f>Sheet1!$B$16:$C$16</c:f>
              <c:strCache>
                <c:ptCount val="2"/>
                <c:pt idx="0">
                  <c:v>Department D</c:v>
                </c:pt>
                <c:pt idx="1">
                  <c:v>90</c:v>
                </c:pt>
              </c:strCache>
            </c:strRef>
          </c:tx>
          <c:spPr>
            <a:solidFill>
              <a:schemeClr val="accent2"/>
            </a:solidFill>
            <a:ln>
              <a:noFill/>
            </a:ln>
            <a:effectLst/>
          </c:spPr>
          <c:invertIfNegative val="0"/>
          <c:cat>
            <c:multiLvlStrRef>
              <c:f>Sheet1!$D$13:$J$14</c:f>
              <c:multiLvlStrCache>
                <c:ptCount val="7"/>
                <c:lvl>
                  <c:pt idx="0">
                    <c:v>16 -25 </c:v>
                  </c:pt>
                  <c:pt idx="1">
                    <c:v>26 - 35</c:v>
                  </c:pt>
                  <c:pt idx="2">
                    <c:v>36 - 45 </c:v>
                  </c:pt>
                  <c:pt idx="3">
                    <c:v>46 - 55</c:v>
                  </c:pt>
                  <c:pt idx="4">
                    <c:v>56 - 65 </c:v>
                  </c:pt>
                  <c:pt idx="5">
                    <c:v> 66 - 75</c:v>
                  </c:pt>
                  <c:pt idx="6">
                    <c:v>76 - 80</c:v>
                  </c:pt>
                </c:lvl>
                <c:lvl>
                  <c:pt idx="0">
                    <c:v>Age </c:v>
                  </c:pt>
                  <c:pt idx="1">
                    <c:v>Age </c:v>
                  </c:pt>
                  <c:pt idx="2">
                    <c:v>Age </c:v>
                  </c:pt>
                  <c:pt idx="3">
                    <c:v>Age </c:v>
                  </c:pt>
                  <c:pt idx="4">
                    <c:v>Age </c:v>
                  </c:pt>
                  <c:pt idx="5">
                    <c:v>Age </c:v>
                  </c:pt>
                  <c:pt idx="6">
                    <c:v>Age </c:v>
                  </c:pt>
                </c:lvl>
              </c:multiLvlStrCache>
            </c:multiLvlStrRef>
          </c:cat>
          <c:val>
            <c:numRef>
              <c:f>Sheet1!$D$16:$J$16</c:f>
              <c:numCache>
                <c:formatCode>0.0%</c:formatCode>
                <c:ptCount val="7"/>
                <c:pt idx="0">
                  <c:v>0</c:v>
                </c:pt>
                <c:pt idx="1">
                  <c:v>2.2222222222222223E-2</c:v>
                </c:pt>
                <c:pt idx="2">
                  <c:v>4.4444444444444446E-2</c:v>
                </c:pt>
                <c:pt idx="3">
                  <c:v>0.1</c:v>
                </c:pt>
                <c:pt idx="4">
                  <c:v>0.22222222222222221</c:v>
                </c:pt>
                <c:pt idx="5">
                  <c:v>0.61111111111111116</c:v>
                </c:pt>
                <c:pt idx="6">
                  <c:v>0</c:v>
                </c:pt>
              </c:numCache>
            </c:numRef>
          </c:val>
          <c:extLst>
            <c:ext xmlns:c16="http://schemas.microsoft.com/office/drawing/2014/chart" uri="{C3380CC4-5D6E-409C-BE32-E72D297353CC}">
              <c16:uniqueId val="{00000001-C13E-400A-80E1-8322E6DC6C5A}"/>
            </c:ext>
          </c:extLst>
        </c:ser>
        <c:dLbls>
          <c:showLegendKey val="0"/>
          <c:showVal val="0"/>
          <c:showCatName val="0"/>
          <c:showSerName val="0"/>
          <c:showPercent val="0"/>
          <c:showBubbleSize val="0"/>
        </c:dLbls>
        <c:gapWidth val="219"/>
        <c:overlap val="-27"/>
        <c:axId val="1038291759"/>
        <c:axId val="1038293423"/>
      </c:barChart>
      <c:catAx>
        <c:axId val="10382917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8293423"/>
        <c:crosses val="autoZero"/>
        <c:auto val="1"/>
        <c:lblAlgn val="ctr"/>
        <c:lblOffset val="100"/>
        <c:noMultiLvlLbl val="0"/>
      </c:catAx>
      <c:valAx>
        <c:axId val="1038293423"/>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82917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 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Sheet1!$B$15:$C$15</c:f>
              <c:strCache>
                <c:ptCount val="2"/>
                <c:pt idx="0">
                  <c:v>Department C</c:v>
                </c:pt>
                <c:pt idx="1">
                  <c:v>172</c:v>
                </c:pt>
              </c:strCache>
            </c:strRef>
          </c:tx>
          <c:spPr>
            <a:ln w="28575" cap="rnd">
              <a:solidFill>
                <a:schemeClr val="accent1"/>
              </a:solidFill>
              <a:round/>
            </a:ln>
            <a:effectLst/>
          </c:spPr>
          <c:marker>
            <c:symbol val="none"/>
          </c:marker>
          <c:cat>
            <c:multiLvlStrRef>
              <c:f>Sheet1!$D$13:$J$14</c:f>
              <c:multiLvlStrCache>
                <c:ptCount val="7"/>
                <c:lvl>
                  <c:pt idx="0">
                    <c:v>16 -25 </c:v>
                  </c:pt>
                  <c:pt idx="1">
                    <c:v>26 - 35</c:v>
                  </c:pt>
                  <c:pt idx="2">
                    <c:v>36 - 45 </c:v>
                  </c:pt>
                  <c:pt idx="3">
                    <c:v>46 - 55</c:v>
                  </c:pt>
                  <c:pt idx="4">
                    <c:v>56 - 65 </c:v>
                  </c:pt>
                  <c:pt idx="5">
                    <c:v> 66 - 75</c:v>
                  </c:pt>
                  <c:pt idx="6">
                    <c:v>76 - 80</c:v>
                  </c:pt>
                </c:lvl>
                <c:lvl>
                  <c:pt idx="0">
                    <c:v>Age </c:v>
                  </c:pt>
                  <c:pt idx="1">
                    <c:v>Age </c:v>
                  </c:pt>
                  <c:pt idx="2">
                    <c:v>Age </c:v>
                  </c:pt>
                  <c:pt idx="3">
                    <c:v>Age </c:v>
                  </c:pt>
                  <c:pt idx="4">
                    <c:v>Age </c:v>
                  </c:pt>
                  <c:pt idx="5">
                    <c:v>Age </c:v>
                  </c:pt>
                  <c:pt idx="6">
                    <c:v>Age </c:v>
                  </c:pt>
                </c:lvl>
              </c:multiLvlStrCache>
            </c:multiLvlStrRef>
          </c:cat>
          <c:val>
            <c:numRef>
              <c:f>Sheet1!$D$15:$J$15</c:f>
              <c:numCache>
                <c:formatCode>0.0%</c:formatCode>
                <c:ptCount val="7"/>
                <c:pt idx="0">
                  <c:v>0.18604651162790697</c:v>
                </c:pt>
                <c:pt idx="1">
                  <c:v>6.9767441860465115E-2</c:v>
                </c:pt>
                <c:pt idx="2">
                  <c:v>0.18604651162790697</c:v>
                </c:pt>
                <c:pt idx="3">
                  <c:v>0.15697674418604651</c:v>
                </c:pt>
                <c:pt idx="4">
                  <c:v>0.29651162790697677</c:v>
                </c:pt>
                <c:pt idx="5">
                  <c:v>9.8837209302325577E-2</c:v>
                </c:pt>
                <c:pt idx="6">
                  <c:v>5.8139534883720929E-3</c:v>
                </c:pt>
              </c:numCache>
            </c:numRef>
          </c:val>
          <c:smooth val="0"/>
          <c:extLst>
            <c:ext xmlns:c16="http://schemas.microsoft.com/office/drawing/2014/chart" uri="{C3380CC4-5D6E-409C-BE32-E72D297353CC}">
              <c16:uniqueId val="{00000000-1BAA-4823-86A5-1C554FF17CEB}"/>
            </c:ext>
          </c:extLst>
        </c:ser>
        <c:ser>
          <c:idx val="1"/>
          <c:order val="1"/>
          <c:tx>
            <c:strRef>
              <c:f>Sheet1!$B$16:$C$16</c:f>
              <c:strCache>
                <c:ptCount val="2"/>
                <c:pt idx="0">
                  <c:v>Department D</c:v>
                </c:pt>
                <c:pt idx="1">
                  <c:v>90</c:v>
                </c:pt>
              </c:strCache>
            </c:strRef>
          </c:tx>
          <c:spPr>
            <a:ln w="28575" cap="rnd">
              <a:solidFill>
                <a:schemeClr val="accent2"/>
              </a:solidFill>
              <a:round/>
            </a:ln>
            <a:effectLst/>
          </c:spPr>
          <c:marker>
            <c:symbol val="none"/>
          </c:marker>
          <c:cat>
            <c:multiLvlStrRef>
              <c:f>Sheet1!$D$13:$J$14</c:f>
              <c:multiLvlStrCache>
                <c:ptCount val="7"/>
                <c:lvl>
                  <c:pt idx="0">
                    <c:v>16 -25 </c:v>
                  </c:pt>
                  <c:pt idx="1">
                    <c:v>26 - 35</c:v>
                  </c:pt>
                  <c:pt idx="2">
                    <c:v>36 - 45 </c:v>
                  </c:pt>
                  <c:pt idx="3">
                    <c:v>46 - 55</c:v>
                  </c:pt>
                  <c:pt idx="4">
                    <c:v>56 - 65 </c:v>
                  </c:pt>
                  <c:pt idx="5">
                    <c:v> 66 - 75</c:v>
                  </c:pt>
                  <c:pt idx="6">
                    <c:v>76 - 80</c:v>
                  </c:pt>
                </c:lvl>
                <c:lvl>
                  <c:pt idx="0">
                    <c:v>Age </c:v>
                  </c:pt>
                  <c:pt idx="1">
                    <c:v>Age </c:v>
                  </c:pt>
                  <c:pt idx="2">
                    <c:v>Age </c:v>
                  </c:pt>
                  <c:pt idx="3">
                    <c:v>Age </c:v>
                  </c:pt>
                  <c:pt idx="4">
                    <c:v>Age </c:v>
                  </c:pt>
                  <c:pt idx="5">
                    <c:v>Age </c:v>
                  </c:pt>
                  <c:pt idx="6">
                    <c:v>Age </c:v>
                  </c:pt>
                </c:lvl>
              </c:multiLvlStrCache>
            </c:multiLvlStrRef>
          </c:cat>
          <c:val>
            <c:numRef>
              <c:f>Sheet1!$D$16:$J$16</c:f>
              <c:numCache>
                <c:formatCode>0.0%</c:formatCode>
                <c:ptCount val="7"/>
                <c:pt idx="0">
                  <c:v>0</c:v>
                </c:pt>
                <c:pt idx="1">
                  <c:v>2.2222222222222223E-2</c:v>
                </c:pt>
                <c:pt idx="2">
                  <c:v>4.4444444444444446E-2</c:v>
                </c:pt>
                <c:pt idx="3">
                  <c:v>0.1</c:v>
                </c:pt>
                <c:pt idx="4">
                  <c:v>0.22222222222222221</c:v>
                </c:pt>
                <c:pt idx="5">
                  <c:v>0.61111111111111116</c:v>
                </c:pt>
                <c:pt idx="6">
                  <c:v>0</c:v>
                </c:pt>
              </c:numCache>
            </c:numRef>
          </c:val>
          <c:smooth val="0"/>
          <c:extLst>
            <c:ext xmlns:c16="http://schemas.microsoft.com/office/drawing/2014/chart" uri="{C3380CC4-5D6E-409C-BE32-E72D297353CC}">
              <c16:uniqueId val="{00000001-1BAA-4823-86A5-1C554FF17CEB}"/>
            </c:ext>
          </c:extLst>
        </c:ser>
        <c:dLbls>
          <c:showLegendKey val="0"/>
          <c:showVal val="0"/>
          <c:showCatName val="0"/>
          <c:showSerName val="0"/>
          <c:showPercent val="0"/>
          <c:showBubbleSize val="0"/>
        </c:dLbls>
        <c:smooth val="0"/>
        <c:axId val="66856911"/>
        <c:axId val="66859407"/>
      </c:lineChart>
      <c:catAx>
        <c:axId val="668569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859407"/>
        <c:crosses val="autoZero"/>
        <c:auto val="1"/>
        <c:lblAlgn val="ctr"/>
        <c:lblOffset val="100"/>
        <c:noMultiLvlLbl val="0"/>
      </c:catAx>
      <c:valAx>
        <c:axId val="66859407"/>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8569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1061</TotalTime>
  <Pages>7</Pages>
  <Words>3240</Words>
  <Characters>17437</Characters>
  <Application>Microsoft Office Word</Application>
  <DocSecurity>0</DocSecurity>
  <Lines>1089</Lines>
  <Paragraphs>574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pszymczyk87@gmail.com</dc:creator>
  <cp:keywords/>
  <dc:description/>
  <cp:lastModifiedBy>pszymczyk87@gmail.com</cp:lastModifiedBy>
  <cp:revision>73</cp:revision>
  <dcterms:created xsi:type="dcterms:W3CDTF">2022-12-28T12:20:00Z</dcterms:created>
  <dcterms:modified xsi:type="dcterms:W3CDTF">2023-02-03T21:34:00Z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a24b2035661f73b75f919f777fa7db80fad8a013bb5df8305cafbddbce7339b3</vt:lpwstr>
  </property>
</Properties>
</file>