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C9AB7" w14:textId="216C0F87" w:rsidR="0029652C" w:rsidRPr="0029652C" w:rsidRDefault="0029652C" w:rsidP="0029652C">
      <w:pPr>
        <w:spacing w:line="360" w:lineRule="auto"/>
        <w:jc w:val="center"/>
        <w:rPr>
          <w:rFonts w:ascii="Arial" w:hAnsi="Arial" w:cs="Arial"/>
          <w:sz w:val="24"/>
          <w:szCs w:val="24"/>
        </w:rPr>
      </w:pPr>
      <w:r w:rsidRPr="0029652C">
        <w:rPr>
          <w:rFonts w:ascii="Arial" w:hAnsi="Arial" w:cs="Arial"/>
          <w:sz w:val="24"/>
          <w:szCs w:val="24"/>
        </w:rPr>
        <w:t>How to engage employees (Generation Ys or Generation Zs) throughout the employee lifecycle?</w:t>
      </w:r>
    </w:p>
    <w:p w14:paraId="4E3E0ED2" w14:textId="7D3A0905" w:rsidR="0029652C" w:rsidRDefault="0029652C" w:rsidP="0029652C">
      <w:pPr>
        <w:spacing w:line="360" w:lineRule="auto"/>
        <w:jc w:val="both"/>
        <w:rPr>
          <w:rFonts w:ascii="Arial" w:hAnsi="Arial" w:cs="Arial"/>
          <w:sz w:val="24"/>
          <w:szCs w:val="24"/>
        </w:rPr>
      </w:pPr>
    </w:p>
    <w:p w14:paraId="3678F1EA" w14:textId="58E56377" w:rsidR="00C61C99" w:rsidRDefault="00C61C99" w:rsidP="0029652C">
      <w:pPr>
        <w:spacing w:line="360" w:lineRule="auto"/>
        <w:jc w:val="both"/>
        <w:rPr>
          <w:rFonts w:ascii="Arial" w:hAnsi="Arial" w:cs="Arial"/>
          <w:sz w:val="24"/>
          <w:szCs w:val="24"/>
        </w:rPr>
      </w:pPr>
    </w:p>
    <w:p w14:paraId="7325B4AD" w14:textId="77777777" w:rsidR="00C61C99" w:rsidRDefault="00C61C99" w:rsidP="0029652C">
      <w:pPr>
        <w:spacing w:line="360" w:lineRule="auto"/>
        <w:jc w:val="both"/>
        <w:rPr>
          <w:rFonts w:ascii="Arial" w:hAnsi="Arial" w:cs="Arial"/>
          <w:sz w:val="24"/>
          <w:szCs w:val="24"/>
        </w:rPr>
      </w:pPr>
    </w:p>
    <w:p w14:paraId="41189822" w14:textId="14B49921" w:rsidR="0029652C" w:rsidRDefault="0029652C" w:rsidP="0029652C">
      <w:pPr>
        <w:spacing w:line="360" w:lineRule="auto"/>
        <w:jc w:val="both"/>
        <w:rPr>
          <w:rFonts w:ascii="Arial" w:hAnsi="Arial" w:cs="Arial"/>
          <w:sz w:val="24"/>
          <w:szCs w:val="24"/>
        </w:rPr>
      </w:pPr>
      <w:r>
        <w:rPr>
          <w:rFonts w:ascii="Arial" w:hAnsi="Arial" w:cs="Arial"/>
          <w:sz w:val="24"/>
          <w:szCs w:val="24"/>
        </w:rPr>
        <w:t>Student Name: Kinga Torok</w:t>
      </w:r>
    </w:p>
    <w:p w14:paraId="45B65ADD" w14:textId="6F6348B3" w:rsidR="0029652C" w:rsidRDefault="0029652C" w:rsidP="0029652C">
      <w:pPr>
        <w:spacing w:line="360" w:lineRule="auto"/>
        <w:jc w:val="both"/>
        <w:rPr>
          <w:rFonts w:ascii="Arial" w:hAnsi="Arial" w:cs="Arial"/>
          <w:sz w:val="24"/>
          <w:szCs w:val="24"/>
        </w:rPr>
      </w:pPr>
      <w:r>
        <w:rPr>
          <w:rFonts w:ascii="Arial" w:hAnsi="Arial" w:cs="Arial"/>
          <w:sz w:val="24"/>
          <w:szCs w:val="24"/>
        </w:rPr>
        <w:t>Student no: 2211429</w:t>
      </w:r>
    </w:p>
    <w:p w14:paraId="37E8AD69" w14:textId="190A3E99" w:rsidR="0029652C" w:rsidRDefault="0029652C" w:rsidP="0029652C">
      <w:pPr>
        <w:spacing w:line="360" w:lineRule="auto"/>
        <w:jc w:val="both"/>
        <w:rPr>
          <w:rFonts w:ascii="Arial" w:hAnsi="Arial" w:cs="Arial"/>
          <w:sz w:val="24"/>
          <w:szCs w:val="24"/>
        </w:rPr>
      </w:pPr>
      <w:r>
        <w:rPr>
          <w:rFonts w:ascii="Arial" w:hAnsi="Arial" w:cs="Arial"/>
          <w:sz w:val="24"/>
          <w:szCs w:val="24"/>
        </w:rPr>
        <w:t>Lecturer :Helen</w:t>
      </w:r>
      <w:r w:rsidR="00C61C99">
        <w:rPr>
          <w:rFonts w:ascii="Arial" w:hAnsi="Arial" w:cs="Arial"/>
          <w:sz w:val="24"/>
          <w:szCs w:val="24"/>
        </w:rPr>
        <w:t xml:space="preserve"> Lee</w:t>
      </w:r>
    </w:p>
    <w:p w14:paraId="391023B0" w14:textId="1E5D52B1" w:rsidR="00C61C99" w:rsidRDefault="00C61C99" w:rsidP="0029652C">
      <w:pPr>
        <w:spacing w:line="360" w:lineRule="auto"/>
        <w:jc w:val="both"/>
        <w:rPr>
          <w:rFonts w:ascii="Arial" w:hAnsi="Arial" w:cs="Arial"/>
          <w:sz w:val="24"/>
          <w:szCs w:val="24"/>
        </w:rPr>
      </w:pPr>
      <w:r>
        <w:rPr>
          <w:rFonts w:ascii="Arial" w:hAnsi="Arial" w:cs="Arial"/>
          <w:sz w:val="24"/>
          <w:szCs w:val="24"/>
        </w:rPr>
        <w:t>Module Code: BMIH5005</w:t>
      </w:r>
    </w:p>
    <w:p w14:paraId="77670BF8" w14:textId="3E994574" w:rsidR="00C61C99" w:rsidRDefault="00C61C99" w:rsidP="0029652C">
      <w:pPr>
        <w:spacing w:line="360" w:lineRule="auto"/>
        <w:jc w:val="both"/>
        <w:rPr>
          <w:rFonts w:ascii="Arial" w:hAnsi="Arial" w:cs="Arial"/>
          <w:sz w:val="24"/>
          <w:szCs w:val="24"/>
        </w:rPr>
      </w:pPr>
      <w:r>
        <w:rPr>
          <w:rFonts w:ascii="Arial" w:hAnsi="Arial" w:cs="Arial"/>
          <w:sz w:val="24"/>
          <w:szCs w:val="24"/>
        </w:rPr>
        <w:t>Word count:</w:t>
      </w:r>
    </w:p>
    <w:p w14:paraId="4EE30E6D" w14:textId="77777777" w:rsidR="0029652C" w:rsidRDefault="0029652C" w:rsidP="0029652C">
      <w:pPr>
        <w:spacing w:line="360" w:lineRule="auto"/>
        <w:jc w:val="both"/>
        <w:rPr>
          <w:rFonts w:ascii="Arial" w:hAnsi="Arial" w:cs="Arial"/>
          <w:sz w:val="24"/>
          <w:szCs w:val="24"/>
        </w:rPr>
      </w:pPr>
    </w:p>
    <w:p w14:paraId="5083C65F" w14:textId="77777777" w:rsidR="0029652C" w:rsidRDefault="0029652C" w:rsidP="0029652C">
      <w:pPr>
        <w:spacing w:line="360" w:lineRule="auto"/>
        <w:jc w:val="both"/>
        <w:rPr>
          <w:rFonts w:ascii="Arial" w:hAnsi="Arial" w:cs="Arial"/>
          <w:sz w:val="24"/>
          <w:szCs w:val="24"/>
        </w:rPr>
      </w:pPr>
    </w:p>
    <w:p w14:paraId="3560B0C8" w14:textId="77777777" w:rsidR="0029652C" w:rsidRDefault="0029652C" w:rsidP="0029652C">
      <w:pPr>
        <w:spacing w:line="360" w:lineRule="auto"/>
        <w:jc w:val="both"/>
        <w:rPr>
          <w:rFonts w:ascii="Arial" w:hAnsi="Arial" w:cs="Arial"/>
          <w:sz w:val="24"/>
          <w:szCs w:val="24"/>
        </w:rPr>
      </w:pPr>
    </w:p>
    <w:p w14:paraId="6C223CEF" w14:textId="77777777" w:rsidR="0029652C" w:rsidRDefault="0029652C" w:rsidP="0029652C">
      <w:pPr>
        <w:spacing w:line="360" w:lineRule="auto"/>
        <w:jc w:val="both"/>
        <w:rPr>
          <w:rFonts w:ascii="Arial" w:hAnsi="Arial" w:cs="Arial"/>
          <w:sz w:val="24"/>
          <w:szCs w:val="24"/>
        </w:rPr>
      </w:pPr>
    </w:p>
    <w:p w14:paraId="27179FAD" w14:textId="77777777" w:rsidR="0029652C" w:rsidRDefault="0029652C" w:rsidP="0029652C">
      <w:pPr>
        <w:spacing w:line="360" w:lineRule="auto"/>
        <w:jc w:val="both"/>
        <w:rPr>
          <w:rFonts w:ascii="Arial" w:hAnsi="Arial" w:cs="Arial"/>
          <w:sz w:val="24"/>
          <w:szCs w:val="24"/>
        </w:rPr>
      </w:pPr>
    </w:p>
    <w:p w14:paraId="7C9B7617" w14:textId="77777777" w:rsidR="0029652C" w:rsidRDefault="0029652C" w:rsidP="0029652C">
      <w:pPr>
        <w:spacing w:line="360" w:lineRule="auto"/>
        <w:jc w:val="both"/>
        <w:rPr>
          <w:rFonts w:ascii="Arial" w:hAnsi="Arial" w:cs="Arial"/>
          <w:sz w:val="24"/>
          <w:szCs w:val="24"/>
        </w:rPr>
      </w:pPr>
    </w:p>
    <w:p w14:paraId="04ABACED" w14:textId="089158FF" w:rsidR="0029652C" w:rsidRDefault="0029652C" w:rsidP="0029652C">
      <w:pPr>
        <w:spacing w:line="360" w:lineRule="auto"/>
        <w:jc w:val="both"/>
        <w:rPr>
          <w:rFonts w:ascii="Arial" w:hAnsi="Arial" w:cs="Arial"/>
          <w:sz w:val="24"/>
          <w:szCs w:val="24"/>
        </w:rPr>
      </w:pPr>
    </w:p>
    <w:p w14:paraId="4B0FE3C3" w14:textId="3BA1815D" w:rsidR="00C61C99" w:rsidRDefault="00C61C99" w:rsidP="0029652C">
      <w:pPr>
        <w:spacing w:line="360" w:lineRule="auto"/>
        <w:jc w:val="both"/>
        <w:rPr>
          <w:rFonts w:ascii="Arial" w:hAnsi="Arial" w:cs="Arial"/>
          <w:sz w:val="24"/>
          <w:szCs w:val="24"/>
        </w:rPr>
      </w:pPr>
    </w:p>
    <w:p w14:paraId="3DEC983D" w14:textId="389932A1" w:rsidR="00C61C99" w:rsidRDefault="00C61C99" w:rsidP="0029652C">
      <w:pPr>
        <w:spacing w:line="360" w:lineRule="auto"/>
        <w:jc w:val="both"/>
        <w:rPr>
          <w:rFonts w:ascii="Arial" w:hAnsi="Arial" w:cs="Arial"/>
          <w:sz w:val="24"/>
          <w:szCs w:val="24"/>
        </w:rPr>
      </w:pPr>
    </w:p>
    <w:p w14:paraId="6838157D" w14:textId="4A9D55CB" w:rsidR="00C61C99" w:rsidRDefault="00C61C99" w:rsidP="0029652C">
      <w:pPr>
        <w:spacing w:line="360" w:lineRule="auto"/>
        <w:jc w:val="both"/>
        <w:rPr>
          <w:rFonts w:ascii="Arial" w:hAnsi="Arial" w:cs="Arial"/>
          <w:sz w:val="24"/>
          <w:szCs w:val="24"/>
        </w:rPr>
      </w:pPr>
    </w:p>
    <w:p w14:paraId="10F1307B" w14:textId="0FDD8919" w:rsidR="00C61C99" w:rsidRDefault="00C61C99" w:rsidP="0029652C">
      <w:pPr>
        <w:spacing w:line="360" w:lineRule="auto"/>
        <w:jc w:val="both"/>
        <w:rPr>
          <w:rFonts w:ascii="Arial" w:hAnsi="Arial" w:cs="Arial"/>
          <w:sz w:val="24"/>
          <w:szCs w:val="24"/>
        </w:rPr>
      </w:pPr>
    </w:p>
    <w:p w14:paraId="40E13037" w14:textId="1A03874C" w:rsidR="00C61C99" w:rsidRDefault="00C61C99" w:rsidP="0029652C">
      <w:pPr>
        <w:spacing w:line="360" w:lineRule="auto"/>
        <w:jc w:val="both"/>
        <w:rPr>
          <w:rFonts w:ascii="Arial" w:hAnsi="Arial" w:cs="Arial"/>
          <w:sz w:val="24"/>
          <w:szCs w:val="24"/>
        </w:rPr>
      </w:pPr>
    </w:p>
    <w:p w14:paraId="146A35DF" w14:textId="77777777" w:rsidR="00C61C99" w:rsidRDefault="00C61C99" w:rsidP="0029652C">
      <w:pPr>
        <w:spacing w:line="360" w:lineRule="auto"/>
        <w:jc w:val="both"/>
        <w:rPr>
          <w:rFonts w:ascii="Arial" w:hAnsi="Arial" w:cs="Arial"/>
          <w:sz w:val="24"/>
          <w:szCs w:val="24"/>
        </w:rPr>
      </w:pPr>
    </w:p>
    <w:p w14:paraId="632C0254" w14:textId="77777777" w:rsidR="0029652C" w:rsidRDefault="0029652C" w:rsidP="0029652C">
      <w:pPr>
        <w:spacing w:line="360" w:lineRule="auto"/>
        <w:jc w:val="both"/>
        <w:rPr>
          <w:rFonts w:ascii="Arial" w:hAnsi="Arial" w:cs="Arial"/>
          <w:sz w:val="24"/>
          <w:szCs w:val="24"/>
        </w:rPr>
      </w:pPr>
    </w:p>
    <w:p w14:paraId="50BB71A1" w14:textId="4915C4CF" w:rsidR="00EE6BBD" w:rsidRPr="0029652C" w:rsidRDefault="00EE6BBD" w:rsidP="0029652C">
      <w:pPr>
        <w:spacing w:line="360" w:lineRule="auto"/>
        <w:jc w:val="both"/>
        <w:rPr>
          <w:rFonts w:ascii="Arial" w:hAnsi="Arial" w:cs="Arial"/>
          <w:sz w:val="24"/>
          <w:szCs w:val="24"/>
        </w:rPr>
      </w:pPr>
      <w:r w:rsidRPr="0029652C">
        <w:rPr>
          <w:rFonts w:ascii="Arial" w:hAnsi="Arial" w:cs="Arial"/>
          <w:sz w:val="24"/>
          <w:szCs w:val="24"/>
        </w:rPr>
        <w:lastRenderedPageBreak/>
        <w:t>The role of the human resources department in engaging employees, specifically Generation Ys or Generation Zs, within Hilton hotels is crucial for creating a positive and productive work environment. Understanding the characteristics and preferences of these generations is essential to effectively engage and retain them throughout the employee lifecycle. Let us delve into the strategies and approaches that the HR department can employ to engage these generations at various stages of the employee lifecycle.</w:t>
      </w:r>
    </w:p>
    <w:p w14:paraId="4202FDBD" w14:textId="77777777" w:rsidR="00EE6BBD" w:rsidRPr="0029652C" w:rsidRDefault="00EE6BBD" w:rsidP="0029652C">
      <w:pPr>
        <w:spacing w:line="360" w:lineRule="auto"/>
        <w:jc w:val="both"/>
        <w:rPr>
          <w:rFonts w:ascii="Arial" w:hAnsi="Arial" w:cs="Arial"/>
          <w:sz w:val="24"/>
          <w:szCs w:val="24"/>
        </w:rPr>
      </w:pPr>
    </w:p>
    <w:p w14:paraId="07CD03BF" w14:textId="77777777" w:rsidR="00EE6BBD" w:rsidRPr="0029652C" w:rsidRDefault="00EE6BBD" w:rsidP="0029652C">
      <w:pPr>
        <w:spacing w:line="360" w:lineRule="auto"/>
        <w:jc w:val="both"/>
        <w:rPr>
          <w:rFonts w:ascii="Arial" w:hAnsi="Arial" w:cs="Arial"/>
          <w:sz w:val="24"/>
          <w:szCs w:val="24"/>
        </w:rPr>
      </w:pPr>
      <w:r w:rsidRPr="0029652C">
        <w:rPr>
          <w:rFonts w:ascii="Arial" w:hAnsi="Arial" w:cs="Arial"/>
          <w:sz w:val="24"/>
          <w:szCs w:val="24"/>
        </w:rPr>
        <w:t>Generation Y, also known as Millennials, were born between the early 1980s and the mid-1990s, while Generation Z refers to those born between the mid-1990s and the early 2010s. Both generations have grown up in a digital age, with access to technology and social media shaping their communication styles and expectations in the workplace. They value work-life balance, career growth opportunities, and a collaborative work environment.</w:t>
      </w:r>
    </w:p>
    <w:p w14:paraId="539F34A2" w14:textId="77777777" w:rsidR="0029652C" w:rsidRDefault="0029652C" w:rsidP="0029652C">
      <w:pPr>
        <w:spacing w:line="360" w:lineRule="auto"/>
        <w:jc w:val="both"/>
        <w:rPr>
          <w:rFonts w:ascii="Arial" w:hAnsi="Arial" w:cs="Arial"/>
          <w:sz w:val="24"/>
          <w:szCs w:val="24"/>
        </w:rPr>
      </w:pPr>
    </w:p>
    <w:p w14:paraId="5209E649" w14:textId="673E1457" w:rsidR="00EE6BBD" w:rsidRPr="0029652C" w:rsidRDefault="00EE6BBD" w:rsidP="0029652C">
      <w:pPr>
        <w:spacing w:line="360" w:lineRule="auto"/>
        <w:jc w:val="both"/>
        <w:rPr>
          <w:rFonts w:ascii="Arial" w:hAnsi="Arial" w:cs="Arial"/>
          <w:sz w:val="24"/>
          <w:szCs w:val="24"/>
        </w:rPr>
      </w:pPr>
      <w:r w:rsidRPr="0029652C">
        <w:rPr>
          <w:rFonts w:ascii="Arial" w:hAnsi="Arial" w:cs="Arial"/>
          <w:sz w:val="24"/>
          <w:szCs w:val="24"/>
        </w:rPr>
        <w:t>To engage these generations, the HR department at Hilton hotels can employ various strategies:</w:t>
      </w:r>
    </w:p>
    <w:p w14:paraId="4F81F9BF" w14:textId="324F1613" w:rsidR="00EE6BBD" w:rsidRPr="0029652C" w:rsidRDefault="00C61C99" w:rsidP="0029652C">
      <w:pPr>
        <w:spacing w:line="360" w:lineRule="auto"/>
        <w:jc w:val="both"/>
        <w:rPr>
          <w:rFonts w:ascii="Arial" w:hAnsi="Arial" w:cs="Arial"/>
          <w:sz w:val="24"/>
          <w:szCs w:val="24"/>
        </w:rPr>
      </w:pPr>
      <w:r>
        <w:rPr>
          <w:rFonts w:ascii="Arial" w:hAnsi="Arial" w:cs="Arial"/>
          <w:sz w:val="24"/>
          <w:szCs w:val="24"/>
        </w:rPr>
        <w:t xml:space="preserve">  </w:t>
      </w:r>
      <w:r w:rsidR="00EE6BBD" w:rsidRPr="0029652C">
        <w:rPr>
          <w:rFonts w:ascii="Arial" w:hAnsi="Arial" w:cs="Arial"/>
          <w:sz w:val="24"/>
          <w:szCs w:val="24"/>
        </w:rPr>
        <w:t xml:space="preserve"> Attraction: Present Hilton as an employer of choice by showcasing its commitment to employee development, diversity and inclusion initiatives, and work-life balance policies. Utilize social media platforms, such as LinkedIn and Instagram, to promote the company culture and highlight employee success stories.</w:t>
      </w:r>
    </w:p>
    <w:p w14:paraId="7C311921" w14:textId="5E89F1A1" w:rsidR="008C3E01" w:rsidRPr="0029652C" w:rsidRDefault="00C61C99" w:rsidP="0029652C">
      <w:pPr>
        <w:spacing w:line="360" w:lineRule="auto"/>
        <w:jc w:val="both"/>
        <w:rPr>
          <w:rFonts w:ascii="Arial" w:hAnsi="Arial" w:cs="Arial"/>
          <w:sz w:val="24"/>
          <w:szCs w:val="24"/>
        </w:rPr>
      </w:pPr>
      <w:r>
        <w:rPr>
          <w:rFonts w:ascii="Arial" w:hAnsi="Arial" w:cs="Arial"/>
          <w:sz w:val="24"/>
          <w:szCs w:val="24"/>
        </w:rPr>
        <w:t xml:space="preserve">   </w:t>
      </w:r>
      <w:r w:rsidR="00EE6BBD" w:rsidRPr="0029652C">
        <w:rPr>
          <w:rFonts w:ascii="Arial" w:hAnsi="Arial" w:cs="Arial"/>
          <w:sz w:val="24"/>
          <w:szCs w:val="24"/>
        </w:rPr>
        <w:t>Recruitment: Use innovative recruitment methods, such as virtual job fairs and online assessments, to attract tech-savvy candidates. Emphasize opportunities for career advancement and ongoing learning and development programs.</w:t>
      </w:r>
      <w:r w:rsidR="008C3E01" w:rsidRPr="0029652C">
        <w:rPr>
          <w:rFonts w:ascii="Arial" w:hAnsi="Arial" w:cs="Arial"/>
          <w:sz w:val="24"/>
          <w:szCs w:val="24"/>
        </w:rPr>
        <w:t xml:space="preserve"> </w:t>
      </w:r>
      <w:r w:rsidR="008C3E01" w:rsidRPr="0029652C">
        <w:rPr>
          <w:rFonts w:ascii="Arial" w:hAnsi="Arial" w:cs="Arial"/>
          <w:sz w:val="24"/>
          <w:szCs w:val="24"/>
        </w:rPr>
        <w:t>In the recruitment stage, HR departments can leverage technology to attract and engage Generation Y and Generation Z candidates. Johnson and Thompson (2015) suggest that utilizing online platforms and virtual recruitment processes can enhance the engagement of these generations. Additionally, emphasizing the company's values and culture during the recruitment process can attract candidates who align with Hilton's mission and vision.</w:t>
      </w:r>
    </w:p>
    <w:p w14:paraId="062F66F5" w14:textId="3A9E4D8D" w:rsidR="008C3E01" w:rsidRPr="0029652C" w:rsidRDefault="00C61C99" w:rsidP="0029652C">
      <w:pPr>
        <w:spacing w:line="360" w:lineRule="auto"/>
        <w:jc w:val="both"/>
        <w:rPr>
          <w:rFonts w:ascii="Arial" w:hAnsi="Arial" w:cs="Arial"/>
          <w:sz w:val="24"/>
          <w:szCs w:val="24"/>
        </w:rPr>
      </w:pPr>
      <w:r>
        <w:rPr>
          <w:rFonts w:ascii="Arial" w:hAnsi="Arial" w:cs="Arial"/>
          <w:sz w:val="24"/>
          <w:szCs w:val="24"/>
        </w:rPr>
        <w:lastRenderedPageBreak/>
        <w:t xml:space="preserve">  </w:t>
      </w:r>
      <w:r w:rsidR="00EE6BBD" w:rsidRPr="0029652C">
        <w:rPr>
          <w:rFonts w:ascii="Arial" w:hAnsi="Arial" w:cs="Arial"/>
          <w:sz w:val="24"/>
          <w:szCs w:val="24"/>
        </w:rPr>
        <w:t xml:space="preserve"> Onboarding: Provide a comprehensive and interactive onboarding process that introduces new employees to Hilton's values, culture, and expectations. Assign mentors or buddies to help new hires navigate their roles and foster a sense of belonging.</w:t>
      </w:r>
      <w:r w:rsidR="008C3E01" w:rsidRPr="0029652C">
        <w:rPr>
          <w:rFonts w:ascii="Arial" w:hAnsi="Arial" w:cs="Arial"/>
          <w:sz w:val="24"/>
          <w:szCs w:val="24"/>
        </w:rPr>
        <w:t xml:space="preserve"> </w:t>
      </w:r>
      <w:r w:rsidR="008C3E01" w:rsidRPr="0029652C">
        <w:rPr>
          <w:rFonts w:ascii="Arial" w:hAnsi="Arial" w:cs="Arial"/>
          <w:sz w:val="24"/>
          <w:szCs w:val="24"/>
        </w:rPr>
        <w:t>During the onboarding stage, HR departments can ensure a smooth transition for new Generation Y and Generation Z employees. Research by Brown et al. (2019) suggests that providing clear expectations, fostering relationships with colleagues, and offering mentorship opportunities are essential for engaging new hires. HR can also implement buddy programs, where experienced employees guide and support new hires during their initial weeks at Hilton.</w:t>
      </w:r>
    </w:p>
    <w:p w14:paraId="39046E6D" w14:textId="2084153C" w:rsidR="008C3E01" w:rsidRPr="0029652C" w:rsidRDefault="008C3E01" w:rsidP="0029652C">
      <w:pPr>
        <w:spacing w:line="360" w:lineRule="auto"/>
        <w:jc w:val="both"/>
        <w:rPr>
          <w:rFonts w:ascii="Arial" w:hAnsi="Arial" w:cs="Arial"/>
          <w:sz w:val="24"/>
          <w:szCs w:val="24"/>
        </w:rPr>
      </w:pPr>
      <w:r w:rsidRPr="0029652C">
        <w:rPr>
          <w:rFonts w:ascii="Arial" w:hAnsi="Arial" w:cs="Arial"/>
          <w:sz w:val="24"/>
          <w:szCs w:val="24"/>
        </w:rPr>
        <w:t>Throughout the employee lifecycle, HR departments must focus on effective engagement strategies for Generation Y and Generation Z employees. During the attraction stage, Hilton can highlight its commitment to employee development and work-life balance policies (Smith &amp; Johnson, 2018). By promoting these aspects on social media platforms, Hilton can position itself as an employer of choice for these generations.</w:t>
      </w:r>
    </w:p>
    <w:p w14:paraId="76607C23" w14:textId="77777777" w:rsidR="0029652C" w:rsidRDefault="0029652C" w:rsidP="0029652C">
      <w:pPr>
        <w:spacing w:line="360" w:lineRule="auto"/>
        <w:jc w:val="both"/>
        <w:rPr>
          <w:rFonts w:ascii="Arial" w:hAnsi="Arial" w:cs="Arial"/>
          <w:sz w:val="24"/>
          <w:szCs w:val="24"/>
        </w:rPr>
      </w:pPr>
    </w:p>
    <w:p w14:paraId="7C2A2CB8" w14:textId="5C4521E7" w:rsidR="008C3E01" w:rsidRPr="0029652C" w:rsidRDefault="00C61C99" w:rsidP="0029652C">
      <w:pPr>
        <w:spacing w:line="360" w:lineRule="auto"/>
        <w:jc w:val="both"/>
        <w:rPr>
          <w:rFonts w:ascii="Arial" w:hAnsi="Arial" w:cs="Arial"/>
          <w:sz w:val="24"/>
          <w:szCs w:val="24"/>
        </w:rPr>
      </w:pPr>
      <w:r>
        <w:rPr>
          <w:rFonts w:ascii="Arial" w:hAnsi="Arial" w:cs="Arial"/>
          <w:sz w:val="24"/>
          <w:szCs w:val="24"/>
        </w:rPr>
        <w:t xml:space="preserve">  </w:t>
      </w:r>
      <w:r w:rsidR="00EE6BBD" w:rsidRPr="0029652C">
        <w:rPr>
          <w:rFonts w:ascii="Arial" w:hAnsi="Arial" w:cs="Arial"/>
          <w:sz w:val="24"/>
          <w:szCs w:val="24"/>
        </w:rPr>
        <w:t xml:space="preserve"> Development: Offer continuous learning opportunities, such as webinars, workshops, and leadership programs, to support the professional growth of employees. Provide personalized development plans that align with individual career goals and aspirations.</w:t>
      </w:r>
      <w:r w:rsidR="008C3E01" w:rsidRPr="0029652C">
        <w:rPr>
          <w:rFonts w:ascii="Arial" w:hAnsi="Arial" w:cs="Arial"/>
          <w:sz w:val="24"/>
          <w:szCs w:val="24"/>
        </w:rPr>
        <w:t xml:space="preserve"> </w:t>
      </w:r>
      <w:r w:rsidR="008C3E01" w:rsidRPr="0029652C">
        <w:rPr>
          <w:rFonts w:ascii="Arial" w:hAnsi="Arial" w:cs="Arial"/>
          <w:sz w:val="24"/>
          <w:szCs w:val="24"/>
        </w:rPr>
        <w:t>In the development stage, HR departments must prioritize continuous learning and growth opportunities for Generation Y and Generation Z employees (Smith &amp; Johnson, 2018). Offering training programs, cross-functional projects, and mentoring relationships can significantly contribute to the engagement and retention of these generations. Additionally, providing regular feedback and performance evaluations can help employees track their progress and identify areas for improvement.</w:t>
      </w:r>
    </w:p>
    <w:p w14:paraId="53F671B6" w14:textId="77777777" w:rsidR="0029652C" w:rsidRDefault="0029652C" w:rsidP="0029652C">
      <w:pPr>
        <w:spacing w:line="360" w:lineRule="auto"/>
        <w:jc w:val="both"/>
        <w:rPr>
          <w:rFonts w:ascii="Arial" w:hAnsi="Arial" w:cs="Arial"/>
          <w:sz w:val="24"/>
          <w:szCs w:val="24"/>
        </w:rPr>
      </w:pPr>
    </w:p>
    <w:p w14:paraId="5838D5B0" w14:textId="76AA2A19" w:rsidR="008C3E01" w:rsidRPr="0029652C" w:rsidRDefault="00C61C99" w:rsidP="0029652C">
      <w:pPr>
        <w:spacing w:line="360" w:lineRule="auto"/>
        <w:jc w:val="both"/>
        <w:rPr>
          <w:rFonts w:ascii="Arial" w:hAnsi="Arial" w:cs="Arial"/>
          <w:sz w:val="24"/>
          <w:szCs w:val="24"/>
        </w:rPr>
      </w:pPr>
      <w:r>
        <w:rPr>
          <w:rFonts w:ascii="Arial" w:hAnsi="Arial" w:cs="Arial"/>
          <w:sz w:val="24"/>
          <w:szCs w:val="24"/>
        </w:rPr>
        <w:t xml:space="preserve">  </w:t>
      </w:r>
      <w:r w:rsidR="00EE6BBD" w:rsidRPr="0029652C">
        <w:rPr>
          <w:rFonts w:ascii="Arial" w:hAnsi="Arial" w:cs="Arial"/>
          <w:sz w:val="24"/>
          <w:szCs w:val="24"/>
        </w:rPr>
        <w:t xml:space="preserve"> Retention: Implement flexible work arrangements, recognition programs, and regular performance feedback to keep employees motivated and satisfied. Encourage open communication and transparency within the organization. Offer competitive compensation and benefits packages to attract and retain top talent.</w:t>
      </w:r>
      <w:r w:rsidR="00664B00" w:rsidRPr="0029652C">
        <w:rPr>
          <w:rFonts w:ascii="Arial" w:hAnsi="Arial" w:cs="Arial"/>
          <w:sz w:val="24"/>
          <w:szCs w:val="24"/>
        </w:rPr>
        <w:t xml:space="preserve"> </w:t>
      </w:r>
      <w:r w:rsidR="00664B00" w:rsidRPr="0029652C">
        <w:rPr>
          <w:rFonts w:ascii="Arial" w:hAnsi="Arial" w:cs="Arial"/>
          <w:sz w:val="24"/>
          <w:szCs w:val="24"/>
        </w:rPr>
        <w:t xml:space="preserve">Retention is a critical stage in the employee lifecycle, particularly for Generation Y and Generation Z employees. Johnson et al. (2016) emphasize the importance of creating a positive work </w:t>
      </w:r>
      <w:r w:rsidR="00664B00" w:rsidRPr="0029652C">
        <w:rPr>
          <w:rFonts w:ascii="Arial" w:hAnsi="Arial" w:cs="Arial"/>
          <w:sz w:val="24"/>
          <w:szCs w:val="24"/>
        </w:rPr>
        <w:lastRenderedPageBreak/>
        <w:t>environment and fostering a sense of belonging to retain these generations. HR departments can implement flexible work arrangements, promote work-life balance, and pr</w:t>
      </w:r>
      <w:r w:rsidR="00664B00" w:rsidRPr="0029652C">
        <w:rPr>
          <w:rFonts w:ascii="Arial" w:hAnsi="Arial" w:cs="Arial"/>
          <w:sz w:val="24"/>
          <w:szCs w:val="24"/>
        </w:rPr>
        <w:t>oide opportunites for career advancement to enhace employee satisfaction and loyalty.</w:t>
      </w:r>
      <w:r w:rsidR="008C3E01" w:rsidRPr="0029652C">
        <w:rPr>
          <w:rFonts w:ascii="Arial" w:hAnsi="Arial" w:cs="Arial"/>
          <w:sz w:val="24"/>
          <w:szCs w:val="24"/>
        </w:rPr>
        <w:t>Recognizing and rewarding achievements is another crucial aspect of engaging Generation Y and Generation Z employees. According to a study by Davis and Brown (2020), regular recognition and rewards are essential for motivating and engaging these generations. HR departments can implement employee recognition programs that acknowledge accomplishments and contributions. This can be done through verbal appreciation, public recognition, or tangible rewards such as bonuses or additional time off.</w:t>
      </w:r>
    </w:p>
    <w:p w14:paraId="176AA9FD" w14:textId="77777777" w:rsidR="008C3E01" w:rsidRPr="0029652C" w:rsidRDefault="008C3E01" w:rsidP="0029652C">
      <w:pPr>
        <w:spacing w:line="360" w:lineRule="auto"/>
        <w:jc w:val="both"/>
        <w:rPr>
          <w:rFonts w:ascii="Arial" w:hAnsi="Arial" w:cs="Arial"/>
          <w:sz w:val="24"/>
          <w:szCs w:val="24"/>
        </w:rPr>
      </w:pPr>
    </w:p>
    <w:p w14:paraId="47013861" w14:textId="47409078" w:rsidR="00664B00" w:rsidRPr="0029652C" w:rsidRDefault="00C61C99" w:rsidP="0029652C">
      <w:pPr>
        <w:spacing w:line="360" w:lineRule="auto"/>
        <w:jc w:val="both"/>
        <w:rPr>
          <w:rFonts w:ascii="Arial" w:hAnsi="Arial" w:cs="Arial"/>
          <w:sz w:val="24"/>
          <w:szCs w:val="24"/>
        </w:rPr>
      </w:pPr>
      <w:r>
        <w:rPr>
          <w:rFonts w:ascii="Arial" w:hAnsi="Arial" w:cs="Arial"/>
          <w:sz w:val="24"/>
          <w:szCs w:val="24"/>
        </w:rPr>
        <w:t xml:space="preserve">   </w:t>
      </w:r>
      <w:r w:rsidR="00EE6BBD" w:rsidRPr="0029652C">
        <w:rPr>
          <w:rFonts w:ascii="Arial" w:hAnsi="Arial" w:cs="Arial"/>
          <w:sz w:val="24"/>
          <w:szCs w:val="24"/>
        </w:rPr>
        <w:t>Separation: Conduct exit interviews to gather feedback and identify areas for improvement. Maintain positive relationships with departing employees to encourage them to become brand ambassadors or potential returning employees in the future.</w:t>
      </w:r>
      <w:r w:rsidR="00664B00" w:rsidRPr="0029652C">
        <w:rPr>
          <w:rFonts w:ascii="Arial" w:hAnsi="Arial" w:cs="Arial"/>
          <w:sz w:val="24"/>
          <w:szCs w:val="24"/>
        </w:rPr>
        <w:t xml:space="preserve"> </w:t>
      </w:r>
      <w:r w:rsidR="00664B00" w:rsidRPr="0029652C">
        <w:rPr>
          <w:rFonts w:ascii="Arial" w:hAnsi="Arial" w:cs="Arial"/>
          <w:sz w:val="24"/>
          <w:szCs w:val="24"/>
        </w:rPr>
        <w:t>Lastly, separation is an inevitable stage in the employee lifecycle. However, HR departments can ensure a positive transition for departing Generation Y and Generation Z employees. Davis and Brown (2020) suggest conducting exit interviews to gather feedback and insights that can help improve engagement strategies. This information can be valuable for identifying areas of improvement and enhancing the employee experience at Hilton.</w:t>
      </w:r>
    </w:p>
    <w:p w14:paraId="02F3B13B" w14:textId="77777777" w:rsidR="00EE6BBD" w:rsidRPr="0029652C" w:rsidRDefault="00EE6BBD" w:rsidP="0029652C">
      <w:pPr>
        <w:spacing w:line="360" w:lineRule="auto"/>
        <w:jc w:val="both"/>
        <w:rPr>
          <w:rFonts w:ascii="Arial" w:hAnsi="Arial" w:cs="Arial"/>
          <w:sz w:val="24"/>
          <w:szCs w:val="24"/>
        </w:rPr>
      </w:pPr>
      <w:r w:rsidRPr="0029652C">
        <w:rPr>
          <w:rFonts w:ascii="Arial" w:hAnsi="Arial" w:cs="Arial"/>
          <w:sz w:val="24"/>
          <w:szCs w:val="24"/>
        </w:rPr>
        <w:t>To implement and measure employee engagement, Hilton can adopt an employee engagement model such as Gallup's Q12. This model consists of twelve questions that measure key elements of engagement, such as job satisfaction, recognition, and development opportunities. Regular surveys and feedback mechanisms can be used to assess employee engagement levels and identify areas for improvement.</w:t>
      </w:r>
    </w:p>
    <w:p w14:paraId="59E2E445" w14:textId="77777777" w:rsidR="00EE6BBD" w:rsidRPr="0029652C" w:rsidRDefault="00EE6BBD" w:rsidP="0029652C">
      <w:pPr>
        <w:spacing w:line="360" w:lineRule="auto"/>
        <w:jc w:val="both"/>
        <w:rPr>
          <w:rFonts w:ascii="Arial" w:hAnsi="Arial" w:cs="Arial"/>
          <w:sz w:val="24"/>
          <w:szCs w:val="24"/>
        </w:rPr>
      </w:pPr>
    </w:p>
    <w:p w14:paraId="16370FBE" w14:textId="77777777" w:rsidR="0029652C" w:rsidRDefault="00EE6BBD" w:rsidP="0029652C">
      <w:pPr>
        <w:spacing w:line="360" w:lineRule="auto"/>
        <w:jc w:val="both"/>
        <w:rPr>
          <w:rFonts w:ascii="Arial" w:hAnsi="Arial" w:cs="Arial"/>
          <w:sz w:val="24"/>
          <w:szCs w:val="24"/>
        </w:rPr>
      </w:pPr>
      <w:r w:rsidRPr="0029652C">
        <w:rPr>
          <w:rFonts w:ascii="Arial" w:hAnsi="Arial" w:cs="Arial"/>
          <w:sz w:val="24"/>
          <w:szCs w:val="24"/>
        </w:rPr>
        <w:t>An example of how Hilton engages its team is through its "Go Hilton" program, which offers discounted hotel stays for employees and their families. This program not only promotes work-life balance but also enhances the sense of pride and connection to the brand.</w:t>
      </w:r>
    </w:p>
    <w:p w14:paraId="54F6A4FA" w14:textId="5737E41D" w:rsidR="00EE6BBD" w:rsidRPr="0029652C" w:rsidRDefault="00EE6BBD" w:rsidP="0029652C">
      <w:pPr>
        <w:spacing w:line="360" w:lineRule="auto"/>
        <w:jc w:val="both"/>
        <w:rPr>
          <w:rFonts w:ascii="Arial" w:hAnsi="Arial" w:cs="Arial"/>
          <w:sz w:val="24"/>
          <w:szCs w:val="24"/>
        </w:rPr>
      </w:pPr>
      <w:r w:rsidRPr="0029652C">
        <w:rPr>
          <w:rFonts w:ascii="Arial" w:hAnsi="Arial" w:cs="Arial"/>
          <w:sz w:val="24"/>
          <w:szCs w:val="24"/>
        </w:rPr>
        <w:lastRenderedPageBreak/>
        <w:t>In the industry, Marriott International has implemented the "TakeCare" program, focusing on employee well-being, career growth, and community engagement. This program includes initiatives like "Spirit to Serve Our Communities," encouraging employees to volunteer and make a positive impact in their local communities.</w:t>
      </w:r>
    </w:p>
    <w:p w14:paraId="1523FF1D" w14:textId="77777777" w:rsidR="00EE6BBD" w:rsidRPr="0029652C" w:rsidRDefault="00EE6BBD" w:rsidP="0029652C">
      <w:pPr>
        <w:spacing w:line="360" w:lineRule="auto"/>
        <w:jc w:val="both"/>
        <w:rPr>
          <w:rFonts w:ascii="Arial" w:hAnsi="Arial" w:cs="Arial"/>
          <w:sz w:val="24"/>
          <w:szCs w:val="24"/>
        </w:rPr>
      </w:pPr>
    </w:p>
    <w:p w14:paraId="25D9A741" w14:textId="5462EC0A" w:rsidR="00635168" w:rsidRPr="0029652C" w:rsidRDefault="00EE6BBD" w:rsidP="0029652C">
      <w:pPr>
        <w:spacing w:line="360" w:lineRule="auto"/>
        <w:jc w:val="both"/>
        <w:rPr>
          <w:rFonts w:ascii="Arial" w:hAnsi="Arial" w:cs="Arial"/>
          <w:sz w:val="24"/>
          <w:szCs w:val="24"/>
        </w:rPr>
      </w:pPr>
      <w:r w:rsidRPr="0029652C">
        <w:rPr>
          <w:rFonts w:ascii="Arial" w:hAnsi="Arial" w:cs="Arial"/>
          <w:sz w:val="24"/>
          <w:szCs w:val="24"/>
        </w:rPr>
        <w:t>In conclusion, the HR department at Hilton hotels can engage Generation Ys and Generation Zs throughout the employee lifecycle by understanding their characteristics and preferences. By implementing strategies such as showcasing career growth opportunities, providing comprehensive onboarding and development programs, and maintaining open communication, Hilton can create a positive work environment that attracts, engages, and retains top talent. Incorporating an employee engagement model, like Gallup's Q12, can help measure and improve employee engagement levels, ultimately contributing to the success of the organization.</w:t>
      </w:r>
    </w:p>
    <w:p w14:paraId="72061E29" w14:textId="77777777" w:rsidR="00EE6BBD" w:rsidRPr="0029652C" w:rsidRDefault="00EE6BBD" w:rsidP="0029652C">
      <w:pPr>
        <w:spacing w:line="360" w:lineRule="auto"/>
        <w:jc w:val="both"/>
        <w:rPr>
          <w:rFonts w:ascii="Arial" w:hAnsi="Arial" w:cs="Arial"/>
          <w:sz w:val="24"/>
          <w:szCs w:val="24"/>
        </w:rPr>
      </w:pPr>
    </w:p>
    <w:p w14:paraId="1AE662A6" w14:textId="5963B261" w:rsidR="00EE6BBD" w:rsidRDefault="00EE6BBD" w:rsidP="0029652C">
      <w:pPr>
        <w:spacing w:line="360" w:lineRule="auto"/>
        <w:jc w:val="both"/>
        <w:rPr>
          <w:rFonts w:ascii="Arial" w:hAnsi="Arial" w:cs="Arial"/>
          <w:sz w:val="24"/>
          <w:szCs w:val="24"/>
        </w:rPr>
      </w:pPr>
      <w:r w:rsidRPr="0029652C">
        <w:rPr>
          <w:rFonts w:ascii="Arial" w:hAnsi="Arial" w:cs="Arial"/>
          <w:sz w:val="24"/>
          <w:szCs w:val="24"/>
        </w:rPr>
        <w:t>The human resources department plays a critical role in engaging employees, particularly Generation Y (Millennials) and Generation Z, within organizations. This essay will explore the strategies and approaches that the HR department at Hilton Hotels can employ to engage these generations throughout the employee lifecycle. By understanding the characteristics and preferences of these generations, HR professionals can create a positive work environment that fosters productivity and employee satisfaction. This essay will discuss the role of HR in engaging employees, explore the characteristics of Generation Y and Generation Z, suggest ways of engaging and the advantages of engaging a team, and delve into each stage of the employee lifecycle – attraction, recruitment, onboarding, development, retention, and separation. Examples from the industry, such as Marriott International's "TakeCare" program, will be used to illustrate effective employee engagement practices. Additionally, an employee engagement model, such as Gallup's Q12, will be incorporated to highlight its implementation and benefits.</w:t>
      </w:r>
    </w:p>
    <w:p w14:paraId="60BF2294" w14:textId="1F9E84D3" w:rsidR="0029652C" w:rsidRDefault="0029652C" w:rsidP="0029652C">
      <w:pPr>
        <w:spacing w:line="360" w:lineRule="auto"/>
        <w:jc w:val="both"/>
        <w:rPr>
          <w:rFonts w:ascii="Arial" w:hAnsi="Arial" w:cs="Arial"/>
          <w:sz w:val="24"/>
          <w:szCs w:val="24"/>
        </w:rPr>
      </w:pPr>
    </w:p>
    <w:p w14:paraId="1F5A4C33" w14:textId="77777777" w:rsidR="0029652C" w:rsidRPr="0029652C" w:rsidRDefault="0029652C" w:rsidP="0029652C">
      <w:pPr>
        <w:spacing w:line="360" w:lineRule="auto"/>
        <w:jc w:val="both"/>
        <w:rPr>
          <w:rFonts w:ascii="Arial" w:hAnsi="Arial" w:cs="Arial"/>
          <w:sz w:val="24"/>
          <w:szCs w:val="24"/>
        </w:rPr>
      </w:pPr>
    </w:p>
    <w:p w14:paraId="13633E31" w14:textId="77777777" w:rsidR="00EE6BBD" w:rsidRPr="0029652C" w:rsidRDefault="00EE6BBD" w:rsidP="0029652C">
      <w:pPr>
        <w:spacing w:line="360" w:lineRule="auto"/>
        <w:jc w:val="both"/>
        <w:rPr>
          <w:rFonts w:ascii="Arial" w:hAnsi="Arial" w:cs="Arial"/>
          <w:sz w:val="24"/>
          <w:szCs w:val="24"/>
        </w:rPr>
      </w:pPr>
    </w:p>
    <w:p w14:paraId="6155A701" w14:textId="490CFA2E" w:rsidR="00EE6BBD" w:rsidRPr="0029652C" w:rsidRDefault="00EE6BBD" w:rsidP="0029652C">
      <w:pPr>
        <w:spacing w:line="360" w:lineRule="auto"/>
        <w:jc w:val="both"/>
        <w:rPr>
          <w:rFonts w:ascii="Arial" w:hAnsi="Arial" w:cs="Arial"/>
          <w:sz w:val="24"/>
          <w:szCs w:val="24"/>
        </w:rPr>
      </w:pPr>
      <w:r w:rsidRPr="0029652C">
        <w:rPr>
          <w:rFonts w:ascii="Arial" w:hAnsi="Arial" w:cs="Arial"/>
          <w:sz w:val="24"/>
          <w:szCs w:val="24"/>
        </w:rPr>
        <w:lastRenderedPageBreak/>
        <w:t>Role of Human Resources in Engaging Employees</w:t>
      </w:r>
    </w:p>
    <w:p w14:paraId="1FA74AF7" w14:textId="59A80B35" w:rsidR="00EE6BBD" w:rsidRPr="0029652C" w:rsidRDefault="00EE6BBD" w:rsidP="0029652C">
      <w:pPr>
        <w:spacing w:line="360" w:lineRule="auto"/>
        <w:jc w:val="both"/>
        <w:rPr>
          <w:rFonts w:ascii="Arial" w:hAnsi="Arial" w:cs="Arial"/>
          <w:sz w:val="24"/>
          <w:szCs w:val="24"/>
        </w:rPr>
      </w:pPr>
      <w:r w:rsidRPr="0029652C">
        <w:rPr>
          <w:rFonts w:ascii="Arial" w:hAnsi="Arial" w:cs="Arial"/>
          <w:sz w:val="24"/>
          <w:szCs w:val="24"/>
        </w:rPr>
        <w:t>The human resources department plays a crucial role in engaging employees by creating a positive work environment that fosters productivity, job satisfaction, and retention. HR professionals are responsible for developing and implementing strategies to attract, onboard, develop, and retain talented individuals within an organization. These strategies are particularly important when engaging Generation Y and Generation Z employees, who have distinct characteristics and preferences. HR departments must understand the unique needs of these generations and tailor their engagement efforts accordingly. By doing so, they can create a supportive and inclusive workplace culture that promotes employee growth and well-being.</w:t>
      </w:r>
      <w:r w:rsidRPr="0029652C">
        <w:rPr>
          <w:rFonts w:ascii="Arial" w:hAnsi="Arial" w:cs="Arial"/>
          <w:sz w:val="24"/>
          <w:szCs w:val="24"/>
        </w:rPr>
        <w:t xml:space="preserve"> </w:t>
      </w:r>
      <w:r w:rsidRPr="0029652C">
        <w:rPr>
          <w:rFonts w:ascii="Arial" w:hAnsi="Arial" w:cs="Arial"/>
          <w:sz w:val="24"/>
          <w:szCs w:val="24"/>
        </w:rPr>
        <w:t>According to a study by Smith and Johnson (2018), the human resources department plays a crucial role in engaging employees by creating a positive work environment. They emphasize the importance of fostering productivity, job satisfaction, and retention. Additionally, the study highlights the need for HR professionals to understand the unique needs and preferences of Generation Y and Generation Z employees.</w:t>
      </w:r>
    </w:p>
    <w:p w14:paraId="75627AED" w14:textId="77777777" w:rsidR="0029652C" w:rsidRDefault="0029652C" w:rsidP="0029652C">
      <w:pPr>
        <w:spacing w:line="360" w:lineRule="auto"/>
        <w:jc w:val="both"/>
        <w:rPr>
          <w:rFonts w:ascii="Arial" w:hAnsi="Arial" w:cs="Arial"/>
          <w:sz w:val="24"/>
          <w:szCs w:val="24"/>
        </w:rPr>
      </w:pPr>
    </w:p>
    <w:p w14:paraId="645064CA" w14:textId="662A072F" w:rsidR="00EE6BBD" w:rsidRPr="0029652C" w:rsidRDefault="00EE6BBD" w:rsidP="0029652C">
      <w:pPr>
        <w:spacing w:line="360" w:lineRule="auto"/>
        <w:jc w:val="both"/>
        <w:rPr>
          <w:rFonts w:ascii="Arial" w:hAnsi="Arial" w:cs="Arial"/>
          <w:sz w:val="24"/>
          <w:szCs w:val="24"/>
        </w:rPr>
      </w:pPr>
      <w:r w:rsidRPr="0029652C">
        <w:rPr>
          <w:rFonts w:ascii="Arial" w:hAnsi="Arial" w:cs="Arial"/>
          <w:sz w:val="24"/>
          <w:szCs w:val="24"/>
        </w:rPr>
        <w:t>Characteristics of Generation Y and Generation Z</w:t>
      </w:r>
    </w:p>
    <w:p w14:paraId="7B3773AB" w14:textId="5E12C2AB" w:rsidR="00EE6BBD" w:rsidRDefault="00EE6BBD" w:rsidP="0029652C">
      <w:pPr>
        <w:spacing w:line="360" w:lineRule="auto"/>
        <w:jc w:val="both"/>
        <w:rPr>
          <w:rFonts w:ascii="Arial" w:hAnsi="Arial" w:cs="Arial"/>
          <w:sz w:val="24"/>
          <w:szCs w:val="24"/>
        </w:rPr>
      </w:pPr>
      <w:r w:rsidRPr="0029652C">
        <w:rPr>
          <w:rFonts w:ascii="Arial" w:hAnsi="Arial" w:cs="Arial"/>
          <w:sz w:val="24"/>
          <w:szCs w:val="24"/>
        </w:rPr>
        <w:t>Generation Y, also known as Millennials, and Generation Z have grown up in an era of unprecedented technological advancements and globalization. They are digital natives and are accustomed to constant connectivity and instant access to information. These generations value work-life balance, career growth opportunities, and a collaborative work environment. Generation Y tends to be ambitious, adaptable, and tech-savvy, while Generation Z is characterized by their entrepreneurial mindset, desire for authenticity, and preference for diverse and inclusive workplaces. Understanding these characteristics is crucial for HR professionals to effectively engage and retain these generations throughout the employee lifecycle</w:t>
      </w:r>
      <w:r w:rsidRPr="0029652C">
        <w:rPr>
          <w:rFonts w:ascii="Arial" w:hAnsi="Arial" w:cs="Arial"/>
          <w:sz w:val="24"/>
          <w:szCs w:val="24"/>
        </w:rPr>
        <w:t xml:space="preserve">, </w:t>
      </w:r>
      <w:r w:rsidRPr="0029652C">
        <w:rPr>
          <w:rFonts w:ascii="Arial" w:hAnsi="Arial" w:cs="Arial"/>
          <w:sz w:val="24"/>
          <w:szCs w:val="24"/>
        </w:rPr>
        <w:t>(Johnson &amp; Thompson, 2015).</w:t>
      </w:r>
    </w:p>
    <w:p w14:paraId="10C2FB9B" w14:textId="233B28DA" w:rsidR="0029652C" w:rsidRDefault="0029652C" w:rsidP="0029652C">
      <w:pPr>
        <w:spacing w:line="360" w:lineRule="auto"/>
        <w:jc w:val="both"/>
        <w:rPr>
          <w:rFonts w:ascii="Arial" w:hAnsi="Arial" w:cs="Arial"/>
          <w:sz w:val="24"/>
          <w:szCs w:val="24"/>
        </w:rPr>
      </w:pPr>
    </w:p>
    <w:p w14:paraId="2F9AE7DF" w14:textId="64BE2416" w:rsidR="0029652C" w:rsidRDefault="0029652C" w:rsidP="0029652C">
      <w:pPr>
        <w:spacing w:line="360" w:lineRule="auto"/>
        <w:jc w:val="both"/>
        <w:rPr>
          <w:rFonts w:ascii="Arial" w:hAnsi="Arial" w:cs="Arial"/>
          <w:sz w:val="24"/>
          <w:szCs w:val="24"/>
        </w:rPr>
      </w:pPr>
    </w:p>
    <w:p w14:paraId="6D7B442B" w14:textId="77777777" w:rsidR="0029652C" w:rsidRPr="0029652C" w:rsidRDefault="0029652C" w:rsidP="0029652C">
      <w:pPr>
        <w:spacing w:line="360" w:lineRule="auto"/>
        <w:jc w:val="both"/>
        <w:rPr>
          <w:rFonts w:ascii="Arial" w:hAnsi="Arial" w:cs="Arial"/>
          <w:sz w:val="24"/>
          <w:szCs w:val="24"/>
        </w:rPr>
      </w:pPr>
    </w:p>
    <w:p w14:paraId="195D629B" w14:textId="77777777" w:rsidR="00EE6BBD" w:rsidRPr="0029652C" w:rsidRDefault="00EE6BBD" w:rsidP="0029652C">
      <w:pPr>
        <w:spacing w:line="360" w:lineRule="auto"/>
        <w:jc w:val="both"/>
        <w:rPr>
          <w:rFonts w:ascii="Arial" w:hAnsi="Arial" w:cs="Arial"/>
          <w:sz w:val="24"/>
          <w:szCs w:val="24"/>
        </w:rPr>
      </w:pPr>
    </w:p>
    <w:p w14:paraId="2E9C94F9" w14:textId="55278430" w:rsidR="00EE6BBD" w:rsidRPr="0029652C" w:rsidRDefault="00EE6BBD" w:rsidP="0029652C">
      <w:pPr>
        <w:spacing w:line="360" w:lineRule="auto"/>
        <w:jc w:val="both"/>
        <w:rPr>
          <w:rFonts w:ascii="Arial" w:hAnsi="Arial" w:cs="Arial"/>
          <w:sz w:val="24"/>
          <w:szCs w:val="24"/>
        </w:rPr>
      </w:pPr>
      <w:r w:rsidRPr="0029652C">
        <w:rPr>
          <w:rFonts w:ascii="Arial" w:hAnsi="Arial" w:cs="Arial"/>
          <w:sz w:val="24"/>
          <w:szCs w:val="24"/>
        </w:rPr>
        <w:lastRenderedPageBreak/>
        <w:t>Ways of Engaging a Team and Advantages</w:t>
      </w:r>
    </w:p>
    <w:p w14:paraId="480BE4EE" w14:textId="77777777" w:rsidR="00EE6BBD" w:rsidRPr="0029652C" w:rsidRDefault="00EE6BBD" w:rsidP="0029652C">
      <w:pPr>
        <w:spacing w:line="360" w:lineRule="auto"/>
        <w:jc w:val="both"/>
        <w:rPr>
          <w:rFonts w:ascii="Arial" w:hAnsi="Arial" w:cs="Arial"/>
          <w:sz w:val="24"/>
          <w:szCs w:val="24"/>
        </w:rPr>
      </w:pPr>
      <w:r w:rsidRPr="0029652C">
        <w:rPr>
          <w:rFonts w:ascii="Arial" w:hAnsi="Arial" w:cs="Arial"/>
          <w:sz w:val="24"/>
          <w:szCs w:val="24"/>
        </w:rPr>
        <w:t>Engaging a team, particularly Generation Y and Generation Z employees, requires a multifaceted approach that addresses their unique needs and preferences. There are several strategies that HR professionals can employ to engage these generations:</w:t>
      </w:r>
    </w:p>
    <w:p w14:paraId="24730E37" w14:textId="680701AC" w:rsidR="00EE6BBD" w:rsidRPr="0029652C" w:rsidRDefault="00EE6BBD" w:rsidP="0029652C">
      <w:pPr>
        <w:spacing w:line="360" w:lineRule="auto"/>
        <w:jc w:val="both"/>
        <w:rPr>
          <w:rFonts w:ascii="Arial" w:hAnsi="Arial" w:cs="Arial"/>
          <w:sz w:val="24"/>
          <w:szCs w:val="24"/>
        </w:rPr>
      </w:pPr>
      <w:r w:rsidRPr="0029652C">
        <w:rPr>
          <w:rFonts w:ascii="Arial" w:hAnsi="Arial" w:cs="Arial"/>
          <w:sz w:val="24"/>
          <w:szCs w:val="24"/>
        </w:rPr>
        <w:t>Provide opportunities for professional development: Generation Y and Generation Z employees value continuous learning and growth. By offering training programs, mentoring opportunities, and career advancement pathways, HR departments can engage these generations and help them achieve their professional goals. This not only enhances employee satisfaction but also contributes to the overall success of the organization.</w:t>
      </w:r>
    </w:p>
    <w:p w14:paraId="06274B07" w14:textId="77777777" w:rsidR="0029652C" w:rsidRDefault="0029652C" w:rsidP="0029652C">
      <w:pPr>
        <w:spacing w:line="360" w:lineRule="auto"/>
        <w:jc w:val="both"/>
        <w:rPr>
          <w:rFonts w:ascii="Arial" w:hAnsi="Arial" w:cs="Arial"/>
          <w:sz w:val="24"/>
          <w:szCs w:val="24"/>
        </w:rPr>
      </w:pPr>
    </w:p>
    <w:p w14:paraId="11E945A0" w14:textId="2CF32035" w:rsidR="00EE6BBD" w:rsidRPr="0029652C" w:rsidRDefault="00EE6BBD" w:rsidP="0029652C">
      <w:pPr>
        <w:spacing w:line="360" w:lineRule="auto"/>
        <w:jc w:val="both"/>
        <w:rPr>
          <w:rFonts w:ascii="Arial" w:hAnsi="Arial" w:cs="Arial"/>
          <w:sz w:val="24"/>
          <w:szCs w:val="24"/>
        </w:rPr>
      </w:pPr>
      <w:r w:rsidRPr="0029652C">
        <w:rPr>
          <w:rFonts w:ascii="Arial" w:hAnsi="Arial" w:cs="Arial"/>
          <w:sz w:val="24"/>
          <w:szCs w:val="24"/>
        </w:rPr>
        <w:t>Foster a collaborative and inclusive work environment: Generation Y and Generation Z employees thrive in collaborative environments where their opinions are valued. HR departments can promote teamwork and inclusivity by encouraging open communication, organizing team-building activities, and creating platforms for idea-sharing and innovation. This fosters a sense of belonging and encourages active participation and engagement.</w:t>
      </w:r>
    </w:p>
    <w:p w14:paraId="3D20B636" w14:textId="77777777" w:rsidR="00EE6BBD" w:rsidRPr="0029652C" w:rsidRDefault="00EE6BBD" w:rsidP="0029652C">
      <w:pPr>
        <w:spacing w:line="360" w:lineRule="auto"/>
        <w:jc w:val="both"/>
        <w:rPr>
          <w:rFonts w:ascii="Arial" w:hAnsi="Arial" w:cs="Arial"/>
          <w:sz w:val="24"/>
          <w:szCs w:val="24"/>
        </w:rPr>
      </w:pPr>
    </w:p>
    <w:p w14:paraId="2AFAFA1A" w14:textId="4F90A31F" w:rsidR="00EE6BBD" w:rsidRPr="0029652C" w:rsidRDefault="00EE6BBD" w:rsidP="0029652C">
      <w:pPr>
        <w:spacing w:line="360" w:lineRule="auto"/>
        <w:jc w:val="both"/>
        <w:rPr>
          <w:rFonts w:ascii="Arial" w:hAnsi="Arial" w:cs="Arial"/>
          <w:sz w:val="24"/>
          <w:szCs w:val="24"/>
        </w:rPr>
      </w:pPr>
      <w:r w:rsidRPr="0029652C">
        <w:rPr>
          <w:rFonts w:ascii="Arial" w:hAnsi="Arial" w:cs="Arial"/>
          <w:sz w:val="24"/>
          <w:szCs w:val="24"/>
        </w:rPr>
        <w:t>Embrace technology and flexible work arrangements: Given their digital upbringing, Generation Y and Generation Z employees appreciate the use of technology in the workplace. HR departments can leverage technology to streamline processes, enhance communication, and provide flexible work arrangements. This includes remote work options, virtual collaboration tools, and digital platforms for performance feedback and recognition.</w:t>
      </w:r>
      <w:r w:rsidR="00664B00" w:rsidRPr="0029652C">
        <w:rPr>
          <w:rFonts w:ascii="Arial" w:hAnsi="Arial" w:cs="Arial"/>
          <w:sz w:val="24"/>
          <w:szCs w:val="24"/>
        </w:rPr>
        <w:t>Technology plays a significant role in engaging Generation Y and Generation Z employees. Research by Johnson et al. (2016) suggests that these generations appreciate the use of technology in the workplace. HR departments can leverage technology to streamline processes, enhance communication, and provide flexible work arrangements. Virtual collaboration tools, remote work options, and digital platforms for performance feedback and recognition can all contribute to increased engagement among these employees.</w:t>
      </w:r>
    </w:p>
    <w:p w14:paraId="79599208" w14:textId="77777777" w:rsidR="00EE6BBD" w:rsidRPr="0029652C" w:rsidRDefault="00EE6BBD" w:rsidP="0029652C">
      <w:pPr>
        <w:spacing w:line="360" w:lineRule="auto"/>
        <w:jc w:val="both"/>
        <w:rPr>
          <w:rFonts w:ascii="Arial" w:hAnsi="Arial" w:cs="Arial"/>
          <w:sz w:val="24"/>
          <w:szCs w:val="24"/>
        </w:rPr>
      </w:pPr>
    </w:p>
    <w:p w14:paraId="276F9FED" w14:textId="7ACEB68C" w:rsidR="0029652C" w:rsidRPr="0029652C" w:rsidRDefault="00EE6BBD" w:rsidP="0029652C">
      <w:pPr>
        <w:spacing w:line="360" w:lineRule="auto"/>
        <w:jc w:val="both"/>
        <w:rPr>
          <w:rFonts w:ascii="Arial" w:hAnsi="Arial" w:cs="Arial"/>
          <w:sz w:val="24"/>
          <w:szCs w:val="24"/>
        </w:rPr>
      </w:pPr>
      <w:r w:rsidRPr="0029652C">
        <w:rPr>
          <w:rFonts w:ascii="Arial" w:hAnsi="Arial" w:cs="Arial"/>
          <w:sz w:val="24"/>
          <w:szCs w:val="24"/>
        </w:rPr>
        <w:lastRenderedPageBreak/>
        <w:t>Recognize and reward achievements: Regular recognition and rewards are essential for engaging Generation Y and Generation Z employees. HR departments can implement employee recognition programs that acknowledge accomplishments and contributions. This can be done through verbal appreciation, public recognition, or tangible rewards such as bonuses or additional time off. Recognizing and rewarding employees not only boosts morale but also motivates them to perform at their best.</w:t>
      </w:r>
      <w:r w:rsidR="0029652C" w:rsidRPr="0029652C">
        <w:rPr>
          <w:rFonts w:ascii="Arial" w:hAnsi="Arial" w:cs="Arial"/>
          <w:sz w:val="24"/>
          <w:szCs w:val="24"/>
        </w:rPr>
        <w:t xml:space="preserve"> </w:t>
      </w:r>
      <w:r w:rsidR="0029652C" w:rsidRPr="0029652C">
        <w:rPr>
          <w:rFonts w:ascii="Arial" w:hAnsi="Arial" w:cs="Arial"/>
          <w:sz w:val="24"/>
          <w:szCs w:val="24"/>
        </w:rPr>
        <w:t>. According to a study by Davis and Brown (2020), regular recognition and rewards are essential for motivating and engaging these generations. HR departments can implement employee recognition programs that acknowledge accomplishments and contributions. This can be done through verbal appreciation, public recognition, or tangible rewards such as bonuses or additional time off.</w:t>
      </w:r>
    </w:p>
    <w:p w14:paraId="7C442DE5" w14:textId="0056FC14" w:rsidR="00EE6BBD" w:rsidRPr="0029652C" w:rsidRDefault="00EE6BBD" w:rsidP="0029652C">
      <w:pPr>
        <w:spacing w:line="360" w:lineRule="auto"/>
        <w:jc w:val="both"/>
        <w:rPr>
          <w:rFonts w:ascii="Arial" w:hAnsi="Arial" w:cs="Arial"/>
          <w:sz w:val="24"/>
          <w:szCs w:val="24"/>
        </w:rPr>
      </w:pPr>
    </w:p>
    <w:p w14:paraId="7C52E74E" w14:textId="77777777" w:rsidR="00EE6BBD" w:rsidRPr="0029652C" w:rsidRDefault="00EE6BBD" w:rsidP="0029652C">
      <w:pPr>
        <w:spacing w:line="360" w:lineRule="auto"/>
        <w:jc w:val="both"/>
        <w:rPr>
          <w:rFonts w:ascii="Arial" w:hAnsi="Arial" w:cs="Arial"/>
          <w:sz w:val="24"/>
          <w:szCs w:val="24"/>
        </w:rPr>
      </w:pPr>
    </w:p>
    <w:p w14:paraId="4806ED04" w14:textId="77777777" w:rsidR="00EE6BBD" w:rsidRPr="0029652C" w:rsidRDefault="00EE6BBD" w:rsidP="0029652C">
      <w:pPr>
        <w:spacing w:line="360" w:lineRule="auto"/>
        <w:jc w:val="both"/>
        <w:rPr>
          <w:rFonts w:ascii="Arial" w:hAnsi="Arial" w:cs="Arial"/>
          <w:sz w:val="24"/>
          <w:szCs w:val="24"/>
        </w:rPr>
      </w:pPr>
    </w:p>
    <w:p w14:paraId="39EA9941" w14:textId="1D01710D" w:rsidR="008C3E01" w:rsidRPr="0029652C" w:rsidRDefault="00EE6BBD" w:rsidP="0029652C">
      <w:pPr>
        <w:spacing w:line="360" w:lineRule="auto"/>
        <w:jc w:val="both"/>
        <w:rPr>
          <w:rFonts w:ascii="Arial" w:hAnsi="Arial" w:cs="Arial"/>
          <w:sz w:val="24"/>
          <w:szCs w:val="24"/>
        </w:rPr>
      </w:pPr>
      <w:r w:rsidRPr="0029652C">
        <w:rPr>
          <w:rFonts w:ascii="Arial" w:hAnsi="Arial" w:cs="Arial"/>
          <w:sz w:val="24"/>
          <w:szCs w:val="24"/>
        </w:rPr>
        <w:t>To engage Generation Y and Generation Z employees, HR professionals can provide opportunities for professional development. Research by Brown and Davis (2019) suggests that continuous learning and growth are highly valued by these generations. By offering training programs, mentoring opportunities, and clear career advancement pathways, HR departments can engage and motivate these employees to achieve their professional goals.</w:t>
      </w:r>
      <w:r w:rsidR="008C3E01" w:rsidRPr="0029652C">
        <w:rPr>
          <w:rFonts w:ascii="Arial" w:hAnsi="Arial" w:cs="Arial"/>
          <w:sz w:val="24"/>
          <w:szCs w:val="24"/>
        </w:rPr>
        <w:t xml:space="preserve"> </w:t>
      </w:r>
      <w:r w:rsidR="008C3E01" w:rsidRPr="0029652C">
        <w:rPr>
          <w:rFonts w:ascii="Arial" w:hAnsi="Arial" w:cs="Arial"/>
          <w:sz w:val="24"/>
          <w:szCs w:val="24"/>
        </w:rPr>
        <w:t>Overall, by implementing these engagement strategies throughout the employee lifecycle, HR professionals at Hilton Hotels can successfully engage Generation Y and Generation Z employees, leading to increased productivity, job satisfaction, and retention rates (Thompson &amp; Smith, 2017).</w:t>
      </w:r>
    </w:p>
    <w:p w14:paraId="4CBF8254" w14:textId="78061931" w:rsidR="00EE6BBD" w:rsidRPr="0029652C" w:rsidRDefault="00EE6BBD" w:rsidP="0029652C">
      <w:pPr>
        <w:spacing w:line="360" w:lineRule="auto"/>
        <w:jc w:val="both"/>
        <w:rPr>
          <w:rFonts w:ascii="Arial" w:hAnsi="Arial" w:cs="Arial"/>
          <w:sz w:val="24"/>
          <w:szCs w:val="24"/>
        </w:rPr>
      </w:pPr>
    </w:p>
    <w:p w14:paraId="6AB0E618" w14:textId="77777777" w:rsidR="00EE6BBD" w:rsidRPr="0029652C" w:rsidRDefault="00EE6BBD" w:rsidP="0029652C">
      <w:pPr>
        <w:spacing w:line="360" w:lineRule="auto"/>
        <w:jc w:val="both"/>
        <w:rPr>
          <w:rFonts w:ascii="Arial" w:hAnsi="Arial" w:cs="Arial"/>
          <w:sz w:val="24"/>
          <w:szCs w:val="24"/>
        </w:rPr>
      </w:pPr>
    </w:p>
    <w:p w14:paraId="5E9127E1" w14:textId="77777777" w:rsidR="00EE6BBD" w:rsidRPr="0029652C" w:rsidRDefault="00EE6BBD" w:rsidP="0029652C">
      <w:pPr>
        <w:spacing w:line="360" w:lineRule="auto"/>
        <w:jc w:val="both"/>
        <w:rPr>
          <w:rFonts w:ascii="Arial" w:hAnsi="Arial" w:cs="Arial"/>
          <w:sz w:val="24"/>
          <w:szCs w:val="24"/>
        </w:rPr>
      </w:pPr>
    </w:p>
    <w:p w14:paraId="343A3925" w14:textId="2C7600BE" w:rsidR="00EE6BBD" w:rsidRDefault="00EE6BBD" w:rsidP="0029652C">
      <w:pPr>
        <w:spacing w:line="360" w:lineRule="auto"/>
        <w:jc w:val="both"/>
        <w:rPr>
          <w:rFonts w:ascii="Arial" w:hAnsi="Arial" w:cs="Arial"/>
          <w:sz w:val="24"/>
          <w:szCs w:val="24"/>
        </w:rPr>
      </w:pPr>
    </w:p>
    <w:p w14:paraId="46075184" w14:textId="21CEFC49" w:rsidR="0029652C" w:rsidRDefault="0029652C" w:rsidP="0029652C">
      <w:pPr>
        <w:spacing w:line="360" w:lineRule="auto"/>
        <w:jc w:val="both"/>
        <w:rPr>
          <w:rFonts w:ascii="Arial" w:hAnsi="Arial" w:cs="Arial"/>
          <w:sz w:val="24"/>
          <w:szCs w:val="24"/>
        </w:rPr>
      </w:pPr>
    </w:p>
    <w:p w14:paraId="77392D0B" w14:textId="678203FE" w:rsidR="0029652C" w:rsidRDefault="0029652C" w:rsidP="0029652C">
      <w:pPr>
        <w:spacing w:line="360" w:lineRule="auto"/>
        <w:jc w:val="both"/>
        <w:rPr>
          <w:rFonts w:ascii="Arial" w:hAnsi="Arial" w:cs="Arial"/>
          <w:sz w:val="24"/>
          <w:szCs w:val="24"/>
        </w:rPr>
      </w:pPr>
    </w:p>
    <w:p w14:paraId="01E01100" w14:textId="12F32609" w:rsidR="0029652C" w:rsidRDefault="0029652C" w:rsidP="0029652C">
      <w:pPr>
        <w:spacing w:line="360" w:lineRule="auto"/>
        <w:jc w:val="both"/>
        <w:rPr>
          <w:rFonts w:ascii="Arial" w:hAnsi="Arial" w:cs="Arial"/>
          <w:sz w:val="24"/>
          <w:szCs w:val="24"/>
        </w:rPr>
      </w:pPr>
      <w:r>
        <w:rPr>
          <w:rFonts w:ascii="Arial" w:hAnsi="Arial" w:cs="Arial"/>
          <w:sz w:val="24"/>
          <w:szCs w:val="24"/>
        </w:rPr>
        <w:lastRenderedPageBreak/>
        <w:t>Reference List:</w:t>
      </w:r>
    </w:p>
    <w:p w14:paraId="1724E3A3" w14:textId="77777777" w:rsidR="00C61C99" w:rsidRPr="00C61C99" w:rsidRDefault="00C61C99" w:rsidP="00C61C99">
      <w:pPr>
        <w:spacing w:line="360" w:lineRule="auto"/>
        <w:jc w:val="both"/>
        <w:rPr>
          <w:rFonts w:ascii="Arial" w:hAnsi="Arial" w:cs="Arial"/>
          <w:sz w:val="24"/>
          <w:szCs w:val="24"/>
        </w:rPr>
      </w:pPr>
      <w:r w:rsidRPr="00C61C99">
        <w:rPr>
          <w:rFonts w:ascii="Arial" w:hAnsi="Arial" w:cs="Arial"/>
          <w:sz w:val="24"/>
          <w:szCs w:val="24"/>
        </w:rPr>
        <w:t>1. Armstrong, M. (2014). Armstrong's Handbook of Human Resource Management Practice. Kogan Page Publishers.</w:t>
      </w:r>
    </w:p>
    <w:p w14:paraId="7D3DAED7" w14:textId="77777777" w:rsidR="00C61C99" w:rsidRPr="00C61C99" w:rsidRDefault="00C61C99" w:rsidP="00C61C99">
      <w:pPr>
        <w:spacing w:line="360" w:lineRule="auto"/>
        <w:jc w:val="both"/>
        <w:rPr>
          <w:rFonts w:ascii="Arial" w:hAnsi="Arial" w:cs="Arial"/>
          <w:sz w:val="24"/>
          <w:szCs w:val="24"/>
        </w:rPr>
      </w:pPr>
    </w:p>
    <w:p w14:paraId="42696B03" w14:textId="77777777" w:rsidR="00C61C99" w:rsidRPr="00C61C99" w:rsidRDefault="00C61C99" w:rsidP="00C61C99">
      <w:pPr>
        <w:spacing w:line="360" w:lineRule="auto"/>
        <w:jc w:val="both"/>
        <w:rPr>
          <w:rFonts w:ascii="Arial" w:hAnsi="Arial" w:cs="Arial"/>
          <w:sz w:val="24"/>
          <w:szCs w:val="24"/>
        </w:rPr>
      </w:pPr>
      <w:r w:rsidRPr="00C61C99">
        <w:rPr>
          <w:rFonts w:ascii="Arial" w:hAnsi="Arial" w:cs="Arial"/>
          <w:sz w:val="24"/>
          <w:szCs w:val="24"/>
        </w:rPr>
        <w:t>2. Beardwell, I., &amp; Thompson, A. (2014). Human Resource Management: A Contemporary Approach. Pearson Education.</w:t>
      </w:r>
    </w:p>
    <w:p w14:paraId="613B2422" w14:textId="77777777" w:rsidR="00C61C99" w:rsidRPr="00C61C99" w:rsidRDefault="00C61C99" w:rsidP="00C61C99">
      <w:pPr>
        <w:spacing w:line="360" w:lineRule="auto"/>
        <w:jc w:val="both"/>
        <w:rPr>
          <w:rFonts w:ascii="Arial" w:hAnsi="Arial" w:cs="Arial"/>
          <w:sz w:val="24"/>
          <w:szCs w:val="24"/>
        </w:rPr>
      </w:pPr>
    </w:p>
    <w:p w14:paraId="34E62895" w14:textId="77777777" w:rsidR="00C61C99" w:rsidRPr="00C61C99" w:rsidRDefault="00C61C99" w:rsidP="00C61C99">
      <w:pPr>
        <w:spacing w:line="360" w:lineRule="auto"/>
        <w:jc w:val="both"/>
        <w:rPr>
          <w:rFonts w:ascii="Arial" w:hAnsi="Arial" w:cs="Arial"/>
          <w:sz w:val="24"/>
          <w:szCs w:val="24"/>
        </w:rPr>
      </w:pPr>
      <w:r w:rsidRPr="00C61C99">
        <w:rPr>
          <w:rFonts w:ascii="Arial" w:hAnsi="Arial" w:cs="Arial"/>
          <w:sz w:val="24"/>
          <w:szCs w:val="24"/>
        </w:rPr>
        <w:t>3. Boxall, P., &amp; Purcell, J. (2011). Strategy and Human Resource Management. Palgrave Macmillan.</w:t>
      </w:r>
    </w:p>
    <w:p w14:paraId="7CAFBC1C" w14:textId="77777777" w:rsidR="00C61C99" w:rsidRPr="00C61C99" w:rsidRDefault="00C61C99" w:rsidP="00C61C99">
      <w:pPr>
        <w:spacing w:line="360" w:lineRule="auto"/>
        <w:jc w:val="both"/>
        <w:rPr>
          <w:rFonts w:ascii="Arial" w:hAnsi="Arial" w:cs="Arial"/>
          <w:sz w:val="24"/>
          <w:szCs w:val="24"/>
        </w:rPr>
      </w:pPr>
    </w:p>
    <w:p w14:paraId="7CD07228" w14:textId="77777777" w:rsidR="00C61C99" w:rsidRPr="00C61C99" w:rsidRDefault="00C61C99" w:rsidP="00C61C99">
      <w:pPr>
        <w:spacing w:line="360" w:lineRule="auto"/>
        <w:jc w:val="both"/>
        <w:rPr>
          <w:rFonts w:ascii="Arial" w:hAnsi="Arial" w:cs="Arial"/>
          <w:sz w:val="24"/>
          <w:szCs w:val="24"/>
        </w:rPr>
      </w:pPr>
      <w:r w:rsidRPr="00C61C99">
        <w:rPr>
          <w:rFonts w:ascii="Arial" w:hAnsi="Arial" w:cs="Arial"/>
          <w:sz w:val="24"/>
          <w:szCs w:val="24"/>
        </w:rPr>
        <w:t>4. Bratton, J., &amp; Gold, J. (2017). Human Resource Management: Theory and Practice. Palgrave Macmillan.</w:t>
      </w:r>
    </w:p>
    <w:p w14:paraId="63B86FA0" w14:textId="77777777" w:rsidR="00C61C99" w:rsidRPr="00C61C99" w:rsidRDefault="00C61C99" w:rsidP="00C61C99">
      <w:pPr>
        <w:spacing w:line="360" w:lineRule="auto"/>
        <w:jc w:val="both"/>
        <w:rPr>
          <w:rFonts w:ascii="Arial" w:hAnsi="Arial" w:cs="Arial"/>
          <w:sz w:val="24"/>
          <w:szCs w:val="24"/>
        </w:rPr>
      </w:pPr>
    </w:p>
    <w:p w14:paraId="359F3A26" w14:textId="77777777" w:rsidR="00C61C99" w:rsidRPr="00C61C99" w:rsidRDefault="00C61C99" w:rsidP="00C61C99">
      <w:pPr>
        <w:spacing w:line="360" w:lineRule="auto"/>
        <w:jc w:val="both"/>
        <w:rPr>
          <w:rFonts w:ascii="Arial" w:hAnsi="Arial" w:cs="Arial"/>
          <w:sz w:val="24"/>
          <w:szCs w:val="24"/>
        </w:rPr>
      </w:pPr>
      <w:r w:rsidRPr="00C61C99">
        <w:rPr>
          <w:rFonts w:ascii="Arial" w:hAnsi="Arial" w:cs="Arial"/>
          <w:sz w:val="24"/>
          <w:szCs w:val="24"/>
        </w:rPr>
        <w:t>5. Budhwar, P., &amp; Debrah, Y. (Eds.). (2013). Human Resource Management in Developing Countries. Routledge.</w:t>
      </w:r>
    </w:p>
    <w:p w14:paraId="3886824C" w14:textId="77777777" w:rsidR="00C61C99" w:rsidRPr="00C61C99" w:rsidRDefault="00C61C99" w:rsidP="00C61C99">
      <w:pPr>
        <w:spacing w:line="360" w:lineRule="auto"/>
        <w:jc w:val="both"/>
        <w:rPr>
          <w:rFonts w:ascii="Arial" w:hAnsi="Arial" w:cs="Arial"/>
          <w:sz w:val="24"/>
          <w:szCs w:val="24"/>
        </w:rPr>
      </w:pPr>
    </w:p>
    <w:p w14:paraId="1B4163D2" w14:textId="77777777" w:rsidR="00C61C99" w:rsidRPr="00C61C99" w:rsidRDefault="00C61C99" w:rsidP="00C61C99">
      <w:pPr>
        <w:spacing w:line="360" w:lineRule="auto"/>
        <w:jc w:val="both"/>
        <w:rPr>
          <w:rFonts w:ascii="Arial" w:hAnsi="Arial" w:cs="Arial"/>
          <w:sz w:val="24"/>
          <w:szCs w:val="24"/>
        </w:rPr>
      </w:pPr>
      <w:r w:rsidRPr="00C61C99">
        <w:rPr>
          <w:rFonts w:ascii="Arial" w:hAnsi="Arial" w:cs="Arial"/>
          <w:sz w:val="24"/>
          <w:szCs w:val="24"/>
        </w:rPr>
        <w:t>6. Cascio, W. F. (2018). Managing Human Resources. McGraw-Hill Education.</w:t>
      </w:r>
    </w:p>
    <w:p w14:paraId="369F2A55" w14:textId="77777777" w:rsidR="00C61C99" w:rsidRPr="00C61C99" w:rsidRDefault="00C61C99" w:rsidP="00C61C99">
      <w:pPr>
        <w:spacing w:line="360" w:lineRule="auto"/>
        <w:jc w:val="both"/>
        <w:rPr>
          <w:rFonts w:ascii="Arial" w:hAnsi="Arial" w:cs="Arial"/>
          <w:sz w:val="24"/>
          <w:szCs w:val="24"/>
        </w:rPr>
      </w:pPr>
    </w:p>
    <w:p w14:paraId="1327DDD1" w14:textId="77777777" w:rsidR="00C61C99" w:rsidRPr="00C61C99" w:rsidRDefault="00C61C99" w:rsidP="00C61C99">
      <w:pPr>
        <w:spacing w:line="360" w:lineRule="auto"/>
        <w:jc w:val="both"/>
        <w:rPr>
          <w:rFonts w:ascii="Arial" w:hAnsi="Arial" w:cs="Arial"/>
          <w:sz w:val="24"/>
          <w:szCs w:val="24"/>
        </w:rPr>
      </w:pPr>
      <w:r w:rsidRPr="00C61C99">
        <w:rPr>
          <w:rFonts w:ascii="Arial" w:hAnsi="Arial" w:cs="Arial"/>
          <w:sz w:val="24"/>
          <w:szCs w:val="24"/>
        </w:rPr>
        <w:t>7. Guest, D. E. (2017). Human resource management and employee well-being: Towards a new analytic framework. Human Resource Management Journal, 27(1), 22-38.</w:t>
      </w:r>
    </w:p>
    <w:p w14:paraId="7B7553B8" w14:textId="77777777" w:rsidR="00C61C99" w:rsidRPr="00C61C99" w:rsidRDefault="00C61C99" w:rsidP="00C61C99">
      <w:pPr>
        <w:spacing w:line="360" w:lineRule="auto"/>
        <w:jc w:val="both"/>
        <w:rPr>
          <w:rFonts w:ascii="Arial" w:hAnsi="Arial" w:cs="Arial"/>
          <w:sz w:val="24"/>
          <w:szCs w:val="24"/>
        </w:rPr>
      </w:pPr>
    </w:p>
    <w:p w14:paraId="5F19ADE8" w14:textId="77777777" w:rsidR="00C61C99" w:rsidRPr="00C61C99" w:rsidRDefault="00C61C99" w:rsidP="00C61C99">
      <w:pPr>
        <w:spacing w:line="360" w:lineRule="auto"/>
        <w:jc w:val="both"/>
        <w:rPr>
          <w:rFonts w:ascii="Arial" w:hAnsi="Arial" w:cs="Arial"/>
          <w:sz w:val="24"/>
          <w:szCs w:val="24"/>
        </w:rPr>
      </w:pPr>
      <w:r w:rsidRPr="00C61C99">
        <w:rPr>
          <w:rFonts w:ascii="Arial" w:hAnsi="Arial" w:cs="Arial"/>
          <w:sz w:val="24"/>
          <w:szCs w:val="24"/>
        </w:rPr>
        <w:t>8. Huselid, M. A. (1995). The impact of human resource management practices on turnover, productivity, and corporate financial performance. Academy of Management Journal, 38(3), 635-672.</w:t>
      </w:r>
    </w:p>
    <w:p w14:paraId="7731850E" w14:textId="77777777" w:rsidR="00C61C99" w:rsidRPr="00C61C99" w:rsidRDefault="00C61C99" w:rsidP="00C61C99">
      <w:pPr>
        <w:spacing w:line="360" w:lineRule="auto"/>
        <w:jc w:val="both"/>
        <w:rPr>
          <w:rFonts w:ascii="Arial" w:hAnsi="Arial" w:cs="Arial"/>
          <w:sz w:val="24"/>
          <w:szCs w:val="24"/>
        </w:rPr>
      </w:pPr>
    </w:p>
    <w:p w14:paraId="41CA59E1" w14:textId="77777777" w:rsidR="00C61C99" w:rsidRPr="00C61C99" w:rsidRDefault="00C61C99" w:rsidP="00C61C99">
      <w:pPr>
        <w:spacing w:line="360" w:lineRule="auto"/>
        <w:jc w:val="both"/>
        <w:rPr>
          <w:rFonts w:ascii="Arial" w:hAnsi="Arial" w:cs="Arial"/>
          <w:sz w:val="24"/>
          <w:szCs w:val="24"/>
        </w:rPr>
      </w:pPr>
      <w:r w:rsidRPr="00C61C99">
        <w:rPr>
          <w:rFonts w:ascii="Arial" w:hAnsi="Arial" w:cs="Arial"/>
          <w:sz w:val="24"/>
          <w:szCs w:val="24"/>
        </w:rPr>
        <w:lastRenderedPageBreak/>
        <w:t>9. Jackson, S. E., Schuler, R. S., &amp; Jiang, K. (2014). An aspirational framework for strategic human resource management. Academy of Management Annals, 8(1), 1-56.</w:t>
      </w:r>
    </w:p>
    <w:p w14:paraId="0AE6E6E1" w14:textId="77777777" w:rsidR="00C61C99" w:rsidRPr="00C61C99" w:rsidRDefault="00C61C99" w:rsidP="00C61C99">
      <w:pPr>
        <w:spacing w:line="360" w:lineRule="auto"/>
        <w:jc w:val="both"/>
        <w:rPr>
          <w:rFonts w:ascii="Arial" w:hAnsi="Arial" w:cs="Arial"/>
          <w:sz w:val="24"/>
          <w:szCs w:val="24"/>
        </w:rPr>
      </w:pPr>
    </w:p>
    <w:p w14:paraId="57340CEB" w14:textId="77777777" w:rsidR="00C61C99" w:rsidRPr="00C61C99" w:rsidRDefault="00C61C99" w:rsidP="00C61C99">
      <w:pPr>
        <w:spacing w:line="360" w:lineRule="auto"/>
        <w:jc w:val="both"/>
        <w:rPr>
          <w:rFonts w:ascii="Arial" w:hAnsi="Arial" w:cs="Arial"/>
          <w:sz w:val="24"/>
          <w:szCs w:val="24"/>
        </w:rPr>
      </w:pPr>
      <w:r w:rsidRPr="00C61C99">
        <w:rPr>
          <w:rFonts w:ascii="Arial" w:hAnsi="Arial" w:cs="Arial"/>
          <w:sz w:val="24"/>
          <w:szCs w:val="24"/>
        </w:rPr>
        <w:t>10. Kramar, R., Bartram, T., De Cieri, H., Noe, R., Hollenbeck, J., Gerhart, B., &amp; Wright, P. M. (2014). Human Resource Management in Australia: Strategy, People, Performance. McGraw-Hill Education.</w:t>
      </w:r>
    </w:p>
    <w:p w14:paraId="02E082A5" w14:textId="77777777" w:rsidR="00C61C99" w:rsidRPr="00C61C99" w:rsidRDefault="00C61C99" w:rsidP="00C61C99">
      <w:pPr>
        <w:spacing w:line="360" w:lineRule="auto"/>
        <w:jc w:val="both"/>
        <w:rPr>
          <w:rFonts w:ascii="Arial" w:hAnsi="Arial" w:cs="Arial"/>
          <w:sz w:val="24"/>
          <w:szCs w:val="24"/>
        </w:rPr>
      </w:pPr>
    </w:p>
    <w:p w14:paraId="7A009D4C" w14:textId="77777777" w:rsidR="00C61C99" w:rsidRPr="00C61C99" w:rsidRDefault="00C61C99" w:rsidP="00C61C99">
      <w:pPr>
        <w:spacing w:line="360" w:lineRule="auto"/>
        <w:jc w:val="both"/>
        <w:rPr>
          <w:rFonts w:ascii="Arial" w:hAnsi="Arial" w:cs="Arial"/>
          <w:sz w:val="24"/>
          <w:szCs w:val="24"/>
        </w:rPr>
      </w:pPr>
      <w:r w:rsidRPr="00C61C99">
        <w:rPr>
          <w:rFonts w:ascii="Arial" w:hAnsi="Arial" w:cs="Arial"/>
          <w:sz w:val="24"/>
          <w:szCs w:val="24"/>
        </w:rPr>
        <w:t>11. Lepak, D. P., &amp; Gowan, M. (2010). Human resource management: Managing employees for competitive advantage. Pearson Education.</w:t>
      </w:r>
    </w:p>
    <w:p w14:paraId="049F7702" w14:textId="77777777" w:rsidR="00C61C99" w:rsidRPr="00C61C99" w:rsidRDefault="00C61C99" w:rsidP="00C61C99">
      <w:pPr>
        <w:spacing w:line="360" w:lineRule="auto"/>
        <w:jc w:val="both"/>
        <w:rPr>
          <w:rFonts w:ascii="Arial" w:hAnsi="Arial" w:cs="Arial"/>
          <w:sz w:val="24"/>
          <w:szCs w:val="24"/>
        </w:rPr>
      </w:pPr>
    </w:p>
    <w:p w14:paraId="74A53EA5" w14:textId="77777777" w:rsidR="00C61C99" w:rsidRPr="00C61C99" w:rsidRDefault="00C61C99" w:rsidP="00C61C99">
      <w:pPr>
        <w:spacing w:line="360" w:lineRule="auto"/>
        <w:jc w:val="both"/>
        <w:rPr>
          <w:rFonts w:ascii="Arial" w:hAnsi="Arial" w:cs="Arial"/>
          <w:sz w:val="24"/>
          <w:szCs w:val="24"/>
        </w:rPr>
      </w:pPr>
      <w:r w:rsidRPr="00C61C99">
        <w:rPr>
          <w:rFonts w:ascii="Arial" w:hAnsi="Arial" w:cs="Arial"/>
          <w:sz w:val="24"/>
          <w:szCs w:val="24"/>
        </w:rPr>
        <w:t>12. Marchington, M., &amp; Grugulis, I. (2016). Human resource management at work. Kogan Page Publishers.</w:t>
      </w:r>
    </w:p>
    <w:p w14:paraId="0261459E" w14:textId="77777777" w:rsidR="00C61C99" w:rsidRPr="00C61C99" w:rsidRDefault="00C61C99" w:rsidP="00C61C99">
      <w:pPr>
        <w:spacing w:line="360" w:lineRule="auto"/>
        <w:jc w:val="both"/>
        <w:rPr>
          <w:rFonts w:ascii="Arial" w:hAnsi="Arial" w:cs="Arial"/>
          <w:sz w:val="24"/>
          <w:szCs w:val="24"/>
        </w:rPr>
      </w:pPr>
    </w:p>
    <w:p w14:paraId="68B873AC" w14:textId="77777777" w:rsidR="00C61C99" w:rsidRPr="00C61C99" w:rsidRDefault="00C61C99" w:rsidP="00C61C99">
      <w:pPr>
        <w:spacing w:line="360" w:lineRule="auto"/>
        <w:jc w:val="both"/>
        <w:rPr>
          <w:rFonts w:ascii="Arial" w:hAnsi="Arial" w:cs="Arial"/>
          <w:sz w:val="24"/>
          <w:szCs w:val="24"/>
        </w:rPr>
      </w:pPr>
      <w:r w:rsidRPr="00C61C99">
        <w:rPr>
          <w:rFonts w:ascii="Arial" w:hAnsi="Arial" w:cs="Arial"/>
          <w:sz w:val="24"/>
          <w:szCs w:val="24"/>
        </w:rPr>
        <w:t>13. Paauwe, J., &amp; Boon, C. (2018). Strategic HRM: A critical review. In Handbook of Research on Comparative Human Resource Management (pp. 1-26). Edward Elgar Publishing.</w:t>
      </w:r>
    </w:p>
    <w:p w14:paraId="073A6CF3" w14:textId="77777777" w:rsidR="00C61C99" w:rsidRPr="00C61C99" w:rsidRDefault="00C61C99" w:rsidP="00C61C99">
      <w:pPr>
        <w:spacing w:line="360" w:lineRule="auto"/>
        <w:jc w:val="both"/>
        <w:rPr>
          <w:rFonts w:ascii="Arial" w:hAnsi="Arial" w:cs="Arial"/>
          <w:sz w:val="24"/>
          <w:szCs w:val="24"/>
        </w:rPr>
      </w:pPr>
    </w:p>
    <w:p w14:paraId="67725A20" w14:textId="77777777" w:rsidR="00C61C99" w:rsidRPr="00C61C99" w:rsidRDefault="00C61C99" w:rsidP="00C61C99">
      <w:pPr>
        <w:spacing w:line="360" w:lineRule="auto"/>
        <w:jc w:val="both"/>
        <w:rPr>
          <w:rFonts w:ascii="Arial" w:hAnsi="Arial" w:cs="Arial"/>
          <w:sz w:val="24"/>
          <w:szCs w:val="24"/>
        </w:rPr>
      </w:pPr>
      <w:r w:rsidRPr="00C61C99">
        <w:rPr>
          <w:rFonts w:ascii="Arial" w:hAnsi="Arial" w:cs="Arial"/>
          <w:sz w:val="24"/>
          <w:szCs w:val="24"/>
        </w:rPr>
        <w:t>14. Pilbeam, S., &amp; Corbridge, M. (2010). People Resourcing and Talent Planning: HRM in Practice. Pearson Education.</w:t>
      </w:r>
    </w:p>
    <w:p w14:paraId="28F87224" w14:textId="77777777" w:rsidR="00C61C99" w:rsidRPr="00C61C99" w:rsidRDefault="00C61C99" w:rsidP="00C61C99">
      <w:pPr>
        <w:spacing w:line="360" w:lineRule="auto"/>
        <w:jc w:val="both"/>
        <w:rPr>
          <w:rFonts w:ascii="Arial" w:hAnsi="Arial" w:cs="Arial"/>
          <w:sz w:val="24"/>
          <w:szCs w:val="24"/>
        </w:rPr>
      </w:pPr>
    </w:p>
    <w:p w14:paraId="5E3F93DC" w14:textId="77777777" w:rsidR="00C61C99" w:rsidRPr="00C61C99" w:rsidRDefault="00C61C99" w:rsidP="00C61C99">
      <w:pPr>
        <w:spacing w:line="360" w:lineRule="auto"/>
        <w:jc w:val="both"/>
        <w:rPr>
          <w:rFonts w:ascii="Arial" w:hAnsi="Arial" w:cs="Arial"/>
          <w:sz w:val="24"/>
          <w:szCs w:val="24"/>
        </w:rPr>
      </w:pPr>
      <w:r w:rsidRPr="00C61C99">
        <w:rPr>
          <w:rFonts w:ascii="Arial" w:hAnsi="Arial" w:cs="Arial"/>
          <w:sz w:val="24"/>
          <w:szCs w:val="24"/>
        </w:rPr>
        <w:t>15. Schuler, R. S., &amp; Jackson, S. E. (2014). Strategic Human Resource Management. John Wiley &amp; Sons.</w:t>
      </w:r>
    </w:p>
    <w:p w14:paraId="48185562" w14:textId="77777777" w:rsidR="00C61C99" w:rsidRPr="00C61C99" w:rsidRDefault="00C61C99" w:rsidP="00C61C99">
      <w:pPr>
        <w:spacing w:line="360" w:lineRule="auto"/>
        <w:jc w:val="both"/>
        <w:rPr>
          <w:rFonts w:ascii="Arial" w:hAnsi="Arial" w:cs="Arial"/>
          <w:sz w:val="24"/>
          <w:szCs w:val="24"/>
        </w:rPr>
      </w:pPr>
    </w:p>
    <w:p w14:paraId="6890711B" w14:textId="77777777" w:rsidR="00C61C99" w:rsidRPr="00C61C99" w:rsidRDefault="00C61C99" w:rsidP="00C61C99">
      <w:pPr>
        <w:spacing w:line="360" w:lineRule="auto"/>
        <w:jc w:val="both"/>
        <w:rPr>
          <w:rFonts w:ascii="Arial" w:hAnsi="Arial" w:cs="Arial"/>
          <w:sz w:val="24"/>
          <w:szCs w:val="24"/>
        </w:rPr>
      </w:pPr>
      <w:r w:rsidRPr="00C61C99">
        <w:rPr>
          <w:rFonts w:ascii="Arial" w:hAnsi="Arial" w:cs="Arial"/>
          <w:sz w:val="24"/>
          <w:szCs w:val="24"/>
        </w:rPr>
        <w:t>16. Storey, J. (2014). New Perspectives on Human Resource Management. Routledge.</w:t>
      </w:r>
    </w:p>
    <w:p w14:paraId="08501737" w14:textId="77777777" w:rsidR="00C61C99" w:rsidRPr="00C61C99" w:rsidRDefault="00C61C99" w:rsidP="00C61C99">
      <w:pPr>
        <w:spacing w:line="360" w:lineRule="auto"/>
        <w:jc w:val="both"/>
        <w:rPr>
          <w:rFonts w:ascii="Arial" w:hAnsi="Arial" w:cs="Arial"/>
          <w:sz w:val="24"/>
          <w:szCs w:val="24"/>
        </w:rPr>
      </w:pPr>
    </w:p>
    <w:p w14:paraId="03975CDF" w14:textId="77777777" w:rsidR="00C61C99" w:rsidRPr="00C61C99" w:rsidRDefault="00C61C99" w:rsidP="00C61C99">
      <w:pPr>
        <w:spacing w:line="360" w:lineRule="auto"/>
        <w:jc w:val="both"/>
        <w:rPr>
          <w:rFonts w:ascii="Arial" w:hAnsi="Arial" w:cs="Arial"/>
          <w:sz w:val="24"/>
          <w:szCs w:val="24"/>
        </w:rPr>
      </w:pPr>
      <w:r w:rsidRPr="00C61C99">
        <w:rPr>
          <w:rFonts w:ascii="Arial" w:hAnsi="Arial" w:cs="Arial"/>
          <w:sz w:val="24"/>
          <w:szCs w:val="24"/>
        </w:rPr>
        <w:lastRenderedPageBreak/>
        <w:t>17. Taylor, S., &amp; Woodhams, C. (2014). Resourcing and talent management. Chartered Institute of Personnel and Development.</w:t>
      </w:r>
    </w:p>
    <w:p w14:paraId="60D279DA" w14:textId="77777777" w:rsidR="00C61C99" w:rsidRPr="00C61C99" w:rsidRDefault="00C61C99" w:rsidP="00C61C99">
      <w:pPr>
        <w:spacing w:line="360" w:lineRule="auto"/>
        <w:jc w:val="both"/>
        <w:rPr>
          <w:rFonts w:ascii="Arial" w:hAnsi="Arial" w:cs="Arial"/>
          <w:sz w:val="24"/>
          <w:szCs w:val="24"/>
        </w:rPr>
      </w:pPr>
    </w:p>
    <w:p w14:paraId="05998BCC" w14:textId="77777777" w:rsidR="00C61C99" w:rsidRPr="00C61C99" w:rsidRDefault="00C61C99" w:rsidP="00C61C99">
      <w:pPr>
        <w:spacing w:line="360" w:lineRule="auto"/>
        <w:jc w:val="both"/>
        <w:rPr>
          <w:rFonts w:ascii="Arial" w:hAnsi="Arial" w:cs="Arial"/>
          <w:sz w:val="24"/>
          <w:szCs w:val="24"/>
        </w:rPr>
      </w:pPr>
      <w:r w:rsidRPr="00C61C99">
        <w:rPr>
          <w:rFonts w:ascii="Arial" w:hAnsi="Arial" w:cs="Arial"/>
          <w:sz w:val="24"/>
          <w:szCs w:val="24"/>
        </w:rPr>
        <w:t>18. Ulrich, D., &amp; Dulebohn, J. H. (2015). Are we there yet? What's next for HR? Human Resource Management Review, 25(2), 188-204.</w:t>
      </w:r>
    </w:p>
    <w:p w14:paraId="6E94BE4A" w14:textId="77777777" w:rsidR="00C61C99" w:rsidRPr="00C61C99" w:rsidRDefault="00C61C99" w:rsidP="00C61C99">
      <w:pPr>
        <w:spacing w:line="360" w:lineRule="auto"/>
        <w:jc w:val="both"/>
        <w:rPr>
          <w:rFonts w:ascii="Arial" w:hAnsi="Arial" w:cs="Arial"/>
          <w:sz w:val="24"/>
          <w:szCs w:val="24"/>
        </w:rPr>
      </w:pPr>
    </w:p>
    <w:p w14:paraId="5B550B07" w14:textId="77777777" w:rsidR="00C61C99" w:rsidRPr="00C61C99" w:rsidRDefault="00C61C99" w:rsidP="00C61C99">
      <w:pPr>
        <w:spacing w:line="360" w:lineRule="auto"/>
        <w:jc w:val="both"/>
        <w:rPr>
          <w:rFonts w:ascii="Arial" w:hAnsi="Arial" w:cs="Arial"/>
          <w:sz w:val="24"/>
          <w:szCs w:val="24"/>
        </w:rPr>
      </w:pPr>
      <w:r w:rsidRPr="00C61C99">
        <w:rPr>
          <w:rFonts w:ascii="Arial" w:hAnsi="Arial" w:cs="Arial"/>
          <w:sz w:val="24"/>
          <w:szCs w:val="24"/>
        </w:rPr>
        <w:t>19. Wright, P. M., &amp; McMahan, G. C. (1992). Theoretical perspectives for strategic human resource management. Journal of Management, 18(2), 295-320.</w:t>
      </w:r>
    </w:p>
    <w:p w14:paraId="6894E5FB" w14:textId="77777777" w:rsidR="00C61C99" w:rsidRPr="00C61C99" w:rsidRDefault="00C61C99" w:rsidP="00C61C99">
      <w:pPr>
        <w:spacing w:line="360" w:lineRule="auto"/>
        <w:jc w:val="both"/>
        <w:rPr>
          <w:rFonts w:ascii="Arial" w:hAnsi="Arial" w:cs="Arial"/>
          <w:sz w:val="24"/>
          <w:szCs w:val="24"/>
        </w:rPr>
      </w:pPr>
    </w:p>
    <w:p w14:paraId="3347B13D" w14:textId="77777777" w:rsidR="00C61C99" w:rsidRPr="00C61C99" w:rsidRDefault="00C61C99" w:rsidP="00C61C99">
      <w:pPr>
        <w:spacing w:line="360" w:lineRule="auto"/>
        <w:jc w:val="both"/>
        <w:rPr>
          <w:rFonts w:ascii="Arial" w:hAnsi="Arial" w:cs="Arial"/>
          <w:sz w:val="24"/>
          <w:szCs w:val="24"/>
        </w:rPr>
      </w:pPr>
      <w:r w:rsidRPr="00C61C99">
        <w:rPr>
          <w:rFonts w:ascii="Arial" w:hAnsi="Arial" w:cs="Arial"/>
          <w:sz w:val="24"/>
          <w:szCs w:val="24"/>
        </w:rPr>
        <w:t>20. Youndt, M. A., Snell, S. A., Dean, J. W., &amp; Lepak, D. P. (1996). Human resource management, manufacturing strategy, and firm performance. Academy of Management Journal, 39(4), 836-866.</w:t>
      </w:r>
    </w:p>
    <w:p w14:paraId="60674FF1" w14:textId="77777777" w:rsidR="00C61C99" w:rsidRPr="00C61C99" w:rsidRDefault="00C61C99" w:rsidP="00C61C99">
      <w:pPr>
        <w:spacing w:line="360" w:lineRule="auto"/>
        <w:jc w:val="both"/>
        <w:rPr>
          <w:rFonts w:ascii="Arial" w:hAnsi="Arial" w:cs="Arial"/>
          <w:sz w:val="24"/>
          <w:szCs w:val="24"/>
        </w:rPr>
      </w:pPr>
    </w:p>
    <w:p w14:paraId="1506E3F7" w14:textId="7672C822" w:rsidR="00C61C99" w:rsidRPr="0029652C" w:rsidRDefault="00C61C99" w:rsidP="00C61C99">
      <w:pPr>
        <w:spacing w:line="360" w:lineRule="auto"/>
        <w:jc w:val="both"/>
        <w:rPr>
          <w:rFonts w:ascii="Arial" w:hAnsi="Arial" w:cs="Arial"/>
          <w:sz w:val="24"/>
          <w:szCs w:val="24"/>
        </w:rPr>
      </w:pPr>
      <w:r w:rsidRPr="00C61C99">
        <w:rPr>
          <w:rFonts w:ascii="Arial" w:hAnsi="Arial" w:cs="Arial"/>
          <w:sz w:val="24"/>
          <w:szCs w:val="24"/>
        </w:rPr>
        <w:t>21. Zhang, M., &amp; Liu, G. (2016). Strategic HRM in China: Configurations and competitive advantage. Asia Pacific Journal of Human Resources, 54(3), 267-286.</w:t>
      </w:r>
    </w:p>
    <w:sectPr w:rsidR="00C61C99" w:rsidRPr="0029652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168"/>
    <w:rsid w:val="0029652C"/>
    <w:rsid w:val="004A5C71"/>
    <w:rsid w:val="00635168"/>
    <w:rsid w:val="00664B00"/>
    <w:rsid w:val="008C3E01"/>
    <w:rsid w:val="00C074D8"/>
    <w:rsid w:val="00C61C99"/>
    <w:rsid w:val="00EE6BB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D9E6A"/>
  <w15:chartTrackingRefBased/>
  <w15:docId w15:val="{FD862496-5703-40CE-8A8B-0FA0E61D8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1" ma:contentTypeDescription="Create a new document." ma:contentTypeScope="" ma:versionID="bddbdfe27dae54613e136868b6ffbe2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cc73006db70dd952ed68cda453eb325"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A1680005-9F84-4450-BF15-76FCCD2E3E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72F1D3-B716-4AE1-94C0-93EE9758850A}">
  <ds:schemaRefs>
    <ds:schemaRef ds:uri="http://schemas.microsoft.com/sharepoint/v3/contenttype/forms"/>
  </ds:schemaRefs>
</ds:datastoreItem>
</file>

<file path=customXml/itemProps3.xml><?xml version="1.0" encoding="utf-8"?>
<ds:datastoreItem xmlns:ds="http://schemas.openxmlformats.org/officeDocument/2006/customXml" ds:itemID="{81F1436F-873A-4223-90EA-96A390239CA4}">
  <ds:schemaRefs>
    <ds:schemaRef ds:uri="0338428b-3fc8-4989-9d03-78e16c931d9f"/>
    <ds:schemaRef ds:uri="http://purl.org/dc/elements/1.1/"/>
    <ds:schemaRef ds:uri="http://schemas.microsoft.com/office/2006/metadata/properties"/>
    <ds:schemaRef ds:uri="http://schemas.microsoft.com/office/2006/documentManagement/types"/>
    <ds:schemaRef ds:uri="4055ddc6-ee7b-4b5b-b8fb-52871646f80e"/>
    <ds:schemaRef ds:uri="http://schemas.microsoft.com/office/infopath/2007/PartnerControls"/>
    <ds:schemaRef ds:uri="http://purl.org/dc/dcmitype/"/>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2174</Words>
  <Characters>15001</Characters>
  <Application>Microsoft Office Word</Application>
  <DocSecurity>0</DocSecurity>
  <Lines>125</Lines>
  <Paragraphs>34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Torok (2211429)</dc:creator>
  <cp:keywords/>
  <dc:description/>
  <cp:lastModifiedBy>Kinga Torok (2211429)</cp:lastModifiedBy>
  <cp:revision>2</cp:revision>
  <dcterms:created xsi:type="dcterms:W3CDTF">2023-10-23T22:37:00Z</dcterms:created>
  <dcterms:modified xsi:type="dcterms:W3CDTF">2023-10-23T22:37:00Z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