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Normal"/>
        <w:bidiVisual w:val="0"/>
        <w:tblW w:w="0" w:type="auto"/>
        <w:tblInd w:w="540" w:type="dxa"/>
        <w:tblBorders>
          <w:top w:val="single" w:sz="6"/>
          <w:left w:val="single" w:sz="6"/>
          <w:bottom w:val="single" w:sz="6"/>
          <w:right w:val="single" w:sz="6"/>
        </w:tblBorders>
        <w:tblLook w:val="01E0" w:firstRow="1" w:lastRow="1" w:firstColumn="1" w:lastColumn="1" w:noHBand="0" w:noVBand="0"/>
      </w:tblPr>
      <w:tblGrid>
        <w:gridCol w:w="1755"/>
        <w:gridCol w:w="8145"/>
      </w:tblGrid>
      <w:tr w:rsidR="28406E4A" w:rsidTr="28406E4A" w14:paraId="3258A6EE">
        <w:trPr>
          <w:trHeight w:val="480"/>
        </w:trPr>
        <w:tc>
          <w:tcPr>
            <w:tcW w:w="175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51BDBD8" w:rsidP="28406E4A" w:rsidRDefault="151BDBD8" w14:paraId="2AB2DD8A" w14:textId="73531DAB">
            <w:pPr>
              <w:pStyle w:val="TableParagraph"/>
              <w:spacing w:before="120"/>
              <w:ind w:left="107"/>
              <w:rPr>
                <w:rFonts w:ascii="Arial" w:hAnsi="Arial" w:eastAsia="Arial" w:cs="Arial"/>
                <w:b w:val="0"/>
                <w:bCs w:val="0"/>
                <w:i w:val="0"/>
                <w:iCs w:val="0"/>
                <w:caps w:val="0"/>
                <w:smallCaps w:val="0"/>
                <w:color w:val="000000" w:themeColor="text1" w:themeTint="FF" w:themeShade="FF"/>
                <w:sz w:val="22"/>
                <w:szCs w:val="22"/>
              </w:rPr>
            </w:pPr>
            <w:r w:rsidRPr="28406E4A" w:rsidR="151BDBD8">
              <w:rPr>
                <w:rFonts w:ascii="Arial" w:hAnsi="Arial" w:eastAsia="Arial" w:cs="Arial"/>
                <w:b w:val="1"/>
                <w:bCs w:val="1"/>
                <w:i w:val="0"/>
                <w:iCs w:val="0"/>
                <w:caps w:val="0"/>
                <w:smallCaps w:val="0"/>
                <w:color w:val="000000" w:themeColor="text1" w:themeTint="FF" w:themeShade="FF"/>
                <w:sz w:val="22"/>
                <w:szCs w:val="22"/>
                <w:lang w:val="en-GB"/>
              </w:rPr>
              <w:t xml:space="preserve"> </w:t>
            </w:r>
            <w:r w:rsidRPr="28406E4A" w:rsidR="28406E4A">
              <w:rPr>
                <w:rFonts w:ascii="Arial" w:hAnsi="Arial" w:eastAsia="Arial" w:cs="Arial"/>
                <w:b w:val="1"/>
                <w:bCs w:val="1"/>
                <w:i w:val="0"/>
                <w:iCs w:val="0"/>
                <w:caps w:val="0"/>
                <w:smallCaps w:val="0"/>
                <w:color w:val="000000" w:themeColor="text1" w:themeTint="FF" w:themeShade="FF"/>
                <w:sz w:val="22"/>
                <w:szCs w:val="22"/>
                <w:lang w:val="en-GB"/>
              </w:rPr>
              <w:t>Programme:</w:t>
            </w:r>
          </w:p>
        </w:tc>
        <w:tc>
          <w:tcPr>
            <w:tcW w:w="814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8406E4A" w:rsidP="28406E4A" w:rsidRDefault="28406E4A" w14:paraId="2D97C702" w14:textId="43870EF4">
            <w:pPr>
              <w:pStyle w:val="TableParagraph"/>
              <w:spacing w:before="119"/>
              <w:ind w:left="105"/>
            </w:pPr>
            <w:r w:rsidRPr="28406E4A" w:rsidR="28406E4A">
              <w:rPr>
                <w:rFonts w:ascii="Arial" w:hAnsi="Arial" w:eastAsia="Arial" w:cs="Arial"/>
                <w:b w:val="1"/>
                <w:bCs w:val="1"/>
                <w:i w:val="0"/>
                <w:iCs w:val="0"/>
                <w:caps w:val="0"/>
                <w:smallCaps w:val="0"/>
                <w:color w:val="000000" w:themeColor="text1" w:themeTint="FF" w:themeShade="FF"/>
                <w:sz w:val="21"/>
                <w:szCs w:val="21"/>
                <w:lang w:val="en-GB"/>
              </w:rPr>
              <w:t>BA (Hons) Leadership and Management Skills for the Workplace</w:t>
            </w:r>
          </w:p>
        </w:tc>
      </w:tr>
      <w:tr w:rsidR="28406E4A" w:rsidTr="28406E4A" w14:paraId="23C74223">
        <w:trPr>
          <w:trHeight w:val="480"/>
        </w:trPr>
        <w:tc>
          <w:tcPr>
            <w:tcW w:w="175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8406E4A" w:rsidP="28406E4A" w:rsidRDefault="28406E4A" w14:paraId="7247F167" w14:textId="528FD5BE">
            <w:pPr>
              <w:pStyle w:val="TableParagraph"/>
              <w:spacing w:before="122"/>
              <w:ind w:left="107"/>
              <w:rPr>
                <w:rFonts w:ascii="Arial" w:hAnsi="Arial" w:eastAsia="Arial" w:cs="Arial"/>
                <w:b w:val="0"/>
                <w:bCs w:val="0"/>
                <w:i w:val="0"/>
                <w:iCs w:val="0"/>
                <w:caps w:val="0"/>
                <w:smallCaps w:val="0"/>
                <w:color w:val="000000" w:themeColor="text1" w:themeTint="FF" w:themeShade="FF"/>
                <w:sz w:val="22"/>
                <w:szCs w:val="22"/>
              </w:rPr>
            </w:pPr>
            <w:r w:rsidRPr="28406E4A" w:rsidR="28406E4A">
              <w:rPr>
                <w:rFonts w:ascii="Arial" w:hAnsi="Arial" w:eastAsia="Arial" w:cs="Arial"/>
                <w:b w:val="1"/>
                <w:bCs w:val="1"/>
                <w:i w:val="0"/>
                <w:iCs w:val="0"/>
                <w:caps w:val="0"/>
                <w:smallCaps w:val="0"/>
                <w:color w:val="000000" w:themeColor="text1" w:themeTint="FF" w:themeShade="FF"/>
                <w:sz w:val="22"/>
                <w:szCs w:val="22"/>
                <w:lang w:val="en-GB"/>
              </w:rPr>
              <w:t>Module:</w:t>
            </w:r>
          </w:p>
        </w:tc>
        <w:tc>
          <w:tcPr>
            <w:tcW w:w="814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8406E4A" w:rsidP="28406E4A" w:rsidRDefault="28406E4A" w14:paraId="6B87F261" w14:textId="14BB732A">
            <w:pPr>
              <w:pStyle w:val="TableParagraph"/>
              <w:spacing w:before="122"/>
              <w:ind w:left="105"/>
              <w:rPr>
                <w:rFonts w:ascii="Arial" w:hAnsi="Arial" w:eastAsia="Arial" w:cs="Arial"/>
                <w:b w:val="0"/>
                <w:bCs w:val="0"/>
                <w:i w:val="0"/>
                <w:iCs w:val="0"/>
                <w:caps w:val="0"/>
                <w:smallCaps w:val="0"/>
                <w:color w:val="000000" w:themeColor="text1" w:themeTint="FF" w:themeShade="FF"/>
                <w:sz w:val="22"/>
                <w:szCs w:val="22"/>
              </w:rPr>
            </w:pPr>
            <w:r w:rsidRPr="28406E4A" w:rsidR="28406E4A">
              <w:rPr>
                <w:rFonts w:ascii="Arial" w:hAnsi="Arial" w:eastAsia="Arial" w:cs="Arial"/>
                <w:b w:val="1"/>
                <w:bCs w:val="1"/>
                <w:i w:val="0"/>
                <w:iCs w:val="0"/>
                <w:caps w:val="0"/>
                <w:smallCaps w:val="0"/>
                <w:color w:val="000000" w:themeColor="text1" w:themeTint="FF" w:themeShade="FF"/>
                <w:sz w:val="22"/>
                <w:szCs w:val="22"/>
                <w:lang w:val="en-GB"/>
              </w:rPr>
              <w:t>Organisational Culture</w:t>
            </w:r>
          </w:p>
        </w:tc>
      </w:tr>
      <w:tr w:rsidR="28406E4A" w:rsidTr="28406E4A" w14:paraId="29023F3B">
        <w:trPr>
          <w:trHeight w:val="840"/>
        </w:trPr>
        <w:tc>
          <w:tcPr>
            <w:tcW w:w="175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8406E4A" w:rsidP="28406E4A" w:rsidRDefault="28406E4A" w14:paraId="35058C6C" w14:textId="520AA4CD">
            <w:pPr>
              <w:pStyle w:val="TableParagraph"/>
              <w:spacing w:before="120"/>
              <w:ind w:left="107"/>
              <w:rPr>
                <w:rFonts w:ascii="Arial" w:hAnsi="Arial" w:eastAsia="Arial" w:cs="Arial"/>
                <w:b w:val="0"/>
                <w:bCs w:val="0"/>
                <w:i w:val="0"/>
                <w:iCs w:val="0"/>
                <w:caps w:val="0"/>
                <w:smallCaps w:val="0"/>
                <w:color w:val="000000" w:themeColor="text1" w:themeTint="FF" w:themeShade="FF"/>
                <w:sz w:val="22"/>
                <w:szCs w:val="22"/>
              </w:rPr>
            </w:pPr>
            <w:r w:rsidRPr="28406E4A" w:rsidR="28406E4A">
              <w:rPr>
                <w:rFonts w:ascii="Arial" w:hAnsi="Arial" w:eastAsia="Arial" w:cs="Arial"/>
                <w:b w:val="1"/>
                <w:bCs w:val="1"/>
                <w:i w:val="0"/>
                <w:iCs w:val="0"/>
                <w:caps w:val="0"/>
                <w:smallCaps w:val="0"/>
                <w:color w:val="000000" w:themeColor="text1" w:themeTint="FF" w:themeShade="FF"/>
                <w:sz w:val="22"/>
                <w:szCs w:val="22"/>
                <w:lang w:val="en-GB"/>
              </w:rPr>
              <w:t>Module code:</w:t>
            </w:r>
          </w:p>
        </w:tc>
        <w:tc>
          <w:tcPr>
            <w:tcW w:w="814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8406E4A" w:rsidP="28406E4A" w:rsidRDefault="28406E4A" w14:paraId="7A05E56B" w14:textId="2BA7E1E8">
            <w:pPr>
              <w:pStyle w:val="TableParagraph"/>
              <w:spacing w:before="120"/>
              <w:ind w:left="105"/>
              <w:rPr>
                <w:rFonts w:ascii="Arial" w:hAnsi="Arial" w:eastAsia="Arial" w:cs="Arial"/>
                <w:b w:val="0"/>
                <w:bCs w:val="0"/>
                <w:i w:val="0"/>
                <w:iCs w:val="0"/>
                <w:caps w:val="0"/>
                <w:smallCaps w:val="0"/>
                <w:color w:val="000000" w:themeColor="text1" w:themeTint="FF" w:themeShade="FF"/>
                <w:sz w:val="22"/>
                <w:szCs w:val="22"/>
              </w:rPr>
            </w:pPr>
            <w:r w:rsidRPr="28406E4A" w:rsidR="28406E4A">
              <w:rPr>
                <w:rFonts w:ascii="Arial" w:hAnsi="Arial" w:eastAsia="Arial" w:cs="Arial"/>
                <w:b w:val="1"/>
                <w:bCs w:val="1"/>
                <w:i w:val="0"/>
                <w:iCs w:val="0"/>
                <w:caps w:val="0"/>
                <w:smallCaps w:val="0"/>
                <w:color w:val="000000" w:themeColor="text1" w:themeTint="FF" w:themeShade="FF"/>
                <w:sz w:val="22"/>
                <w:szCs w:val="22"/>
                <w:lang w:val="en-GB"/>
              </w:rPr>
              <w:t>LCLM 5005</w:t>
            </w:r>
          </w:p>
        </w:tc>
      </w:tr>
      <w:tr w:rsidR="28406E4A" w:rsidTr="28406E4A" w14:paraId="0C9E6AA7">
        <w:trPr>
          <w:trHeight w:val="480"/>
        </w:trPr>
        <w:tc>
          <w:tcPr>
            <w:tcW w:w="175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027071F6" w:rsidP="28406E4A" w:rsidRDefault="027071F6" w14:paraId="052B238B" w14:textId="6C0CB6BE">
            <w:pPr>
              <w:pStyle w:val="TableParagraph"/>
              <w:spacing w:before="120"/>
              <w:ind w:left="107"/>
            </w:pPr>
            <w:r w:rsidRPr="28406E4A" w:rsidR="027071F6">
              <w:rPr>
                <w:rFonts w:ascii="Arial" w:hAnsi="Arial" w:eastAsia="Arial" w:cs="Arial"/>
                <w:b w:val="1"/>
                <w:bCs w:val="1"/>
                <w:i w:val="0"/>
                <w:iCs w:val="0"/>
                <w:caps w:val="0"/>
                <w:smallCaps w:val="0"/>
                <w:color w:val="000000" w:themeColor="text1" w:themeTint="FF" w:themeShade="FF"/>
                <w:sz w:val="22"/>
                <w:szCs w:val="22"/>
                <w:lang w:val="en-GB"/>
              </w:rPr>
              <w:t>Lecturer Name</w:t>
            </w:r>
          </w:p>
        </w:tc>
        <w:tc>
          <w:tcPr>
            <w:tcW w:w="814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027071F6" w:rsidP="28406E4A" w:rsidRDefault="027071F6" w14:paraId="43AAD532" w14:textId="2F7B7373">
            <w:pPr>
              <w:pStyle w:val="TableParagraph"/>
              <w:spacing w:before="122"/>
              <w:ind w:left="105"/>
              <w:rPr>
                <w:rFonts w:ascii="Times New Roman" w:hAnsi="Times New Roman" w:eastAsia="Times New Roman" w:cs="Times New Roman"/>
                <w:noProof w:val="0"/>
                <w:sz w:val="20"/>
                <w:szCs w:val="20"/>
                <w:lang w:val="en-US"/>
              </w:rPr>
            </w:pPr>
            <w:r w:rsidRPr="28406E4A" w:rsidR="027071F6">
              <w:rPr>
                <w:rFonts w:ascii="Arial" w:hAnsi="Arial" w:eastAsia="Arial" w:cs="Arial"/>
                <w:b w:val="1"/>
                <w:bCs w:val="1"/>
                <w:i w:val="0"/>
                <w:iCs w:val="0"/>
                <w:caps w:val="0"/>
                <w:smallCaps w:val="0"/>
                <w:noProof w:val="0"/>
                <w:color w:val="000000" w:themeColor="text1" w:themeTint="FF" w:themeShade="FF"/>
                <w:sz w:val="21"/>
                <w:szCs w:val="21"/>
                <w:lang w:val="en-GB"/>
              </w:rPr>
              <w:t>David Oyebisi</w:t>
            </w:r>
          </w:p>
          <w:p w:rsidR="28406E4A" w:rsidP="28406E4A" w:rsidRDefault="28406E4A" w14:paraId="77548DE1" w14:textId="6C2FE5FC">
            <w:pPr>
              <w:rPr>
                <w:rFonts w:ascii="Times New Roman" w:hAnsi="Times New Roman" w:eastAsia="Times New Roman" w:cs="Times New Roman"/>
                <w:b w:val="1"/>
                <w:bCs w:val="1"/>
                <w:i w:val="0"/>
                <w:iCs w:val="0"/>
                <w:caps w:val="0"/>
                <w:smallCaps w:val="0"/>
                <w:color w:val="000000" w:themeColor="text1" w:themeTint="FF" w:themeShade="FF"/>
                <w:sz w:val="20"/>
                <w:szCs w:val="20"/>
              </w:rPr>
            </w:pPr>
          </w:p>
        </w:tc>
      </w:tr>
    </w:tbl>
    <w:tbl>
      <w:tblPr>
        <w:tblStyle w:val="TableNormal"/>
        <w:bidiVisual w:val="0"/>
        <w:tblW w:w="0" w:type="auto"/>
        <w:tblInd w:w="540" w:type="dxa"/>
        <w:tblBorders>
          <w:top w:val="single" w:sz="6"/>
          <w:left w:val="single" w:sz="6"/>
          <w:bottom w:val="single" w:sz="6"/>
          <w:right w:val="single" w:sz="6"/>
        </w:tblBorders>
        <w:tblLook w:val="01E0" w:firstRow="1" w:lastRow="1" w:firstColumn="1" w:lastColumn="1" w:noHBand="0" w:noVBand="0"/>
      </w:tblPr>
      <w:tblGrid>
        <w:gridCol w:w="1875"/>
        <w:gridCol w:w="2927"/>
        <w:gridCol w:w="663"/>
        <w:gridCol w:w="2592"/>
        <w:gridCol w:w="1875"/>
      </w:tblGrid>
      <w:tr w:rsidR="28406E4A" w:rsidTr="28406E4A" w14:paraId="10911C1D">
        <w:trPr>
          <w:trHeight w:val="480"/>
        </w:trPr>
        <w:tc>
          <w:tcPr>
            <w:tcW w:w="187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8406E4A" w:rsidP="28406E4A" w:rsidRDefault="28406E4A" w14:paraId="46F34C57" w14:textId="3C8DD44C">
            <w:pPr>
              <w:pStyle w:val="TableParagraph"/>
              <w:spacing w:before="120"/>
              <w:ind w:left="107"/>
              <w:rPr>
                <w:rFonts w:ascii="Arial" w:hAnsi="Arial" w:eastAsia="Arial" w:cs="Arial"/>
                <w:b w:val="0"/>
                <w:bCs w:val="0"/>
                <w:i w:val="0"/>
                <w:iCs w:val="0"/>
                <w:caps w:val="0"/>
                <w:smallCaps w:val="0"/>
                <w:color w:val="000000" w:themeColor="text1" w:themeTint="FF" w:themeShade="FF"/>
                <w:sz w:val="22"/>
                <w:szCs w:val="22"/>
              </w:rPr>
            </w:pPr>
            <w:r w:rsidRPr="28406E4A" w:rsidR="28406E4A">
              <w:rPr>
                <w:rFonts w:ascii="Arial" w:hAnsi="Arial" w:eastAsia="Arial" w:cs="Arial"/>
                <w:b w:val="1"/>
                <w:bCs w:val="1"/>
                <w:i w:val="0"/>
                <w:iCs w:val="0"/>
                <w:caps w:val="0"/>
                <w:smallCaps w:val="0"/>
                <w:color w:val="000000" w:themeColor="text1" w:themeTint="FF" w:themeShade="FF"/>
                <w:sz w:val="22"/>
                <w:szCs w:val="22"/>
                <w:lang w:val="en-GB"/>
              </w:rPr>
              <w:t>Student Name:</w:t>
            </w:r>
          </w:p>
        </w:tc>
        <w:tc>
          <w:tcPr>
            <w:tcW w:w="292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46E5F53" w:rsidP="28406E4A" w:rsidRDefault="146E5F53" w14:paraId="0E2A4704" w14:textId="0F72DF03">
            <w:pPr>
              <w:pStyle w:val="TableParagraph"/>
              <w:spacing w:before="120"/>
              <w:ind w:left="0"/>
              <w:rPr>
                <w:rFonts w:ascii="Arial" w:hAnsi="Arial" w:eastAsia="Arial" w:cs="Arial"/>
                <w:b w:val="0"/>
                <w:bCs w:val="0"/>
                <w:i w:val="0"/>
                <w:iCs w:val="0"/>
                <w:caps w:val="0"/>
                <w:smallCaps w:val="0"/>
                <w:color w:val="000000" w:themeColor="text1" w:themeTint="FF" w:themeShade="FF"/>
                <w:sz w:val="22"/>
                <w:szCs w:val="22"/>
              </w:rPr>
            </w:pPr>
            <w:r w:rsidRPr="28406E4A" w:rsidR="146E5F53">
              <w:rPr>
                <w:rFonts w:ascii="Arial" w:hAnsi="Arial" w:eastAsia="Arial" w:cs="Arial"/>
                <w:b w:val="1"/>
                <w:bCs w:val="1"/>
                <w:i w:val="0"/>
                <w:iCs w:val="0"/>
                <w:caps w:val="0"/>
                <w:smallCaps w:val="0"/>
                <w:color w:val="000000" w:themeColor="text1" w:themeTint="FF" w:themeShade="FF"/>
                <w:sz w:val="22"/>
                <w:szCs w:val="22"/>
                <w:lang w:val="en-GB"/>
              </w:rPr>
              <w:t>Gheorghe Calin</w:t>
            </w:r>
          </w:p>
        </w:tc>
        <w:tc>
          <w:tcPr>
            <w:tcW w:w="66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28406E4A" w:rsidP="28406E4A" w:rsidRDefault="28406E4A" w14:paraId="08F12673" w14:textId="37894936">
            <w:pPr>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259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8406E4A" w:rsidP="28406E4A" w:rsidRDefault="28406E4A" w14:paraId="25F82924" w14:textId="765942E5">
            <w:pPr>
              <w:pStyle w:val="TableParagraph"/>
              <w:spacing w:before="120"/>
              <w:ind w:left="107"/>
              <w:rPr>
                <w:rFonts w:ascii="Arial" w:hAnsi="Arial" w:eastAsia="Arial" w:cs="Arial"/>
                <w:b w:val="0"/>
                <w:bCs w:val="0"/>
                <w:i w:val="0"/>
                <w:iCs w:val="0"/>
                <w:caps w:val="0"/>
                <w:smallCaps w:val="0"/>
                <w:color w:val="000000" w:themeColor="text1" w:themeTint="FF" w:themeShade="FF"/>
                <w:sz w:val="22"/>
                <w:szCs w:val="22"/>
              </w:rPr>
            </w:pPr>
            <w:r w:rsidRPr="28406E4A" w:rsidR="28406E4A">
              <w:rPr>
                <w:rFonts w:ascii="Arial" w:hAnsi="Arial" w:eastAsia="Arial" w:cs="Arial"/>
                <w:b w:val="1"/>
                <w:bCs w:val="1"/>
                <w:i w:val="0"/>
                <w:iCs w:val="0"/>
                <w:caps w:val="0"/>
                <w:smallCaps w:val="0"/>
                <w:color w:val="000000" w:themeColor="text1" w:themeTint="FF" w:themeShade="FF"/>
                <w:sz w:val="22"/>
                <w:szCs w:val="22"/>
                <w:lang w:val="en-GB"/>
              </w:rPr>
              <w:t>Student ID number:</w:t>
            </w:r>
          </w:p>
        </w:tc>
        <w:tc>
          <w:tcPr>
            <w:tcW w:w="187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404ACCF7" w:rsidP="28406E4A" w:rsidRDefault="404ACCF7" w14:paraId="45CB6C28" w14:textId="06343259">
            <w:pPr>
              <w:pStyle w:val="TableParagraph"/>
              <w:spacing w:before="120"/>
              <w:ind w:left="105"/>
              <w:rPr>
                <w:rFonts w:ascii="Times New Roman" w:hAnsi="Times New Roman" w:eastAsia="Times New Roman" w:cs="Times New Roman"/>
                <w:noProof w:val="0"/>
                <w:sz w:val="20"/>
                <w:szCs w:val="20"/>
                <w:lang w:val="en-US"/>
              </w:rPr>
            </w:pPr>
            <w:r w:rsidRPr="28406E4A" w:rsidR="404ACCF7">
              <w:rPr>
                <w:rFonts w:ascii="Arial" w:hAnsi="Arial" w:eastAsia="Arial" w:cs="Arial"/>
                <w:b w:val="1"/>
                <w:bCs w:val="1"/>
                <w:i w:val="0"/>
                <w:iCs w:val="0"/>
                <w:caps w:val="0"/>
                <w:smallCaps w:val="0"/>
                <w:noProof w:val="0"/>
                <w:color w:val="000000" w:themeColor="text1" w:themeTint="FF" w:themeShade="FF"/>
                <w:sz w:val="22"/>
                <w:szCs w:val="22"/>
                <w:lang w:val="en-GB"/>
              </w:rPr>
              <w:t>2333136</w:t>
            </w:r>
          </w:p>
          <w:p w:rsidR="28406E4A" w:rsidP="28406E4A" w:rsidRDefault="28406E4A" w14:paraId="14E1A558" w14:textId="349F1ECA">
            <w:pPr>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bl>
    <w:tbl>
      <w:tblPr>
        <w:tblStyle w:val="TableNormal"/>
        <w:bidiVisual w:val="0"/>
        <w:tblW w:w="0" w:type="auto"/>
        <w:tblInd w:w="540" w:type="dxa"/>
        <w:tblBorders>
          <w:top w:val="single" w:sz="6"/>
          <w:left w:val="single" w:sz="6"/>
          <w:bottom w:val="single" w:sz="6"/>
          <w:right w:val="single" w:sz="6"/>
        </w:tblBorders>
        <w:tblLook w:val="01E0" w:firstRow="1" w:lastRow="1" w:firstColumn="1" w:lastColumn="1" w:noHBand="0" w:noVBand="0"/>
      </w:tblPr>
      <w:tblGrid>
        <w:gridCol w:w="3435"/>
        <w:gridCol w:w="5490"/>
      </w:tblGrid>
      <w:tr w:rsidR="28406E4A" w:rsidTr="28406E4A" w14:paraId="351028F0">
        <w:trPr>
          <w:trHeight w:val="1050"/>
        </w:trPr>
        <w:tc>
          <w:tcPr>
            <w:tcW w:w="343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8406E4A" w:rsidP="28406E4A" w:rsidRDefault="28406E4A" w14:paraId="1116CBC3" w14:textId="18911C21">
            <w:pPr>
              <w:pStyle w:val="TableParagraph"/>
              <w:spacing w:before="120"/>
              <w:ind w:left="107"/>
              <w:rPr>
                <w:rFonts w:ascii="Arial" w:hAnsi="Arial" w:eastAsia="Arial" w:cs="Arial"/>
                <w:b w:val="0"/>
                <w:bCs w:val="0"/>
                <w:i w:val="0"/>
                <w:iCs w:val="0"/>
                <w:caps w:val="0"/>
                <w:smallCaps w:val="0"/>
                <w:color w:val="000000" w:themeColor="text1" w:themeTint="FF" w:themeShade="FF"/>
                <w:sz w:val="22"/>
                <w:szCs w:val="22"/>
              </w:rPr>
            </w:pPr>
            <w:r w:rsidRPr="28406E4A" w:rsidR="28406E4A">
              <w:rPr>
                <w:rFonts w:ascii="Arial" w:hAnsi="Arial" w:eastAsia="Arial" w:cs="Arial"/>
                <w:b w:val="1"/>
                <w:bCs w:val="1"/>
                <w:i w:val="0"/>
                <w:iCs w:val="0"/>
                <w:caps w:val="0"/>
                <w:smallCaps w:val="0"/>
                <w:color w:val="000000" w:themeColor="text1" w:themeTint="FF" w:themeShade="FF"/>
                <w:sz w:val="22"/>
                <w:szCs w:val="22"/>
                <w:lang w:val="en-GB"/>
              </w:rPr>
              <w:t>Assignment Title:</w:t>
            </w:r>
          </w:p>
        </w:tc>
        <w:tc>
          <w:tcPr>
            <w:tcW w:w="549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8406E4A" w:rsidP="28406E4A" w:rsidRDefault="28406E4A" w14:paraId="6FC64DE4" w14:textId="7879F266">
            <w:pPr>
              <w:pStyle w:val="TableParagraph"/>
              <w:spacing w:before="119"/>
              <w:ind w:left="105" w:right="93"/>
              <w:rPr>
                <w:rFonts w:ascii="Arial" w:hAnsi="Arial" w:eastAsia="Arial" w:cs="Arial"/>
                <w:b w:val="0"/>
                <w:bCs w:val="0"/>
                <w:i w:val="0"/>
                <w:iCs w:val="0"/>
                <w:caps w:val="0"/>
                <w:smallCaps w:val="0"/>
                <w:color w:val="FF0000"/>
                <w:sz w:val="22"/>
                <w:szCs w:val="22"/>
              </w:rPr>
            </w:pPr>
            <w:r w:rsidRPr="28406E4A" w:rsidR="28406E4A">
              <w:rPr>
                <w:rFonts w:ascii="Arial" w:hAnsi="Arial" w:eastAsia="Arial" w:cs="Arial"/>
                <w:b w:val="1"/>
                <w:bCs w:val="1"/>
                <w:i w:val="0"/>
                <w:iCs w:val="0"/>
                <w:caps w:val="0"/>
                <w:smallCaps w:val="0"/>
                <w:color w:val="FF0000"/>
                <w:sz w:val="22"/>
                <w:szCs w:val="22"/>
                <w:lang w:val="en-GB"/>
              </w:rPr>
              <w:t>Component 1</w:t>
            </w:r>
          </w:p>
          <w:p w:rsidR="28406E4A" w:rsidP="28406E4A" w:rsidRDefault="28406E4A" w14:paraId="5628029A" w14:textId="4DD70382">
            <w:pPr>
              <w:pStyle w:val="TableParagraph"/>
              <w:spacing w:before="119"/>
              <w:ind w:left="105" w:right="93"/>
              <w:rPr>
                <w:rFonts w:ascii="Arial" w:hAnsi="Arial" w:eastAsia="Arial" w:cs="Arial"/>
                <w:b w:val="0"/>
                <w:bCs w:val="0"/>
                <w:i w:val="0"/>
                <w:iCs w:val="0"/>
                <w:caps w:val="0"/>
                <w:smallCaps w:val="0"/>
                <w:color w:val="000000" w:themeColor="text1" w:themeTint="FF" w:themeShade="FF"/>
                <w:sz w:val="22"/>
                <w:szCs w:val="22"/>
              </w:rPr>
            </w:pPr>
            <w:r w:rsidRPr="28406E4A" w:rsidR="28406E4A">
              <w:rPr>
                <w:rFonts w:ascii="Arial" w:hAnsi="Arial" w:eastAsia="Arial" w:cs="Arial"/>
                <w:b w:val="1"/>
                <w:bCs w:val="1"/>
                <w:i w:val="0"/>
                <w:iCs w:val="0"/>
                <w:caps w:val="0"/>
                <w:smallCaps w:val="0"/>
                <w:color w:val="000000" w:themeColor="text1" w:themeTint="FF" w:themeShade="FF"/>
                <w:sz w:val="22"/>
                <w:szCs w:val="22"/>
                <w:lang w:val="en-GB"/>
              </w:rPr>
              <w:t>Organisational Culture:</w:t>
            </w:r>
          </w:p>
          <w:p w:rsidR="28406E4A" w:rsidP="28406E4A" w:rsidRDefault="28406E4A" w14:paraId="5C6B27CC" w14:textId="0C12E4FA">
            <w:pPr>
              <w:pStyle w:val="TableParagraph"/>
              <w:spacing w:before="119"/>
              <w:ind w:left="105" w:right="93"/>
              <w:rPr>
                <w:rFonts w:ascii="Arial" w:hAnsi="Arial" w:eastAsia="Arial" w:cs="Arial"/>
                <w:b w:val="0"/>
                <w:bCs w:val="0"/>
                <w:i w:val="0"/>
                <w:iCs w:val="0"/>
                <w:caps w:val="0"/>
                <w:smallCaps w:val="0"/>
                <w:color w:val="000000" w:themeColor="text1" w:themeTint="FF" w:themeShade="FF"/>
                <w:sz w:val="22"/>
                <w:szCs w:val="22"/>
              </w:rPr>
            </w:pPr>
            <w:r w:rsidRPr="28406E4A" w:rsidR="28406E4A">
              <w:rPr>
                <w:rFonts w:ascii="Arial" w:hAnsi="Arial" w:eastAsia="Arial" w:cs="Arial"/>
                <w:b w:val="1"/>
                <w:bCs w:val="1"/>
                <w:i w:val="0"/>
                <w:iCs w:val="0"/>
                <w:caps w:val="0"/>
                <w:smallCaps w:val="0"/>
                <w:color w:val="000000" w:themeColor="text1" w:themeTint="FF" w:themeShade="FF"/>
                <w:sz w:val="22"/>
                <w:szCs w:val="22"/>
                <w:lang w:val="en-GB"/>
              </w:rPr>
              <w:t>Individual Report</w:t>
            </w:r>
          </w:p>
          <w:p w:rsidR="28406E4A" w:rsidP="28406E4A" w:rsidRDefault="28406E4A" w14:paraId="26A926A3" w14:textId="5E89E2EA">
            <w:pPr>
              <w:spacing w:before="119"/>
              <w:ind w:left="105" w:right="93"/>
              <w:rPr>
                <w:rFonts w:ascii="Arial" w:hAnsi="Arial" w:eastAsia="Arial" w:cs="Arial"/>
                <w:b w:val="0"/>
                <w:bCs w:val="0"/>
                <w:i w:val="0"/>
                <w:iCs w:val="0"/>
                <w:caps w:val="0"/>
                <w:smallCaps w:val="0"/>
                <w:color w:val="000000" w:themeColor="text1" w:themeTint="FF" w:themeShade="FF"/>
                <w:sz w:val="21"/>
                <w:szCs w:val="21"/>
              </w:rPr>
            </w:pPr>
          </w:p>
        </w:tc>
      </w:tr>
    </w:tbl>
    <w:p w:rsidR="28406E4A" w:rsidP="28406E4A" w:rsidRDefault="28406E4A" w14:paraId="088C852A" w14:textId="420FB0AB">
      <w:pPr>
        <w:pStyle w:val="Normal"/>
        <w:jc w:val="center"/>
        <w:rPr>
          <w:rFonts w:ascii="Arial" w:hAnsi="Arial" w:eastAsia="Arial" w:cs="Arial"/>
          <w:b w:val="1"/>
          <w:bCs w:val="1"/>
          <w:sz w:val="20"/>
          <w:szCs w:val="20"/>
        </w:rPr>
      </w:pPr>
    </w:p>
    <w:p w:rsidR="28406E4A" w:rsidRDefault="28406E4A" w14:paraId="2A1F7121" w14:textId="23352A32">
      <w:r>
        <w:br w:type="page"/>
      </w:r>
    </w:p>
    <w:sdt>
      <w:sdtPr>
        <w:id w:val="1746402254"/>
        <w:docPartObj>
          <w:docPartGallery w:val="Table of Contents"/>
          <w:docPartUnique/>
        </w:docPartObj>
      </w:sdtPr>
      <w:sdtContent>
        <w:p w:rsidR="28406E4A" w:rsidP="28406E4A" w:rsidRDefault="28406E4A" w14:paraId="1D9A68FB" w14:textId="12FFE821">
          <w:pPr>
            <w:pStyle w:val="TOC1"/>
            <w:tabs>
              <w:tab w:val="right" w:leader="dot" w:pos="9360"/>
            </w:tabs>
            <w:bidi w:val="0"/>
          </w:pPr>
          <w:r>
            <w:fldChar w:fldCharType="begin"/>
          </w:r>
          <w:r>
            <w:instrText xml:space="preserve">TOC \o "1-9" \z \u \h</w:instrText>
          </w:r>
          <w:r>
            <w:fldChar w:fldCharType="separate"/>
          </w:r>
          <w:hyperlink w:anchor="_Toc1552110071">
            <w:r w:rsidRPr="28406E4A" w:rsidR="28406E4A">
              <w:rPr>
                <w:rStyle w:val="Hyperlink"/>
              </w:rPr>
              <w:t>Introduction</w:t>
            </w:r>
            <w:r>
              <w:tab/>
            </w:r>
            <w:r>
              <w:fldChar w:fldCharType="begin"/>
            </w:r>
            <w:r>
              <w:instrText xml:space="preserve">PAGEREF _Toc1552110071 \h</w:instrText>
            </w:r>
            <w:r>
              <w:fldChar w:fldCharType="separate"/>
            </w:r>
            <w:r w:rsidRPr="28406E4A" w:rsidR="28406E4A">
              <w:rPr>
                <w:rStyle w:val="Hyperlink"/>
              </w:rPr>
              <w:t>2</w:t>
            </w:r>
            <w:r>
              <w:fldChar w:fldCharType="end"/>
            </w:r>
          </w:hyperlink>
        </w:p>
        <w:p w:rsidR="28406E4A" w:rsidP="28406E4A" w:rsidRDefault="28406E4A" w14:paraId="5CDC8DE9" w14:textId="24B8E892">
          <w:pPr>
            <w:pStyle w:val="TOC1"/>
            <w:tabs>
              <w:tab w:val="right" w:leader="dot" w:pos="9360"/>
            </w:tabs>
            <w:bidi w:val="0"/>
          </w:pPr>
          <w:hyperlink w:anchor="_Toc796986360">
            <w:r w:rsidRPr="28406E4A" w:rsidR="28406E4A">
              <w:rPr>
                <w:rStyle w:val="Hyperlink"/>
              </w:rPr>
              <w:t>Organisational Culture and Its Influence on Structure and Decision-Making</w:t>
            </w:r>
            <w:r>
              <w:tab/>
            </w:r>
            <w:r>
              <w:fldChar w:fldCharType="begin"/>
            </w:r>
            <w:r>
              <w:instrText xml:space="preserve">PAGEREF _Toc796986360 \h</w:instrText>
            </w:r>
            <w:r>
              <w:fldChar w:fldCharType="separate"/>
            </w:r>
            <w:r w:rsidRPr="28406E4A" w:rsidR="28406E4A">
              <w:rPr>
                <w:rStyle w:val="Hyperlink"/>
              </w:rPr>
              <w:t>3</w:t>
            </w:r>
            <w:r>
              <w:fldChar w:fldCharType="end"/>
            </w:r>
          </w:hyperlink>
        </w:p>
        <w:p w:rsidR="28406E4A" w:rsidP="28406E4A" w:rsidRDefault="28406E4A" w14:paraId="1FFA8AF6" w14:textId="4FB5D81F">
          <w:pPr>
            <w:pStyle w:val="TOC1"/>
            <w:tabs>
              <w:tab w:val="right" w:leader="dot" w:pos="9360"/>
            </w:tabs>
            <w:bidi w:val="0"/>
          </w:pPr>
          <w:hyperlink w:anchor="_Toc74853780">
            <w:r w:rsidRPr="28406E4A" w:rsidR="28406E4A">
              <w:rPr>
                <w:rStyle w:val="Hyperlink"/>
              </w:rPr>
              <w:t>Identifying Toyota’s Organizational Culture Using Theoretical Frameworks</w:t>
            </w:r>
            <w:r>
              <w:tab/>
            </w:r>
            <w:r>
              <w:fldChar w:fldCharType="begin"/>
            </w:r>
            <w:r>
              <w:instrText xml:space="preserve">PAGEREF _Toc74853780 \h</w:instrText>
            </w:r>
            <w:r>
              <w:fldChar w:fldCharType="separate"/>
            </w:r>
            <w:r w:rsidRPr="28406E4A" w:rsidR="28406E4A">
              <w:rPr>
                <w:rStyle w:val="Hyperlink"/>
              </w:rPr>
              <w:t>5</w:t>
            </w:r>
            <w:r>
              <w:fldChar w:fldCharType="end"/>
            </w:r>
          </w:hyperlink>
        </w:p>
        <w:p w:rsidR="28406E4A" w:rsidP="28406E4A" w:rsidRDefault="28406E4A" w14:paraId="22890FE0" w14:textId="00CCE696">
          <w:pPr>
            <w:pStyle w:val="TOC1"/>
            <w:tabs>
              <w:tab w:val="right" w:leader="dot" w:pos="9360"/>
            </w:tabs>
            <w:bidi w:val="0"/>
          </w:pPr>
          <w:hyperlink w:anchor="_Toc1103019502">
            <w:r w:rsidRPr="28406E4A" w:rsidR="28406E4A">
              <w:rPr>
                <w:rStyle w:val="Hyperlink"/>
              </w:rPr>
              <w:t>Identifying Toyota’s Organisational Culture Using Theoretical Frameworks</w:t>
            </w:r>
            <w:r>
              <w:tab/>
            </w:r>
            <w:r>
              <w:fldChar w:fldCharType="begin"/>
            </w:r>
            <w:r>
              <w:instrText xml:space="preserve">PAGEREF _Toc1103019502 \h</w:instrText>
            </w:r>
            <w:r>
              <w:fldChar w:fldCharType="separate"/>
            </w:r>
            <w:r w:rsidRPr="28406E4A" w:rsidR="28406E4A">
              <w:rPr>
                <w:rStyle w:val="Hyperlink"/>
              </w:rPr>
              <w:t>8</w:t>
            </w:r>
            <w:r>
              <w:fldChar w:fldCharType="end"/>
            </w:r>
          </w:hyperlink>
        </w:p>
        <w:p w:rsidR="28406E4A" w:rsidP="28406E4A" w:rsidRDefault="28406E4A" w14:paraId="6535E423" w14:textId="39CFDB77">
          <w:pPr>
            <w:pStyle w:val="TOC1"/>
            <w:tabs>
              <w:tab w:val="right" w:leader="dot" w:pos="9360"/>
            </w:tabs>
            <w:bidi w:val="0"/>
          </w:pPr>
          <w:hyperlink w:anchor="_Toc1213097370">
            <w:r w:rsidRPr="28406E4A" w:rsidR="28406E4A">
              <w:rPr>
                <w:rStyle w:val="Hyperlink"/>
              </w:rPr>
              <w:t>Organisational Culture: Barrier or Enabler?</w:t>
            </w:r>
            <w:r>
              <w:tab/>
            </w:r>
            <w:r>
              <w:fldChar w:fldCharType="begin"/>
            </w:r>
            <w:r>
              <w:instrText xml:space="preserve">PAGEREF _Toc1213097370 \h</w:instrText>
            </w:r>
            <w:r>
              <w:fldChar w:fldCharType="separate"/>
            </w:r>
            <w:r w:rsidRPr="28406E4A" w:rsidR="28406E4A">
              <w:rPr>
                <w:rStyle w:val="Hyperlink"/>
              </w:rPr>
              <w:t>10</w:t>
            </w:r>
            <w:r>
              <w:fldChar w:fldCharType="end"/>
            </w:r>
          </w:hyperlink>
        </w:p>
        <w:p w:rsidR="28406E4A" w:rsidP="28406E4A" w:rsidRDefault="28406E4A" w14:paraId="7374F8DB" w14:textId="185A1B5F">
          <w:pPr>
            <w:pStyle w:val="TOC1"/>
            <w:tabs>
              <w:tab w:val="right" w:leader="dot" w:pos="9360"/>
            </w:tabs>
            <w:bidi w:val="0"/>
          </w:pPr>
          <w:hyperlink w:anchor="_Toc1916401160">
            <w:r w:rsidRPr="28406E4A" w:rsidR="28406E4A">
              <w:rPr>
                <w:rStyle w:val="Hyperlink"/>
              </w:rPr>
              <w:t>Impact on Organisational Performance and Recommendations</w:t>
            </w:r>
            <w:r>
              <w:tab/>
            </w:r>
            <w:r>
              <w:fldChar w:fldCharType="begin"/>
            </w:r>
            <w:r>
              <w:instrText xml:space="preserve">PAGEREF _Toc1916401160 \h</w:instrText>
            </w:r>
            <w:r>
              <w:fldChar w:fldCharType="separate"/>
            </w:r>
            <w:r w:rsidRPr="28406E4A" w:rsidR="28406E4A">
              <w:rPr>
                <w:rStyle w:val="Hyperlink"/>
              </w:rPr>
              <w:t>10</w:t>
            </w:r>
            <w:r>
              <w:fldChar w:fldCharType="end"/>
            </w:r>
          </w:hyperlink>
        </w:p>
        <w:p w:rsidR="28406E4A" w:rsidP="28406E4A" w:rsidRDefault="28406E4A" w14:paraId="0BB3DD2C" w14:textId="4EA31B16">
          <w:pPr>
            <w:pStyle w:val="TOC1"/>
            <w:tabs>
              <w:tab w:val="right" w:leader="dot" w:pos="9360"/>
            </w:tabs>
            <w:bidi w:val="0"/>
          </w:pPr>
          <w:hyperlink w:anchor="_Toc1073112324">
            <w:r w:rsidRPr="28406E4A" w:rsidR="28406E4A">
              <w:rPr>
                <w:rStyle w:val="Hyperlink"/>
              </w:rPr>
              <w:t>Conclusion</w:t>
            </w:r>
            <w:r>
              <w:tab/>
            </w:r>
            <w:r>
              <w:fldChar w:fldCharType="begin"/>
            </w:r>
            <w:r>
              <w:instrText xml:space="preserve">PAGEREF _Toc1073112324 \h</w:instrText>
            </w:r>
            <w:r>
              <w:fldChar w:fldCharType="separate"/>
            </w:r>
            <w:r w:rsidRPr="28406E4A" w:rsidR="28406E4A">
              <w:rPr>
                <w:rStyle w:val="Hyperlink"/>
              </w:rPr>
              <w:t>11</w:t>
            </w:r>
            <w:r>
              <w:fldChar w:fldCharType="end"/>
            </w:r>
          </w:hyperlink>
        </w:p>
        <w:p w:rsidR="28406E4A" w:rsidP="28406E4A" w:rsidRDefault="28406E4A" w14:paraId="6B1376AF" w14:textId="4B52052D">
          <w:pPr>
            <w:pStyle w:val="TOC1"/>
            <w:tabs>
              <w:tab w:val="right" w:leader="dot" w:pos="9360"/>
            </w:tabs>
            <w:bidi w:val="0"/>
          </w:pPr>
          <w:hyperlink w:anchor="_Toc2139609504">
            <w:r w:rsidRPr="28406E4A" w:rsidR="28406E4A">
              <w:rPr>
                <w:rStyle w:val="Hyperlink"/>
              </w:rPr>
              <w:t>Reference List</w:t>
            </w:r>
            <w:r>
              <w:tab/>
            </w:r>
            <w:r>
              <w:fldChar w:fldCharType="begin"/>
            </w:r>
            <w:r>
              <w:instrText xml:space="preserve">PAGEREF _Toc2139609504 \h</w:instrText>
            </w:r>
            <w:r>
              <w:fldChar w:fldCharType="separate"/>
            </w:r>
            <w:r w:rsidRPr="28406E4A" w:rsidR="28406E4A">
              <w:rPr>
                <w:rStyle w:val="Hyperlink"/>
              </w:rPr>
              <w:t>12</w:t>
            </w:r>
            <w:r>
              <w:fldChar w:fldCharType="end"/>
            </w:r>
          </w:hyperlink>
        </w:p>
        <w:p w:rsidR="28406E4A" w:rsidRDefault="28406E4A" w14:paraId="0E091E01" w14:textId="5760ADA3">
          <w:r>
            <w:fldChar w:fldCharType="end"/>
          </w:r>
        </w:p>
      </w:sdtContent>
    </w:sdt>
    <w:p w:rsidR="28406E4A" w:rsidP="28406E4A" w:rsidRDefault="28406E4A" w14:paraId="31D21B28" w14:textId="0C2966B6">
      <w:pPr>
        <w:pStyle w:val="Normal"/>
        <w:jc w:val="center"/>
        <w:rPr>
          <w:rFonts w:ascii="Arial" w:hAnsi="Arial" w:eastAsia="Arial" w:cs="Arial"/>
          <w:b w:val="0"/>
          <w:bCs w:val="0"/>
          <w:sz w:val="20"/>
          <w:szCs w:val="20"/>
        </w:rPr>
      </w:pPr>
    </w:p>
    <w:p w:rsidR="28406E4A" w:rsidP="28406E4A" w:rsidRDefault="28406E4A" w14:paraId="7F6A3506" w14:textId="21AFE2BB">
      <w:pPr>
        <w:pStyle w:val="Normal"/>
        <w:jc w:val="center"/>
        <w:rPr>
          <w:rFonts w:ascii="Arial" w:hAnsi="Arial" w:eastAsia="Arial" w:cs="Arial"/>
          <w:b w:val="0"/>
          <w:bCs w:val="0"/>
          <w:sz w:val="20"/>
          <w:szCs w:val="20"/>
        </w:rPr>
      </w:pPr>
    </w:p>
    <w:p w:rsidR="28406E4A" w:rsidRDefault="28406E4A" w14:paraId="5D64930E" w14:textId="4F8E8467">
      <w:r>
        <w:br w:type="page"/>
      </w:r>
    </w:p>
    <w:p w:rsidR="50219F2F" w:rsidP="28406E4A" w:rsidRDefault="50219F2F" w14:paraId="17131760" w14:textId="5BAD7ACF">
      <w:pPr>
        <w:pStyle w:val="Heading1"/>
        <w:rPr>
          <w:rFonts w:ascii="Arial" w:hAnsi="Arial" w:eastAsia="Arial" w:cs="Arial"/>
          <w:b w:val="1"/>
          <w:bCs w:val="1"/>
          <w:noProof w:val="0"/>
          <w:sz w:val="48"/>
          <w:szCs w:val="48"/>
          <w:lang w:val="en-US"/>
        </w:rPr>
      </w:pPr>
      <w:bookmarkStart w:name="_Toc1552110071" w:id="134232855"/>
      <w:r w:rsidRPr="28406E4A" w:rsidR="50219F2F">
        <w:rPr>
          <w:noProof w:val="0"/>
          <w:lang w:val="en-US"/>
        </w:rPr>
        <w:t>Introduction</w:t>
      </w:r>
      <w:bookmarkEnd w:id="134232855"/>
    </w:p>
    <w:p w:rsidR="50219F2F" w:rsidP="28406E4A" w:rsidRDefault="50219F2F" w14:paraId="62C2DAC9" w14:textId="469A3DC4">
      <w:pPr>
        <w:spacing w:before="240" w:beforeAutospacing="off" w:after="240" w:afterAutospacing="off"/>
        <w:jc w:val="left"/>
      </w:pPr>
      <w:r w:rsidRPr="28406E4A" w:rsidR="50219F2F">
        <w:rPr>
          <w:rFonts w:ascii="Arial" w:hAnsi="Arial" w:eastAsia="Arial" w:cs="Arial"/>
          <w:noProof w:val="0"/>
          <w:sz w:val="20"/>
          <w:szCs w:val="20"/>
          <w:lang w:val="en-US"/>
        </w:rPr>
        <w:t>Organisational culture plays a significant role in influencing how organisations operate, make decisions, manage employees, and achieve strategic objectives. According to Mullins and Christy (2016), culture reflects “how things are done around here” through shared values, beliefs, attitudes, and behaviours within an organisation. Similarly, Schein (2010) argues that organisational culture consists of shared assumptions and values that guide employee behaviour and organisational practices. In modern global organisations, culture has become increasingly important due to globalisation, workforce diversity, technological advancement, and competitive pressures (Hofstede, 2001).</w:t>
      </w:r>
    </w:p>
    <w:p w:rsidR="50219F2F" w:rsidP="28406E4A" w:rsidRDefault="50219F2F" w14:paraId="35A563C4" w14:textId="35259668">
      <w:pPr>
        <w:spacing w:before="240" w:beforeAutospacing="off" w:after="240" w:afterAutospacing="off"/>
        <w:jc w:val="left"/>
      </w:pPr>
      <w:r w:rsidRPr="28406E4A" w:rsidR="50219F2F">
        <w:rPr>
          <w:rFonts w:ascii="Arial" w:hAnsi="Arial" w:eastAsia="Arial" w:cs="Arial"/>
          <w:noProof w:val="0"/>
          <w:sz w:val="20"/>
          <w:szCs w:val="20"/>
          <w:lang w:val="en-US"/>
        </w:rPr>
        <w:t>This report critically analyses the organisational culture of Toyota and examines how culture influences the organisation’s structure, decision-making processes, and overall organisational performance. Toyota is one of the world’s leading automotive manufacturers and is widely recognised for its strong organisational culture, particularly through the Toyota Production System (TPS), continuous improvement (Kaizen), teamwork, and employee involvement (Liker, 2004).</w:t>
      </w:r>
    </w:p>
    <w:p w:rsidR="50219F2F" w:rsidP="28406E4A" w:rsidRDefault="50219F2F" w14:paraId="5D269286" w14:textId="60D4D14E">
      <w:pPr>
        <w:spacing w:before="240" w:beforeAutospacing="off" w:after="240" w:afterAutospacing="off"/>
        <w:jc w:val="left"/>
      </w:pPr>
      <w:r w:rsidRPr="28406E4A" w:rsidR="50219F2F">
        <w:rPr>
          <w:rFonts w:ascii="Arial" w:hAnsi="Arial" w:eastAsia="Arial" w:cs="Arial"/>
          <w:noProof w:val="0"/>
          <w:sz w:val="20"/>
          <w:szCs w:val="20"/>
          <w:lang w:val="en-US"/>
        </w:rPr>
        <w:t>The report applies key organisational culture theories and frameworks, including Schein’s Model of Organisational Culture, Hofstede’s Cultural Dimensions, and Handy’s Cultural Types, to identify and evaluate Toyota’s prevailing organisational culture. These frameworks help explain how organisational values, behaviours, and management practices influence organisational effectiveness and employee performance (Handy, 1993).</w:t>
      </w:r>
    </w:p>
    <w:p w:rsidR="50219F2F" w:rsidP="28406E4A" w:rsidRDefault="50219F2F" w14:paraId="5BFA5138" w14:textId="05E1CC79">
      <w:pPr>
        <w:spacing w:before="240" w:beforeAutospacing="off" w:after="240" w:afterAutospacing="off"/>
        <w:jc w:val="left"/>
      </w:pPr>
      <w:r w:rsidRPr="28406E4A" w:rsidR="50219F2F">
        <w:rPr>
          <w:rFonts w:ascii="Arial" w:hAnsi="Arial" w:eastAsia="Arial" w:cs="Arial"/>
          <w:noProof w:val="0"/>
          <w:sz w:val="20"/>
          <w:szCs w:val="20"/>
          <w:lang w:val="en-US"/>
        </w:rPr>
        <w:t>In addition, the report analyses how Toyota uses its culture to adapt to external environmental influences such as global competition, technological change, and sustainability challenges. Finally, the report critically evaluates whether Toyota’s organisational culture acts as an enabler or barrier to organisational effectiveness and assesses its impact on organisational performance. Theory-informed recommendations are also provided to support future organisational improvement.</w:t>
      </w:r>
    </w:p>
    <w:p w:rsidR="28406E4A" w:rsidP="28406E4A" w:rsidRDefault="28406E4A" w14:paraId="0FB7336C" w14:textId="3228AD47">
      <w:pPr>
        <w:pStyle w:val="Normal"/>
        <w:jc w:val="left"/>
        <w:rPr>
          <w:rFonts w:ascii="Arial" w:hAnsi="Arial" w:eastAsia="Arial" w:cs="Arial"/>
          <w:b w:val="0"/>
          <w:bCs w:val="0"/>
          <w:sz w:val="20"/>
          <w:szCs w:val="20"/>
        </w:rPr>
      </w:pPr>
    </w:p>
    <w:p w:rsidR="28406E4A" w:rsidRDefault="28406E4A" w14:paraId="576EE8C4" w14:textId="493310A3">
      <w:r>
        <w:br w:type="page"/>
      </w:r>
    </w:p>
    <w:p w:rsidR="14F380D8" w:rsidP="28406E4A" w:rsidRDefault="14F380D8" w14:paraId="75BAD773" w14:textId="64FE280F">
      <w:pPr>
        <w:pStyle w:val="Heading1"/>
        <w:spacing w:before="322" w:beforeAutospacing="off" w:after="322" w:afterAutospacing="off"/>
        <w:jc w:val="left"/>
        <w:rPr>
          <w:rFonts w:ascii="Arial" w:hAnsi="Arial" w:eastAsia="Arial" w:cs="Arial"/>
          <w:b w:val="1"/>
          <w:bCs w:val="1"/>
          <w:noProof w:val="0"/>
          <w:sz w:val="48"/>
          <w:szCs w:val="48"/>
          <w:lang w:val="en-US"/>
        </w:rPr>
      </w:pPr>
      <w:bookmarkStart w:name="_Toc796986360" w:id="170970037"/>
      <w:r w:rsidRPr="28406E4A" w:rsidR="14F380D8">
        <w:rPr>
          <w:rStyle w:val="Heading1Char"/>
          <w:noProof w:val="0"/>
          <w:lang w:val="en-US"/>
        </w:rPr>
        <w:t>Organisational</w:t>
      </w:r>
      <w:r w:rsidRPr="28406E4A" w:rsidR="14F380D8">
        <w:rPr>
          <w:rStyle w:val="Heading1Char"/>
          <w:noProof w:val="0"/>
          <w:lang w:val="en-US"/>
        </w:rPr>
        <w:t xml:space="preserve"> Culture and Its Influence on Structure and Decision-Making</w:t>
      </w:r>
      <w:bookmarkEnd w:id="170970037"/>
    </w:p>
    <w:p w:rsidR="14F380D8" w:rsidP="28406E4A" w:rsidRDefault="14F380D8" w14:paraId="783A57B0" w14:textId="1916CDF6">
      <w:pPr>
        <w:spacing w:before="240" w:beforeAutospacing="off" w:after="240" w:afterAutospacing="off"/>
        <w:jc w:val="left"/>
      </w:pPr>
      <w:r w:rsidRPr="28406E4A" w:rsidR="14F380D8">
        <w:rPr>
          <w:rFonts w:ascii="Arial" w:hAnsi="Arial" w:eastAsia="Arial" w:cs="Arial"/>
          <w:noProof w:val="0"/>
          <w:sz w:val="20"/>
          <w:szCs w:val="20"/>
          <w:lang w:val="en-US"/>
        </w:rPr>
        <w:t xml:space="preserve">Organizational culture has a major influence on </w:t>
      </w:r>
      <w:r w:rsidRPr="28406E4A" w:rsidR="14F380D8">
        <w:rPr>
          <w:rFonts w:ascii="Arial" w:hAnsi="Arial" w:eastAsia="Arial" w:cs="Arial"/>
          <w:noProof w:val="0"/>
          <w:sz w:val="20"/>
          <w:szCs w:val="20"/>
          <w:lang w:val="en-US"/>
        </w:rPr>
        <w:t>organizational</w:t>
      </w:r>
      <w:r w:rsidRPr="28406E4A" w:rsidR="14F380D8">
        <w:rPr>
          <w:rFonts w:ascii="Arial" w:hAnsi="Arial" w:eastAsia="Arial" w:cs="Arial"/>
          <w:noProof w:val="0"/>
          <w:sz w:val="20"/>
          <w:szCs w:val="20"/>
          <w:lang w:val="en-US"/>
        </w:rPr>
        <w:t xml:space="preserve"> structure and decision-making processes because it shapes employee </w:t>
      </w:r>
      <w:r w:rsidRPr="28406E4A" w:rsidR="14F380D8">
        <w:rPr>
          <w:rFonts w:ascii="Arial" w:hAnsi="Arial" w:eastAsia="Arial" w:cs="Arial"/>
          <w:noProof w:val="0"/>
          <w:sz w:val="20"/>
          <w:szCs w:val="20"/>
          <w:lang w:val="en-US"/>
        </w:rPr>
        <w:t>behaviour</w:t>
      </w:r>
      <w:r w:rsidRPr="28406E4A" w:rsidR="14F380D8">
        <w:rPr>
          <w:rFonts w:ascii="Arial" w:hAnsi="Arial" w:eastAsia="Arial" w:cs="Arial"/>
          <w:noProof w:val="0"/>
          <w:sz w:val="20"/>
          <w:szCs w:val="20"/>
          <w:lang w:val="en-US"/>
        </w:rPr>
        <w:t xml:space="preserve">, communication patterns, leadership styles, and workplace expectations (Robbins and Judge, 2019). At Toyota, </w:t>
      </w:r>
      <w:r w:rsidRPr="28406E4A" w:rsidR="14F380D8">
        <w:rPr>
          <w:rFonts w:ascii="Arial" w:hAnsi="Arial" w:eastAsia="Arial" w:cs="Arial"/>
          <w:noProof w:val="0"/>
          <w:sz w:val="20"/>
          <w:szCs w:val="20"/>
          <w:lang w:val="en-US"/>
        </w:rPr>
        <w:t>organisational</w:t>
      </w:r>
      <w:r w:rsidRPr="28406E4A" w:rsidR="14F380D8">
        <w:rPr>
          <w:rFonts w:ascii="Arial" w:hAnsi="Arial" w:eastAsia="Arial" w:cs="Arial"/>
          <w:noProof w:val="0"/>
          <w:sz w:val="20"/>
          <w:szCs w:val="20"/>
          <w:lang w:val="en-US"/>
        </w:rPr>
        <w:t xml:space="preserve"> culture is strongly influenced by the Toyota Production System (TPS), which promotes continuous improvement (Kaizen), teamwork, employee empowerment, and long-term thinking (Ohno, 1988). These cultural values have significantly shaped the company’s </w:t>
      </w:r>
      <w:r w:rsidRPr="28406E4A" w:rsidR="14F380D8">
        <w:rPr>
          <w:rFonts w:ascii="Arial" w:hAnsi="Arial" w:eastAsia="Arial" w:cs="Arial"/>
          <w:noProof w:val="0"/>
          <w:sz w:val="20"/>
          <w:szCs w:val="20"/>
          <w:lang w:val="en-US"/>
        </w:rPr>
        <w:t>organisational</w:t>
      </w:r>
      <w:r w:rsidRPr="28406E4A" w:rsidR="14F380D8">
        <w:rPr>
          <w:rFonts w:ascii="Arial" w:hAnsi="Arial" w:eastAsia="Arial" w:cs="Arial"/>
          <w:noProof w:val="0"/>
          <w:sz w:val="20"/>
          <w:szCs w:val="20"/>
          <w:lang w:val="en-US"/>
        </w:rPr>
        <w:t xml:space="preserve"> structure and management practices.</w:t>
      </w:r>
    </w:p>
    <w:p w:rsidR="14F380D8" w:rsidP="28406E4A" w:rsidRDefault="14F380D8" w14:paraId="1E4084D7" w14:textId="7E27FA79">
      <w:pPr>
        <w:spacing w:before="240" w:beforeAutospacing="off" w:after="240" w:afterAutospacing="off"/>
        <w:jc w:val="left"/>
      </w:pPr>
      <w:r w:rsidRPr="28406E4A" w:rsidR="14F380D8">
        <w:rPr>
          <w:rFonts w:ascii="Arial" w:hAnsi="Arial" w:eastAsia="Arial" w:cs="Arial"/>
          <w:noProof w:val="0"/>
          <w:sz w:val="20"/>
          <w:szCs w:val="20"/>
          <w:lang w:val="en-US"/>
        </w:rPr>
        <w:t>Toyota operates with a relatively decentralised and team-oriented organisational structure that encourages collaboration and collective problem-solving across different levels of the organisation. According to Deal and Kennedy (2000), organisational culture influences how employees interact and how authority is distributed within organisations. At Toyota, employees are encouraged to contribute ideas for operational improvement regardless of their hierarchical position. This reflects a culture that values employee involvement, organisational learning, and shared responsibility.</w:t>
      </w:r>
    </w:p>
    <w:p w:rsidR="14F380D8" w:rsidP="28406E4A" w:rsidRDefault="14F380D8" w14:paraId="48AE31E6" w14:textId="6A3574F5">
      <w:pPr>
        <w:spacing w:before="240" w:beforeAutospacing="off" w:after="240" w:afterAutospacing="off"/>
        <w:jc w:val="left"/>
      </w:pPr>
      <w:r w:rsidRPr="28406E4A" w:rsidR="14F380D8">
        <w:rPr>
          <w:rFonts w:ascii="Arial" w:hAnsi="Arial" w:eastAsia="Arial" w:cs="Arial"/>
          <w:noProof w:val="0"/>
          <w:sz w:val="20"/>
          <w:szCs w:val="20"/>
          <w:lang w:val="en-US"/>
        </w:rPr>
        <w:t>One important feature of Toyota’s structure is the strong emphasis placed on teamwork and cross-functional collaboration. Employees work together in teams to identify production issues, improve product quality, and enhance efficiency. The use of quality circles and collaborative problem-solving demonstrates how Toyota’s culture supports participation and continuous improvement (Womack, Jones and Roos, 1990). This team-based approach improves communication between managers and employees while strengthening organisational commitment and trust.</w:t>
      </w:r>
    </w:p>
    <w:p w:rsidR="14F380D8" w:rsidP="28406E4A" w:rsidRDefault="14F380D8" w14:paraId="5BD58E59" w14:textId="2F6C50DE">
      <w:pPr>
        <w:spacing w:before="240" w:beforeAutospacing="off" w:after="240" w:afterAutospacing="off"/>
        <w:jc w:val="left"/>
      </w:pPr>
      <w:r w:rsidRPr="28406E4A" w:rsidR="14F380D8">
        <w:rPr>
          <w:rFonts w:ascii="Arial" w:hAnsi="Arial" w:eastAsia="Arial" w:cs="Arial"/>
          <w:noProof w:val="0"/>
          <w:sz w:val="20"/>
          <w:szCs w:val="20"/>
          <w:lang w:val="en-US"/>
        </w:rPr>
        <w:t>Toyota’s decision-making processes are also heavily influenced by Japanese national culture, particularly collectivism and consensus-building. Trompenaars and Hampden-Turner (2012) argue that organisations operating within collectivist cultures tend to prioritise group harmony and cooperative decision-making over individual authority. Toyota commonly applies a consensus-based approach known as “ringi,” where decisions are discussed across departments before final approval is granted. This allows employees from different organisational levels to contribute ideas and feedback, leading to better-informed decisions and reduced resistance to organisational change.</w:t>
      </w:r>
    </w:p>
    <w:p w:rsidR="14F380D8" w:rsidP="28406E4A" w:rsidRDefault="14F380D8" w14:paraId="0D58AC42" w14:textId="725139B6">
      <w:pPr>
        <w:spacing w:before="240" w:beforeAutospacing="off" w:after="240" w:afterAutospacing="off"/>
        <w:jc w:val="left"/>
      </w:pPr>
      <w:r w:rsidRPr="28406E4A" w:rsidR="14F380D8">
        <w:rPr>
          <w:rFonts w:ascii="Arial" w:hAnsi="Arial" w:eastAsia="Arial" w:cs="Arial"/>
          <w:noProof w:val="0"/>
          <w:sz w:val="20"/>
          <w:szCs w:val="20"/>
          <w:lang w:val="en-US"/>
        </w:rPr>
        <w:t>Furthermore, the company’s culture promotes long-term strategic thinking rather than short-term profit maximisation. Daft (2021) explains that organisations with strong adaptive cultures are more likely to align decision-making with long-term organisational goals. Toyota demonstrates this through its continued investment in innovation, quality management, and sustainable technologies such as hybrid and electric vehicles. This long-term orientation has contributed significantly to Toyota’s global competitiveness and organisational stability.</w:t>
      </w:r>
    </w:p>
    <w:p w:rsidR="14F380D8" w:rsidP="28406E4A" w:rsidRDefault="14F380D8" w14:paraId="32FE49D6" w14:textId="5EC28653">
      <w:pPr>
        <w:spacing w:before="240" w:beforeAutospacing="off" w:after="240" w:afterAutospacing="off"/>
        <w:jc w:val="left"/>
      </w:pPr>
      <w:r w:rsidRPr="28406E4A" w:rsidR="14F380D8">
        <w:rPr>
          <w:rFonts w:ascii="Arial" w:hAnsi="Arial" w:eastAsia="Arial" w:cs="Arial"/>
          <w:noProof w:val="0"/>
          <w:sz w:val="20"/>
          <w:szCs w:val="20"/>
          <w:lang w:val="en-US"/>
        </w:rPr>
        <w:t>However, although consensus decision-making offers several benefits, it may also reduce organisational responsiveness during periods of crisis or rapid environmental change. During the 2009–2010 vehicle recall crisis, Toyota faced criticism for delays in responding to safety concerns, which negatively affected customer trust and organisational reputation (Cole, 2011). This suggests that while Toyota’s culture supports careful planning and risk reduction, it can also create slower decision-making processes in highly competitive environments.</w:t>
      </w:r>
    </w:p>
    <w:p w:rsidR="14F380D8" w:rsidP="28406E4A" w:rsidRDefault="14F380D8" w14:paraId="730DA202" w14:textId="5BE5154B">
      <w:pPr>
        <w:spacing w:before="240" w:beforeAutospacing="off" w:after="240" w:afterAutospacing="off"/>
        <w:jc w:val="left"/>
      </w:pPr>
      <w:r w:rsidRPr="28406E4A" w:rsidR="14F380D8">
        <w:rPr>
          <w:rFonts w:ascii="Arial" w:hAnsi="Arial" w:eastAsia="Arial" w:cs="Arial"/>
          <w:noProof w:val="0"/>
          <w:sz w:val="20"/>
          <w:szCs w:val="20"/>
          <w:lang w:val="en-US"/>
        </w:rPr>
        <w:t>Handy’s (1993) cultural typology can also be applied to Toyota’s organisational structure. Toyota demonstrates characteristics of both task culture and role culture. Task culture is reflected through teamwork, innovation, and collaborative problem-solving, while role culture is evident in the company’s formal procedures, standardised systems, and clearly defined responsibilities. This balance enables Toyota to maintain operational efficiency while simultaneously encouraging employee participation and continuous improvement.</w:t>
      </w:r>
    </w:p>
    <w:p w:rsidR="14F380D8" w:rsidP="28406E4A" w:rsidRDefault="14F380D8" w14:paraId="25877648" w14:textId="713AA5A0">
      <w:pPr>
        <w:spacing w:before="240" w:beforeAutospacing="off" w:after="240" w:afterAutospacing="off"/>
        <w:jc w:val="left"/>
      </w:pPr>
      <w:r w:rsidRPr="28406E4A" w:rsidR="14F380D8">
        <w:rPr>
          <w:rFonts w:ascii="Arial" w:hAnsi="Arial" w:eastAsia="Arial" w:cs="Arial"/>
          <w:noProof w:val="0"/>
          <w:sz w:val="20"/>
          <w:szCs w:val="20"/>
          <w:lang w:val="en-US"/>
        </w:rPr>
        <w:t>Overall, Toyota’s organisational culture strongly influences its organisational structure and decision-making processes by promoting teamwork, employee empowerment, quality improvement, and long-term strategic thinking. Although aspects of the culture may slow decision-making in certain situations, Toyota’s strong cultural foundation has contributed significantly to organisational efficiency, innovation, and global success.</w:t>
      </w:r>
    </w:p>
    <w:p w:rsidR="28406E4A" w:rsidP="28406E4A" w:rsidRDefault="28406E4A" w14:paraId="289D4EE0" w14:textId="0885DDE2">
      <w:pPr>
        <w:spacing w:before="240" w:beforeAutospacing="off" w:after="240" w:afterAutospacing="off"/>
        <w:jc w:val="left"/>
        <w:rPr>
          <w:rFonts w:ascii="Arial" w:hAnsi="Arial" w:eastAsia="Arial" w:cs="Arial"/>
          <w:noProof w:val="0"/>
          <w:sz w:val="20"/>
          <w:szCs w:val="20"/>
          <w:lang w:val="en-US"/>
        </w:rPr>
      </w:pPr>
    </w:p>
    <w:p w:rsidR="28406E4A" w:rsidRDefault="28406E4A" w14:paraId="521EFB55" w14:textId="5A2F5221">
      <w:r>
        <w:br w:type="page"/>
      </w:r>
    </w:p>
    <w:p w:rsidR="147A5593" w:rsidP="28406E4A" w:rsidRDefault="147A5593" w14:paraId="23CCD94D" w14:textId="587983A7">
      <w:pPr>
        <w:pStyle w:val="Heading1"/>
        <w:spacing w:before="322" w:beforeAutospacing="off" w:after="322" w:afterAutospacing="off"/>
        <w:jc w:val="left"/>
        <w:rPr>
          <w:rFonts w:ascii="Arial" w:hAnsi="Arial" w:eastAsia="Arial" w:cs="Arial"/>
          <w:b w:val="1"/>
          <w:bCs w:val="1"/>
          <w:noProof w:val="0"/>
          <w:sz w:val="48"/>
          <w:szCs w:val="48"/>
          <w:lang w:val="en-US"/>
        </w:rPr>
      </w:pPr>
      <w:bookmarkStart w:name="_Toc74853780" w:id="1057823097"/>
      <w:r w:rsidRPr="28406E4A" w:rsidR="147A5593">
        <w:rPr>
          <w:rStyle w:val="Heading2Char"/>
          <w:noProof w:val="0"/>
          <w:lang w:val="en-US"/>
        </w:rPr>
        <w:t xml:space="preserve">Identifying Toyota’s </w:t>
      </w:r>
      <w:r w:rsidRPr="28406E4A" w:rsidR="147A5593">
        <w:rPr>
          <w:rStyle w:val="Heading2Char"/>
          <w:noProof w:val="0"/>
          <w:lang w:val="en-US"/>
        </w:rPr>
        <w:t>Organizational</w:t>
      </w:r>
      <w:r w:rsidRPr="28406E4A" w:rsidR="147A5593">
        <w:rPr>
          <w:rStyle w:val="Heading2Char"/>
          <w:noProof w:val="0"/>
          <w:lang w:val="en-US"/>
        </w:rPr>
        <w:t xml:space="preserve"> Culture Using Theoretical Frameworks</w:t>
      </w:r>
      <w:bookmarkEnd w:id="1057823097"/>
    </w:p>
    <w:p w:rsidR="147A5593" w:rsidP="28406E4A" w:rsidRDefault="147A5593" w14:paraId="45E6C0B3" w14:textId="2F7FFADF">
      <w:pPr>
        <w:spacing w:before="240" w:beforeAutospacing="off" w:after="240" w:afterAutospacing="off"/>
        <w:jc w:val="left"/>
      </w:pPr>
      <w:r w:rsidRPr="28406E4A" w:rsidR="147A5593">
        <w:rPr>
          <w:rFonts w:ascii="Arial" w:hAnsi="Arial" w:eastAsia="Arial" w:cs="Arial"/>
          <w:noProof w:val="0"/>
          <w:sz w:val="20"/>
          <w:szCs w:val="20"/>
          <w:lang w:val="en-US"/>
        </w:rPr>
        <w:t>Organisational culture can be understood by looking at the shared values, beliefs, behaviours, and working practices that exist within an organisation. In the case of Toyota, its culture is very strong and clearly visible in how employees work, how decisions are made, and how the organisation focuses on quality and continuous improvement. To understand this properly, several academic models can be used, including Schein’s Model, Hofstede’s Cultural Dimensions, and Handy’s Cultural Types.</w:t>
      </w:r>
    </w:p>
    <w:p w:rsidR="147A5593" w:rsidP="28406E4A" w:rsidRDefault="147A5593" w14:paraId="2CB5D32E" w14:textId="2BBAD8E2">
      <w:pPr>
        <w:spacing w:before="240" w:beforeAutospacing="off" w:after="240" w:afterAutospacing="off"/>
        <w:jc w:val="left"/>
      </w:pPr>
      <w:r w:rsidRPr="28406E4A" w:rsidR="147A5593">
        <w:rPr>
          <w:rFonts w:ascii="Arial" w:hAnsi="Arial" w:eastAsia="Arial" w:cs="Arial"/>
          <w:noProof w:val="0"/>
          <w:sz w:val="20"/>
          <w:szCs w:val="20"/>
          <w:lang w:val="en-US"/>
        </w:rPr>
        <w:t>Schein’s Model of Organisational Culture explains culture through three levels: artefacts, espoused values, and basic assumptions. The first level, artefacts, refers to what can be seen in the organisation. At Toyota, artefacts include assembly line systems, standard working procedures, team meetings, visual management boards, and strict quality checks. These visible elements show that Toyota is highly organised and focused on efficiency and accuracy in production (Schein, 2017). Workers are also expected to follow structured processes, which reflects a disciplined working environment.</w:t>
      </w:r>
    </w:p>
    <w:p w:rsidR="147A5593" w:rsidP="28406E4A" w:rsidRDefault="147A5593" w14:paraId="4A8AFB53" w14:textId="2F6872A7">
      <w:pPr>
        <w:spacing w:before="240" w:beforeAutospacing="off" w:after="240" w:afterAutospacing="off"/>
        <w:jc w:val="left"/>
      </w:pPr>
      <w:r w:rsidRPr="28406E4A" w:rsidR="147A5593">
        <w:rPr>
          <w:rFonts w:ascii="Arial" w:hAnsi="Arial" w:eastAsia="Arial" w:cs="Arial"/>
          <w:noProof w:val="0"/>
          <w:sz w:val="20"/>
          <w:szCs w:val="20"/>
          <w:lang w:val="en-US"/>
        </w:rPr>
        <w:t>The second level is espoused values, which are the values the organisation says it believes in. Toyota strongly promotes values such as “Kaizen” (continuous improvement), respect for people, teamwork, and high quality standards. These values are not just written statements but are actively used in everyday work practices. Employees are encouraged to identify problems and suggest improvements, which supports a culture of learning and involvement (Liker and Meier, 2006). This helps employees feel more involved in the organisation and improves motivation.</w:t>
      </w:r>
    </w:p>
    <w:p w:rsidR="147A5593" w:rsidP="28406E4A" w:rsidRDefault="147A5593" w14:paraId="29323259" w14:textId="7ED229BA">
      <w:pPr>
        <w:spacing w:before="240" w:beforeAutospacing="off" w:after="240" w:afterAutospacing="off"/>
        <w:jc w:val="left"/>
      </w:pPr>
      <w:r w:rsidRPr="28406E4A" w:rsidR="147A5593">
        <w:rPr>
          <w:rFonts w:ascii="Arial" w:hAnsi="Arial" w:eastAsia="Arial" w:cs="Arial"/>
          <w:noProof w:val="0"/>
          <w:sz w:val="20"/>
          <w:szCs w:val="20"/>
          <w:lang w:val="en-US"/>
        </w:rPr>
        <w:t>The third and deepest level is basic underlying assumptions. These are the unconscious beliefs that shape behaviour. At Toyota, one key assumption is that long-term success is more important than short-term profit. Another assumption is that teamwork produces better results than individual work. There is also a strong belief that problems should be solved at the root cause rather than quickly fixed. These assumptions are deeply embedded in Toyota’s way of working and are a major reason for its global success (Womack and Jones, 2003).</w:t>
      </w:r>
    </w:p>
    <w:p w:rsidR="147A5593" w:rsidP="28406E4A" w:rsidRDefault="147A5593" w14:paraId="3B634177" w14:textId="1BF82914">
      <w:pPr>
        <w:spacing w:before="240" w:beforeAutospacing="off" w:after="240" w:afterAutospacing="off"/>
        <w:jc w:val="left"/>
      </w:pPr>
      <w:r w:rsidRPr="28406E4A" w:rsidR="147A5593">
        <w:rPr>
          <w:rFonts w:ascii="Arial" w:hAnsi="Arial" w:eastAsia="Arial" w:cs="Arial"/>
          <w:noProof w:val="0"/>
          <w:sz w:val="20"/>
          <w:szCs w:val="20"/>
          <w:lang w:val="en-US"/>
        </w:rPr>
        <w:t>Hofstede’s Cultural Dimensions can also help explain Toyota’s organisational culture. Japan is known for having a collectivist culture, which means people prefer working in groups rather than individually. This is clearly seen at Toyota, where teamwork is very important and employees are expected to support group goals instead of focusing only on personal achievement (Hofstede, Hofstede and Minkov, 2010). This helps create strong cooperation between workers and managers.</w:t>
      </w:r>
    </w:p>
    <w:p w:rsidR="147A5593" w:rsidP="28406E4A" w:rsidRDefault="147A5593" w14:paraId="22CE57AF" w14:textId="61DD9EE7">
      <w:pPr>
        <w:spacing w:before="240" w:beforeAutospacing="off" w:after="240" w:afterAutospacing="off"/>
        <w:jc w:val="left"/>
      </w:pPr>
      <w:r w:rsidRPr="28406E4A" w:rsidR="147A5593">
        <w:rPr>
          <w:rFonts w:ascii="Arial" w:hAnsi="Arial" w:eastAsia="Arial" w:cs="Arial"/>
          <w:noProof w:val="0"/>
          <w:sz w:val="20"/>
          <w:szCs w:val="20"/>
          <w:lang w:val="en-US"/>
        </w:rPr>
        <w:t>Another important dimension is uncertainty avoidance. Japanese culture tends to avoid uncertainty, which means organisations prefer clear rules and structured systems. At Toyota, this is reflected in strict production standards, detailed procedures, and strong quality control systems. These systems help reduce mistakes and improve consistency in products (Hill, 2020).</w:t>
      </w:r>
    </w:p>
    <w:p w:rsidR="147A5593" w:rsidP="28406E4A" w:rsidRDefault="147A5593" w14:paraId="3AD04FBC" w14:textId="3359AEF5">
      <w:pPr>
        <w:spacing w:before="240" w:beforeAutospacing="off" w:after="240" w:afterAutospacing="off"/>
        <w:jc w:val="left"/>
      </w:pPr>
      <w:r w:rsidRPr="28406E4A" w:rsidR="147A5593">
        <w:rPr>
          <w:rFonts w:ascii="Arial" w:hAnsi="Arial" w:eastAsia="Arial" w:cs="Arial"/>
          <w:noProof w:val="0"/>
          <w:sz w:val="20"/>
          <w:szCs w:val="20"/>
          <w:lang w:val="en-US"/>
        </w:rPr>
        <w:t>Toyota also shows a strong long-term orientation. This means the organisation focuses more on future success rather than short-term gains. For example, Toyota continues to invest in hybrid and electric vehicle technology even when profits may take time to grow. This shows that the company is willing to make long-term investments for future stability (Trompenaars and Woolliams, 2012).</w:t>
      </w:r>
    </w:p>
    <w:p w:rsidR="147A5593" w:rsidP="28406E4A" w:rsidRDefault="147A5593" w14:paraId="43C918CB" w14:textId="5E52E3FC">
      <w:pPr>
        <w:spacing w:before="240" w:beforeAutospacing="off" w:after="240" w:afterAutospacing="off"/>
        <w:jc w:val="left"/>
      </w:pPr>
      <w:r w:rsidRPr="28406E4A" w:rsidR="147A5593">
        <w:rPr>
          <w:rFonts w:ascii="Arial" w:hAnsi="Arial" w:eastAsia="Arial" w:cs="Arial"/>
          <w:noProof w:val="0"/>
          <w:sz w:val="20"/>
          <w:szCs w:val="20"/>
          <w:lang w:val="en-US"/>
        </w:rPr>
        <w:t>Handy’s Cultural Types theory can also be applied to Toyota. The organisation mainly reflects a task culture because work is often organised around teams that solve problems and complete specific goals. Employees work together to improve production processes and solve issues quickly. This teamwork approach helps increase efficiency and encourages innovation (Handy, 2007).</w:t>
      </w:r>
    </w:p>
    <w:p w:rsidR="147A5593" w:rsidP="28406E4A" w:rsidRDefault="147A5593" w14:paraId="4CFA26D0" w14:textId="4078DA26">
      <w:pPr>
        <w:spacing w:before="240" w:beforeAutospacing="off" w:after="240" w:afterAutospacing="off"/>
        <w:jc w:val="left"/>
      </w:pPr>
      <w:r w:rsidRPr="28406E4A" w:rsidR="147A5593">
        <w:rPr>
          <w:rFonts w:ascii="Arial" w:hAnsi="Arial" w:eastAsia="Arial" w:cs="Arial"/>
          <w:noProof w:val="0"/>
          <w:sz w:val="20"/>
          <w:szCs w:val="20"/>
          <w:lang w:val="en-US"/>
        </w:rPr>
        <w:t>However, Toyota also has elements of a role culture. This is seen in its strong rules, structured systems, and clear job responsibilities. Employees know exactly what is expected from them, especially in production roles. This balance between task culture and role culture helps Toyota maintain both flexibility and control in its operations.</w:t>
      </w:r>
    </w:p>
    <w:p w:rsidR="147A5593" w:rsidP="28406E4A" w:rsidRDefault="147A5593" w14:paraId="2AD853F8" w14:textId="6465FB19">
      <w:pPr>
        <w:spacing w:before="240" w:beforeAutospacing="off" w:after="240" w:afterAutospacing="off"/>
        <w:jc w:val="left"/>
      </w:pPr>
      <w:r w:rsidRPr="28406E4A" w:rsidR="147A5593">
        <w:rPr>
          <w:rFonts w:ascii="Arial" w:hAnsi="Arial" w:eastAsia="Arial" w:cs="Arial"/>
          <w:noProof w:val="0"/>
          <w:sz w:val="20"/>
          <w:szCs w:val="20"/>
          <w:lang w:val="en-US"/>
        </w:rPr>
        <w:t>Overall, these theories show that Toyota has a strong and well-structured organisational culture based on teamwork, discipline, continuous improvement, and long-term thinking. While this culture has many strengths, it can also create challenges such as slower decision-making and difficulty adapting quickly to change. However, overall it remains one of the key reasons for Toyota’s global success and strong performance in the automotive industry.</w:t>
      </w:r>
    </w:p>
    <w:p w:rsidR="28406E4A" w:rsidP="28406E4A" w:rsidRDefault="28406E4A" w14:paraId="484AA313" w14:textId="1B4B35BF">
      <w:pPr>
        <w:spacing w:before="240" w:beforeAutospacing="off" w:after="240" w:afterAutospacing="off"/>
        <w:jc w:val="left"/>
        <w:rPr>
          <w:rFonts w:ascii="Arial" w:hAnsi="Arial" w:eastAsia="Arial" w:cs="Arial"/>
          <w:noProof w:val="0"/>
          <w:sz w:val="20"/>
          <w:szCs w:val="20"/>
          <w:lang w:val="en-US"/>
        </w:rPr>
      </w:pPr>
    </w:p>
    <w:p w:rsidR="28406E4A" w:rsidRDefault="28406E4A" w14:paraId="148D73A4" w14:textId="50A65A60">
      <w:r>
        <w:br w:type="page"/>
      </w:r>
    </w:p>
    <w:p w:rsidR="28406E4A" w:rsidP="28406E4A" w:rsidRDefault="28406E4A" w14:paraId="7CF78865" w14:textId="6BE44374">
      <w:pPr>
        <w:pStyle w:val="Normal"/>
        <w:spacing w:before="240" w:beforeAutospacing="off" w:after="240" w:afterAutospacing="off"/>
        <w:jc w:val="left"/>
        <w:rPr>
          <w:rFonts w:ascii="Arial" w:hAnsi="Arial" w:eastAsia="Arial" w:cs="Arial"/>
          <w:noProof w:val="0"/>
          <w:sz w:val="20"/>
          <w:szCs w:val="20"/>
          <w:lang w:val="en-US"/>
        </w:rPr>
      </w:pPr>
    </w:p>
    <w:p w:rsidR="232813CE" w:rsidP="28406E4A" w:rsidRDefault="232813CE" w14:paraId="4F589CF6" w14:textId="63E0C21D">
      <w:pPr>
        <w:pStyle w:val="Heading1"/>
        <w:rPr>
          <w:rFonts w:ascii="Arial" w:hAnsi="Arial" w:eastAsia="Arial" w:cs="Arial"/>
          <w:b w:val="1"/>
          <w:bCs w:val="1"/>
          <w:noProof w:val="0"/>
          <w:sz w:val="48"/>
          <w:szCs w:val="48"/>
          <w:lang w:val="en-US"/>
        </w:rPr>
      </w:pPr>
      <w:bookmarkStart w:name="_Toc1103019502" w:id="1314049128"/>
      <w:r w:rsidRPr="28406E4A" w:rsidR="232813CE">
        <w:rPr>
          <w:rStyle w:val="Heading3Char"/>
          <w:noProof w:val="0"/>
          <w:lang w:val="en-US"/>
        </w:rPr>
        <w:t>Identifying</w:t>
      </w:r>
      <w:r w:rsidRPr="28406E4A" w:rsidR="232813CE">
        <w:rPr>
          <w:rStyle w:val="Heading3Char"/>
          <w:noProof w:val="0"/>
          <w:lang w:val="en-US"/>
        </w:rPr>
        <w:t xml:space="preserve"> Toyota’s </w:t>
      </w:r>
      <w:r w:rsidRPr="28406E4A" w:rsidR="232813CE">
        <w:rPr>
          <w:rStyle w:val="Heading3Char"/>
          <w:noProof w:val="0"/>
          <w:lang w:val="en-US"/>
        </w:rPr>
        <w:t>Organisational</w:t>
      </w:r>
      <w:r w:rsidRPr="28406E4A" w:rsidR="232813CE">
        <w:rPr>
          <w:rStyle w:val="Heading3Char"/>
          <w:noProof w:val="0"/>
          <w:lang w:val="en-US"/>
        </w:rPr>
        <w:t xml:space="preserve"> Culture Using Theoretical Frameworks</w:t>
      </w:r>
      <w:bookmarkEnd w:id="1314049128"/>
    </w:p>
    <w:p w:rsidR="232813CE" w:rsidP="28406E4A" w:rsidRDefault="232813CE" w14:paraId="1C5DE6E8" w14:textId="41BE3886">
      <w:pPr>
        <w:spacing w:before="240" w:beforeAutospacing="off" w:after="240" w:afterAutospacing="off"/>
        <w:jc w:val="left"/>
      </w:pPr>
      <w:r w:rsidRPr="28406E4A" w:rsidR="232813CE">
        <w:rPr>
          <w:rFonts w:ascii="Arial" w:hAnsi="Arial" w:eastAsia="Arial" w:cs="Arial"/>
          <w:noProof w:val="0"/>
          <w:sz w:val="20"/>
          <w:szCs w:val="20"/>
          <w:lang w:val="en-US"/>
        </w:rPr>
        <w:t>Organisational culture can be understood by looking at the shared values, beliefs, behaviours, and working practices that exist within an organisation. In the case of Toyota, its culture is very strong and clearly visible in how employees work, how decisions are made, and how the organisation focuses on quality and continuous improvement. To understand this properly, several academic models can be used, including Schein’s Model, Hofstede’s Cultural Dimensions, and Handy’s Cultural Types.</w:t>
      </w:r>
    </w:p>
    <w:p w:rsidR="232813CE" w:rsidP="28406E4A" w:rsidRDefault="232813CE" w14:paraId="23F6CF07" w14:textId="78EA0DE6">
      <w:pPr>
        <w:spacing w:before="240" w:beforeAutospacing="off" w:after="240" w:afterAutospacing="off"/>
        <w:jc w:val="left"/>
      </w:pPr>
      <w:r w:rsidRPr="28406E4A" w:rsidR="232813CE">
        <w:rPr>
          <w:rFonts w:ascii="Arial" w:hAnsi="Arial" w:eastAsia="Arial" w:cs="Arial"/>
          <w:noProof w:val="0"/>
          <w:sz w:val="20"/>
          <w:szCs w:val="20"/>
          <w:lang w:val="en-US"/>
        </w:rPr>
        <w:t>Schein’s Model of Organisational Culture explains culture through three levels: artefacts, espoused values, and basic assumptions. The first level, artefacts, refers to what can be seen in the organisation. At Toyota, artefacts include assembly line systems, standard working procedures, team meetings, visual management boards, and strict quality checks. These visible elements show that Toyota is highly organised and focused on efficiency and accuracy in production (Schein, 2017). Workers are also expected to follow structured processes, which reflects a disciplined working environment.</w:t>
      </w:r>
    </w:p>
    <w:p w:rsidR="232813CE" w:rsidP="28406E4A" w:rsidRDefault="232813CE" w14:paraId="2A67D27E" w14:textId="6126A561">
      <w:pPr>
        <w:spacing w:before="240" w:beforeAutospacing="off" w:after="240" w:afterAutospacing="off"/>
        <w:jc w:val="left"/>
      </w:pPr>
      <w:r w:rsidRPr="28406E4A" w:rsidR="232813CE">
        <w:rPr>
          <w:rFonts w:ascii="Arial" w:hAnsi="Arial" w:eastAsia="Arial" w:cs="Arial"/>
          <w:noProof w:val="0"/>
          <w:sz w:val="20"/>
          <w:szCs w:val="20"/>
          <w:lang w:val="en-US"/>
        </w:rPr>
        <w:t>The second level is espoused values, which are the values the organisation says it believes in. Toyota strongly promotes values such as “Kaizen” (continuous improvement), respect for people, teamwork, and high quality standards. These values are not just written statements but are actively used in everyday work practices. Employees are encouraged to identify problems and suggest improvements, which supports a culture of learning and involvement (Liker and Meier, 2006). This helps employees feel more involved in the organisation and improves motivation.</w:t>
      </w:r>
    </w:p>
    <w:p w:rsidR="232813CE" w:rsidP="28406E4A" w:rsidRDefault="232813CE" w14:paraId="269C7FD8" w14:textId="0D5B2BC3">
      <w:pPr>
        <w:spacing w:before="240" w:beforeAutospacing="off" w:after="240" w:afterAutospacing="off"/>
        <w:jc w:val="left"/>
      </w:pPr>
      <w:r w:rsidRPr="28406E4A" w:rsidR="232813CE">
        <w:rPr>
          <w:rFonts w:ascii="Arial" w:hAnsi="Arial" w:eastAsia="Arial" w:cs="Arial"/>
          <w:noProof w:val="0"/>
          <w:sz w:val="20"/>
          <w:szCs w:val="20"/>
          <w:lang w:val="en-US"/>
        </w:rPr>
        <w:t>The third and deepest level is basic underlying assumptions. These are the unconscious beliefs that shape behaviour. At Toyota, one key assumption is that long-term success is more important than short-term profit. Another assumption is that teamwork produces better results than individual work. There is also a strong belief that problems should be solved at the root cause rather than quickly fixed. These assumptions are deeply embedded in Toyota’s way of working and are a major reason for its global success (Womack and Jones, 2003).</w:t>
      </w:r>
    </w:p>
    <w:p w:rsidR="232813CE" w:rsidP="28406E4A" w:rsidRDefault="232813CE" w14:paraId="5C896DCE" w14:textId="2819554F">
      <w:pPr>
        <w:spacing w:before="240" w:beforeAutospacing="off" w:after="240" w:afterAutospacing="off"/>
        <w:jc w:val="left"/>
      </w:pPr>
      <w:r w:rsidRPr="28406E4A" w:rsidR="232813CE">
        <w:rPr>
          <w:rFonts w:ascii="Arial" w:hAnsi="Arial" w:eastAsia="Arial" w:cs="Arial"/>
          <w:noProof w:val="0"/>
          <w:sz w:val="20"/>
          <w:szCs w:val="20"/>
          <w:lang w:val="en-US"/>
        </w:rPr>
        <w:t>Hofstede’s Cultural Dimensions can also help explain Toyota’s organisational culture. Japan is known for having a collectivist culture, which means people prefer working in groups rather than individually. This is clearly seen at Toyota, where teamwork is very important and employees are expected to support group goals instead of focusing only on personal achievement (Hofstede, Hofstede and Minkov, 2010). This helps create strong cooperation between workers and managers.</w:t>
      </w:r>
    </w:p>
    <w:p w:rsidR="232813CE" w:rsidP="28406E4A" w:rsidRDefault="232813CE" w14:paraId="76946EF6" w14:textId="2C9E885B">
      <w:pPr>
        <w:spacing w:before="240" w:beforeAutospacing="off" w:after="240" w:afterAutospacing="off"/>
        <w:jc w:val="left"/>
      </w:pPr>
      <w:r w:rsidRPr="28406E4A" w:rsidR="232813CE">
        <w:rPr>
          <w:rFonts w:ascii="Arial" w:hAnsi="Arial" w:eastAsia="Arial" w:cs="Arial"/>
          <w:noProof w:val="0"/>
          <w:sz w:val="20"/>
          <w:szCs w:val="20"/>
          <w:lang w:val="en-US"/>
        </w:rPr>
        <w:t>Another important dimension is uncertainty avoidance. Japanese culture tends to avoid uncertainty, which means organisations prefer clear rules and structured systems. At Toyota, this is reflected in strict production standards, detailed procedures, and strong quality control systems. These systems help reduce mistakes and improve consistency in products (Hill, 2020).</w:t>
      </w:r>
    </w:p>
    <w:p w:rsidR="232813CE" w:rsidP="28406E4A" w:rsidRDefault="232813CE" w14:paraId="25C80CB7" w14:textId="42E03D1C">
      <w:pPr>
        <w:spacing w:before="240" w:beforeAutospacing="off" w:after="240" w:afterAutospacing="off"/>
        <w:jc w:val="left"/>
      </w:pPr>
      <w:r w:rsidRPr="28406E4A" w:rsidR="232813CE">
        <w:rPr>
          <w:rFonts w:ascii="Arial" w:hAnsi="Arial" w:eastAsia="Arial" w:cs="Arial"/>
          <w:noProof w:val="0"/>
          <w:sz w:val="20"/>
          <w:szCs w:val="20"/>
          <w:lang w:val="en-US"/>
        </w:rPr>
        <w:t>Toyota also shows a strong long-term orientation. This means the organisation focuses more on future success rather than short-term gains. For example, Toyota continues to invest in hybrid and electric vehicle technology even when profits may take time to grow. This shows that the company is willing to make long-term investments for future stability (Trompenaars and Woolliams, 2012).</w:t>
      </w:r>
    </w:p>
    <w:p w:rsidR="232813CE" w:rsidP="28406E4A" w:rsidRDefault="232813CE" w14:paraId="4C06F29C" w14:textId="68F1B628">
      <w:pPr>
        <w:spacing w:before="240" w:beforeAutospacing="off" w:after="240" w:afterAutospacing="off"/>
        <w:jc w:val="left"/>
      </w:pPr>
      <w:r w:rsidRPr="28406E4A" w:rsidR="232813CE">
        <w:rPr>
          <w:rFonts w:ascii="Arial" w:hAnsi="Arial" w:eastAsia="Arial" w:cs="Arial"/>
          <w:noProof w:val="0"/>
          <w:sz w:val="20"/>
          <w:szCs w:val="20"/>
          <w:lang w:val="en-US"/>
        </w:rPr>
        <w:t>Handy’s Cultural Types theory can also be applied to Toyota. The organisation mainly reflects a task culture because work is often organised around teams that solve problems and complete specific goals. Employees work together to improve production processes and solve issues quickly. This teamwork approach helps increase efficiency and encourages innovation (Handy, 2007).</w:t>
      </w:r>
    </w:p>
    <w:p w:rsidR="232813CE" w:rsidP="28406E4A" w:rsidRDefault="232813CE" w14:paraId="370C14C6" w14:textId="0E84F2C8">
      <w:pPr>
        <w:spacing w:before="240" w:beforeAutospacing="off" w:after="240" w:afterAutospacing="off"/>
        <w:jc w:val="left"/>
      </w:pPr>
      <w:r w:rsidRPr="28406E4A" w:rsidR="232813CE">
        <w:rPr>
          <w:rFonts w:ascii="Arial" w:hAnsi="Arial" w:eastAsia="Arial" w:cs="Arial"/>
          <w:noProof w:val="0"/>
          <w:sz w:val="20"/>
          <w:szCs w:val="20"/>
          <w:lang w:val="en-US"/>
        </w:rPr>
        <w:t>However, Toyota also has elements of a role culture. This is seen in its strong rules, structured systems, and clear job responsibilities. Employees know exactly what is expected from them, especially in production roles. This balance between task culture and role culture helps Toyota maintain both flexibility and control in its operations.</w:t>
      </w:r>
    </w:p>
    <w:p w:rsidR="232813CE" w:rsidP="28406E4A" w:rsidRDefault="232813CE" w14:paraId="2B074AD6" w14:textId="022EE0D5">
      <w:pPr>
        <w:spacing w:before="240" w:beforeAutospacing="off" w:after="240" w:afterAutospacing="off"/>
        <w:jc w:val="left"/>
      </w:pPr>
      <w:r w:rsidRPr="28406E4A" w:rsidR="232813CE">
        <w:rPr>
          <w:rFonts w:ascii="Arial" w:hAnsi="Arial" w:eastAsia="Arial" w:cs="Arial"/>
          <w:noProof w:val="0"/>
          <w:sz w:val="20"/>
          <w:szCs w:val="20"/>
          <w:lang w:val="en-US"/>
        </w:rPr>
        <w:t>Overall, these theories show that Toyota has a strong and well-structured organisational culture based on teamwork, discipline, continuous improvement, and long-term thinking. While this culture has many strengths, it can also create challenges such as slower decision-making and difficulty adapting quickly to change. However, overall it remains one of the key reasons for Toyota’s global success and strong performance in the automotive industry.</w:t>
      </w:r>
    </w:p>
    <w:p w:rsidR="28406E4A" w:rsidP="28406E4A" w:rsidRDefault="28406E4A" w14:paraId="6D6E80E3" w14:textId="7A20EC6F">
      <w:pPr>
        <w:pStyle w:val="Normal"/>
        <w:spacing w:before="240" w:beforeAutospacing="off" w:after="240" w:afterAutospacing="off"/>
        <w:jc w:val="left"/>
        <w:rPr>
          <w:rFonts w:ascii="Arial" w:hAnsi="Arial" w:eastAsia="Arial" w:cs="Arial"/>
          <w:noProof w:val="0"/>
          <w:sz w:val="20"/>
          <w:szCs w:val="20"/>
          <w:lang w:val="en-US"/>
        </w:rPr>
      </w:pPr>
    </w:p>
    <w:p w:rsidR="28406E4A" w:rsidRDefault="28406E4A" w14:paraId="1938684B" w14:textId="729ED298">
      <w:r>
        <w:br w:type="page"/>
      </w:r>
    </w:p>
    <w:p w:rsidR="28406E4A" w:rsidP="28406E4A" w:rsidRDefault="28406E4A" w14:paraId="010189AE" w14:textId="459CD5A4">
      <w:pPr>
        <w:pStyle w:val="Normal"/>
        <w:spacing w:before="240" w:beforeAutospacing="off" w:after="240" w:afterAutospacing="off"/>
        <w:jc w:val="left"/>
        <w:rPr>
          <w:rFonts w:ascii="Arial" w:hAnsi="Arial" w:eastAsia="Arial" w:cs="Arial"/>
          <w:noProof w:val="0"/>
          <w:sz w:val="20"/>
          <w:szCs w:val="20"/>
          <w:lang w:val="en-US"/>
        </w:rPr>
      </w:pPr>
    </w:p>
    <w:p w:rsidR="4E6A2444" w:rsidP="28406E4A" w:rsidRDefault="4E6A2444" w14:paraId="7550B821" w14:textId="543DD33F">
      <w:pPr>
        <w:pStyle w:val="Heading1"/>
        <w:rPr>
          <w:rFonts w:ascii="Arial" w:hAnsi="Arial" w:eastAsia="Arial" w:cs="Arial"/>
          <w:b w:val="1"/>
          <w:bCs w:val="1"/>
          <w:noProof w:val="0"/>
          <w:sz w:val="48"/>
          <w:szCs w:val="48"/>
          <w:lang w:val="en-US"/>
        </w:rPr>
      </w:pPr>
      <w:r w:rsidRPr="28406E4A" w:rsidR="4E6A2444">
        <w:rPr>
          <w:rFonts w:ascii="Arial" w:hAnsi="Arial" w:eastAsia="Arial" w:cs="Arial"/>
          <w:b w:val="1"/>
          <w:bCs w:val="1"/>
          <w:noProof w:val="0"/>
          <w:sz w:val="48"/>
          <w:szCs w:val="48"/>
          <w:lang w:val="en-US"/>
        </w:rPr>
        <w:t xml:space="preserve"> </w:t>
      </w:r>
      <w:bookmarkStart w:name="_Toc1213097370" w:id="1046639001"/>
      <w:r w:rsidRPr="28406E4A" w:rsidR="4E6A2444">
        <w:rPr>
          <w:rStyle w:val="Heading4Char"/>
          <w:noProof w:val="0"/>
          <w:lang w:val="en-US"/>
        </w:rPr>
        <w:t>Organisational</w:t>
      </w:r>
      <w:r w:rsidRPr="28406E4A" w:rsidR="4E6A2444">
        <w:rPr>
          <w:rStyle w:val="Heading4Char"/>
          <w:noProof w:val="0"/>
          <w:lang w:val="en-US"/>
        </w:rPr>
        <w:t xml:space="preserve"> Culture: Barrier or Enabler?</w:t>
      </w:r>
      <w:bookmarkEnd w:id="1046639001"/>
    </w:p>
    <w:p w:rsidR="4E6A2444" w:rsidP="28406E4A" w:rsidRDefault="4E6A2444" w14:paraId="2EA21A15" w14:textId="6E687618">
      <w:pPr>
        <w:spacing w:before="240" w:beforeAutospacing="off" w:after="240" w:afterAutospacing="off"/>
        <w:jc w:val="left"/>
      </w:pPr>
      <w:r w:rsidRPr="28406E4A" w:rsidR="4E6A2444">
        <w:rPr>
          <w:rFonts w:ascii="Arial" w:hAnsi="Arial" w:eastAsia="Arial" w:cs="Arial"/>
          <w:noProof w:val="0"/>
          <w:sz w:val="20"/>
          <w:szCs w:val="20"/>
          <w:lang w:val="en-US"/>
        </w:rPr>
        <w:t>The organisational culture of Toyota can be seen as both an enabler and a potential barrier to organisational effectiveness. Overall, Toyota’s culture is mainly an enabler because it supports high quality production, employee involvement, continuous improvement, and long-term strategic thinking. However, there are also limitations that can reduce flexibility in fast-changing environments.</w:t>
      </w:r>
    </w:p>
    <w:p w:rsidR="4E6A2444" w:rsidP="28406E4A" w:rsidRDefault="4E6A2444" w14:paraId="1940F16F" w14:textId="20D3E872">
      <w:pPr>
        <w:spacing w:before="240" w:beforeAutospacing="off" w:after="240" w:afterAutospacing="off"/>
        <w:jc w:val="left"/>
      </w:pPr>
      <w:r w:rsidRPr="28406E4A" w:rsidR="4E6A2444">
        <w:rPr>
          <w:rFonts w:ascii="Arial" w:hAnsi="Arial" w:eastAsia="Arial" w:cs="Arial"/>
          <w:noProof w:val="0"/>
          <w:sz w:val="20"/>
          <w:szCs w:val="20"/>
          <w:lang w:val="en-US"/>
        </w:rPr>
        <w:t>One of the main ways Toyota’s culture acts as an enabler is through its strong focus on continuous improvement (Kaizen). Employees are encouraged to constantly look for small improvements in their work processes, which helps increase efficiency and reduce waste. This creates a learning organisation where improvement is part of everyday work. Research suggests that organisations with strong learning cultures tend to achieve higher performance because employees are actively involved in improving systems and solving problems (Senge, 2006).</w:t>
      </w:r>
    </w:p>
    <w:p w:rsidR="4E6A2444" w:rsidP="28406E4A" w:rsidRDefault="4E6A2444" w14:paraId="14DC6228" w14:textId="19342C30">
      <w:pPr>
        <w:spacing w:before="240" w:beforeAutospacing="off" w:after="240" w:afterAutospacing="off"/>
        <w:jc w:val="left"/>
      </w:pPr>
      <w:r w:rsidRPr="28406E4A" w:rsidR="4E6A2444">
        <w:rPr>
          <w:rFonts w:ascii="Arial" w:hAnsi="Arial" w:eastAsia="Arial" w:cs="Arial"/>
          <w:noProof w:val="0"/>
          <w:sz w:val="20"/>
          <w:szCs w:val="20"/>
          <w:lang w:val="en-US"/>
        </w:rPr>
        <w:t>Teamwork is another key strength of Toyota’s culture. Employees work in groups to solve problems, improve production processes, and maintain quality standards. This shared responsibility improves communication and reduces errors. High-performing organisations often rely on strong collaborative cultures because they improve trust and coordination between employees (Cameron and Quinn, 2011).</w:t>
      </w:r>
    </w:p>
    <w:p w:rsidR="4E6A2444" w:rsidP="28406E4A" w:rsidRDefault="4E6A2444" w14:paraId="748590A8" w14:textId="17B57F4B">
      <w:pPr>
        <w:spacing w:before="240" w:beforeAutospacing="off" w:after="240" w:afterAutospacing="off"/>
        <w:jc w:val="left"/>
      </w:pPr>
      <w:r w:rsidRPr="28406E4A" w:rsidR="4E6A2444">
        <w:rPr>
          <w:rFonts w:ascii="Arial" w:hAnsi="Arial" w:eastAsia="Arial" w:cs="Arial"/>
          <w:noProof w:val="0"/>
          <w:sz w:val="20"/>
          <w:szCs w:val="20"/>
          <w:lang w:val="en-US"/>
        </w:rPr>
        <w:t>Toyota’s long-term orientation is also a major advantage. The organisation focuses on sustainable success rather than short-term profit. This is seen in its investment in hybrid and hydrogen technology, which supports future growth. Long-term focused organisations are more stable and better prepared for uncertainty because they make decisions based on future value rather than immediate results (Mintzberg, 2009).</w:t>
      </w:r>
    </w:p>
    <w:p w:rsidR="4E6A2444" w:rsidP="28406E4A" w:rsidRDefault="4E6A2444" w14:paraId="2DBBE5FA" w14:textId="58559AA1">
      <w:pPr>
        <w:spacing w:before="240" w:beforeAutospacing="off" w:after="240" w:afterAutospacing="off"/>
        <w:jc w:val="left"/>
      </w:pPr>
      <w:r w:rsidRPr="28406E4A" w:rsidR="4E6A2444">
        <w:rPr>
          <w:rFonts w:ascii="Arial" w:hAnsi="Arial" w:eastAsia="Arial" w:cs="Arial"/>
          <w:noProof w:val="0"/>
          <w:sz w:val="20"/>
          <w:szCs w:val="20"/>
          <w:lang w:val="en-US"/>
        </w:rPr>
        <w:t>However, Toyota’s culture can also act as a barrier in certain situations. One major issue is its consensus-based decision-making approach. While this ensures that decisions are well considered, it can also slow down responses during crises or rapidly changing market conditions. In highly competitive industries, slow decision-making can reduce agility and responsiveness.</w:t>
      </w:r>
    </w:p>
    <w:p w:rsidR="4E6A2444" w:rsidP="28406E4A" w:rsidRDefault="4E6A2444" w14:paraId="49F7A3AD" w14:textId="1F51EB26">
      <w:pPr>
        <w:spacing w:before="240" w:beforeAutospacing="off" w:after="240" w:afterAutospacing="off"/>
        <w:jc w:val="left"/>
      </w:pPr>
      <w:r w:rsidRPr="28406E4A" w:rsidR="4E6A2444">
        <w:rPr>
          <w:rFonts w:ascii="Arial" w:hAnsi="Arial" w:eastAsia="Arial" w:cs="Arial"/>
          <w:noProof w:val="0"/>
          <w:sz w:val="20"/>
          <w:szCs w:val="20"/>
          <w:lang w:val="en-US"/>
        </w:rPr>
        <w:t>Another limitation is the strong emphasis on standardisation and formal processes. While this improves quality and consistency, it can also reduce creativity and flexibility among employees. Strict organisational systems may discourage risk-taking, which can limit innovation in some areas of the business.</w:t>
      </w:r>
    </w:p>
    <w:p w:rsidR="4E6A2444" w:rsidP="28406E4A" w:rsidRDefault="4E6A2444" w14:paraId="2AF9ACC1" w14:textId="74F30EF9">
      <w:pPr>
        <w:spacing w:before="240" w:beforeAutospacing="off" w:after="240" w:afterAutospacing="off"/>
        <w:jc w:val="left"/>
      </w:pPr>
      <w:r w:rsidRPr="28406E4A" w:rsidR="4E6A2444">
        <w:rPr>
          <w:rFonts w:ascii="Arial" w:hAnsi="Arial" w:eastAsia="Arial" w:cs="Arial"/>
          <w:noProof w:val="0"/>
          <w:sz w:val="20"/>
          <w:szCs w:val="20"/>
          <w:lang w:val="en-US"/>
        </w:rPr>
        <w:t>In addition, operating globally creates challenges for maintaining a consistent organisational culture. Different national cultures can affect how employees interpret Toyota’s values and practices. This can lead to variations in behaviour across international locations, which may weaken cultural consistency and coordination.</w:t>
      </w:r>
    </w:p>
    <w:p w:rsidR="4E6A2444" w:rsidP="28406E4A" w:rsidRDefault="4E6A2444" w14:paraId="2549AF9B" w14:textId="5B47D4F5">
      <w:pPr>
        <w:spacing w:before="240" w:beforeAutospacing="off" w:after="240" w:afterAutospacing="off"/>
        <w:jc w:val="left"/>
      </w:pPr>
      <w:r w:rsidRPr="28406E4A" w:rsidR="4E6A2444">
        <w:rPr>
          <w:rFonts w:ascii="Arial" w:hAnsi="Arial" w:eastAsia="Arial" w:cs="Arial"/>
          <w:noProof w:val="0"/>
          <w:sz w:val="20"/>
          <w:szCs w:val="20"/>
          <w:lang w:val="en-US"/>
        </w:rPr>
        <w:t>Overall, Toyota’s organisational culture is mainly an enabler because it supports quality, efficiency, teamwork, and long-term success. However, it can also act as a barrier when speed, flexibility, and innovation are required. This shows that organisational culture has both positive and negative effects depending on the situation and external environment.</w:t>
      </w:r>
    </w:p>
    <w:p w:rsidR="0CDF5651" w:rsidP="28406E4A" w:rsidRDefault="0CDF5651" w14:paraId="4743D303" w14:textId="7CE8FC21">
      <w:pPr>
        <w:pStyle w:val="Heading1"/>
        <w:spacing w:before="322" w:beforeAutospacing="off" w:after="322" w:afterAutospacing="off"/>
        <w:jc w:val="left"/>
        <w:rPr>
          <w:rFonts w:ascii="Arial" w:hAnsi="Arial" w:eastAsia="Arial" w:cs="Arial"/>
          <w:b w:val="1"/>
          <w:bCs w:val="1"/>
          <w:noProof w:val="0"/>
          <w:sz w:val="48"/>
          <w:szCs w:val="48"/>
          <w:lang w:val="en-US"/>
        </w:rPr>
      </w:pPr>
      <w:bookmarkStart w:name="_Toc1916401160" w:id="875195649"/>
      <w:r w:rsidRPr="28406E4A" w:rsidR="0CDF5651">
        <w:rPr>
          <w:rStyle w:val="Heading5Char"/>
          <w:noProof w:val="0"/>
          <w:lang w:val="en-US"/>
        </w:rPr>
        <w:t xml:space="preserve">Impact on </w:t>
      </w:r>
      <w:r w:rsidRPr="28406E4A" w:rsidR="0CDF5651">
        <w:rPr>
          <w:rStyle w:val="Heading5Char"/>
          <w:noProof w:val="0"/>
          <w:lang w:val="en-US"/>
        </w:rPr>
        <w:t>Organisational</w:t>
      </w:r>
      <w:r w:rsidRPr="28406E4A" w:rsidR="0CDF5651">
        <w:rPr>
          <w:rStyle w:val="Heading5Char"/>
          <w:noProof w:val="0"/>
          <w:lang w:val="en-US"/>
        </w:rPr>
        <w:t xml:space="preserve"> Performance and Recommendations</w:t>
      </w:r>
      <w:bookmarkEnd w:id="875195649"/>
    </w:p>
    <w:p w:rsidR="0CDF5651" w:rsidP="28406E4A" w:rsidRDefault="0CDF5651" w14:paraId="66F2E51B" w14:textId="36614682">
      <w:pPr>
        <w:spacing w:before="240" w:beforeAutospacing="off" w:after="240" w:afterAutospacing="off"/>
        <w:jc w:val="left"/>
      </w:pPr>
      <w:r w:rsidRPr="28406E4A" w:rsidR="0CDF5651">
        <w:rPr>
          <w:rFonts w:ascii="Arial" w:hAnsi="Arial" w:eastAsia="Arial" w:cs="Arial"/>
          <w:noProof w:val="0"/>
          <w:sz w:val="20"/>
          <w:szCs w:val="20"/>
          <w:lang w:val="en-US"/>
        </w:rPr>
        <w:t>The organisational culture of Toyota has a strong influence on its overall performance. The company is widely known for high-quality production, efficient operations, and strong global competitiveness. Its culture of continuous improvement (Kaizen), teamwork, and long-term thinking contributes significantly to these outcomes.</w:t>
      </w:r>
    </w:p>
    <w:p w:rsidR="0CDF5651" w:rsidP="28406E4A" w:rsidRDefault="0CDF5651" w14:paraId="2EBB4B06" w14:textId="17706444">
      <w:pPr>
        <w:spacing w:before="240" w:beforeAutospacing="off" w:after="240" w:afterAutospacing="off"/>
        <w:jc w:val="left"/>
      </w:pPr>
      <w:r w:rsidRPr="28406E4A" w:rsidR="0CDF5651">
        <w:rPr>
          <w:rFonts w:ascii="Arial" w:hAnsi="Arial" w:eastAsia="Arial" w:cs="Arial"/>
          <w:noProof w:val="0"/>
          <w:sz w:val="20"/>
          <w:szCs w:val="20"/>
          <w:lang w:val="en-US"/>
        </w:rPr>
        <w:t>One major impact of Toyota’s culture is improved operational efficiency. The Toyota Production System reduces waste, improves productivity, and ensures high-quality output. This lean approach has helped Toyota become one of the most efficient automotive manufacturers in the world. Organisations that focus on lean thinking and employee involvement often achieve higher productivity and lower costs because processes are constantly improved (Womack and Jones, 2003).</w:t>
      </w:r>
    </w:p>
    <w:p w:rsidR="0CDF5651" w:rsidP="28406E4A" w:rsidRDefault="0CDF5651" w14:paraId="5AA5C83F" w14:textId="62D9EAED">
      <w:pPr>
        <w:spacing w:before="240" w:beforeAutospacing="off" w:after="240" w:afterAutospacing="off"/>
        <w:jc w:val="left"/>
      </w:pPr>
      <w:r w:rsidRPr="28406E4A" w:rsidR="0CDF5651">
        <w:rPr>
          <w:rFonts w:ascii="Arial" w:hAnsi="Arial" w:eastAsia="Arial" w:cs="Arial"/>
          <w:noProof w:val="0"/>
          <w:sz w:val="20"/>
          <w:szCs w:val="20"/>
          <w:lang w:val="en-US"/>
        </w:rPr>
        <w:t>Employee motivation is another important impact. Toyota’s culture encourages workers to contribute ideas and take responsibility for improving processes. This involvement increases job satisfaction and makes employees feel valued. Motivated employees are more likely to be productive and committed to organisational goals, which improves overall performance (Armstrong, 2020).</w:t>
      </w:r>
    </w:p>
    <w:p w:rsidR="0CDF5651" w:rsidP="28406E4A" w:rsidRDefault="0CDF5651" w14:paraId="596D6FDB" w14:textId="45B05394">
      <w:pPr>
        <w:spacing w:before="240" w:beforeAutospacing="off" w:after="240" w:afterAutospacing="off"/>
        <w:jc w:val="left"/>
      </w:pPr>
      <w:r w:rsidRPr="28406E4A" w:rsidR="0CDF5651">
        <w:rPr>
          <w:rFonts w:ascii="Arial" w:hAnsi="Arial" w:eastAsia="Arial" w:cs="Arial"/>
          <w:noProof w:val="0"/>
          <w:sz w:val="20"/>
          <w:szCs w:val="20"/>
          <w:lang w:val="en-US"/>
        </w:rPr>
        <w:t>However, there are also some performance challenges linked to culture. The strong focus on standardisation and consistency can sometimes limit creativity and innovation. While this supports quality control, it may slow down the development of new ideas in highly competitive markets. In industries where rapid innovation is needed, this can be a disadvantage.</w:t>
      </w:r>
    </w:p>
    <w:p w:rsidR="0CDF5651" w:rsidP="28406E4A" w:rsidRDefault="0CDF5651" w14:paraId="1FAF0CA9" w14:textId="74716965">
      <w:pPr>
        <w:spacing w:before="240" w:beforeAutospacing="off" w:after="240" w:afterAutospacing="off"/>
        <w:jc w:val="left"/>
      </w:pPr>
      <w:r w:rsidRPr="28406E4A" w:rsidR="0CDF5651">
        <w:rPr>
          <w:rFonts w:ascii="Arial" w:hAnsi="Arial" w:eastAsia="Arial" w:cs="Arial"/>
          <w:noProof w:val="0"/>
          <w:sz w:val="20"/>
          <w:szCs w:val="20"/>
          <w:lang w:val="en-US"/>
        </w:rPr>
        <w:t>In terms of recommendations, Toyota could benefit from increasing flexibility in its decision-making processes. While consensus decision-making ensures quality decisions, introducing faster decision pathways for urgent situations could improve responsiveness. This would help the organisation react more quickly to market changes and technological disruption.</w:t>
      </w:r>
    </w:p>
    <w:p w:rsidR="0CDF5651" w:rsidP="28406E4A" w:rsidRDefault="0CDF5651" w14:paraId="3E77C3B2" w14:textId="055AD687">
      <w:pPr>
        <w:spacing w:before="240" w:beforeAutospacing="off" w:after="240" w:afterAutospacing="off"/>
        <w:jc w:val="left"/>
      </w:pPr>
      <w:r w:rsidRPr="28406E4A" w:rsidR="0CDF5651">
        <w:rPr>
          <w:rFonts w:ascii="Arial" w:hAnsi="Arial" w:eastAsia="Arial" w:cs="Arial"/>
          <w:noProof w:val="0"/>
          <w:sz w:val="20"/>
          <w:szCs w:val="20"/>
          <w:lang w:val="en-US"/>
        </w:rPr>
        <w:t>Another recommendation is to encourage more innovation at lower levels of the organisation. Although employees already contribute to continuous improvement, Toyota could further support creative thinking by reducing some procedural constraints. This could help generate new ideas, especially in areas such as electric vehicles and digital mobility solutions. Innovation-driven cultures are often more successful in fast-changing industries (Tidd and Bessant, 2018).</w:t>
      </w:r>
    </w:p>
    <w:p w:rsidR="0CDF5651" w:rsidP="28406E4A" w:rsidRDefault="0CDF5651" w14:paraId="782D3C83" w14:textId="42ADEDDD">
      <w:pPr>
        <w:spacing w:before="240" w:beforeAutospacing="off" w:after="240" w:afterAutospacing="off"/>
        <w:jc w:val="left"/>
      </w:pPr>
      <w:r w:rsidRPr="28406E4A" w:rsidR="0CDF5651">
        <w:rPr>
          <w:rFonts w:ascii="Arial" w:hAnsi="Arial" w:eastAsia="Arial" w:cs="Arial"/>
          <w:noProof w:val="0"/>
          <w:sz w:val="20"/>
          <w:szCs w:val="20"/>
          <w:lang w:val="en-US"/>
        </w:rPr>
        <w:t>Toyota could also improve cross-cultural management in its global operations. As a multinational organisation, ensuring that its core values are consistently understood across all regions is important. Providing more cultural training and stronger global communication systems could help maintain alignment between headquarters and international branches.</w:t>
      </w:r>
    </w:p>
    <w:p w:rsidR="0CDF5651" w:rsidP="28406E4A" w:rsidRDefault="0CDF5651" w14:paraId="3B3D400F" w14:textId="15D7A633">
      <w:pPr>
        <w:spacing w:before="240" w:beforeAutospacing="off" w:after="240" w:afterAutospacing="off"/>
        <w:jc w:val="left"/>
      </w:pPr>
      <w:r w:rsidRPr="28406E4A" w:rsidR="0CDF5651">
        <w:rPr>
          <w:rFonts w:ascii="Arial" w:hAnsi="Arial" w:eastAsia="Arial" w:cs="Arial"/>
          <w:noProof w:val="0"/>
          <w:sz w:val="20"/>
          <w:szCs w:val="20"/>
          <w:lang w:val="en-US"/>
        </w:rPr>
        <w:t>Overall, Toyota’s organisational culture has a positive impact on performance by improving efficiency, quality, and employee engagement. However, to remain competitive in a rapidly changing global environment, the organisation should focus on improving flexibility, innovation, and global cultural consistency. These improvements would strengthen Toyota’s ability to maintain long-term success.</w:t>
      </w:r>
    </w:p>
    <w:p w:rsidR="28406E4A" w:rsidP="28406E4A" w:rsidRDefault="28406E4A" w14:paraId="2546ABA0" w14:textId="7D1364D9">
      <w:pPr>
        <w:spacing w:before="240" w:beforeAutospacing="off" w:after="240" w:afterAutospacing="off"/>
        <w:jc w:val="left"/>
        <w:rPr>
          <w:rFonts w:ascii="Arial" w:hAnsi="Arial" w:eastAsia="Arial" w:cs="Arial"/>
          <w:noProof w:val="0"/>
          <w:sz w:val="20"/>
          <w:szCs w:val="20"/>
          <w:lang w:val="en-US"/>
        </w:rPr>
      </w:pPr>
    </w:p>
    <w:p w:rsidR="24584456" w:rsidP="28406E4A" w:rsidRDefault="24584456" w14:paraId="4DE98297" w14:textId="4BC77D2D">
      <w:pPr>
        <w:pStyle w:val="Heading1"/>
        <w:rPr>
          <w:rFonts w:ascii="Arial" w:hAnsi="Arial" w:eastAsia="Arial" w:cs="Arial"/>
          <w:b w:val="1"/>
          <w:bCs w:val="1"/>
          <w:noProof w:val="0"/>
          <w:sz w:val="48"/>
          <w:szCs w:val="48"/>
          <w:lang w:val="en-US"/>
        </w:rPr>
      </w:pPr>
      <w:bookmarkStart w:name="_Toc1073112324" w:id="1872017976"/>
      <w:r w:rsidRPr="28406E4A" w:rsidR="24584456">
        <w:rPr>
          <w:noProof w:val="0"/>
          <w:lang w:val="en-US"/>
        </w:rPr>
        <w:t>Conclusion</w:t>
      </w:r>
      <w:bookmarkEnd w:id="1872017976"/>
    </w:p>
    <w:p w:rsidR="24584456" w:rsidP="28406E4A" w:rsidRDefault="24584456" w14:paraId="0944F28C" w14:textId="51CA5AD3">
      <w:pPr>
        <w:spacing w:before="240" w:beforeAutospacing="off" w:after="240" w:afterAutospacing="off"/>
        <w:jc w:val="left"/>
      </w:pPr>
      <w:r w:rsidRPr="28406E4A" w:rsidR="24584456">
        <w:rPr>
          <w:rFonts w:ascii="Arial" w:hAnsi="Arial" w:eastAsia="Arial" w:cs="Arial"/>
          <w:noProof w:val="0"/>
          <w:sz w:val="20"/>
          <w:szCs w:val="20"/>
          <w:lang w:val="en-US"/>
        </w:rPr>
        <w:t>This report has examined the organisational culture of Toyota and how it influences structure, decision-making, adaptation, and performance. Overall, Toyota has a strong organisational culture based on continuous improvement (Kaizen), teamwork, discipline, and long-term thinking.</w:t>
      </w:r>
    </w:p>
    <w:p w:rsidR="24584456" w:rsidP="28406E4A" w:rsidRDefault="24584456" w14:paraId="4B95EAF9" w14:textId="52AC365C">
      <w:pPr>
        <w:spacing w:before="240" w:beforeAutospacing="off" w:after="240" w:afterAutospacing="off"/>
        <w:jc w:val="left"/>
      </w:pPr>
      <w:r w:rsidRPr="28406E4A" w:rsidR="24584456">
        <w:rPr>
          <w:rFonts w:ascii="Arial" w:hAnsi="Arial" w:eastAsia="Arial" w:cs="Arial"/>
          <w:noProof w:val="0"/>
          <w:sz w:val="20"/>
          <w:szCs w:val="20"/>
          <w:lang w:val="en-US"/>
        </w:rPr>
        <w:t>The use of key theories such as Schein’s Model, Hofstede’s Cultural Dimensions, and Handy’s Cultural Types shows that Toyota’s culture is deeply embedded in both visible practices and underlying beliefs. This strong culture helps the organisation maintain high quality standards, efficient operations, and a clear sense of direction across its global operations.</w:t>
      </w:r>
    </w:p>
    <w:p w:rsidR="24584456" w:rsidP="28406E4A" w:rsidRDefault="24584456" w14:paraId="21B1A8F2" w14:textId="388738CD">
      <w:pPr>
        <w:spacing w:before="240" w:beforeAutospacing="off" w:after="240" w:afterAutospacing="off"/>
        <w:jc w:val="left"/>
      </w:pPr>
      <w:r w:rsidRPr="28406E4A" w:rsidR="24584456">
        <w:rPr>
          <w:rFonts w:ascii="Arial" w:hAnsi="Arial" w:eastAsia="Arial" w:cs="Arial"/>
          <w:noProof w:val="0"/>
          <w:sz w:val="20"/>
          <w:szCs w:val="20"/>
          <w:lang w:val="en-US"/>
        </w:rPr>
        <w:t>The analysis also shows that Toyota’s culture helps the organisation adapt to external changes such as global competition, new technology, and sustainability pressures. However, the same culture can sometimes slow down decision-making and reduce flexibility due to its focus on standardisation and consensus.</w:t>
      </w:r>
    </w:p>
    <w:p w:rsidR="24584456" w:rsidP="28406E4A" w:rsidRDefault="24584456" w14:paraId="6F77BD43" w14:textId="1118A45D">
      <w:pPr>
        <w:spacing w:before="240" w:beforeAutospacing="off" w:after="240" w:afterAutospacing="off"/>
        <w:jc w:val="left"/>
      </w:pPr>
      <w:r w:rsidRPr="28406E4A" w:rsidR="24584456">
        <w:rPr>
          <w:rFonts w:ascii="Arial" w:hAnsi="Arial" w:eastAsia="Arial" w:cs="Arial"/>
          <w:noProof w:val="0"/>
          <w:sz w:val="20"/>
          <w:szCs w:val="20"/>
          <w:lang w:val="en-US"/>
        </w:rPr>
        <w:t>Overall, Toyota’s organisational culture is mainly an enabler of success because it improves performance, supports employee involvement, and ensures consistency across the organisation. However, the company may need to continue improving flexibility and responsiveness to remain competitive in a fast-changing global market.</w:t>
      </w:r>
    </w:p>
    <w:p w:rsidR="28406E4A" w:rsidP="28406E4A" w:rsidRDefault="28406E4A" w14:paraId="3412A083" w14:textId="75AD2BD4">
      <w:pPr>
        <w:spacing w:before="240" w:beforeAutospacing="off" w:after="240" w:afterAutospacing="off"/>
        <w:jc w:val="left"/>
        <w:rPr>
          <w:rFonts w:ascii="Arial" w:hAnsi="Arial" w:eastAsia="Arial" w:cs="Arial"/>
          <w:noProof w:val="0"/>
          <w:sz w:val="20"/>
          <w:szCs w:val="20"/>
          <w:lang w:val="en-US"/>
        </w:rPr>
      </w:pPr>
    </w:p>
    <w:p w:rsidR="28406E4A" w:rsidRDefault="28406E4A" w14:paraId="5AD726CF" w14:textId="29F0C13E">
      <w:r>
        <w:br w:type="page"/>
      </w:r>
    </w:p>
    <w:p w:rsidR="5F1991C7" w:rsidP="28406E4A" w:rsidRDefault="5F1991C7" w14:paraId="7048BDC2" w14:textId="6A66882C">
      <w:pPr>
        <w:pStyle w:val="Heading1"/>
        <w:spacing w:before="322" w:beforeAutospacing="off" w:after="322" w:afterAutospacing="off"/>
        <w:jc w:val="left"/>
        <w:rPr>
          <w:rFonts w:ascii="Arial" w:hAnsi="Arial" w:eastAsia="Arial" w:cs="Arial"/>
          <w:b w:val="1"/>
          <w:bCs w:val="1"/>
          <w:noProof w:val="0"/>
          <w:sz w:val="48"/>
          <w:szCs w:val="48"/>
          <w:lang w:val="en-US"/>
        </w:rPr>
      </w:pPr>
      <w:bookmarkStart w:name="_Toc2139609504" w:id="736437960"/>
      <w:r w:rsidRPr="28406E4A" w:rsidR="5F1991C7">
        <w:rPr>
          <w:rStyle w:val="Heading1Char"/>
          <w:noProof w:val="0"/>
          <w:lang w:val="en-US"/>
        </w:rPr>
        <w:t>Reference List</w:t>
      </w:r>
      <w:bookmarkEnd w:id="736437960"/>
    </w:p>
    <w:p w:rsidR="5F1991C7" w:rsidP="28406E4A" w:rsidRDefault="5F1991C7" w14:paraId="55600C1D" w14:textId="1CE2C775">
      <w:pPr>
        <w:spacing w:before="240" w:beforeAutospacing="off" w:after="240" w:afterAutospacing="off"/>
        <w:jc w:val="left"/>
      </w:pPr>
      <w:r w:rsidRPr="28406E4A" w:rsidR="5F1991C7">
        <w:rPr>
          <w:rFonts w:ascii="Arial" w:hAnsi="Arial" w:eastAsia="Arial" w:cs="Arial"/>
          <w:noProof w:val="0"/>
          <w:sz w:val="20"/>
          <w:szCs w:val="20"/>
          <w:lang w:val="en-US"/>
        </w:rPr>
        <w:t xml:space="preserve">Armstrong, M. (2020) </w:t>
      </w:r>
      <w:r w:rsidRPr="28406E4A" w:rsidR="5F1991C7">
        <w:rPr>
          <w:rFonts w:ascii="Arial" w:hAnsi="Arial" w:eastAsia="Arial" w:cs="Arial"/>
          <w:i w:val="1"/>
          <w:iCs w:val="1"/>
          <w:noProof w:val="0"/>
          <w:sz w:val="20"/>
          <w:szCs w:val="20"/>
          <w:lang w:val="en-US"/>
        </w:rPr>
        <w:t>Armstrong’s Handbook of Human Resource Management Practice</w:t>
      </w:r>
      <w:r w:rsidRPr="28406E4A" w:rsidR="5F1991C7">
        <w:rPr>
          <w:rFonts w:ascii="Arial" w:hAnsi="Arial" w:eastAsia="Arial" w:cs="Arial"/>
          <w:noProof w:val="0"/>
          <w:sz w:val="20"/>
          <w:szCs w:val="20"/>
          <w:lang w:val="en-US"/>
        </w:rPr>
        <w:t>. 15th ed. London: Kogan Page.</w:t>
      </w:r>
    </w:p>
    <w:p w:rsidR="5F1991C7" w:rsidP="28406E4A" w:rsidRDefault="5F1991C7" w14:paraId="2797E341" w14:textId="1AC6623E">
      <w:pPr>
        <w:spacing w:before="240" w:beforeAutospacing="off" w:after="240" w:afterAutospacing="off"/>
        <w:jc w:val="left"/>
      </w:pPr>
      <w:r w:rsidRPr="28406E4A" w:rsidR="5F1991C7">
        <w:rPr>
          <w:rFonts w:ascii="Arial" w:hAnsi="Arial" w:eastAsia="Arial" w:cs="Arial"/>
          <w:noProof w:val="0"/>
          <w:sz w:val="20"/>
          <w:szCs w:val="20"/>
          <w:lang w:val="en-US"/>
        </w:rPr>
        <w:t xml:space="preserve">Bateman, T.S. and Snell, S.A. (2019) </w:t>
      </w:r>
      <w:r w:rsidRPr="28406E4A" w:rsidR="5F1991C7">
        <w:rPr>
          <w:rFonts w:ascii="Arial" w:hAnsi="Arial" w:eastAsia="Arial" w:cs="Arial"/>
          <w:i w:val="1"/>
          <w:iCs w:val="1"/>
          <w:noProof w:val="0"/>
          <w:sz w:val="20"/>
          <w:szCs w:val="20"/>
          <w:lang w:val="en-US"/>
        </w:rPr>
        <w:t>Management: Leading &amp; Collaborating in a Competitive World</w:t>
      </w:r>
      <w:r w:rsidRPr="28406E4A" w:rsidR="5F1991C7">
        <w:rPr>
          <w:rFonts w:ascii="Arial" w:hAnsi="Arial" w:eastAsia="Arial" w:cs="Arial"/>
          <w:noProof w:val="0"/>
          <w:sz w:val="20"/>
          <w:szCs w:val="20"/>
          <w:lang w:val="en-US"/>
        </w:rPr>
        <w:t>. 13th ed. New York: McGraw-Hill Education.</w:t>
      </w:r>
    </w:p>
    <w:p w:rsidR="5F1991C7" w:rsidP="28406E4A" w:rsidRDefault="5F1991C7" w14:paraId="36251A03" w14:textId="6646B568">
      <w:pPr>
        <w:spacing w:before="240" w:beforeAutospacing="off" w:after="240" w:afterAutospacing="off"/>
        <w:jc w:val="left"/>
      </w:pPr>
      <w:r w:rsidRPr="28406E4A" w:rsidR="5F1991C7">
        <w:rPr>
          <w:rFonts w:ascii="Arial" w:hAnsi="Arial" w:eastAsia="Arial" w:cs="Arial"/>
          <w:noProof w:val="0"/>
          <w:sz w:val="20"/>
          <w:szCs w:val="20"/>
          <w:lang w:val="en-US"/>
        </w:rPr>
        <w:t xml:space="preserve">Bratton, J. and Gold, J. (2017) </w:t>
      </w:r>
      <w:r w:rsidRPr="28406E4A" w:rsidR="5F1991C7">
        <w:rPr>
          <w:rFonts w:ascii="Arial" w:hAnsi="Arial" w:eastAsia="Arial" w:cs="Arial"/>
          <w:i w:val="1"/>
          <w:iCs w:val="1"/>
          <w:noProof w:val="0"/>
          <w:sz w:val="20"/>
          <w:szCs w:val="20"/>
          <w:lang w:val="en-US"/>
        </w:rPr>
        <w:t>Human Resource Management: Theory and Practice</w:t>
      </w:r>
      <w:r w:rsidRPr="28406E4A" w:rsidR="5F1991C7">
        <w:rPr>
          <w:rFonts w:ascii="Arial" w:hAnsi="Arial" w:eastAsia="Arial" w:cs="Arial"/>
          <w:noProof w:val="0"/>
          <w:sz w:val="20"/>
          <w:szCs w:val="20"/>
          <w:lang w:val="en-US"/>
        </w:rPr>
        <w:t>. 6th ed. London: Palgrave Macmillan.</w:t>
      </w:r>
    </w:p>
    <w:p w:rsidR="5F1991C7" w:rsidP="28406E4A" w:rsidRDefault="5F1991C7" w14:paraId="7561F422" w14:textId="00F4E78C">
      <w:pPr>
        <w:spacing w:before="240" w:beforeAutospacing="off" w:after="240" w:afterAutospacing="off"/>
        <w:jc w:val="left"/>
      </w:pPr>
      <w:r w:rsidRPr="28406E4A" w:rsidR="5F1991C7">
        <w:rPr>
          <w:rFonts w:ascii="Arial" w:hAnsi="Arial" w:eastAsia="Arial" w:cs="Arial"/>
          <w:noProof w:val="0"/>
          <w:sz w:val="20"/>
          <w:szCs w:val="20"/>
          <w:lang w:val="en-US"/>
        </w:rPr>
        <w:t xml:space="preserve">Cameron, K.S. and Quinn, R.E. (2011) </w:t>
      </w:r>
      <w:r w:rsidRPr="28406E4A" w:rsidR="5F1991C7">
        <w:rPr>
          <w:rFonts w:ascii="Arial" w:hAnsi="Arial" w:eastAsia="Arial" w:cs="Arial"/>
          <w:i w:val="1"/>
          <w:iCs w:val="1"/>
          <w:noProof w:val="0"/>
          <w:sz w:val="20"/>
          <w:szCs w:val="20"/>
          <w:lang w:val="en-US"/>
        </w:rPr>
        <w:t>Diagnosing and Changing Organizational Culture</w:t>
      </w:r>
      <w:r w:rsidRPr="28406E4A" w:rsidR="5F1991C7">
        <w:rPr>
          <w:rFonts w:ascii="Arial" w:hAnsi="Arial" w:eastAsia="Arial" w:cs="Arial"/>
          <w:noProof w:val="0"/>
          <w:sz w:val="20"/>
          <w:szCs w:val="20"/>
          <w:lang w:val="en-US"/>
        </w:rPr>
        <w:t>. 3rd ed. San Francisco: Jossey-Bass.</w:t>
      </w:r>
    </w:p>
    <w:p w:rsidR="5F1991C7" w:rsidP="28406E4A" w:rsidRDefault="5F1991C7" w14:paraId="6C8DF737" w14:textId="5B49CB4A">
      <w:pPr>
        <w:spacing w:before="240" w:beforeAutospacing="off" w:after="240" w:afterAutospacing="off"/>
        <w:jc w:val="left"/>
      </w:pPr>
      <w:r w:rsidRPr="28406E4A" w:rsidR="5F1991C7">
        <w:rPr>
          <w:rFonts w:ascii="Arial" w:hAnsi="Arial" w:eastAsia="Arial" w:cs="Arial"/>
          <w:noProof w:val="0"/>
          <w:sz w:val="20"/>
          <w:szCs w:val="20"/>
          <w:lang w:val="en-US"/>
        </w:rPr>
        <w:t xml:space="preserve">Handy, C. (2007) </w:t>
      </w:r>
      <w:r w:rsidRPr="28406E4A" w:rsidR="5F1991C7">
        <w:rPr>
          <w:rFonts w:ascii="Arial" w:hAnsi="Arial" w:eastAsia="Arial" w:cs="Arial"/>
          <w:i w:val="1"/>
          <w:iCs w:val="1"/>
          <w:noProof w:val="0"/>
          <w:sz w:val="20"/>
          <w:szCs w:val="20"/>
          <w:lang w:val="en-US"/>
        </w:rPr>
        <w:t>Understanding Organizations</w:t>
      </w:r>
      <w:r w:rsidRPr="28406E4A" w:rsidR="5F1991C7">
        <w:rPr>
          <w:rFonts w:ascii="Arial" w:hAnsi="Arial" w:eastAsia="Arial" w:cs="Arial"/>
          <w:noProof w:val="0"/>
          <w:sz w:val="20"/>
          <w:szCs w:val="20"/>
          <w:lang w:val="en-US"/>
        </w:rPr>
        <w:t>. 4th ed. London: Penguin.</w:t>
      </w:r>
    </w:p>
    <w:p w:rsidR="5F1991C7" w:rsidP="28406E4A" w:rsidRDefault="5F1991C7" w14:paraId="2E7615C9" w14:textId="2FBAA12D">
      <w:pPr>
        <w:spacing w:before="240" w:beforeAutospacing="off" w:after="240" w:afterAutospacing="off"/>
        <w:jc w:val="left"/>
      </w:pPr>
      <w:r w:rsidRPr="28406E4A" w:rsidR="5F1991C7">
        <w:rPr>
          <w:rFonts w:ascii="Arial" w:hAnsi="Arial" w:eastAsia="Arial" w:cs="Arial"/>
          <w:noProof w:val="0"/>
          <w:sz w:val="20"/>
          <w:szCs w:val="20"/>
          <w:lang w:val="en-US"/>
        </w:rPr>
        <w:t xml:space="preserve">Hill, C.W.L. (2020) </w:t>
      </w:r>
      <w:r w:rsidRPr="28406E4A" w:rsidR="5F1991C7">
        <w:rPr>
          <w:rFonts w:ascii="Arial" w:hAnsi="Arial" w:eastAsia="Arial" w:cs="Arial"/>
          <w:i w:val="1"/>
          <w:iCs w:val="1"/>
          <w:noProof w:val="0"/>
          <w:sz w:val="20"/>
          <w:szCs w:val="20"/>
          <w:lang w:val="en-US"/>
        </w:rPr>
        <w:t>International Business: Competing in the Global Marketplace</w:t>
      </w:r>
      <w:r w:rsidRPr="28406E4A" w:rsidR="5F1991C7">
        <w:rPr>
          <w:rFonts w:ascii="Arial" w:hAnsi="Arial" w:eastAsia="Arial" w:cs="Arial"/>
          <w:noProof w:val="0"/>
          <w:sz w:val="20"/>
          <w:szCs w:val="20"/>
          <w:lang w:val="en-US"/>
        </w:rPr>
        <w:t>. 12th ed. New York: McGraw-Hill Education.</w:t>
      </w:r>
    </w:p>
    <w:p w:rsidR="5F1991C7" w:rsidP="28406E4A" w:rsidRDefault="5F1991C7" w14:paraId="138E8F8A" w14:textId="20579B43">
      <w:pPr>
        <w:spacing w:before="240" w:beforeAutospacing="off" w:after="240" w:afterAutospacing="off"/>
        <w:jc w:val="left"/>
      </w:pPr>
      <w:r w:rsidRPr="28406E4A" w:rsidR="5F1991C7">
        <w:rPr>
          <w:rFonts w:ascii="Arial" w:hAnsi="Arial" w:eastAsia="Arial" w:cs="Arial"/>
          <w:noProof w:val="0"/>
          <w:sz w:val="20"/>
          <w:szCs w:val="20"/>
          <w:lang w:val="en-US"/>
        </w:rPr>
        <w:t xml:space="preserve">Hofstede, G., Hofstede, G.J. and Minkov, M. (2010) </w:t>
      </w:r>
      <w:r w:rsidRPr="28406E4A" w:rsidR="5F1991C7">
        <w:rPr>
          <w:rFonts w:ascii="Arial" w:hAnsi="Arial" w:eastAsia="Arial" w:cs="Arial"/>
          <w:i w:val="1"/>
          <w:iCs w:val="1"/>
          <w:noProof w:val="0"/>
          <w:sz w:val="20"/>
          <w:szCs w:val="20"/>
          <w:lang w:val="en-US"/>
        </w:rPr>
        <w:t>Cultures and Organizations: Software of the Mind</w:t>
      </w:r>
      <w:r w:rsidRPr="28406E4A" w:rsidR="5F1991C7">
        <w:rPr>
          <w:rFonts w:ascii="Arial" w:hAnsi="Arial" w:eastAsia="Arial" w:cs="Arial"/>
          <w:noProof w:val="0"/>
          <w:sz w:val="20"/>
          <w:szCs w:val="20"/>
          <w:lang w:val="en-US"/>
        </w:rPr>
        <w:t>. 3rd ed. New York: McGraw-Hill.</w:t>
      </w:r>
    </w:p>
    <w:p w:rsidR="5F1991C7" w:rsidP="28406E4A" w:rsidRDefault="5F1991C7" w14:paraId="150DB780" w14:textId="1E08BE30">
      <w:pPr>
        <w:spacing w:before="240" w:beforeAutospacing="off" w:after="240" w:afterAutospacing="off"/>
        <w:jc w:val="left"/>
      </w:pPr>
      <w:r w:rsidRPr="28406E4A" w:rsidR="5F1991C7">
        <w:rPr>
          <w:rFonts w:ascii="Arial" w:hAnsi="Arial" w:eastAsia="Arial" w:cs="Arial"/>
          <w:noProof w:val="0"/>
          <w:sz w:val="20"/>
          <w:szCs w:val="20"/>
          <w:lang w:val="en-US"/>
        </w:rPr>
        <w:t xml:space="preserve">Johnson, G., Scholes, K. and Whittington, R. (2017) </w:t>
      </w:r>
      <w:r w:rsidRPr="28406E4A" w:rsidR="5F1991C7">
        <w:rPr>
          <w:rFonts w:ascii="Arial" w:hAnsi="Arial" w:eastAsia="Arial" w:cs="Arial"/>
          <w:i w:val="1"/>
          <w:iCs w:val="1"/>
          <w:noProof w:val="0"/>
          <w:sz w:val="20"/>
          <w:szCs w:val="20"/>
          <w:lang w:val="en-US"/>
        </w:rPr>
        <w:t>Exploring Strategy</w:t>
      </w:r>
      <w:r w:rsidRPr="28406E4A" w:rsidR="5F1991C7">
        <w:rPr>
          <w:rFonts w:ascii="Arial" w:hAnsi="Arial" w:eastAsia="Arial" w:cs="Arial"/>
          <w:noProof w:val="0"/>
          <w:sz w:val="20"/>
          <w:szCs w:val="20"/>
          <w:lang w:val="en-US"/>
        </w:rPr>
        <w:t>. 11th ed. Harlow: Pearson.</w:t>
      </w:r>
    </w:p>
    <w:p w:rsidR="5F1991C7" w:rsidP="28406E4A" w:rsidRDefault="5F1991C7" w14:paraId="20165A24" w14:textId="2A5A9539">
      <w:pPr>
        <w:spacing w:before="240" w:beforeAutospacing="off" w:after="240" w:afterAutospacing="off"/>
        <w:jc w:val="left"/>
      </w:pPr>
      <w:r w:rsidRPr="28406E4A" w:rsidR="5F1991C7">
        <w:rPr>
          <w:rFonts w:ascii="Arial" w:hAnsi="Arial" w:eastAsia="Arial" w:cs="Arial"/>
          <w:noProof w:val="0"/>
          <w:sz w:val="20"/>
          <w:szCs w:val="20"/>
          <w:lang w:val="en-US"/>
        </w:rPr>
        <w:t xml:space="preserve">Jones, G.R. and George, J.M. (2020) </w:t>
      </w:r>
      <w:r w:rsidRPr="28406E4A" w:rsidR="5F1991C7">
        <w:rPr>
          <w:rFonts w:ascii="Arial" w:hAnsi="Arial" w:eastAsia="Arial" w:cs="Arial"/>
          <w:i w:val="1"/>
          <w:iCs w:val="1"/>
          <w:noProof w:val="0"/>
          <w:sz w:val="20"/>
          <w:szCs w:val="20"/>
          <w:lang w:val="en-US"/>
        </w:rPr>
        <w:t>Contemporary Management</w:t>
      </w:r>
      <w:r w:rsidRPr="28406E4A" w:rsidR="5F1991C7">
        <w:rPr>
          <w:rFonts w:ascii="Arial" w:hAnsi="Arial" w:eastAsia="Arial" w:cs="Arial"/>
          <w:noProof w:val="0"/>
          <w:sz w:val="20"/>
          <w:szCs w:val="20"/>
          <w:lang w:val="en-US"/>
        </w:rPr>
        <w:t>. 10th ed. New York: McGraw-Hill Education.</w:t>
      </w:r>
    </w:p>
    <w:p w:rsidR="5F1991C7" w:rsidP="28406E4A" w:rsidRDefault="5F1991C7" w14:paraId="730D2922" w14:textId="1CC2D39D">
      <w:pPr>
        <w:spacing w:before="240" w:beforeAutospacing="off" w:after="240" w:afterAutospacing="off"/>
        <w:jc w:val="left"/>
      </w:pPr>
      <w:r w:rsidRPr="28406E4A" w:rsidR="5F1991C7">
        <w:rPr>
          <w:rFonts w:ascii="Arial" w:hAnsi="Arial" w:eastAsia="Arial" w:cs="Arial"/>
          <w:noProof w:val="0"/>
          <w:sz w:val="20"/>
          <w:szCs w:val="20"/>
          <w:lang w:val="en-US"/>
        </w:rPr>
        <w:t xml:space="preserve">Liker, J.K. (2004) </w:t>
      </w:r>
      <w:r w:rsidRPr="28406E4A" w:rsidR="5F1991C7">
        <w:rPr>
          <w:rFonts w:ascii="Arial" w:hAnsi="Arial" w:eastAsia="Arial" w:cs="Arial"/>
          <w:i w:val="1"/>
          <w:iCs w:val="1"/>
          <w:noProof w:val="0"/>
          <w:sz w:val="20"/>
          <w:szCs w:val="20"/>
          <w:lang w:val="en-US"/>
        </w:rPr>
        <w:t>The Toyota Way: 14 Management Principles from the World’s Greatest Manufacturer</w:t>
      </w:r>
      <w:r w:rsidRPr="28406E4A" w:rsidR="5F1991C7">
        <w:rPr>
          <w:rFonts w:ascii="Arial" w:hAnsi="Arial" w:eastAsia="Arial" w:cs="Arial"/>
          <w:noProof w:val="0"/>
          <w:sz w:val="20"/>
          <w:szCs w:val="20"/>
          <w:lang w:val="en-US"/>
        </w:rPr>
        <w:t>. New York: McGraw-Hill.</w:t>
      </w:r>
    </w:p>
    <w:p w:rsidR="5F1991C7" w:rsidP="28406E4A" w:rsidRDefault="5F1991C7" w14:paraId="55869F82" w14:textId="5D397A05">
      <w:pPr>
        <w:spacing w:before="240" w:beforeAutospacing="off" w:after="240" w:afterAutospacing="off"/>
        <w:jc w:val="left"/>
      </w:pPr>
      <w:r w:rsidRPr="28406E4A" w:rsidR="5F1991C7">
        <w:rPr>
          <w:rFonts w:ascii="Arial" w:hAnsi="Arial" w:eastAsia="Arial" w:cs="Arial"/>
          <w:noProof w:val="0"/>
          <w:sz w:val="20"/>
          <w:szCs w:val="20"/>
          <w:lang w:val="en-US"/>
        </w:rPr>
        <w:t xml:space="preserve">Mullins, L.J. and Christy, G. (2016) </w:t>
      </w:r>
      <w:r w:rsidRPr="28406E4A" w:rsidR="5F1991C7">
        <w:rPr>
          <w:rFonts w:ascii="Arial" w:hAnsi="Arial" w:eastAsia="Arial" w:cs="Arial"/>
          <w:i w:val="1"/>
          <w:iCs w:val="1"/>
          <w:noProof w:val="0"/>
          <w:sz w:val="20"/>
          <w:szCs w:val="20"/>
          <w:lang w:val="en-US"/>
        </w:rPr>
        <w:t>Management and Organisational Behaviour</w:t>
      </w:r>
      <w:r w:rsidRPr="28406E4A" w:rsidR="5F1991C7">
        <w:rPr>
          <w:rFonts w:ascii="Arial" w:hAnsi="Arial" w:eastAsia="Arial" w:cs="Arial"/>
          <w:noProof w:val="0"/>
          <w:sz w:val="20"/>
          <w:szCs w:val="20"/>
          <w:lang w:val="en-US"/>
        </w:rPr>
        <w:t>. 11th ed. Harlow: Pearson.</w:t>
      </w:r>
    </w:p>
    <w:p w:rsidR="5F1991C7" w:rsidP="28406E4A" w:rsidRDefault="5F1991C7" w14:paraId="4DE5C298" w14:textId="3276EA56">
      <w:pPr>
        <w:spacing w:before="240" w:beforeAutospacing="off" w:after="240" w:afterAutospacing="off"/>
        <w:jc w:val="left"/>
      </w:pPr>
      <w:r w:rsidRPr="28406E4A" w:rsidR="5F1991C7">
        <w:rPr>
          <w:rFonts w:ascii="Arial" w:hAnsi="Arial" w:eastAsia="Arial" w:cs="Arial"/>
          <w:noProof w:val="0"/>
          <w:sz w:val="20"/>
          <w:szCs w:val="20"/>
          <w:lang w:val="en-US"/>
        </w:rPr>
        <w:t xml:space="preserve">Ohno, T. (1988) </w:t>
      </w:r>
      <w:r w:rsidRPr="28406E4A" w:rsidR="5F1991C7">
        <w:rPr>
          <w:rFonts w:ascii="Arial" w:hAnsi="Arial" w:eastAsia="Arial" w:cs="Arial"/>
          <w:i w:val="1"/>
          <w:iCs w:val="1"/>
          <w:noProof w:val="0"/>
          <w:sz w:val="20"/>
          <w:szCs w:val="20"/>
          <w:lang w:val="en-US"/>
        </w:rPr>
        <w:t>Toyota Production System: Beyond Large-Scale Production</w:t>
      </w:r>
      <w:r w:rsidRPr="28406E4A" w:rsidR="5F1991C7">
        <w:rPr>
          <w:rFonts w:ascii="Arial" w:hAnsi="Arial" w:eastAsia="Arial" w:cs="Arial"/>
          <w:noProof w:val="0"/>
          <w:sz w:val="20"/>
          <w:szCs w:val="20"/>
          <w:lang w:val="en-US"/>
        </w:rPr>
        <w:t>. Cambridge, MA: Productivity Press.</w:t>
      </w:r>
    </w:p>
    <w:p w:rsidR="5F1991C7" w:rsidP="28406E4A" w:rsidRDefault="5F1991C7" w14:paraId="46C15BA6" w14:textId="43CC70CC">
      <w:pPr>
        <w:spacing w:before="240" w:beforeAutospacing="off" w:after="240" w:afterAutospacing="off"/>
        <w:jc w:val="left"/>
      </w:pPr>
      <w:r w:rsidRPr="28406E4A" w:rsidR="5F1991C7">
        <w:rPr>
          <w:rFonts w:ascii="Arial" w:hAnsi="Arial" w:eastAsia="Arial" w:cs="Arial"/>
          <w:noProof w:val="0"/>
          <w:sz w:val="20"/>
          <w:szCs w:val="20"/>
          <w:lang w:val="en-US"/>
        </w:rPr>
        <w:t xml:space="preserve">Robbins, S.P. and Judge, T.A. (2019) </w:t>
      </w:r>
      <w:r w:rsidRPr="28406E4A" w:rsidR="5F1991C7">
        <w:rPr>
          <w:rFonts w:ascii="Arial" w:hAnsi="Arial" w:eastAsia="Arial" w:cs="Arial"/>
          <w:i w:val="1"/>
          <w:iCs w:val="1"/>
          <w:noProof w:val="0"/>
          <w:sz w:val="20"/>
          <w:szCs w:val="20"/>
          <w:lang w:val="en-US"/>
        </w:rPr>
        <w:t>Organizational Behavior</w:t>
      </w:r>
      <w:r w:rsidRPr="28406E4A" w:rsidR="5F1991C7">
        <w:rPr>
          <w:rFonts w:ascii="Arial" w:hAnsi="Arial" w:eastAsia="Arial" w:cs="Arial"/>
          <w:noProof w:val="0"/>
          <w:sz w:val="20"/>
          <w:szCs w:val="20"/>
          <w:lang w:val="en-US"/>
        </w:rPr>
        <w:t>. 18th ed. Harlow: Pearson.</w:t>
      </w:r>
    </w:p>
    <w:p w:rsidR="5F1991C7" w:rsidP="28406E4A" w:rsidRDefault="5F1991C7" w14:paraId="104A2CD4" w14:textId="50F57217">
      <w:pPr>
        <w:spacing w:before="240" w:beforeAutospacing="off" w:after="240" w:afterAutospacing="off"/>
        <w:jc w:val="left"/>
      </w:pPr>
      <w:r w:rsidRPr="28406E4A" w:rsidR="5F1991C7">
        <w:rPr>
          <w:rFonts w:ascii="Arial" w:hAnsi="Arial" w:eastAsia="Arial" w:cs="Arial"/>
          <w:noProof w:val="0"/>
          <w:sz w:val="20"/>
          <w:szCs w:val="20"/>
          <w:lang w:val="en-US"/>
        </w:rPr>
        <w:t xml:space="preserve">Slack, N. and Brandon-Jones, A. (2018) </w:t>
      </w:r>
      <w:r w:rsidRPr="28406E4A" w:rsidR="5F1991C7">
        <w:rPr>
          <w:rFonts w:ascii="Arial" w:hAnsi="Arial" w:eastAsia="Arial" w:cs="Arial"/>
          <w:i w:val="1"/>
          <w:iCs w:val="1"/>
          <w:noProof w:val="0"/>
          <w:sz w:val="20"/>
          <w:szCs w:val="20"/>
          <w:lang w:val="en-US"/>
        </w:rPr>
        <w:t>Operations Management</w:t>
      </w:r>
      <w:r w:rsidRPr="28406E4A" w:rsidR="5F1991C7">
        <w:rPr>
          <w:rFonts w:ascii="Arial" w:hAnsi="Arial" w:eastAsia="Arial" w:cs="Arial"/>
          <w:noProof w:val="0"/>
          <w:sz w:val="20"/>
          <w:szCs w:val="20"/>
          <w:lang w:val="en-US"/>
        </w:rPr>
        <w:t>. 8th ed. Harlow: Pearson.</w:t>
      </w:r>
    </w:p>
    <w:p w:rsidR="28406E4A" w:rsidP="28406E4A" w:rsidRDefault="28406E4A" w14:paraId="6FB58695" w14:textId="13229C0E">
      <w:pPr>
        <w:pStyle w:val="Normal"/>
        <w:spacing w:before="240" w:beforeAutospacing="off" w:after="240" w:afterAutospacing="off"/>
        <w:jc w:val="left"/>
        <w:rPr>
          <w:rFonts w:ascii="Arial" w:hAnsi="Arial" w:eastAsia="Arial" w:cs="Arial"/>
          <w:noProof w:val="0"/>
          <w:sz w:val="20"/>
          <w:szCs w:val="20"/>
          <w:lang w:val="en-US"/>
        </w:rPr>
      </w:pPr>
    </w:p>
    <w:p w:rsidR="28406E4A" w:rsidP="28406E4A" w:rsidRDefault="28406E4A" w14:paraId="651348F0" w14:textId="36A5FC50">
      <w:pPr>
        <w:pStyle w:val="Normal"/>
        <w:spacing w:before="240" w:beforeAutospacing="off" w:after="240" w:afterAutospacing="off"/>
        <w:jc w:val="left"/>
        <w:rPr>
          <w:rFonts w:ascii="Arial" w:hAnsi="Arial" w:eastAsia="Arial" w:cs="Arial"/>
          <w:noProof w:val="0"/>
          <w:sz w:val="20"/>
          <w:szCs w:val="20"/>
          <w:lang w:val="en-US"/>
        </w:rPr>
      </w:pPr>
    </w:p>
    <w:p w:rsidR="28406E4A" w:rsidP="28406E4A" w:rsidRDefault="28406E4A" w14:paraId="43743CF0" w14:textId="29D2D5C9">
      <w:pPr>
        <w:pStyle w:val="Normal"/>
        <w:jc w:val="left"/>
        <w:rPr>
          <w:rFonts w:ascii="Arial" w:hAnsi="Arial" w:eastAsia="Arial" w:cs="Arial"/>
          <w:b w:val="1"/>
          <w:bCs w:val="1"/>
          <w:sz w:val="20"/>
          <w:szCs w:val="20"/>
        </w:rPr>
      </w:pPr>
    </w:p>
    <w:p w:rsidR="28406E4A" w:rsidP="28406E4A" w:rsidRDefault="28406E4A" w14:paraId="289F80CC" w14:textId="2D91A8EE">
      <w:pPr>
        <w:pStyle w:val="Normal"/>
      </w:pPr>
    </w:p>
    <w:sectPr>
      <w:pgSz w:w="12240" w:h="15840" w:orient="portrait"/>
      <w:pgMar w:top="1440" w:right="1440" w:bottom="1440" w:left="1440" w:header="720" w:footer="720" w:gutter="0"/>
      <w:cols w:space="720"/>
      <w:docGrid w:linePitch="360"/>
      <w:headerReference w:type="default" r:id="R114a8dd4216f404c"/>
      <w:footerReference w:type="default" r:id="Rd614953084cc40e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8406E4A" w:rsidTr="28406E4A" w14:paraId="3A886C34">
      <w:trPr>
        <w:trHeight w:val="300"/>
      </w:trPr>
      <w:tc>
        <w:tcPr>
          <w:tcW w:w="3120" w:type="dxa"/>
          <w:tcMar/>
        </w:tcPr>
        <w:p w:rsidR="28406E4A" w:rsidP="28406E4A" w:rsidRDefault="28406E4A" w14:paraId="4842D494" w14:textId="6631B56E">
          <w:pPr>
            <w:pStyle w:val="Header"/>
            <w:bidi w:val="0"/>
            <w:ind w:left="-115"/>
            <w:jc w:val="left"/>
          </w:pPr>
        </w:p>
      </w:tc>
      <w:tc>
        <w:tcPr>
          <w:tcW w:w="3120" w:type="dxa"/>
          <w:tcMar/>
        </w:tcPr>
        <w:p w:rsidR="28406E4A" w:rsidP="28406E4A" w:rsidRDefault="28406E4A" w14:paraId="040F877E" w14:textId="716DD7CE">
          <w:pPr>
            <w:pStyle w:val="Header"/>
            <w:bidi w:val="0"/>
            <w:jc w:val="center"/>
          </w:pPr>
        </w:p>
      </w:tc>
      <w:tc>
        <w:tcPr>
          <w:tcW w:w="3120" w:type="dxa"/>
          <w:tcMar/>
        </w:tcPr>
        <w:p w:rsidR="28406E4A" w:rsidP="28406E4A" w:rsidRDefault="28406E4A" w14:paraId="571555C9" w14:textId="0360329C">
          <w:pPr>
            <w:pStyle w:val="Header"/>
            <w:bidi w:val="0"/>
            <w:ind w:right="-115"/>
            <w:jc w:val="right"/>
          </w:pPr>
        </w:p>
      </w:tc>
    </w:tr>
  </w:tbl>
  <w:p w:rsidR="28406E4A" w:rsidP="28406E4A" w:rsidRDefault="28406E4A" w14:paraId="43046D98" w14:textId="78A4ECAF">
    <w:pPr>
      <w:pStyle w:val="Footer"/>
      <w:bidi w:val="0"/>
    </w:pPr>
  </w:p>
</w:ftr>
</file>

<file path=word/header.xml><?xml version="1.0" encoding="utf-8"?>
<w:hdr xmlns:w14="http://schemas.microsoft.com/office/word/2010/wordml" xmlns:w="http://schemas.openxmlformats.org/wordprocessingml/2006/main">
  <w:p w:rsidR="28406E4A" w:rsidP="28406E4A" w:rsidRDefault="28406E4A" w14:paraId="4F2FBA15" w14:textId="37F3926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34EA82"/>
    <w:rsid w:val="00CA5801"/>
    <w:rsid w:val="00CA5801"/>
    <w:rsid w:val="027071F6"/>
    <w:rsid w:val="0427AA23"/>
    <w:rsid w:val="0A28EC55"/>
    <w:rsid w:val="0A675B31"/>
    <w:rsid w:val="0AFD0029"/>
    <w:rsid w:val="0B442156"/>
    <w:rsid w:val="0CDF5651"/>
    <w:rsid w:val="146E5F53"/>
    <w:rsid w:val="147A5593"/>
    <w:rsid w:val="14F380D8"/>
    <w:rsid w:val="151BDBD8"/>
    <w:rsid w:val="1D971DBA"/>
    <w:rsid w:val="21172D0D"/>
    <w:rsid w:val="21172D0D"/>
    <w:rsid w:val="217B9D14"/>
    <w:rsid w:val="22609252"/>
    <w:rsid w:val="2277FBFF"/>
    <w:rsid w:val="227F186B"/>
    <w:rsid w:val="232813CE"/>
    <w:rsid w:val="24584456"/>
    <w:rsid w:val="28406E4A"/>
    <w:rsid w:val="2C1B98E8"/>
    <w:rsid w:val="2EE3317F"/>
    <w:rsid w:val="30CAABA9"/>
    <w:rsid w:val="3764D950"/>
    <w:rsid w:val="3764D950"/>
    <w:rsid w:val="404ACCF7"/>
    <w:rsid w:val="46E6378D"/>
    <w:rsid w:val="47DC2A3B"/>
    <w:rsid w:val="493875B4"/>
    <w:rsid w:val="4DA97E5A"/>
    <w:rsid w:val="4E3B2813"/>
    <w:rsid w:val="4E3B2813"/>
    <w:rsid w:val="4E6A2444"/>
    <w:rsid w:val="4EC7E603"/>
    <w:rsid w:val="4EC7E603"/>
    <w:rsid w:val="4FBE4FB3"/>
    <w:rsid w:val="4FD4C2D2"/>
    <w:rsid w:val="50219F2F"/>
    <w:rsid w:val="5034EA82"/>
    <w:rsid w:val="53A967D7"/>
    <w:rsid w:val="58E39B9D"/>
    <w:rsid w:val="59F44CDE"/>
    <w:rsid w:val="59F44CDE"/>
    <w:rsid w:val="5BD8D90D"/>
    <w:rsid w:val="5F1991C7"/>
    <w:rsid w:val="5F38C2DB"/>
    <w:rsid w:val="5F463403"/>
    <w:rsid w:val="609BA08A"/>
    <w:rsid w:val="6E9EEFE2"/>
    <w:rsid w:val="704E9764"/>
    <w:rsid w:val="72312420"/>
    <w:rsid w:val="7514AE89"/>
    <w:rsid w:val="7A3F73AC"/>
    <w:rsid w:val="7ABEC81F"/>
    <w:rsid w:val="7C9457DF"/>
    <w:rsid w:val="7F664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E4493"/>
  <w15:chartTrackingRefBased/>
  <w15:docId w15:val="{72EA694A-1707-4095-AD9C-64AE267516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ableParagraph" w:customStyle="true">
    <w:uiPriority w:val="1"/>
    <w:name w:val="Table Paragraph"/>
    <w:basedOn w:val="Normal"/>
    <w:qFormat/>
    <w:rsid w:val="28406E4A"/>
    <w:rPr>
      <w:rFonts w:ascii="Arial" w:hAnsi="Arial" w:eastAsia="Arial" w:cs="Arial" w:asciiTheme="minorAscii" w:hAnsiTheme="minorAscii" w:eastAsiaTheme="minorAscii" w:cstheme="minorBidi"/>
      <w:sz w:val="22"/>
      <w:szCs w:val="22"/>
    </w:rPr>
  </w:style>
  <w:style w:type="paragraph" w:styleId="Header">
    <w:uiPriority w:val="99"/>
    <w:name w:val="header"/>
    <w:basedOn w:val="Normal"/>
    <w:unhideWhenUsed/>
    <w:rsid w:val="28406E4A"/>
    <w:pPr>
      <w:tabs>
        <w:tab w:val="center" w:leader="none" w:pos="4680"/>
        <w:tab w:val="right" w:leader="none" w:pos="9360"/>
      </w:tabs>
      <w:spacing w:after="0" w:line="240" w:lineRule="auto"/>
    </w:pPr>
  </w:style>
  <w:style w:type="paragraph" w:styleId="Footer">
    <w:uiPriority w:val="99"/>
    <w:name w:val="footer"/>
    <w:basedOn w:val="Normal"/>
    <w:unhideWhenUsed/>
    <w:rsid w:val="28406E4A"/>
    <w:pPr>
      <w:tabs>
        <w:tab w:val="center" w:leader="none" w:pos="4680"/>
        <w:tab w:val="right" w:leader="none" w:pos="9360"/>
      </w:tabs>
      <w:spacing w:after="0" w:line="240" w:lineRule="auto"/>
    </w:pPr>
  </w:style>
  <w:style w:type="paragraph" w:styleId="TOC1">
    <w:uiPriority w:val="39"/>
    <w:name w:val="toc 1"/>
    <w:basedOn w:val="Normal"/>
    <w:next w:val="Normal"/>
    <w:unhideWhenUsed/>
    <w:rsid w:val="28406E4A"/>
    <w:pPr>
      <w:spacing w:after="100"/>
    </w:pPr>
  </w:style>
  <w:style w:type="paragraph" w:styleId="Heading1">
    <w:uiPriority w:val="9"/>
    <w:name w:val="heading 1"/>
    <w:basedOn w:val="Normal"/>
    <w:next w:val="Normal"/>
    <w:link w:val="Heading1Char"/>
    <w:qFormat/>
    <w:rsid w:val="28406E4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8406E4A"/>
    <w:rPr>
      <w:color w:val="467886"/>
      <w:u w:val="single"/>
    </w:rPr>
  </w:style>
  <w:style w:type="character" w:styleId="Heading1Char" w:customStyle="true">
    <w:uiPriority w:val="9"/>
    <w:name w:val="Heading 1 Char"/>
    <w:basedOn w:val="DefaultParagraphFont"/>
    <w:link w:val="Heading1"/>
    <w:rsid w:val="28406E4A"/>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eading2Char" w:customStyle="true">
    <w:uiPriority w:val="9"/>
    <w:name w:val="Heading 2 Char"/>
    <w:basedOn w:val="DefaultParagraphFont"/>
    <w:rsid w:val="28406E4A"/>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eading3Char" w:customStyle="true">
    <w:uiPriority w:val="9"/>
    <w:name w:val="Heading 3 Char"/>
    <w:basedOn w:val="DefaultParagraphFont"/>
    <w:rsid w:val="28406E4A"/>
    <w:rPr>
      <w:rFonts w:eastAsia="" w:cs="" w:eastAsiaTheme="majorEastAsia" w:cstheme="majorBidi"/>
      <w:color w:val="0F4761" w:themeColor="accent1" w:themeTint="FF" w:themeShade="BF"/>
      <w:sz w:val="28"/>
      <w:szCs w:val="28"/>
    </w:rPr>
  </w:style>
  <w:style w:type="character" w:styleId="Heading4Char" w:customStyle="true">
    <w:uiPriority w:val="9"/>
    <w:name w:val="Heading 4 Char"/>
    <w:basedOn w:val="DefaultParagraphFont"/>
    <w:rsid w:val="28406E4A"/>
    <w:rPr>
      <w:rFonts w:eastAsia="" w:cs="" w:eastAsiaTheme="majorEastAsia" w:cstheme="majorBidi"/>
      <w:i w:val="1"/>
      <w:iCs w:val="1"/>
      <w:color w:val="0F4761" w:themeColor="accent1" w:themeTint="FF" w:themeShade="BF"/>
    </w:rPr>
  </w:style>
  <w:style w:type="character" w:styleId="Heading5Char" w:customStyle="true">
    <w:uiPriority w:val="9"/>
    <w:name w:val="Heading 5 Char"/>
    <w:basedOn w:val="DefaultParagraphFont"/>
    <w:rsid w:val="28406E4A"/>
    <w:rPr>
      <w:rFonts w:eastAsia="" w:cs="" w:eastAsiaTheme="majorEastAsia" w:cstheme="majorBidi"/>
      <w:color w:val="0F4761" w:themeColor="accent1" w:themeTint="FF" w:themeShade="BF"/>
    </w:rPr>
  </w:style>
  <w:style w:type="character" w:styleId="Heading6Char" w:customStyle="true">
    <w:uiPriority w:val="9"/>
    <w:name w:val="Heading 6 Char"/>
    <w:basedOn w:val="DefaultParagraphFont"/>
    <w:rsid w:val="28406E4A"/>
    <w:rPr>
      <w:rFonts w:eastAsia="" w:cs="" w:eastAsiaTheme="majorEastAsia" w:cstheme="majorBidi"/>
      <w:i w:val="1"/>
      <w:iCs w:val="1"/>
      <w:color w:val="595959" w:themeColor="text1" w:themeTint="A6" w:themeShade="FF"/>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14a8dd4216f404c" /><Relationship Type="http://schemas.openxmlformats.org/officeDocument/2006/relationships/footer" Target="footer.xml" Id="Rd614953084cc40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2026-06-28T13:54:58.0637745Z</dcterms:created>
  <dcterms:modified xsi:type="dcterms:W3CDTF">2026-06-28T15:12:07.7874690Z</dcterms:modified>
  <dc:creator>Gheorghe Calin (2333136)</dc:creator>
  <lastModifiedBy>Gheorghe Calin (2333136)</lastModifiedBy>
</coreProperties>
</file>