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5969" w:rsidP="41E84A1D" w:rsidRDefault="00DD5969" w14:paraId="5B9AE89A" w14:noSpellErr="1" w14:textId="0F732ECF">
      <w:pPr>
        <w:spacing w:before="212" w:line="360" w:lineRule="auto"/>
        <w:jc w:val="center"/>
        <w:rPr>
          <w:rFonts w:ascii="Arial"/>
          <w:b w:val="1"/>
          <w:bCs w:val="1"/>
          <w:sz w:val="56"/>
          <w:szCs w:val="56"/>
        </w:rPr>
      </w:pPr>
      <w:r w:rsidR="00DD5969">
        <w:drawing>
          <wp:inline wp14:editId="2A4A2E19" wp14:anchorId="508580CF">
            <wp:extent cx="3524324" cy="1404938"/>
            <wp:effectExtent l="0" t="0" r="0" b="5080"/>
            <wp:docPr id="4" name="Picture 4" title=""/>
            <wp:cNvGraphicFramePr>
              <a:graphicFrameLocks noChangeAspect="1"/>
            </wp:cNvGraphicFramePr>
            <a:graphic>
              <a:graphicData uri="http://schemas.openxmlformats.org/drawingml/2006/picture">
                <pic:pic>
                  <pic:nvPicPr>
                    <pic:cNvPr id="0" name="Picture 4"/>
                    <pic:cNvPicPr/>
                  </pic:nvPicPr>
                  <pic:blipFill>
                    <a:blip r:embed="Rf0126389cf2541b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24324" cy="1404938"/>
                    </a:xfrm>
                    <a:prstGeom prst="rect">
                      <a:avLst/>
                    </a:prstGeom>
                  </pic:spPr>
                </pic:pic>
              </a:graphicData>
            </a:graphic>
          </wp:inline>
        </w:drawing>
      </w:r>
    </w:p>
    <w:p w:rsidRPr="0000375B" w:rsidR="00DD5969" w:rsidP="465E4A66" w:rsidRDefault="00DD5969" w14:paraId="7EE9271E" w14:textId="59C6386F">
      <w:pPr>
        <w:spacing w:before="212" w:line="360" w:lineRule="auto"/>
        <w:rPr>
          <w:rFonts w:ascii="Arial"/>
          <w:b w:val="1"/>
          <w:bCs w:val="1"/>
          <w:sz w:val="48"/>
          <w:szCs w:val="48"/>
          <w:lang w:val="fr-FR"/>
        </w:rPr>
      </w:pPr>
      <w:r w:rsidRPr="465E4A66" w:rsidR="00DD5969">
        <w:rPr>
          <w:rFonts w:ascii="Arial"/>
          <w:b w:val="1"/>
          <w:bCs w:val="1"/>
          <w:sz w:val="48"/>
          <w:szCs w:val="48"/>
        </w:rPr>
        <w:t xml:space="preserve">MODULE </w:t>
      </w:r>
      <w:r w:rsidRPr="465E4A66" w:rsidR="00DD5969">
        <w:rPr>
          <w:rFonts w:ascii="Arial"/>
          <w:b w:val="1"/>
          <w:bCs w:val="1"/>
          <w:sz w:val="48"/>
          <w:szCs w:val="48"/>
        </w:rPr>
        <w:t>CODE:</w:t>
      </w:r>
      <w:r w:rsidRPr="465E4A66" w:rsidR="0007198D">
        <w:rPr>
          <w:rFonts w:ascii="Arial"/>
          <w:b w:val="1"/>
          <w:bCs w:val="1"/>
          <w:sz w:val="48"/>
          <w:szCs w:val="48"/>
        </w:rPr>
        <w:t xml:space="preserve"> </w:t>
      </w:r>
      <w:r w:rsidRPr="465E4A66" w:rsidR="0000375B">
        <w:rPr>
          <w:rFonts w:ascii="Arial"/>
          <w:b w:val="1"/>
          <w:bCs w:val="1"/>
          <w:sz w:val="48"/>
          <w:szCs w:val="48"/>
        </w:rPr>
        <w:t>EC</w:t>
      </w:r>
      <w:r w:rsidRPr="465E4A66" w:rsidR="0000375B">
        <w:rPr>
          <w:rFonts w:ascii="Arial"/>
          <w:b w:val="1"/>
          <w:bCs w:val="1"/>
          <w:sz w:val="48"/>
          <w:szCs w:val="48"/>
        </w:rPr>
        <w:t>AD</w:t>
      </w:r>
      <w:r w:rsidRPr="465E4A66" w:rsidR="0007198D">
        <w:rPr>
          <w:rFonts w:ascii="Arial"/>
          <w:b w:val="1"/>
          <w:bCs w:val="1"/>
          <w:sz w:val="48"/>
          <w:szCs w:val="48"/>
        </w:rPr>
        <w:t>5</w:t>
      </w:r>
      <w:r w:rsidRPr="465E4A66" w:rsidR="0000375B">
        <w:rPr>
          <w:rFonts w:ascii="Arial"/>
          <w:b w:val="1"/>
          <w:bCs w:val="1"/>
          <w:sz w:val="48"/>
          <w:szCs w:val="48"/>
        </w:rPr>
        <w:t>01</w:t>
      </w:r>
      <w:r w:rsidRPr="465E4A66" w:rsidR="329454A2">
        <w:rPr>
          <w:rFonts w:ascii="Arial"/>
          <w:b w:val="1"/>
          <w:bCs w:val="1"/>
          <w:sz w:val="48"/>
          <w:szCs w:val="48"/>
        </w:rPr>
        <w:t>5</w:t>
      </w:r>
    </w:p>
    <w:p w:rsidR="465E4A66" w:rsidP="465E4A66" w:rsidRDefault="465E4A66" w14:paraId="75E5CC66" w14:textId="59C13EE3">
      <w:pPr>
        <w:spacing w:before="212" w:line="360" w:lineRule="auto"/>
        <w:rPr>
          <w:rFonts w:ascii="Arial"/>
          <w:b w:val="1"/>
          <w:bCs w:val="1"/>
          <w:sz w:val="48"/>
          <w:szCs w:val="48"/>
        </w:rPr>
      </w:pPr>
    </w:p>
    <w:p w:rsidR="329454A2" w:rsidP="465E4A66" w:rsidRDefault="329454A2" w14:paraId="3143C114" w14:textId="18BB8F9A">
      <w:pPr>
        <w:pStyle w:val="Normal"/>
        <w:spacing w:before="212" w:line="360" w:lineRule="auto"/>
        <w:rPr>
          <w:rFonts w:ascii="Arial"/>
          <w:b w:val="1"/>
          <w:bCs w:val="1"/>
          <w:sz w:val="48"/>
          <w:szCs w:val="48"/>
          <w:lang w:val="fr-FR"/>
        </w:rPr>
      </w:pPr>
      <w:r w:rsidRPr="465E4A66" w:rsidR="329454A2">
        <w:rPr>
          <w:rFonts w:ascii="Arial"/>
          <w:b w:val="1"/>
          <w:bCs w:val="1"/>
          <w:sz w:val="48"/>
          <w:szCs w:val="48"/>
        </w:rPr>
        <w:t>Assignment Title: Deepening Practice ALN – Part 1 Journal</w:t>
      </w:r>
    </w:p>
    <w:p w:rsidRPr="0000375B" w:rsidR="00347EA1" w:rsidP="465E4A66" w:rsidRDefault="00347EA1" w14:paraId="5051A2D5" w14:textId="77777777" w14:noSpellErr="1">
      <w:pPr>
        <w:spacing w:before="212" w:line="360" w:lineRule="auto"/>
        <w:rPr>
          <w:rFonts w:ascii="Arial"/>
          <w:b w:val="1"/>
          <w:bCs w:val="1"/>
          <w:sz w:val="48"/>
          <w:szCs w:val="48"/>
          <w:lang w:val="fr-FR"/>
        </w:rPr>
      </w:pPr>
    </w:p>
    <w:p w:rsidRPr="00DD5969" w:rsidR="00DD5969" w:rsidP="465E4A66" w:rsidRDefault="00DD5969" w14:paraId="7681432B" w14:textId="0CBD9AAC">
      <w:pPr>
        <w:spacing w:before="3" w:line="360" w:lineRule="auto"/>
        <w:rPr>
          <w:rFonts w:ascii="Arial"/>
          <w:b w:val="1"/>
          <w:bCs w:val="1"/>
          <w:sz w:val="48"/>
          <w:szCs w:val="48"/>
        </w:rPr>
      </w:pPr>
      <w:r w:rsidRPr="465E4A66" w:rsidR="00DD5969">
        <w:rPr>
          <w:rFonts w:ascii="Arial"/>
          <w:b w:val="1"/>
          <w:bCs w:val="1"/>
          <w:sz w:val="48"/>
          <w:szCs w:val="48"/>
        </w:rPr>
        <w:t>STUDENT NAME:</w:t>
      </w:r>
      <w:r w:rsidRPr="465E4A66" w:rsidR="439569BD">
        <w:rPr>
          <w:rFonts w:ascii="Arial"/>
          <w:b w:val="1"/>
          <w:bCs w:val="1"/>
          <w:sz w:val="48"/>
          <w:szCs w:val="48"/>
        </w:rPr>
        <w:t xml:space="preserve"> Keira Wickham</w:t>
      </w:r>
    </w:p>
    <w:p w:rsidRPr="00DD5969" w:rsidR="00DD5969" w:rsidP="465E4A66" w:rsidRDefault="00DD5969" w14:paraId="0D16D138" w14:textId="77777777" w14:noSpellErr="1">
      <w:pPr>
        <w:spacing w:before="3" w:line="360" w:lineRule="auto"/>
        <w:rPr>
          <w:rFonts w:ascii="Arial"/>
          <w:b w:val="1"/>
          <w:bCs w:val="1"/>
          <w:sz w:val="48"/>
          <w:szCs w:val="48"/>
        </w:rPr>
      </w:pPr>
    </w:p>
    <w:p w:rsidRPr="00DD5969" w:rsidR="00DD5969" w:rsidP="465E4A66" w:rsidRDefault="00DD5969" w14:paraId="18107AFF" w14:textId="75DF1D7A">
      <w:pPr>
        <w:spacing w:before="3" w:line="360" w:lineRule="auto"/>
        <w:rPr>
          <w:rFonts w:ascii="Arial"/>
          <w:b w:val="1"/>
          <w:bCs w:val="1"/>
          <w:sz w:val="48"/>
          <w:szCs w:val="48"/>
        </w:rPr>
      </w:pPr>
      <w:r w:rsidRPr="41E84A1D" w:rsidR="00DD5969">
        <w:rPr>
          <w:rFonts w:ascii="Arial"/>
          <w:b w:val="1"/>
          <w:bCs w:val="1"/>
          <w:sz w:val="48"/>
          <w:szCs w:val="48"/>
        </w:rPr>
        <w:t xml:space="preserve">STUDENT </w:t>
      </w:r>
      <w:r w:rsidRPr="41E84A1D" w:rsidR="007203C3">
        <w:rPr>
          <w:rFonts w:ascii="Arial"/>
          <w:b w:val="1"/>
          <w:bCs w:val="1"/>
          <w:sz w:val="48"/>
          <w:szCs w:val="48"/>
        </w:rPr>
        <w:t>NUMBER</w:t>
      </w:r>
      <w:r w:rsidRPr="41E84A1D" w:rsidR="00DD5969">
        <w:rPr>
          <w:rFonts w:ascii="Arial"/>
          <w:b w:val="1"/>
          <w:bCs w:val="1"/>
          <w:sz w:val="48"/>
          <w:szCs w:val="48"/>
        </w:rPr>
        <w:t>:</w:t>
      </w:r>
      <w:r w:rsidRPr="41E84A1D" w:rsidR="23CB0EAC">
        <w:rPr>
          <w:rFonts w:ascii="Arial"/>
          <w:b w:val="1"/>
          <w:bCs w:val="1"/>
          <w:sz w:val="48"/>
          <w:szCs w:val="48"/>
        </w:rPr>
        <w:t xml:space="preserve"> 2300800</w:t>
      </w:r>
    </w:p>
    <w:p w:rsidR="41E84A1D" w:rsidP="41E84A1D" w:rsidRDefault="41E84A1D" w14:paraId="26C05BC9" w14:textId="1A516EBE">
      <w:pPr>
        <w:spacing w:before="3" w:line="360" w:lineRule="auto"/>
        <w:rPr>
          <w:rFonts w:ascii="Arial"/>
          <w:b w:val="1"/>
          <w:bCs w:val="1"/>
          <w:sz w:val="48"/>
          <w:szCs w:val="48"/>
        </w:rPr>
      </w:pPr>
    </w:p>
    <w:p w:rsidR="23CB0EAC" w:rsidP="41E84A1D" w:rsidRDefault="23CB0EAC" w14:paraId="3D81674C" w14:textId="713278D1">
      <w:pPr>
        <w:pStyle w:val="Normal"/>
        <w:spacing w:before="3" w:line="360" w:lineRule="auto"/>
        <w:rPr>
          <w:rFonts w:ascii="Arial"/>
          <w:b w:val="1"/>
          <w:bCs w:val="1"/>
          <w:sz w:val="48"/>
          <w:szCs w:val="48"/>
        </w:rPr>
      </w:pPr>
      <w:r w:rsidRPr="41E84A1D" w:rsidR="23CB0EAC">
        <w:rPr>
          <w:rFonts w:ascii="Arial"/>
          <w:b w:val="1"/>
          <w:bCs w:val="1"/>
          <w:sz w:val="48"/>
          <w:szCs w:val="48"/>
        </w:rPr>
        <w:t>BA Primary Education (QTS)</w:t>
      </w:r>
    </w:p>
    <w:p w:rsidR="465E4A66" w:rsidP="465E4A66" w:rsidRDefault="465E4A66" w14:paraId="072F8415" w14:textId="52863745">
      <w:pPr>
        <w:pStyle w:val="Normal"/>
        <w:spacing w:line="360" w:lineRule="auto"/>
        <w:rPr>
          <w:b w:val="1"/>
          <w:bCs w:val="1"/>
          <w:sz w:val="32"/>
          <w:szCs w:val="32"/>
          <w:u w:val="single"/>
        </w:rPr>
      </w:pPr>
    </w:p>
    <w:p w:rsidRPr="00E243A8" w:rsidR="00B103B9" w:rsidP="465E4A66" w:rsidRDefault="00B103B9" w14:paraId="4C9C9B74" w14:textId="55DE7A0C">
      <w:pPr>
        <w:pStyle w:val="Normal"/>
        <w:spacing w:line="360" w:lineRule="auto"/>
        <w:rPr>
          <w:b w:val="1"/>
          <w:bCs w:val="1"/>
          <w:sz w:val="32"/>
          <w:szCs w:val="32"/>
          <w:u w:val="single"/>
        </w:rPr>
      </w:pPr>
      <w:r w:rsidRPr="465E4A66" w:rsidR="00B103B9">
        <w:rPr>
          <w:b w:val="1"/>
          <w:bCs w:val="1"/>
          <w:sz w:val="32"/>
          <w:szCs w:val="32"/>
          <w:u w:val="single"/>
        </w:rPr>
        <w:t>AI Acknowledgement</w:t>
      </w:r>
    </w:p>
    <w:p w:rsidR="00B103B9" w:rsidP="465E4A66" w:rsidRDefault="00B103B9" w14:paraId="5A38292B" w14:textId="77777777" w14:noSpellErr="1">
      <w:pPr>
        <w:spacing w:line="360" w:lineRule="auto"/>
      </w:pPr>
    </w:p>
    <w:p w:rsidR="00E243A8" w:rsidP="465E4A66" w:rsidRDefault="00E243A8" w14:paraId="4EE20A6B" w14:textId="77777777" w14:noSpellErr="1">
      <w:pPr>
        <w:spacing w:line="360" w:lineRule="auto"/>
      </w:pPr>
      <w:r w:rsidR="00E243A8">
        <w:rPr/>
        <w:t xml:space="preserve">I confirm that I have not used any AI tools in the research and creation of this assignment. </w:t>
      </w:r>
    </w:p>
    <w:p w:rsidR="00C2550A" w:rsidP="465E4A66" w:rsidRDefault="00E243A8" w14:paraId="768557CB" w14:textId="77777777" w14:noSpellErr="1">
      <w:pPr>
        <w:spacing w:line="360" w:lineRule="auto"/>
      </w:pPr>
      <w:r w:rsidR="00E243A8">
        <w:rPr/>
        <w:t xml:space="preserve">I confirm that I have not presented any AI generated materials as my own work. </w:t>
      </w:r>
    </w:p>
    <w:p w:rsidRPr="00DD5969" w:rsidR="00E10797" w:rsidP="465E4A66" w:rsidRDefault="00E10797" w14:paraId="0ADC06E9" w14:textId="233A1A58">
      <w:pPr>
        <w:spacing w:line="360" w:lineRule="auto"/>
      </w:pPr>
      <w:r w:rsidR="00E243A8">
        <w:rPr/>
        <w:t xml:space="preserve">I confirm </w:t>
      </w:r>
      <w:r w:rsidR="00C2550A">
        <w:rPr/>
        <w:t xml:space="preserve">that </w:t>
      </w:r>
      <w:r w:rsidR="00E243A8">
        <w:rPr/>
        <w:t>I have copies of my drafts, notes, and other resources I used, which I may be asked to provide in evidence.</w:t>
      </w:r>
    </w:p>
    <w:p w:rsidR="0000375B" w:rsidP="465E4A66" w:rsidRDefault="0000375B" w14:paraId="2F521E63" w14:noSpellErr="1" w14:textId="03216394">
      <w:pPr>
        <w:pStyle w:val="Normal"/>
        <w:spacing w:line="360" w:lineRule="auto"/>
        <w:rPr>
          <w:sz w:val="16"/>
          <w:szCs w:val="16"/>
        </w:rPr>
      </w:pPr>
    </w:p>
    <w:p w:rsidR="0000375B" w:rsidP="465E4A66" w:rsidRDefault="0000375B" w14:paraId="36D1742B" w14:textId="77777777" w14:noSpellErr="1">
      <w:pPr>
        <w:spacing w:line="360" w:lineRule="auto"/>
        <w:rPr>
          <w:sz w:val="16"/>
          <w:szCs w:val="16"/>
        </w:rPr>
      </w:pPr>
    </w:p>
    <w:p w:rsidR="0000375B" w:rsidP="465E4A66" w:rsidRDefault="0000375B" w14:paraId="17A7A376" w14:textId="3BE950A6">
      <w:pPr>
        <w:spacing w:line="360" w:lineRule="auto"/>
        <w:rPr>
          <w:b w:val="1"/>
          <w:bCs w:val="1"/>
        </w:rPr>
      </w:pPr>
      <w:r w:rsidRPr="41E84A1D" w:rsidR="0000375B">
        <w:rPr>
          <w:b w:val="1"/>
          <w:bCs w:val="1"/>
        </w:rPr>
        <w:t xml:space="preserve">Targets from my </w:t>
      </w:r>
      <w:r w:rsidRPr="41E84A1D" w:rsidR="0000375B">
        <w:rPr>
          <w:b w:val="1"/>
          <w:bCs w:val="1"/>
        </w:rPr>
        <w:t>previous</w:t>
      </w:r>
      <w:r w:rsidRPr="41E84A1D" w:rsidR="0000375B">
        <w:rPr>
          <w:b w:val="1"/>
          <w:bCs w:val="1"/>
        </w:rPr>
        <w:t xml:space="preserve"> assignment</w:t>
      </w:r>
    </w:p>
    <w:tbl>
      <w:tblPr>
        <w:tblStyle w:val="TableGrid"/>
        <w:tblW w:w="9015" w:type="dxa"/>
        <w:tblLook w:val="04A0" w:firstRow="1" w:lastRow="0" w:firstColumn="1" w:lastColumn="0" w:noHBand="0" w:noVBand="1"/>
      </w:tblPr>
      <w:tblGrid>
        <w:gridCol w:w="3005"/>
        <w:gridCol w:w="3005"/>
        <w:gridCol w:w="3005"/>
      </w:tblGrid>
      <w:tr w:rsidR="0000375B" w:rsidTr="41E84A1D" w14:paraId="551E84E1" w14:textId="77777777">
        <w:trPr>
          <w:trHeight w:val="300"/>
        </w:trPr>
        <w:tc>
          <w:tcPr>
            <w:tcW w:w="3005" w:type="dxa"/>
            <w:tcMar/>
          </w:tcPr>
          <w:p w:rsidRPr="0000375B" w:rsidR="0000375B" w:rsidP="465E4A66" w:rsidRDefault="0000375B" w14:paraId="672FF086" w14:textId="0519C987">
            <w:pPr>
              <w:spacing w:line="360" w:lineRule="auto"/>
              <w:rPr>
                <w:b w:val="1"/>
                <w:bCs w:val="1"/>
              </w:rPr>
            </w:pPr>
            <w:r w:rsidRPr="465E4A66" w:rsidR="0000375B">
              <w:rPr>
                <w:b w:val="1"/>
                <w:bCs w:val="1"/>
              </w:rPr>
              <w:t>Target</w:t>
            </w:r>
            <w:r w:rsidRPr="465E4A66" w:rsidR="45AC36C3">
              <w:rPr>
                <w:b w:val="1"/>
                <w:bCs w:val="1"/>
              </w:rPr>
              <w:t xml:space="preserve">s from </w:t>
            </w:r>
            <w:r w:rsidRPr="465E4A66" w:rsidR="45AC36C3">
              <w:rPr>
                <w:b w:val="1"/>
                <w:bCs w:val="1"/>
              </w:rPr>
              <w:t>previous</w:t>
            </w:r>
            <w:r w:rsidRPr="465E4A66" w:rsidR="45AC36C3">
              <w:rPr>
                <w:b w:val="1"/>
                <w:bCs w:val="1"/>
              </w:rPr>
              <w:t xml:space="preserve"> module</w:t>
            </w:r>
          </w:p>
        </w:tc>
        <w:tc>
          <w:tcPr>
            <w:tcW w:w="3005" w:type="dxa"/>
            <w:tcMar/>
          </w:tcPr>
          <w:p w:rsidRPr="0000375B" w:rsidR="0000375B" w:rsidP="465E4A66" w:rsidRDefault="0000375B" w14:paraId="352B31B4" w14:textId="443B9DC6">
            <w:pPr>
              <w:pStyle w:val="Normal"/>
              <w:suppressLineNumbers w:val="0"/>
              <w:bidi w:val="0"/>
              <w:spacing w:before="0" w:beforeAutospacing="off" w:after="0" w:afterAutospacing="off" w:line="360" w:lineRule="auto"/>
              <w:ind w:left="0" w:right="0"/>
              <w:jc w:val="left"/>
            </w:pPr>
            <w:r w:rsidRPr="465E4A66" w:rsidR="45AC36C3">
              <w:rPr>
                <w:b w:val="1"/>
                <w:bCs w:val="1"/>
              </w:rPr>
              <w:t>How I have worked on these</w:t>
            </w:r>
          </w:p>
        </w:tc>
        <w:tc>
          <w:tcPr>
            <w:tcW w:w="3005" w:type="dxa"/>
            <w:tcMar/>
          </w:tcPr>
          <w:p w:rsidR="45AC36C3" w:rsidP="465E4A66" w:rsidRDefault="45AC36C3" w14:paraId="73823F8A" w14:textId="023C8D4F">
            <w:pPr>
              <w:pStyle w:val="Normal"/>
              <w:spacing w:line="360" w:lineRule="auto"/>
              <w:rPr>
                <w:b w:val="1"/>
                <w:bCs w:val="1"/>
              </w:rPr>
            </w:pPr>
            <w:r w:rsidRPr="465E4A66" w:rsidR="45AC36C3">
              <w:rPr>
                <w:b w:val="1"/>
                <w:bCs w:val="1"/>
              </w:rPr>
              <w:t>An example can be seen on...</w:t>
            </w:r>
          </w:p>
        </w:tc>
      </w:tr>
      <w:tr w:rsidR="0000375B" w:rsidTr="41E84A1D" w14:paraId="0DC71ABF" w14:textId="77777777">
        <w:trPr>
          <w:trHeight w:val="300"/>
        </w:trPr>
        <w:tc>
          <w:tcPr>
            <w:tcW w:w="3005" w:type="dxa"/>
            <w:tcMar/>
          </w:tcPr>
          <w:p w:rsidR="0000375B" w:rsidP="41E84A1D" w:rsidRDefault="0000375B" w14:paraId="52EB84A3" w14:textId="77777777" w14:noSpellErr="1">
            <w:pPr>
              <w:spacing w:line="360" w:lineRule="auto"/>
              <w:rPr>
                <w:rFonts w:ascii="Aptos" w:hAnsi="Aptos" w:eastAsia="Aptos" w:cs="Aptos" w:asciiTheme="minorAscii" w:hAnsiTheme="minorAscii" w:eastAsiaTheme="minorAscii" w:cstheme="minorAscii"/>
                <w:b w:val="0"/>
                <w:bCs w:val="0"/>
                <w:sz w:val="20"/>
                <w:szCs w:val="20"/>
              </w:rPr>
            </w:pPr>
          </w:p>
          <w:p w:rsidR="0000375B" w:rsidP="41E84A1D" w:rsidRDefault="0000375B" w14:paraId="76BEE28D" w14:textId="68C4B6F2">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283041"/>
                <w:sz w:val="20"/>
                <w:szCs w:val="20"/>
                <w:lang w:val="en-GB"/>
              </w:rPr>
            </w:pPr>
            <w:r w:rsidRPr="41E84A1D" w:rsidR="33D520A2">
              <w:rPr>
                <w:rFonts w:ascii="Aptos" w:hAnsi="Aptos" w:eastAsia="Aptos" w:cs="Aptos" w:asciiTheme="minorAscii" w:hAnsiTheme="minorAscii" w:eastAsiaTheme="minorAscii" w:cstheme="minorAscii"/>
                <w:b w:val="0"/>
                <w:bCs w:val="0"/>
                <w:i w:val="0"/>
                <w:iCs w:val="0"/>
                <w:caps w:val="0"/>
                <w:smallCaps w:val="0"/>
                <w:noProof w:val="0"/>
                <w:color w:val="283041"/>
                <w:sz w:val="20"/>
                <w:szCs w:val="20"/>
                <w:lang w:val="en-GB"/>
              </w:rPr>
              <w:t xml:space="preserve">Ensure you avoid descriptive writing, aim to be critical and analytical. </w:t>
            </w:r>
          </w:p>
          <w:p w:rsidR="0000375B" w:rsidP="41E84A1D" w:rsidRDefault="0000375B" w14:paraId="0EDC9850" w14:textId="77777777" w14:noSpellErr="1">
            <w:pPr>
              <w:spacing w:line="360" w:lineRule="auto"/>
              <w:rPr>
                <w:rFonts w:ascii="Aptos" w:hAnsi="Aptos" w:eastAsia="Aptos" w:cs="Aptos" w:asciiTheme="minorAscii" w:hAnsiTheme="minorAscii" w:eastAsiaTheme="minorAscii" w:cstheme="minorAscii"/>
                <w:b w:val="0"/>
                <w:bCs w:val="0"/>
                <w:sz w:val="20"/>
                <w:szCs w:val="20"/>
              </w:rPr>
            </w:pPr>
          </w:p>
        </w:tc>
        <w:tc>
          <w:tcPr>
            <w:tcW w:w="3005" w:type="dxa"/>
            <w:tcMar/>
          </w:tcPr>
          <w:tbl>
            <w:tblPr>
              <w:tblStyle w:val="TableNormal"/>
              <w:tblW w:w="0" w:type="auto"/>
              <w:tblLayout w:type="fixed"/>
              <w:tblLook w:val="06A0" w:firstRow="1" w:lastRow="0" w:firstColumn="1" w:lastColumn="0" w:noHBand="1" w:noVBand="1"/>
            </w:tblPr>
            <w:tblGrid>
              <w:gridCol w:w="2795"/>
            </w:tblGrid>
            <w:tr w:rsidR="41E84A1D" w:rsidTr="41E84A1D" w14:paraId="26084F93">
              <w:trPr>
                <w:trHeight w:val="300"/>
              </w:trPr>
              <w:tc>
                <w:tcPr>
                  <w:tcW w:w="2795" w:type="dxa"/>
                  <w:tcMar/>
                  <w:vAlign w:val="center"/>
                </w:tcPr>
                <w:p w:rsidR="41E84A1D" w:rsidP="41E84A1D" w:rsidRDefault="41E84A1D" w14:paraId="452AD29D" w14:textId="6B3B2F53">
                  <w:pPr>
                    <w:spacing w:before="0" w:beforeAutospacing="off" w:after="0" w:afterAutospacing="off"/>
                    <w:rPr>
                      <w:rFonts w:ascii="Aptos" w:hAnsi="Aptos" w:eastAsia="Aptos" w:cs="Aptos" w:asciiTheme="minorAscii" w:hAnsiTheme="minorAscii" w:eastAsiaTheme="minorAscii" w:cstheme="minorAscii"/>
                      <w:b w:val="0"/>
                      <w:bCs w:val="0"/>
                      <w:sz w:val="20"/>
                      <w:szCs w:val="20"/>
                    </w:rPr>
                  </w:pPr>
                  <w:r w:rsidRPr="41E84A1D" w:rsidR="41E84A1D">
                    <w:rPr>
                      <w:rFonts w:ascii="Aptos" w:hAnsi="Aptos" w:eastAsia="Aptos" w:cs="Aptos" w:asciiTheme="minorAscii" w:hAnsiTheme="minorAscii" w:eastAsiaTheme="minorAscii" w:cstheme="minorAscii"/>
                      <w:b w:val="0"/>
                      <w:bCs w:val="0"/>
                      <w:sz w:val="20"/>
                      <w:szCs w:val="20"/>
                    </w:rPr>
                    <w:t xml:space="preserve">I focused on moving beyond description by evaluating the effectiveness and limitations of strategies such as visual timetables and task boards. </w:t>
                  </w:r>
                </w:p>
              </w:tc>
            </w:tr>
          </w:tbl>
          <w:tbl>
            <w:tblPr>
              <w:tblStyle w:val="TableNormal"/>
              <w:tblW w:w="0" w:type="auto"/>
              <w:tblLayout w:type="fixed"/>
              <w:tblLook w:val="06A0" w:firstRow="1" w:lastRow="0" w:firstColumn="1" w:lastColumn="0" w:noHBand="1" w:noVBand="1"/>
            </w:tblPr>
            <w:tblGrid>
              <w:gridCol w:w="2795"/>
            </w:tblGrid>
            <w:tr w:rsidR="41E84A1D" w:rsidTr="41E84A1D" w14:paraId="2FE10161">
              <w:trPr>
                <w:trHeight w:val="300"/>
              </w:trPr>
              <w:tc>
                <w:tcPr>
                  <w:tcW w:w="2795" w:type="dxa"/>
                  <w:tcMar/>
                  <w:vAlign w:val="center"/>
                </w:tcPr>
                <w:p w:rsidR="41E84A1D" w:rsidP="41E84A1D" w:rsidRDefault="41E84A1D" w14:paraId="098A0CC1" w14:textId="1866167C">
                  <w:pPr>
                    <w:rPr>
                      <w:rFonts w:ascii="Aptos" w:hAnsi="Aptos" w:eastAsia="Aptos" w:cs="Aptos" w:asciiTheme="minorAscii" w:hAnsiTheme="minorAscii" w:eastAsiaTheme="minorAscii" w:cstheme="minorAscii"/>
                      <w:b w:val="0"/>
                      <w:bCs w:val="0"/>
                      <w:sz w:val="20"/>
                      <w:szCs w:val="20"/>
                    </w:rPr>
                  </w:pPr>
                </w:p>
              </w:tc>
            </w:tr>
          </w:tbl>
          <w:p w:rsidR="0000375B" w:rsidP="41E84A1D" w:rsidRDefault="0000375B" w14:paraId="3FCBF01B" w14:textId="2ACBF6D5">
            <w:pPr>
              <w:spacing w:line="360" w:lineRule="auto"/>
              <w:rPr>
                <w:rFonts w:ascii="Aptos" w:hAnsi="Aptos" w:eastAsia="Aptos" w:cs="Aptos" w:asciiTheme="minorAscii" w:hAnsiTheme="minorAscii" w:eastAsiaTheme="minorAscii" w:cstheme="minorAscii"/>
                <w:b w:val="0"/>
                <w:bCs w:val="0"/>
                <w:sz w:val="20"/>
                <w:szCs w:val="20"/>
              </w:rPr>
            </w:pPr>
          </w:p>
        </w:tc>
        <w:tc>
          <w:tcPr>
            <w:tcW w:w="3005" w:type="dxa"/>
            <w:tcMar/>
          </w:tcPr>
          <w:tbl>
            <w:tblPr>
              <w:tblStyle w:val="TableNormal"/>
              <w:tblW w:w="0" w:type="auto"/>
              <w:tblLayout w:type="fixed"/>
              <w:tblLook w:val="06A0" w:firstRow="1" w:lastRow="0" w:firstColumn="1" w:lastColumn="0" w:noHBand="1" w:noVBand="1"/>
            </w:tblPr>
            <w:tblGrid>
              <w:gridCol w:w="2795"/>
            </w:tblGrid>
            <w:tr w:rsidR="41E84A1D" w:rsidTr="41E84A1D" w14:paraId="52C6E617">
              <w:trPr>
                <w:trHeight w:val="300"/>
              </w:trPr>
              <w:tc>
                <w:tcPr>
                  <w:tcW w:w="2795" w:type="dxa"/>
                  <w:tcMar/>
                  <w:vAlign w:val="center"/>
                </w:tcPr>
                <w:p w:rsidR="41E84A1D" w:rsidP="41E84A1D" w:rsidRDefault="41E84A1D" w14:paraId="28613AD0" w14:textId="28B87094">
                  <w:pPr>
                    <w:spacing w:before="0" w:beforeAutospacing="off" w:after="0" w:afterAutospacing="off"/>
                    <w:rPr>
                      <w:sz w:val="20"/>
                      <w:szCs w:val="20"/>
                    </w:rPr>
                  </w:pPr>
                  <w:r w:rsidRPr="41E84A1D" w:rsidR="41E84A1D">
                    <w:rPr>
                      <w:sz w:val="20"/>
                      <w:szCs w:val="20"/>
                    </w:rPr>
                    <w:t>“However, designing personalised task boards requires additional planning time and frequent adaptation to meet changing learning objectives.”</w:t>
                  </w:r>
                </w:p>
              </w:tc>
            </w:tr>
          </w:tbl>
          <w:p w:rsidR="465E4A66" w:rsidP="41E84A1D" w:rsidRDefault="465E4A66" w14:paraId="1E8DA619" w14:textId="22511745">
            <w:pPr>
              <w:pStyle w:val="Normal"/>
              <w:spacing w:line="360" w:lineRule="auto"/>
              <w:rPr>
                <w:rFonts w:ascii="Aptos" w:hAnsi="Aptos" w:eastAsia="Aptos" w:cs="Aptos" w:asciiTheme="minorAscii" w:hAnsiTheme="minorAscii" w:eastAsiaTheme="minorAscii" w:cstheme="minorAscii"/>
                <w:b w:val="0"/>
                <w:bCs w:val="0"/>
                <w:sz w:val="20"/>
                <w:szCs w:val="20"/>
              </w:rPr>
            </w:pPr>
          </w:p>
        </w:tc>
      </w:tr>
      <w:tr w:rsidR="0000375B" w:rsidTr="41E84A1D" w14:paraId="2411A5A2" w14:textId="77777777">
        <w:trPr>
          <w:trHeight w:val="300"/>
        </w:trPr>
        <w:tc>
          <w:tcPr>
            <w:tcW w:w="3005" w:type="dxa"/>
            <w:tcMar/>
          </w:tcPr>
          <w:p w:rsidR="0000375B" w:rsidP="41E84A1D" w:rsidRDefault="0000375B" w14:paraId="4A120529" w14:textId="77777777" w14:noSpellErr="1">
            <w:pPr>
              <w:spacing w:line="360" w:lineRule="auto"/>
              <w:rPr>
                <w:rFonts w:ascii="Aptos" w:hAnsi="Aptos" w:eastAsia="Aptos" w:cs="Aptos" w:asciiTheme="minorAscii" w:hAnsiTheme="minorAscii" w:eastAsiaTheme="minorAscii" w:cstheme="minorAscii"/>
                <w:b w:val="0"/>
                <w:bCs w:val="0"/>
                <w:sz w:val="20"/>
                <w:szCs w:val="20"/>
              </w:rPr>
            </w:pPr>
          </w:p>
          <w:p w:rsidR="0000375B" w:rsidP="41E84A1D" w:rsidRDefault="0000375B" w14:paraId="73ED8D37" w14:textId="5AA4391A">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283041"/>
                <w:sz w:val="20"/>
                <w:szCs w:val="20"/>
                <w:lang w:val="en-GB"/>
              </w:rPr>
            </w:pPr>
            <w:r w:rsidRPr="41E84A1D" w:rsidR="33D520A2">
              <w:rPr>
                <w:rFonts w:ascii="Aptos" w:hAnsi="Aptos" w:eastAsia="Aptos" w:cs="Aptos" w:asciiTheme="minorAscii" w:hAnsiTheme="minorAscii" w:eastAsiaTheme="minorAscii" w:cstheme="minorAscii"/>
                <w:b w:val="0"/>
                <w:bCs w:val="0"/>
                <w:i w:val="0"/>
                <w:iCs w:val="0"/>
                <w:caps w:val="0"/>
                <w:smallCaps w:val="0"/>
                <w:noProof w:val="0"/>
                <w:color w:val="283041"/>
                <w:sz w:val="20"/>
                <w:szCs w:val="20"/>
                <w:lang w:val="en-GB"/>
              </w:rPr>
              <w:t>Consider using multiple sources to support similar points more robustly.</w:t>
            </w:r>
          </w:p>
          <w:p w:rsidR="0000375B" w:rsidP="41E84A1D" w:rsidRDefault="0000375B" w14:paraId="2A59CA2F" w14:textId="77777777" w14:noSpellErr="1">
            <w:pPr>
              <w:spacing w:line="360" w:lineRule="auto"/>
              <w:rPr>
                <w:rFonts w:ascii="Aptos" w:hAnsi="Aptos" w:eastAsia="Aptos" w:cs="Aptos" w:asciiTheme="minorAscii" w:hAnsiTheme="minorAscii" w:eastAsiaTheme="minorAscii" w:cstheme="minorAscii"/>
                <w:b w:val="0"/>
                <w:bCs w:val="0"/>
                <w:sz w:val="20"/>
                <w:szCs w:val="20"/>
              </w:rPr>
            </w:pPr>
          </w:p>
        </w:tc>
        <w:tc>
          <w:tcPr>
            <w:tcW w:w="3005" w:type="dxa"/>
            <w:tcMar/>
          </w:tcPr>
          <w:p w:rsidR="0000375B" w:rsidP="41E84A1D" w:rsidRDefault="0000375B" w14:paraId="433F9F5F" w14:textId="6B2F0765">
            <w:p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0"/>
                <w:szCs w:val="20"/>
                <w:lang w:val="en-GB"/>
              </w:rPr>
            </w:pPr>
            <w:r w:rsidRPr="41E84A1D" w:rsidR="0A83BA0B">
              <w:rPr>
                <w:rFonts w:ascii="Aptos" w:hAnsi="Aptos" w:eastAsia="Aptos" w:cs="Aptos" w:asciiTheme="minorAscii" w:hAnsiTheme="minorAscii" w:eastAsiaTheme="minorAscii" w:cstheme="minorAscii"/>
                <w:b w:val="0"/>
                <w:bCs w:val="0"/>
                <w:noProof w:val="0"/>
                <w:sz w:val="20"/>
                <w:szCs w:val="20"/>
                <w:lang w:val="en-GB"/>
              </w:rPr>
              <w:t xml:space="preserve">I </w:t>
            </w:r>
            <w:r w:rsidRPr="41E84A1D" w:rsidR="02D3270F">
              <w:rPr>
                <w:rFonts w:ascii="Aptos" w:hAnsi="Aptos" w:eastAsia="Aptos" w:cs="Aptos" w:asciiTheme="minorAscii" w:hAnsiTheme="minorAscii" w:eastAsiaTheme="minorAscii" w:cstheme="minorAscii"/>
                <w:b w:val="0"/>
                <w:bCs w:val="0"/>
                <w:noProof w:val="0"/>
                <w:sz w:val="20"/>
                <w:szCs w:val="20"/>
                <w:lang w:val="en-GB"/>
              </w:rPr>
              <w:t xml:space="preserve">used </w:t>
            </w:r>
            <w:r w:rsidRPr="41E84A1D" w:rsidR="0A83BA0B">
              <w:rPr>
                <w:rFonts w:ascii="Aptos" w:hAnsi="Aptos" w:eastAsia="Aptos" w:cs="Aptos" w:asciiTheme="minorAscii" w:hAnsiTheme="minorAscii" w:eastAsiaTheme="minorAscii" w:cstheme="minorAscii"/>
                <w:b w:val="0"/>
                <w:bCs w:val="0"/>
                <w:noProof w:val="0"/>
                <w:sz w:val="20"/>
                <w:szCs w:val="20"/>
                <w:lang w:val="en-GB"/>
              </w:rPr>
              <w:t>various sources to support key claims about inclusion, combining theoretical frameworks like Vygotsky and Bronfenbrenner with practical studies on ALN strategies</w:t>
            </w:r>
            <w:r w:rsidRPr="41E84A1D" w:rsidR="2E06BADD">
              <w:rPr>
                <w:rFonts w:ascii="Aptos" w:hAnsi="Aptos" w:eastAsia="Aptos" w:cs="Aptos" w:asciiTheme="minorAscii" w:hAnsiTheme="minorAscii" w:eastAsiaTheme="minorAscii" w:cstheme="minorAscii"/>
                <w:b w:val="0"/>
                <w:bCs w:val="0"/>
                <w:noProof w:val="0"/>
                <w:sz w:val="20"/>
                <w:szCs w:val="20"/>
                <w:lang w:val="en-GB"/>
              </w:rPr>
              <w:t>.</w:t>
            </w:r>
          </w:p>
          <w:p w:rsidR="0000375B" w:rsidP="41E84A1D" w:rsidRDefault="0000375B" w14:paraId="51AE3AC6" w14:textId="60A80E73">
            <w:pPr>
              <w:spacing w:line="360" w:lineRule="auto"/>
              <w:rPr>
                <w:rFonts w:ascii="Aptos" w:hAnsi="Aptos" w:eastAsia="Aptos" w:cs="Aptos" w:asciiTheme="minorAscii" w:hAnsiTheme="minorAscii" w:eastAsiaTheme="minorAscii" w:cstheme="minorAscii"/>
                <w:b w:val="0"/>
                <w:bCs w:val="0"/>
                <w:sz w:val="20"/>
                <w:szCs w:val="20"/>
              </w:rPr>
            </w:pPr>
          </w:p>
        </w:tc>
        <w:tc>
          <w:tcPr>
            <w:tcW w:w="3005" w:type="dxa"/>
            <w:tcMar/>
          </w:tcPr>
          <w:p w:rsidR="465E4A66" w:rsidP="41E84A1D" w:rsidRDefault="465E4A66" w14:paraId="38386BD8" w14:textId="683905B0">
            <w:pPr>
              <w:spacing w:line="360" w:lineRule="auto"/>
              <w:rPr>
                <w:rFonts w:ascii="Aptos" w:hAnsi="Aptos" w:eastAsia="Aptos" w:cs="Aptos"/>
                <w:noProof w:val="0"/>
                <w:sz w:val="20"/>
                <w:szCs w:val="20"/>
                <w:lang w:val="en-GB"/>
              </w:rPr>
            </w:pPr>
            <w:r w:rsidRPr="41E84A1D" w:rsidR="71984EB9">
              <w:rPr>
                <w:rFonts w:ascii="Aptos" w:hAnsi="Aptos" w:eastAsia="Aptos" w:cs="Aptos"/>
                <w:noProof w:val="0"/>
                <w:sz w:val="20"/>
                <w:szCs w:val="20"/>
                <w:lang w:val="en-GB"/>
              </w:rPr>
              <w:t>“This approach is supported by Vygotsky’s theory of social constructivism, which emphasises the critical role of social interaction in cognitive development (Vygotsky, 1978). It also aligns with Bronfenbrenner’s ecological systems theory, which recognises the multiple environmental systems that influence a child’s growth and learning (Bronfenbrenner, 1979).”</w:t>
            </w:r>
          </w:p>
        </w:tc>
      </w:tr>
    </w:tbl>
    <w:p w:rsidR="000C541C" w:rsidP="41E84A1D" w:rsidRDefault="000C541C" w14:paraId="5144E418" w14:noSpellErr="1" w14:textId="7D4FFD94">
      <w:pPr>
        <w:pStyle w:val="Normal"/>
        <w:spacing w:line="360" w:lineRule="auto"/>
        <w:rPr>
          <w:sz w:val="16"/>
          <w:szCs w:val="16"/>
        </w:rPr>
      </w:pPr>
    </w:p>
    <w:p w:rsidRPr="00B103B9" w:rsidR="0000375B" w:rsidP="41E84A1D" w:rsidRDefault="0000375B" w14:paraId="172008FB" w14:textId="07339503">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1E84A1D" w:rsidR="7ED47E4A">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Journal – My Inclusive Classroom</w:t>
      </w:r>
    </w:p>
    <w:p w:rsidRPr="00B103B9" w:rsidR="0000375B" w:rsidP="465E4A66" w:rsidRDefault="0000375B" w14:paraId="11C9FBA2" w14:textId="1BFC8422">
      <w:pPr>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74BCE85D" w14:textId="302CAB3E">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Introduction</w:t>
      </w:r>
    </w:p>
    <w:p w:rsidRPr="00B103B9" w:rsidR="0000375B" w:rsidP="41E84A1D" w:rsidRDefault="0000375B" w14:paraId="1717E7D4" w14:textId="72B63193">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Inclusive education is embedded in the principle that every child, regardless of background, ability, or need, has the right to access learning opportunities that promote academic, social, and emotional development. This approach is supported by Vygotsky’s theory of social constructivism, which emphasises the critical role of social interaction in cognitive development (Vygotsky, 1978). It also aligns with Bronfenbrenner’s ecological systems theory, which recognises the multiple environmental systems that influence a child’s growth and learning (Bronfenbrenner, 1979). These frameworks underpin the belief that children thrive in environments where they feel valued and understood. Creating a classroom environment in which all learners feel a sense of belonging and support is at the heart of inclusive practice.</w:t>
      </w:r>
    </w:p>
    <w:p w:rsidR="41E84A1D" w:rsidP="41E84A1D" w:rsidRDefault="41E84A1D" w14:paraId="0BD54D71" w14:textId="191FFE73">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B103B9" w:rsidR="0000375B" w:rsidP="465E4A66" w:rsidRDefault="0000375B" w14:paraId="548CEC7D" w14:textId="795617B3">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Wales, inclusive education is both a moral responsibility and a legal requirement, supported by a range of legislative and policy reforms. A key development in this area is the Additional Learning Needs and Education Tribunal (Wales) Act 2018, which replaced the former Special Educational Needs (SEN) framework. This Act introduced a unified system designed to support all learners who have been assessed and identified as having Additional Learning Needs (ALN) (Welsh Government, 2018a). The legislation marks a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significant change</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from earlier models of special education that emphasised what learners could not do, towards a more inclusive, rights-based, and person-centred approach - one that ensures all learners are listened to, and their needs are recognised and met.</w:t>
      </w:r>
    </w:p>
    <w:p w:rsidR="708EC3BA" w:rsidP="41E84A1D" w:rsidRDefault="708EC3BA" w14:paraId="6C1EC4F5" w14:textId="223B8573">
      <w:pPr>
        <w:spacing w:before="240" w:beforeAutospacing="off" w:after="240" w:afterAutospacing="off" w:line="360" w:lineRule="auto"/>
        <w:jc w:val="center"/>
      </w:pPr>
      <w:r w:rsidR="708EC3BA">
        <w:drawing>
          <wp:inline wp14:editId="20C99536" wp14:anchorId="2A112A2C">
            <wp:extent cx="3267075" cy="1400175"/>
            <wp:effectExtent l="0" t="0" r="0" b="0"/>
            <wp:docPr id="928732095" name="" title=""/>
            <wp:cNvGraphicFramePr>
              <a:graphicFrameLocks noChangeAspect="1"/>
            </wp:cNvGraphicFramePr>
            <a:graphic>
              <a:graphicData uri="http://schemas.openxmlformats.org/drawingml/2006/picture">
                <pic:pic>
                  <pic:nvPicPr>
                    <pic:cNvPr id="0" name=""/>
                    <pic:cNvPicPr/>
                  </pic:nvPicPr>
                  <pic:blipFill>
                    <a:blip r:embed="Rfe7d5935886b4de3">
                      <a:extLst>
                        <a:ext xmlns:a="http://schemas.openxmlformats.org/drawingml/2006/main" uri="{28A0092B-C50C-407E-A947-70E740481C1C}">
                          <a14:useLocalDpi val="0"/>
                        </a:ext>
                      </a:extLst>
                    </a:blip>
                    <a:stretch>
                      <a:fillRect/>
                    </a:stretch>
                  </pic:blipFill>
                  <pic:spPr>
                    <a:xfrm>
                      <a:off x="0" y="0"/>
                      <a:ext cx="3267075" cy="1400175"/>
                    </a:xfrm>
                    <a:prstGeom prst="rect">
                      <a:avLst/>
                    </a:prstGeom>
                  </pic:spPr>
                </pic:pic>
              </a:graphicData>
            </a:graphic>
          </wp:inline>
        </w:drawing>
      </w:r>
    </w:p>
    <w:p w:rsidRPr="00B103B9" w:rsidR="0000375B" w:rsidP="465E4A66" w:rsidRDefault="0000375B" w14:paraId="74728E59" w14:textId="6D9FBEDD">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B103B9" w:rsidR="0000375B" w:rsidP="465E4A66" w:rsidRDefault="0000375B" w14:paraId="491DC0D5" w14:textId="70DF5D96">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Additional Learning Needs (ALN) Act is founded on the core principles of early identification, prioritising the voice of the child, and fostering multi-agency collaboration. It guarantees that every learner with ALN is entitled to an Individual Development Plan (IDP) that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accompanies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them throughout their educational journey (Welsh Government, 2018b). This reform aligns closely with the Curriculum for Wales, which is designed to cultivate four core purposes: developing learners as ambitious, capable individuals; enterprising, creative contributors; ethical, informed citizens; and healthy, confident individuals (Welsh Government, 2020). Within this framework, inclusion is integrated into the curriculum itself rather than treated as a separate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component</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B103B9" w:rsidR="0000375B" w:rsidP="465E4A66" w:rsidRDefault="0000375B" w14:paraId="6397C6F1" w14:textId="13E08E47">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21569B2A" w14:textId="347EDE11">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Inclusive practice requires teachers and other professionals to implement adaptive teaching strategies that respond to the diverse needs of learners. This includes differentiation, Universal Design for Learning (UDL), the use of technology, and fostering positive relationships within a safe and respectful learning environment (Florian &amp; Black-Hawkins, 2011). The development of inclusive</w:t>
      </w:r>
      <w:r w:rsidRPr="465E4A66" w:rsidR="4F65B2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values within schools is vital. Whole-school commitment to inclusive values is equally essential, supported by tools like the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Index for Inclusion</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(Booth &amp; Ainscow, 2011), which encourages reflection and collaborative development.</w:t>
      </w:r>
    </w:p>
    <w:p w:rsidRPr="00B103B9" w:rsidR="0000375B" w:rsidP="465E4A66" w:rsidRDefault="0000375B" w14:paraId="2C6CA5F1" w14:textId="6024D449">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3EF50EB7" w14:textId="08F62523">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However, implementing inclusive education is not without its challenges. Educators often face barriers such as limited time, insufficient training, large class sizes, and inconsistent access to specialist support (Rix et al., 2013). Balancing the individual needs of learners while delivering a broad and balanced curriculum can be demanding. Addressing these challenges requires ongoing investment and collaboration. This assignment will explore two inclusive strategies that address some of these challenges in supporting learners with ALN, while critically reflecting on the successes and ongoing challenges of creating an inclusive environment that embraces learner diversity and empowers all pupils to thrive academically and personally.</w:t>
      </w:r>
    </w:p>
    <w:p w:rsidRPr="00B103B9" w:rsidR="0000375B" w:rsidP="465E4A66" w:rsidRDefault="0000375B" w14:paraId="780110C6" w14:textId="730D72AC">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16679090" w14:textId="1666E217">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Strategy 1 – Visual Timetables</w:t>
      </w:r>
    </w:p>
    <w:p w:rsidRPr="00B103B9" w:rsidR="0000375B" w:rsidP="41E84A1D" w:rsidRDefault="0000375B" w14:paraId="7A4CC2F8" w14:textId="67BCB508">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7ED47E4A">
        <w:drawing>
          <wp:anchor distT="0" distB="0" distL="114300" distR="114300" simplePos="0" relativeHeight="251658240" behindDoc="0" locked="0" layoutInCell="1" allowOverlap="1" wp14:editId="037924BF" wp14:anchorId="5648B2A9">
            <wp:simplePos x="0" y="0"/>
            <wp:positionH relativeFrom="column">
              <wp:align>left</wp:align>
            </wp:positionH>
            <wp:positionV relativeFrom="paragraph">
              <wp:posOffset>0</wp:posOffset>
            </wp:positionV>
            <wp:extent cx="2038349" cy="2038349"/>
            <wp:effectExtent l="0" t="0" r="0" b="0"/>
            <wp:wrapSquare wrapText="bothSides"/>
            <wp:docPr id="1947254846" name="" title=""/>
            <wp:cNvGraphicFramePr>
              <a:graphicFrameLocks noChangeAspect="1"/>
            </wp:cNvGraphicFramePr>
            <a:graphic>
              <a:graphicData uri="http://schemas.openxmlformats.org/drawingml/2006/picture">
                <pic:pic>
                  <pic:nvPicPr>
                    <pic:cNvPr id="0" name=""/>
                    <pic:cNvPicPr/>
                  </pic:nvPicPr>
                  <pic:blipFill>
                    <a:blip r:embed="Rb496dfe8ecfd49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38349" cy="2038349"/>
                    </a:xfrm>
                    <a:prstGeom prst="rect">
                      <a:avLst/>
                    </a:prstGeom>
                  </pic:spPr>
                </pic:pic>
              </a:graphicData>
            </a:graphic>
            <wp14:sizeRelH relativeFrom="page">
              <wp14:pctWidth>0</wp14:pctWidth>
            </wp14:sizeRelH>
            <wp14:sizeRelV relativeFrom="page">
              <wp14:pctHeight>0</wp14:pctHeight>
            </wp14:sizeRelV>
          </wp:anchor>
        </w:drawing>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One widely adopted strategy for</w:t>
      </w:r>
      <w:r w:rsidRPr="41E84A1D" w:rsidR="3C3BE1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inclusion is the use of visual timetables. These are structured schedules that use images, symbols, or words to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represent</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sequence of daily activities. Visual timetables promote predictability and reduce anxiety, particularly for pupils with Additional Learning Needs (ALN), including those with autism spectrum disorder (ASD) or with communication difficulties (McConkey et al., 2019). Importantly, they can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benefit</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pupils in the classroom, offering clarity and consistency without drawing unnecessary attention to those who may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require</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support. By visually outlining what will happen and when it will happen, learners are better able to mentally prepare for transitions, which helps reduce frustration or challenging behaviour caused by uncertainty (Dettmer et al., 2000).</w:t>
      </w:r>
    </w:p>
    <w:p w:rsidR="41E84A1D" w:rsidP="41E84A1D" w:rsidRDefault="41E84A1D" w14:paraId="051ED902" w14:textId="48C884C1">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B103B9" w:rsidR="0000375B" w:rsidP="41E84A1D" w:rsidRDefault="0000375B" w14:textId="3CADBE9B" w14:paraId="3876035D">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7ED47E4A">
        <w:drawing>
          <wp:anchor distT="0" distB="0" distL="114300" distR="114300" simplePos="0" relativeHeight="251658240" behindDoc="0" locked="0" layoutInCell="1" allowOverlap="1" wp14:editId="1B0CA7F0" wp14:anchorId="0277CA46">
            <wp:simplePos x="0" y="0"/>
            <wp:positionH relativeFrom="column">
              <wp:align>left</wp:align>
            </wp:positionH>
            <wp:positionV relativeFrom="paragraph">
              <wp:posOffset>0</wp:posOffset>
            </wp:positionV>
            <wp:extent cx="2842523" cy="1866900"/>
            <wp:effectExtent l="0" t="0" r="0" b="0"/>
            <wp:wrapSquare wrapText="bothSides"/>
            <wp:docPr id="295442673" name="" title=""/>
            <wp:cNvGraphicFramePr>
              <a:graphicFrameLocks noChangeAspect="1"/>
            </wp:cNvGraphicFramePr>
            <a:graphic>
              <a:graphicData uri="http://schemas.openxmlformats.org/drawingml/2006/picture">
                <pic:pic>
                  <pic:nvPicPr>
                    <pic:cNvPr id="0" name=""/>
                    <pic:cNvPicPr/>
                  </pic:nvPicPr>
                  <pic:blipFill>
                    <a:blip r:embed="R3a754e23951845b5">
                      <a:extLst>
                        <a:ext xmlns:a="http://schemas.openxmlformats.org/drawingml/2006/main" uri="{28A0092B-C50C-407E-A947-70E740481C1C}">
                          <a14:useLocalDpi val="0"/>
                        </a:ext>
                      </a:extLst>
                    </a:blip>
                    <a:stretch>
                      <a:fillRect/>
                    </a:stretch>
                  </pic:blipFill>
                  <pic:spPr>
                    <a:xfrm>
                      <a:off x="0" y="0"/>
                      <a:ext cx="2842523" cy="1866900"/>
                    </a:xfrm>
                    <a:prstGeom prst="rect">
                      <a:avLst/>
                    </a:prstGeom>
                  </pic:spPr>
                </pic:pic>
              </a:graphicData>
            </a:graphic>
            <wp14:sizeRelH relativeFrom="page">
              <wp14:pctWidth>0</wp14:pctWidth>
            </wp14:sizeRelH>
            <wp14:sizeRelV relativeFrom="page">
              <wp14:pctHeight>0</wp14:pctHeight>
            </wp14:sizeRelV>
          </wp:anchor>
        </w:drawing>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classrooms where visual timetables are consistently used, pupils often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increased engagement and independence. During an alternative placement, I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observed</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Year 5 pupil with ASD and a speech delay who benefited significantly from this strategy. Each morning, he independently updated the visual timetable to reflect the day’s planned activities. This routine enabled him to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anticipate</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transitions, reducing his anxiety and decreasing his reliance on adult prompts throughout the day. Teachers also noted smoother transitions and fewer lesson disruptions, highlighting the positive impact of this inclusive strategy on both individual learners and the wider classroom environment (Ravet, 2011).</w:t>
      </w:r>
    </w:p>
    <w:p w:rsidRPr="00B103B9" w:rsidR="0000375B" w:rsidP="465E4A66" w:rsidRDefault="0000375B" w14:paraId="544B5444" w14:textId="76A5C19B">
      <w:pPr>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there are barriers to implementation, such as the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initial</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time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set up and regularly update the timetables to reflect changing schedules. Some pupils may also require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support to understand the symbols used, particularly those with more complex communication needs (Bunning et al., 2017). Furthermore, the effectiveness of visual timetables can be undermined if they are not consistently used by all staff, including supply teachers. It is also important to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monitor</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pupil use over time, as some children may become overly dependent on visual timetables and struggle to cope when unexpected changes occur (Hodgdon, 1995).</w:t>
      </w:r>
    </w:p>
    <w:p w:rsidRPr="00B103B9" w:rsidR="0000375B" w:rsidP="465E4A66" w:rsidRDefault="0000375B" w14:paraId="65B4B504" w14:textId="4DD253CF">
      <w:pPr>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4755B2AA" w14:textId="257598A2">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visual timetables are a valuable tool in promoting structure and independence for diverse learners but must be used flexibly and alongside other strategies to meet the full range of pupils’ needs. They help create a predictable learning environment, reducing anxiety, but should be balanced with opportunities for pupils to develop adaptability and problem-solving skills. Combining visual timetables with other supports ensures all learners receive personalised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assistance</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suits their unique needs.</w:t>
      </w:r>
    </w:p>
    <w:p w:rsidRPr="00B103B9" w:rsidR="0000375B" w:rsidP="465E4A66" w:rsidRDefault="0000375B" w14:paraId="738B8BFF" w14:textId="3A2D5613">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637EBFCF" w14:textId="6625DB88">
      <w:pPr>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129FFEA" w:rsidR="7ED47E4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Strategy 2 – Task Boards and Checklists</w:t>
      </w:r>
    </w:p>
    <w:p w:rsidRPr="00B103B9" w:rsidR="0000375B" w:rsidP="1129FFEA" w:rsidRDefault="0000375B" w14:paraId="4357D1B6" w14:textId="654A67D7">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7ED47E4A">
        <w:drawing>
          <wp:anchor distT="0" distB="0" distL="114300" distR="114300" simplePos="0" relativeHeight="251658240" behindDoc="0" locked="0" layoutInCell="1" allowOverlap="1" wp14:editId="34DB7D60" wp14:anchorId="7000A7AC">
            <wp:simplePos x="0" y="0"/>
            <wp:positionH relativeFrom="column">
              <wp:align>right</wp:align>
            </wp:positionH>
            <wp:positionV relativeFrom="paragraph">
              <wp:posOffset>0</wp:posOffset>
            </wp:positionV>
            <wp:extent cx="3453796" cy="1724025"/>
            <wp:effectExtent l="0" t="0" r="0" b="0"/>
            <wp:wrapSquare wrapText="bothSides"/>
            <wp:docPr id="571344247" name="" title=""/>
            <wp:cNvGraphicFramePr>
              <a:graphicFrameLocks noChangeAspect="1"/>
            </wp:cNvGraphicFramePr>
            <a:graphic>
              <a:graphicData uri="http://schemas.openxmlformats.org/drawingml/2006/picture">
                <pic:pic>
                  <pic:nvPicPr>
                    <pic:cNvPr id="0" name=""/>
                    <pic:cNvPicPr/>
                  </pic:nvPicPr>
                  <pic:blipFill>
                    <a:blip r:embed="R9a5f67cb975741c8">
                      <a:extLst>
                        <a:ext xmlns:a="http://schemas.openxmlformats.org/drawingml/2006/main" uri="{28A0092B-C50C-407E-A947-70E740481C1C}">
                          <a14:useLocalDpi val="0"/>
                        </a:ext>
                      </a:extLst>
                    </a:blip>
                    <a:stretch>
                      <a:fillRect/>
                    </a:stretch>
                  </pic:blipFill>
                  <pic:spPr>
                    <a:xfrm>
                      <a:off x="0" y="0"/>
                      <a:ext cx="3453796" cy="1724025"/>
                    </a:xfrm>
                    <a:prstGeom prst="rect">
                      <a:avLst/>
                    </a:prstGeom>
                  </pic:spPr>
                </pic:pic>
              </a:graphicData>
            </a:graphic>
            <wp14:sizeRelH relativeFrom="page">
              <wp14:pctWidth>0</wp14:pctWidth>
            </wp14:sizeRelH>
            <wp14:sizeRelV relativeFrom="page">
              <wp14:pctHeight>0</wp14:pctHeight>
            </wp14:sizeRelV>
          </wp:anchor>
        </w:drawing>
      </w:r>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Another effective strategy for creating an inclusive classroom - not only for learners with ALN - is the use of task boards and checklists. These tools break down complex activities into smaller, manageable steps through visual prompts or written instructions. This type of scaffolding is especially helpful for pupils who face challenges with executive functioning skills such as organisation, sequencing, and sustained attention (Henderson et al., 2016). By providing a clear roadmap for completing tasks, learners can develop greater independence and experience less frustration during learning activities. Task boards also work well alongside visual timetables by focusing on the detailed “how” of each scheduled activity, providing structure at both macro and micro levels (Moore, 2009).</w:t>
      </w:r>
    </w:p>
    <w:p w:rsidRPr="00B103B9" w:rsidR="0000375B" w:rsidP="465E4A66" w:rsidRDefault="0000375B" w14:paraId="467C617F" w14:textId="6CAE4487">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6EE9BBAA" w:rsidRDefault="0000375B" w14:paraId="5000E069" w14:textId="022CD029">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7ED47E4A">
        <w:drawing>
          <wp:anchor distT="0" distB="0" distL="114300" distR="114300" simplePos="0" relativeHeight="251658240" behindDoc="0" locked="0" layoutInCell="1" allowOverlap="1" wp14:editId="3E300DB0" wp14:anchorId="0C505C66">
            <wp:simplePos x="0" y="0"/>
            <wp:positionH relativeFrom="column">
              <wp:align>left</wp:align>
            </wp:positionH>
            <wp:positionV relativeFrom="paragraph">
              <wp:posOffset>0</wp:posOffset>
            </wp:positionV>
            <wp:extent cx="2619375" cy="1743075"/>
            <wp:effectExtent l="0" t="0" r="0" b="0"/>
            <wp:wrapSquare wrapText="bothSides"/>
            <wp:docPr id="851151137" name="" title=""/>
            <wp:cNvGraphicFramePr>
              <a:graphicFrameLocks noChangeAspect="1"/>
            </wp:cNvGraphicFramePr>
            <a:graphic>
              <a:graphicData uri="http://schemas.openxmlformats.org/drawingml/2006/picture">
                <pic:pic>
                  <pic:nvPicPr>
                    <pic:cNvPr id="0" name=""/>
                    <pic:cNvPicPr/>
                  </pic:nvPicPr>
                  <pic:blipFill>
                    <a:blip r:embed="R7940d486aa2b4f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9375" cy="1743075"/>
                    </a:xfrm>
                    <a:prstGeom prst="rect">
                      <a:avLst/>
                    </a:prstGeom>
                  </pic:spPr>
                </pic:pic>
              </a:graphicData>
            </a:graphic>
            <wp14:sizeRelH relativeFrom="page">
              <wp14:pctWidth>0</wp14:pctWidth>
            </wp14:sizeRelH>
            <wp14:sizeRelV relativeFrom="page">
              <wp14:pctHeight>0</wp14:pctHeight>
            </wp14:sizeRelV>
          </wp:anchor>
        </w:drawing>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practice, task boards have supported pupils with attention difficulties to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maintain</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focus and complete tasks systematically. These boards and checklists offer clear, step-by-step guidance, particularly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benefiting</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learners who struggle with executive functioning skills such as organisation, sequencing, and sustained attention (Henderson et al., 2016), helping them manage and complete activities independently. During an alternative placement, I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observed</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Year 3 pupil using a checklist for small tasks, such as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writing their name</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copying over someone else’s writing, and then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attempting</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task independently. Each time the pupil completed a step, they added a token to their reward board, which motivated continued effort and increased engagement. This combination of a checklist and tangible rewards encouraged sustained focus and reduced the need for frequent adult </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assistance</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1E84A1D" w:rsidP="41E84A1D" w:rsidRDefault="41E84A1D" w14:paraId="4000D9AA" w14:textId="46E577FD">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B103B9" w:rsidR="0000375B" w:rsidP="465E4A66" w:rsidRDefault="0000375B" w14:paraId="4B0832B2" w14:textId="0CFCDC85">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designing personalised task boards requires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planning time and frequent adaptation to meet changing learning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objectives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individual pupil needs. Some pupils may initially rely heavily on adult support to understand and effectively use these tools, which can demand significant staff input. Additionally, without consistent reinforcement and regular review, the benefits of checklists and task boards can diminish over time as pupils may lose motivation or become dependent on external prompts (Tissot and Evans, 2003). This highlights the importance of ongoing monitoring and flexible adjustments to ensure these strategies continue to support learner independence and engagement effectively.</w:t>
      </w:r>
    </w:p>
    <w:p w:rsidRPr="00B103B9" w:rsidR="0000375B" w:rsidP="465E4A66" w:rsidRDefault="0000375B" w14:paraId="289D5D82" w14:textId="6DCE2BC6">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7E0624ED" w14:textId="32718A25">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task boards and checklists are useful tools that promote independence and help pupils manage tasks by breaking them into clear steps. They boost organisation and confidence but need regular updating and adult support to stay effective. Without ongoing guidance and adaptation, pupils may lose motivation or become too reliant on prompts. Used thoughtfully, these tools can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greatly support</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diverse learners in an inclusive classroom.</w:t>
      </w:r>
    </w:p>
    <w:p w:rsidRPr="00B103B9" w:rsidR="0000375B" w:rsidP="465E4A66" w:rsidRDefault="0000375B" w14:paraId="54638BC5" w14:textId="7ED52447">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49C1BFB2" w14:textId="341BAC40">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Conclusion</w:t>
      </w:r>
    </w:p>
    <w:p w:rsidRPr="00B103B9" w:rsidR="0000375B" w:rsidP="465E4A66" w:rsidRDefault="0000375B" w14:paraId="639027D2" w14:textId="3CDBC106">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the use of visual timetables and task boards with checklists highlights the importance of structure, predictability, and pupil autonomy in creating inclusive learning environments. These strategies align closely with the Curriculum for Wales’ aim to support all learners in becoming confident, capable individuals (Welsh Government, 2022) and reflect the principles of the Additional Learning Needs (ALN) Code (Senedd Cymru/Welsh Parliament, 2021). They also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key aspects of the Professional Standards for Teaching and Leadership in Wales, particularly in promoting inclusive pedagogy, understanding pupil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development</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adapting teaching to meet individual needs (Welsh Government, 2017). Through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observing</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 strategies in action during alternative placement, I have seen first-hand how they can reduce anxiety, increase independence, and lessen reliance on adult prompts. These insights have encouraged me to reflect on the value of visual and structured supports for all learners, not just those with identified needs. Moving forward, I aim to further develop my inclusive practice through collaboration with ALN specialists (such as an ALNCo in a school I may be placed in), engagement with research and ongoing professional development.</w:t>
      </w:r>
    </w:p>
    <w:p w:rsidRPr="00B103B9" w:rsidR="0000375B" w:rsidP="465E4A66" w:rsidRDefault="0000375B" w14:paraId="0CD0D4FB" w14:textId="071F6845">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1331A3CD" w14:textId="1DCDB515">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B103B9" w:rsidR="0000375B" w:rsidP="465E4A66" w:rsidRDefault="0000375B" w14:paraId="4FE72BA2" w14:textId="648C5FE1">
      <w:pPr>
        <w:spacing w:before="240" w:beforeAutospacing="off" w:after="24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41E84A1D" w:rsidP="41E84A1D" w:rsidRDefault="41E84A1D" w14:paraId="7A490C1B" w14:textId="12AE281C">
      <w:pPr>
        <w:spacing w:before="240" w:beforeAutospacing="off" w:after="240" w:afterAutospacing="off" w:line="360" w:lineRule="auto"/>
        <w:ind w:left="0" w:right="0"/>
        <w:jc w:val="center"/>
        <w:rPr>
          <w:rFonts w:ascii="Calibri" w:hAnsi="Calibri" w:eastAsia="Calibri" w:cs="Calibri"/>
          <w:b w:val="1"/>
          <w:bCs w:val="1"/>
          <w:i w:val="0"/>
          <w:iCs w:val="0"/>
          <w:caps w:val="0"/>
          <w:smallCaps w:val="0"/>
          <w:noProof w:val="0"/>
          <w:color w:val="000000" w:themeColor="text1" w:themeTint="FF" w:themeShade="FF"/>
          <w:sz w:val="24"/>
          <w:szCs w:val="24"/>
          <w:u w:val="none"/>
          <w:lang w:val="en-US"/>
        </w:rPr>
      </w:pPr>
    </w:p>
    <w:p w:rsidR="41E84A1D" w:rsidP="41E84A1D" w:rsidRDefault="41E84A1D" w14:paraId="13CDE3C6" w14:textId="7636F20F">
      <w:pPr>
        <w:spacing w:before="240" w:beforeAutospacing="off" w:after="240" w:afterAutospacing="off" w:line="360" w:lineRule="auto"/>
        <w:ind w:left="0" w:right="0"/>
        <w:jc w:val="center"/>
        <w:rPr>
          <w:rFonts w:ascii="Calibri" w:hAnsi="Calibri" w:eastAsia="Calibri" w:cs="Calibri"/>
          <w:b w:val="1"/>
          <w:bCs w:val="1"/>
          <w:i w:val="0"/>
          <w:iCs w:val="0"/>
          <w:caps w:val="0"/>
          <w:smallCaps w:val="0"/>
          <w:noProof w:val="0"/>
          <w:color w:val="000000" w:themeColor="text1" w:themeTint="FF" w:themeShade="FF"/>
          <w:sz w:val="24"/>
          <w:szCs w:val="24"/>
          <w:u w:val="none"/>
          <w:lang w:val="en-US"/>
        </w:rPr>
      </w:pPr>
    </w:p>
    <w:p w:rsidR="41E84A1D" w:rsidP="41E84A1D" w:rsidRDefault="41E84A1D" w14:paraId="670A64F7" w14:textId="6E9F20B5">
      <w:pPr>
        <w:spacing w:before="240" w:beforeAutospacing="off" w:after="240" w:afterAutospacing="off" w:line="360" w:lineRule="auto"/>
        <w:ind w:left="0" w:right="0"/>
        <w:jc w:val="center"/>
        <w:rPr>
          <w:rFonts w:ascii="Calibri" w:hAnsi="Calibri" w:eastAsia="Calibri" w:cs="Calibri"/>
          <w:b w:val="1"/>
          <w:bCs w:val="1"/>
          <w:i w:val="0"/>
          <w:iCs w:val="0"/>
          <w:caps w:val="0"/>
          <w:smallCaps w:val="0"/>
          <w:noProof w:val="0"/>
          <w:color w:val="000000" w:themeColor="text1" w:themeTint="FF" w:themeShade="FF"/>
          <w:sz w:val="24"/>
          <w:szCs w:val="24"/>
          <w:u w:val="none"/>
          <w:lang w:val="en-US"/>
        </w:rPr>
      </w:pPr>
    </w:p>
    <w:p w:rsidRPr="00B103B9" w:rsidR="0000375B" w:rsidP="465E4A66" w:rsidRDefault="0000375B" w14:paraId="0A98C0EF" w14:textId="32C24D14">
      <w:pPr>
        <w:spacing w:before="240" w:beforeAutospacing="off" w:after="240" w:afterAutospacing="off" w:line="360" w:lineRule="auto"/>
        <w:ind w:left="0" w:right="0"/>
        <w:jc w:val="center"/>
        <w:rPr>
          <w:rFonts w:ascii="Calibri" w:hAnsi="Calibri" w:eastAsia="Calibri" w:cs="Calibri"/>
          <w:b w:val="1"/>
          <w:bCs w:val="1"/>
          <w:i w:val="0"/>
          <w:iCs w:val="0"/>
          <w:caps w:val="0"/>
          <w:smallCaps w:val="0"/>
          <w:noProof w:val="0"/>
          <w:color w:val="000000" w:themeColor="text1" w:themeTint="FF" w:themeShade="FF"/>
          <w:sz w:val="24"/>
          <w:szCs w:val="24"/>
          <w:u w:val="none"/>
          <w:lang w:val="en-US"/>
        </w:rPr>
      </w:pPr>
      <w:r w:rsidRPr="465E4A66" w:rsidR="138034DF">
        <w:rPr>
          <w:rFonts w:ascii="Calibri" w:hAnsi="Calibri" w:eastAsia="Calibri" w:cs="Calibri"/>
          <w:b w:val="1"/>
          <w:bCs w:val="1"/>
          <w:i w:val="0"/>
          <w:iCs w:val="0"/>
          <w:caps w:val="0"/>
          <w:smallCaps w:val="0"/>
          <w:noProof w:val="0"/>
          <w:color w:val="000000" w:themeColor="text1" w:themeTint="FF" w:themeShade="FF"/>
          <w:sz w:val="24"/>
          <w:szCs w:val="24"/>
          <w:u w:val="none"/>
          <w:lang w:val="en-US"/>
        </w:rPr>
        <w:t>Reference List</w:t>
      </w:r>
    </w:p>
    <w:p w:rsidRPr="00B103B9" w:rsidR="0000375B" w:rsidP="465E4A66" w:rsidRDefault="0000375B" w14:paraId="527F95A2" w14:textId="3FE50F23">
      <w:pPr>
        <w:spacing w:before="240" w:beforeAutospacing="off" w:after="240" w:afterAutospacing="off" w:line="360" w:lineRule="auto"/>
        <w:ind w:left="0" w:right="0"/>
        <w:jc w:val="center"/>
        <w:rPr>
          <w:rFonts w:ascii="Calibri" w:hAnsi="Calibri" w:eastAsia="Calibri" w:cs="Calibri"/>
          <w:b w:val="1"/>
          <w:bCs w:val="1"/>
          <w:i w:val="0"/>
          <w:iCs w:val="0"/>
          <w:caps w:val="0"/>
          <w:smallCaps w:val="0"/>
          <w:noProof w:val="0"/>
          <w:color w:val="000000" w:themeColor="text1" w:themeTint="FF" w:themeShade="FF"/>
          <w:sz w:val="24"/>
          <w:szCs w:val="24"/>
          <w:u w:val="none"/>
          <w:lang w:val="en-US"/>
        </w:rPr>
      </w:pPr>
    </w:p>
    <w:p w:rsidRPr="00B103B9" w:rsidR="0000375B" w:rsidP="465E4A66" w:rsidRDefault="0000375B" w14:paraId="4DAACB40" w14:textId="15D73442">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Booth, T. &amp; Ainscow, M. (2011)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The Index for Inclusion: Developing Learning and Participation in Schools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3rd ed. Bristol: Centre for Studies on Inclusive Education (CSIE).</w:t>
      </w:r>
    </w:p>
    <w:p w:rsidRPr="00B103B9" w:rsidR="0000375B" w:rsidP="465E4A66" w:rsidRDefault="0000375B" w14:paraId="24295DD2" w14:textId="5D432317">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Bronfenbrenner, U. (1979)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The Ecology of Human Development: Experiments by Nature and Design</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Cambridge, MA: Harvard University Press.</w:t>
      </w:r>
    </w:p>
    <w:p w:rsidRPr="00B103B9" w:rsidR="0000375B" w:rsidP="465E4A66" w:rsidRDefault="0000375B" w14:paraId="6D2D6626" w14:textId="45172EB9">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Bunning, K., Gooch, L. &amp; Johnson Miranda, A. (2017) ‘Visual timetables for children with autism and related learning difficulties: A systematic review’,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Journal of Research in Special Educational Needs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17(3).</w:t>
      </w:r>
    </w:p>
    <w:p w:rsidRPr="00B103B9" w:rsidR="0000375B" w:rsidP="465E4A66" w:rsidRDefault="0000375B" w14:paraId="205AF86E" w14:textId="3642A1F5">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Dettmer, S., Simpson, R.L., Myles, B.S. &amp; Ganz, J.B. (2000) ‘The use of visual supports to facilitate transitions of students with autism’,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Focus on Autism and Other Developmental Disabilities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15(3).</w:t>
      </w:r>
    </w:p>
    <w:p w:rsidRPr="00B103B9" w:rsidR="0000375B" w:rsidP="465E4A66" w:rsidRDefault="0000375B" w14:paraId="29769627" w14:textId="382BBF54">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Florian, L. &amp; Black-Hawkins, K. (2011) ‘Exploring inclusive pedagogy’,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British Educational Research Journal</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37(5). </w:t>
      </w:r>
      <w:hyperlink r:id="Rf8a6ef3cf2a74931">
        <w:r w:rsidRPr="465E4A66" w:rsidR="7ED47E4A">
          <w:rPr>
            <w:rStyle w:val="Hyperlink"/>
            <w:rFonts w:ascii="Calibri" w:hAnsi="Calibri" w:eastAsia="Calibri" w:cs="Calibri"/>
            <w:b w:val="0"/>
            <w:bCs w:val="0"/>
            <w:i w:val="0"/>
            <w:iCs w:val="0"/>
            <w:caps w:val="0"/>
            <w:smallCaps w:val="0"/>
            <w:strike w:val="0"/>
            <w:dstrike w:val="0"/>
            <w:noProof w:val="0"/>
            <w:sz w:val="22"/>
            <w:szCs w:val="22"/>
            <w:lang w:val="en-GB"/>
          </w:rPr>
          <w:t>https://doi.org/10.1080/01411926.2010.501096</w:t>
        </w:r>
      </w:hyperlink>
    </w:p>
    <w:p w:rsidRPr="00B103B9" w:rsidR="0000375B" w:rsidP="465E4A66" w:rsidRDefault="0000375B" w14:paraId="574175FD" w14:textId="392DBCB8">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Henderson, L., </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Snowling</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 &amp; Hulme, C. (2016) ‘Executive functions and developmental disorders of language and literacy’, in Shaffer, D. &amp; Kipp, S. (eds.)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Developmental Psychology</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London: Cengage Learning.</w:t>
      </w:r>
    </w:p>
    <w:p w:rsidRPr="00B103B9" w:rsidR="0000375B" w:rsidP="465E4A66" w:rsidRDefault="0000375B" w14:paraId="5475BFE8" w14:textId="6F7AAE86">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Hodgdon, L.A. (1995) </w:t>
      </w:r>
      <w:r w:rsidRPr="1129FFEA" w:rsidR="7ED47E4A">
        <w:rPr>
          <w:rFonts w:ascii="Calibri" w:hAnsi="Calibri" w:eastAsia="Calibri" w:cs="Calibri"/>
          <w:b w:val="0"/>
          <w:bCs w:val="0"/>
          <w:i w:val="1"/>
          <w:iCs w:val="1"/>
          <w:caps w:val="0"/>
          <w:smallCaps w:val="0"/>
          <w:noProof w:val="0"/>
          <w:color w:val="000000" w:themeColor="text1" w:themeTint="FF" w:themeShade="FF"/>
          <w:sz w:val="22"/>
          <w:szCs w:val="22"/>
          <w:lang w:val="en-GB"/>
        </w:rPr>
        <w:t>Visual strategies for improving communication: Practical supports for school and home</w:t>
      </w:r>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Troy, MI: </w:t>
      </w:r>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QuirkRoberts</w:t>
      </w:r>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Publishing.</w:t>
      </w:r>
    </w:p>
    <w:p w:rsidR="4E5EE39B" w:rsidP="1129FFEA" w:rsidRDefault="4E5EE39B" w14:paraId="436E537B" w14:textId="12B7A028">
      <w:pPr>
        <w:spacing w:before="240" w:beforeAutospacing="off" w:after="240" w:afterAutospacing="off"/>
        <w:jc w:val="left"/>
        <w:rPr>
          <w:rFonts w:ascii="Calibri" w:hAnsi="Calibri" w:eastAsia="Calibri" w:cs="Calibri"/>
          <w:b w:val="0"/>
          <w:bCs w:val="0"/>
          <w:noProof w:val="0"/>
          <w:sz w:val="22"/>
          <w:szCs w:val="22"/>
          <w:lang w:val="en-GB"/>
        </w:rPr>
      </w:pPr>
      <w:r w:rsidRPr="1129FFEA" w:rsidR="4E5EE39B">
        <w:rPr>
          <w:rFonts w:ascii="Calibri" w:hAnsi="Calibri" w:eastAsia="Calibri" w:cs="Calibri"/>
          <w:b w:val="0"/>
          <w:bCs w:val="0"/>
          <w:noProof w:val="0"/>
          <w:sz w:val="22"/>
          <w:szCs w:val="22"/>
          <w:lang w:val="en-GB"/>
        </w:rPr>
        <w:t xml:space="preserve">Little Tick Creations. (2025) </w:t>
      </w:r>
      <w:r w:rsidRPr="1129FFEA" w:rsidR="4E5EE39B">
        <w:rPr>
          <w:rFonts w:ascii="Calibri" w:hAnsi="Calibri" w:eastAsia="Calibri" w:cs="Calibri"/>
          <w:b w:val="0"/>
          <w:bCs w:val="0"/>
          <w:i w:val="1"/>
          <w:iCs w:val="1"/>
          <w:noProof w:val="0"/>
          <w:sz w:val="22"/>
          <w:szCs w:val="22"/>
          <w:lang w:val="en-GB"/>
        </w:rPr>
        <w:t>Visual routine chart for children</w:t>
      </w:r>
      <w:r w:rsidRPr="1129FFEA" w:rsidR="4E5EE39B">
        <w:rPr>
          <w:rFonts w:ascii="Calibri" w:hAnsi="Calibri" w:eastAsia="Calibri" w:cs="Calibri"/>
          <w:b w:val="0"/>
          <w:bCs w:val="0"/>
          <w:noProof w:val="0"/>
          <w:sz w:val="22"/>
          <w:szCs w:val="22"/>
          <w:lang w:val="en-GB"/>
        </w:rPr>
        <w:t xml:space="preserve"> [image]. Available at: </w:t>
      </w:r>
      <w:hyperlink r:id="R31a30f5a0ad04991">
        <w:r w:rsidRPr="1129FFEA" w:rsidR="4E5EE39B">
          <w:rPr>
            <w:rStyle w:val="Hyperlink"/>
            <w:rFonts w:ascii="Calibri" w:hAnsi="Calibri" w:eastAsia="Calibri" w:cs="Calibri"/>
            <w:b w:val="0"/>
            <w:bCs w:val="0"/>
            <w:noProof w:val="0"/>
            <w:sz w:val="22"/>
            <w:szCs w:val="22"/>
            <w:lang w:val="en-GB"/>
          </w:rPr>
          <w:t>https://encrypted-tbn0.gstatic.com/images?q=tbn:ANd9GcRZNI9AcaFmprgb7C-1YVOwp4tc08G5qfEbWtUe8VpTYDM5579TJ948LL6MjOCim3YFf8I</w:t>
        </w:r>
      </w:hyperlink>
      <w:r w:rsidRPr="1129FFEA" w:rsidR="4E5EE39B">
        <w:rPr>
          <w:rFonts w:ascii="Calibri" w:hAnsi="Calibri" w:eastAsia="Calibri" w:cs="Calibri"/>
          <w:b w:val="0"/>
          <w:bCs w:val="0"/>
          <w:noProof w:val="0"/>
          <w:sz w:val="22"/>
          <w:szCs w:val="22"/>
          <w:lang w:val="en-GB"/>
        </w:rPr>
        <w:t xml:space="preserve"> (Accessed: 17 May 2025).</w:t>
      </w:r>
    </w:p>
    <w:p w:rsidRPr="00B103B9" w:rsidR="0000375B" w:rsidP="465E4A66" w:rsidRDefault="0000375B" w14:paraId="5D44B8C3" w14:textId="7E657E29">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McConkey, R., Dowling, S., Hassan, D. &amp; Menke, S. (2019) ‘Promoting social inclusion through Unified Sports for youth with intellectual disabilities: A five-nation study’,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Journal of Intellectual Disability Research</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63(9).</w:t>
      </w:r>
    </w:p>
    <w:p w:rsidRPr="00B103B9" w:rsidR="0000375B" w:rsidP="465E4A66" w:rsidRDefault="0000375B" w14:paraId="5D9ADFDF" w14:textId="4E53F8AA">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Moore, A. (2009)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Classroom learning strategies for pupils with special needs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London: Sage Publications.</w:t>
      </w:r>
    </w:p>
    <w:p w:rsidRPr="00B103B9" w:rsidR="0000375B" w:rsidP="465E4A66" w:rsidRDefault="0000375B" w14:paraId="62C623A4" w14:textId="60E4B4B8">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Ravet, J. (2011) ‘Inclusive education and the challenge of student diversity: The role of psychological perspectives’,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Educational Psychology in Practice</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27(6).</w:t>
      </w:r>
    </w:p>
    <w:p w:rsidRPr="00B103B9" w:rsidR="0000375B" w:rsidP="465E4A66" w:rsidRDefault="0000375B" w14:paraId="1346EC6C" w14:textId="2B08743F">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Rix, J., Sheehy, K., Fletcher-Campbell, F., Crisp, M. &amp; Harper, A. (2013)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Continuum of Education Provision for Children with Special Educational Needs: Review of International Policies and Practices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London: Department for Education (DfE).</w:t>
      </w:r>
    </w:p>
    <w:p w:rsidRPr="00B103B9" w:rsidR="0000375B" w:rsidP="41E84A1D" w:rsidRDefault="0000375B" w14:paraId="6CBA3C5B" w14:textId="4E14354F">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Senedd Cymru/Welsh Parliament (2021) </w:t>
      </w:r>
      <w:r w:rsidRPr="41E84A1D" w:rsidR="7ED47E4A">
        <w:rPr>
          <w:rFonts w:ascii="Calibri" w:hAnsi="Calibri" w:eastAsia="Calibri" w:cs="Calibri"/>
          <w:b w:val="0"/>
          <w:bCs w:val="0"/>
          <w:i w:val="1"/>
          <w:iCs w:val="1"/>
          <w:caps w:val="0"/>
          <w:smallCaps w:val="0"/>
          <w:noProof w:val="0"/>
          <w:color w:val="000000" w:themeColor="text1" w:themeTint="FF" w:themeShade="FF"/>
          <w:sz w:val="22"/>
          <w:szCs w:val="22"/>
          <w:lang w:val="en-GB"/>
        </w:rPr>
        <w:t>The Additional Learning Needs Code for Wales 2021</w:t>
      </w:r>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Cardiff: Welsh Government. Available at: </w:t>
      </w:r>
      <w:hyperlink r:id="Ra80b9ba01f12447f">
        <w:r w:rsidRPr="41E84A1D" w:rsidR="7ED47E4A">
          <w:rPr>
            <w:rStyle w:val="Hyperlink"/>
            <w:rFonts w:ascii="Calibri" w:hAnsi="Calibri" w:eastAsia="Calibri" w:cs="Calibri"/>
            <w:b w:val="0"/>
            <w:bCs w:val="0"/>
            <w:i w:val="0"/>
            <w:iCs w:val="0"/>
            <w:caps w:val="0"/>
            <w:smallCaps w:val="0"/>
            <w:strike w:val="0"/>
            <w:dstrike w:val="0"/>
            <w:noProof w:val="0"/>
            <w:sz w:val="22"/>
            <w:szCs w:val="22"/>
            <w:lang w:val="en-GB"/>
          </w:rPr>
          <w:t>https://gov.wales/additional-learning-needs-code</w:t>
        </w:r>
      </w:hyperlink>
      <w:r w:rsidRPr="41E84A1D"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May 2025).</w:t>
      </w:r>
    </w:p>
    <w:p w:rsidR="548FC35E" w:rsidP="41E84A1D" w:rsidRDefault="548FC35E" w14:paraId="7031DD64" w14:textId="0169BB7F">
      <w:pPr>
        <w:spacing w:before="240" w:beforeAutospacing="off" w:after="240" w:afterAutospacing="off" w:line="360" w:lineRule="auto"/>
        <w:jc w:val="left"/>
      </w:pPr>
      <w:r w:rsidRPr="41E84A1D" w:rsidR="548FC35E">
        <w:rPr>
          <w:rFonts w:ascii="Calibri" w:hAnsi="Calibri" w:eastAsia="Calibri" w:cs="Calibri"/>
          <w:noProof w:val="0"/>
          <w:sz w:val="22"/>
          <w:szCs w:val="22"/>
          <w:lang w:val="en-GB"/>
        </w:rPr>
        <w:t xml:space="preserve">Someone's Mum (2017) </w:t>
      </w:r>
      <w:r w:rsidRPr="41E84A1D" w:rsidR="548FC35E">
        <w:rPr>
          <w:rFonts w:ascii="Calibri" w:hAnsi="Calibri" w:eastAsia="Calibri" w:cs="Calibri"/>
          <w:i w:val="1"/>
          <w:iCs w:val="1"/>
          <w:noProof w:val="0"/>
          <w:sz w:val="22"/>
          <w:szCs w:val="22"/>
          <w:lang w:val="en-GB"/>
        </w:rPr>
        <w:t>Visual timetable for starting school</w:t>
      </w:r>
      <w:r w:rsidRPr="41E84A1D" w:rsidR="548FC35E">
        <w:rPr>
          <w:rFonts w:ascii="Calibri" w:hAnsi="Calibri" w:eastAsia="Calibri" w:cs="Calibri"/>
          <w:noProof w:val="0"/>
          <w:sz w:val="22"/>
          <w:szCs w:val="22"/>
          <w:lang w:val="en-GB"/>
        </w:rPr>
        <w:t xml:space="preserve"> [image]. Available at: </w:t>
      </w:r>
      <w:hyperlink r:id="R4fcf37193ed8447a">
        <w:r w:rsidRPr="41E84A1D" w:rsidR="548FC35E">
          <w:rPr>
            <w:rStyle w:val="Hyperlink"/>
            <w:rFonts w:ascii="Calibri" w:hAnsi="Calibri" w:eastAsia="Calibri" w:cs="Calibri"/>
            <w:noProof w:val="0"/>
            <w:sz w:val="22"/>
            <w:szCs w:val="22"/>
            <w:lang w:val="en-GB"/>
          </w:rPr>
          <w:t>https://someonesmum.co.uk/wp-content/uploads/2017/08/Visual-Timetable-for-starting-school.jpg</w:t>
        </w:r>
      </w:hyperlink>
      <w:r w:rsidRPr="41E84A1D" w:rsidR="548FC35E">
        <w:rPr>
          <w:rFonts w:ascii="Calibri" w:hAnsi="Calibri" w:eastAsia="Calibri" w:cs="Calibri"/>
          <w:noProof w:val="0"/>
          <w:sz w:val="22"/>
          <w:szCs w:val="22"/>
          <w:lang w:val="en-GB"/>
        </w:rPr>
        <w:t xml:space="preserve"> (Accessed: 17 May 2025).</w:t>
      </w:r>
    </w:p>
    <w:p w:rsidRPr="00B103B9" w:rsidR="0000375B" w:rsidP="465E4A66" w:rsidRDefault="0000375B" w14:paraId="4BB0D9F4" w14:textId="6371F389">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ABA85C3"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Tissot, C. &amp; Evans, R. (2003) ‘Visual teaching strategies for children with autism’, </w:t>
      </w:r>
      <w:r w:rsidRPr="1ABA85C3" w:rsidR="7ED47E4A">
        <w:rPr>
          <w:rFonts w:ascii="Calibri" w:hAnsi="Calibri" w:eastAsia="Calibri" w:cs="Calibri"/>
          <w:b w:val="0"/>
          <w:bCs w:val="0"/>
          <w:i w:val="1"/>
          <w:iCs w:val="1"/>
          <w:caps w:val="0"/>
          <w:smallCaps w:val="0"/>
          <w:noProof w:val="0"/>
          <w:color w:val="000000" w:themeColor="text1" w:themeTint="FF" w:themeShade="FF"/>
          <w:sz w:val="22"/>
          <w:szCs w:val="22"/>
          <w:lang w:val="en-GB"/>
        </w:rPr>
        <w:t>Early Child Development and Care</w:t>
      </w:r>
      <w:r w:rsidRPr="1ABA85C3" w:rsidR="7ED47E4A">
        <w:rPr>
          <w:rFonts w:ascii="Calibri" w:hAnsi="Calibri" w:eastAsia="Calibri" w:cs="Calibri"/>
          <w:b w:val="0"/>
          <w:bCs w:val="0"/>
          <w:i w:val="0"/>
          <w:iCs w:val="0"/>
          <w:caps w:val="0"/>
          <w:smallCaps w:val="0"/>
          <w:noProof w:val="0"/>
          <w:color w:val="000000" w:themeColor="text1" w:themeTint="FF" w:themeShade="FF"/>
          <w:sz w:val="22"/>
          <w:szCs w:val="22"/>
          <w:lang w:val="en-GB"/>
        </w:rPr>
        <w:t>, 173(4).</w:t>
      </w:r>
    </w:p>
    <w:p w:rsidR="4AF44EC7" w:rsidP="1ABA85C3" w:rsidRDefault="4AF44EC7" w14:paraId="12B5B4AD" w14:textId="4EFFF2F8">
      <w:pPr>
        <w:spacing w:before="240" w:beforeAutospacing="off" w:after="240" w:afterAutospacing="off" w:line="360" w:lineRule="auto"/>
        <w:jc w:val="left"/>
      </w:pPr>
      <w:r w:rsidRPr="1ABA85C3" w:rsidR="4AF44EC7">
        <w:rPr>
          <w:rFonts w:ascii="Calibri" w:hAnsi="Calibri" w:eastAsia="Calibri" w:cs="Calibri"/>
          <w:noProof w:val="0"/>
          <w:sz w:val="22"/>
          <w:szCs w:val="22"/>
          <w:lang w:val="en-GB"/>
        </w:rPr>
        <w:t xml:space="preserve">Twinkl. (n.d.) </w:t>
      </w:r>
      <w:r w:rsidRPr="1ABA85C3" w:rsidR="4AF44EC7">
        <w:rPr>
          <w:rFonts w:ascii="Calibri" w:hAnsi="Calibri" w:eastAsia="Calibri" w:cs="Calibri"/>
          <w:i w:val="1"/>
          <w:iCs w:val="1"/>
          <w:noProof w:val="0"/>
          <w:sz w:val="22"/>
          <w:szCs w:val="22"/>
          <w:lang w:val="en-GB"/>
        </w:rPr>
        <w:t>General writing checklist</w:t>
      </w:r>
      <w:r w:rsidRPr="1ABA85C3" w:rsidR="4AF44EC7">
        <w:rPr>
          <w:rFonts w:ascii="Calibri" w:hAnsi="Calibri" w:eastAsia="Calibri" w:cs="Calibri"/>
          <w:noProof w:val="0"/>
          <w:sz w:val="22"/>
          <w:szCs w:val="22"/>
          <w:lang w:val="en-GB"/>
        </w:rPr>
        <w:t xml:space="preserve"> [image]. Available at: </w:t>
      </w:r>
      <w:hyperlink r:id="R7182594dd98e4f1a">
        <w:r w:rsidRPr="1ABA85C3" w:rsidR="4AF44EC7">
          <w:rPr>
            <w:rStyle w:val="Hyperlink"/>
            <w:rFonts w:ascii="Calibri" w:hAnsi="Calibri" w:eastAsia="Calibri" w:cs="Calibri"/>
            <w:noProof w:val="0"/>
            <w:sz w:val="22"/>
            <w:szCs w:val="22"/>
            <w:lang w:val="en-GB"/>
          </w:rPr>
          <w:t>https://images.twinkl.co.uk/tw1n/image/private/t_630_eco/image_repo/da/29/t-l-4477-general-writing-checklist_ver_1.jpg</w:t>
        </w:r>
      </w:hyperlink>
      <w:r w:rsidRPr="1ABA85C3" w:rsidR="4AF44EC7">
        <w:rPr>
          <w:rFonts w:ascii="Calibri" w:hAnsi="Calibri" w:eastAsia="Calibri" w:cs="Calibri"/>
          <w:noProof w:val="0"/>
          <w:sz w:val="22"/>
          <w:szCs w:val="22"/>
          <w:lang w:val="en-GB"/>
        </w:rPr>
        <w:t xml:space="preserve"> (Accessed: 17 May 2025).</w:t>
      </w:r>
    </w:p>
    <w:p w:rsidRPr="00B103B9" w:rsidR="0000375B" w:rsidP="465E4A66" w:rsidRDefault="0000375B" w14:paraId="0E28E3E7" w14:textId="0A4FA406">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Vygotsky, L.S. (1978)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Mind in Society: The Development of Higher Psychological Processes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Cambridge, MA: Harvard University Press.</w:t>
      </w:r>
    </w:p>
    <w:p w:rsidRPr="00B103B9" w:rsidR="0000375B" w:rsidP="465E4A66" w:rsidRDefault="0000375B" w14:paraId="51DAABAF" w14:textId="1FC79C90">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(2017)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Professional standards for teaching and leadership</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Cardiff: Welsh Government. Available at: </w:t>
      </w:r>
      <w:hyperlink r:id="Rda0fc43525ce480c">
        <w:r w:rsidRPr="465E4A66" w:rsidR="7ED47E4A">
          <w:rPr>
            <w:rStyle w:val="Hyperlink"/>
            <w:rFonts w:ascii="Calibri" w:hAnsi="Calibri" w:eastAsia="Calibri" w:cs="Calibri"/>
            <w:b w:val="0"/>
            <w:bCs w:val="0"/>
            <w:i w:val="0"/>
            <w:iCs w:val="0"/>
            <w:caps w:val="0"/>
            <w:smallCaps w:val="0"/>
            <w:strike w:val="0"/>
            <w:dstrike w:val="0"/>
            <w:noProof w:val="0"/>
            <w:sz w:val="22"/>
            <w:szCs w:val="22"/>
            <w:lang w:val="en-GB"/>
          </w:rPr>
          <w:t>https://hwb.gov.wales/api/storage/19bc948b-8a3f-41e0-944a-7bf2cadf7d18/professional-standards-for-teaching-and-leadership-interactive-pdf-for-pc.pdf</w:t>
        </w:r>
      </w:hyperlink>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May 2025).</w:t>
      </w:r>
    </w:p>
    <w:p w:rsidRPr="00B103B9" w:rsidR="0000375B" w:rsidP="465E4A66" w:rsidRDefault="0000375B" w14:paraId="2AF7A8F4" w14:textId="1D6E81D7">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(2018a)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Additional Learning Needs and Education Tribunal (Wales) Act 2018</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Cardiff: Welsh Government. Available at: </w:t>
      </w:r>
      <w:hyperlink r:id="Ra1ae45de3ddf4ad9">
        <w:r w:rsidRPr="465E4A66" w:rsidR="7ED47E4A">
          <w:rPr>
            <w:rStyle w:val="Hyperlink"/>
            <w:rFonts w:ascii="Calibri" w:hAnsi="Calibri" w:eastAsia="Calibri" w:cs="Calibri"/>
            <w:b w:val="0"/>
            <w:bCs w:val="0"/>
            <w:i w:val="0"/>
            <w:iCs w:val="0"/>
            <w:caps w:val="0"/>
            <w:smallCaps w:val="0"/>
            <w:strike w:val="0"/>
            <w:dstrike w:val="0"/>
            <w:noProof w:val="0"/>
            <w:sz w:val="22"/>
            <w:szCs w:val="22"/>
            <w:lang w:val="en-GB"/>
          </w:rPr>
          <w:t>https://www.legislation.gov.uk/anaw/2018/2/contents/enacted</w:t>
        </w:r>
      </w:hyperlink>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May 2025).</w:t>
      </w:r>
    </w:p>
    <w:p w:rsidRPr="00B103B9" w:rsidR="0000375B" w:rsidP="465E4A66" w:rsidRDefault="0000375B" w14:paraId="28A5B2A7" w14:textId="08252DBB">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(2018b) </w:t>
      </w:r>
      <w:r w:rsidRPr="465E4A66" w:rsidR="7ED47E4A">
        <w:rPr>
          <w:rFonts w:ascii="Calibri" w:hAnsi="Calibri" w:eastAsia="Calibri" w:cs="Calibri"/>
          <w:b w:val="0"/>
          <w:bCs w:val="0"/>
          <w:i w:val="1"/>
          <w:iCs w:val="1"/>
          <w:caps w:val="0"/>
          <w:smallCaps w:val="0"/>
          <w:noProof w:val="0"/>
          <w:color w:val="000000" w:themeColor="text1" w:themeTint="FF" w:themeShade="FF"/>
          <w:sz w:val="22"/>
          <w:szCs w:val="22"/>
          <w:lang w:val="en-GB"/>
        </w:rPr>
        <w:t>Transforming the Additional Learning Needs System in Wales</w:t>
      </w:r>
      <w:r w:rsidRPr="465E4A66" w:rsidR="7ED47E4A">
        <w:rPr>
          <w:rFonts w:ascii="Calibri" w:hAnsi="Calibri" w:eastAsia="Calibri" w:cs="Calibri"/>
          <w:b w:val="0"/>
          <w:bCs w:val="0"/>
          <w:i w:val="0"/>
          <w:iCs w:val="0"/>
          <w:caps w:val="0"/>
          <w:smallCaps w:val="0"/>
          <w:noProof w:val="0"/>
          <w:color w:val="000000" w:themeColor="text1" w:themeTint="FF" w:themeShade="FF"/>
          <w:sz w:val="22"/>
          <w:szCs w:val="22"/>
          <w:lang w:val="en-GB"/>
        </w:rPr>
        <w:t>. Cardiff: Welsh Government.</w:t>
      </w:r>
    </w:p>
    <w:p w:rsidRPr="00B103B9" w:rsidR="0000375B" w:rsidP="1129FFEA" w:rsidRDefault="0000375B" w14:paraId="32F37250" w14:textId="4B3DFE20">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(2020) </w:t>
      </w:r>
      <w:r w:rsidRPr="1129FFEA" w:rsidR="7ED47E4A">
        <w:rPr>
          <w:rFonts w:ascii="Calibri" w:hAnsi="Calibri" w:eastAsia="Calibri" w:cs="Calibri"/>
          <w:b w:val="0"/>
          <w:bCs w:val="0"/>
          <w:i w:val="1"/>
          <w:iCs w:val="1"/>
          <w:caps w:val="0"/>
          <w:smallCaps w:val="0"/>
          <w:noProof w:val="0"/>
          <w:color w:val="000000" w:themeColor="text1" w:themeTint="FF" w:themeShade="FF"/>
          <w:sz w:val="22"/>
          <w:szCs w:val="22"/>
          <w:lang w:val="en-GB"/>
        </w:rPr>
        <w:t>Curriculum for Wales: Guidance</w:t>
      </w:r>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Cardiff: Welsh Government. Available at: </w:t>
      </w:r>
      <w:hyperlink r:id="R3476d100893445ad">
        <w:r w:rsidRPr="1129FFEA" w:rsidR="7ED47E4A">
          <w:rPr>
            <w:rStyle w:val="Hyperlink"/>
            <w:rFonts w:ascii="Calibri" w:hAnsi="Calibri" w:eastAsia="Calibri" w:cs="Calibri"/>
            <w:b w:val="0"/>
            <w:bCs w:val="0"/>
            <w:i w:val="0"/>
            <w:iCs w:val="0"/>
            <w:caps w:val="0"/>
            <w:smallCaps w:val="0"/>
            <w:strike w:val="0"/>
            <w:dstrike w:val="0"/>
            <w:noProof w:val="0"/>
            <w:sz w:val="22"/>
            <w:szCs w:val="22"/>
            <w:lang w:val="en-GB"/>
          </w:rPr>
          <w:t>https://hwb.gov.wales/curriculum-for-wales</w:t>
        </w:r>
      </w:hyperlink>
      <w:r w:rsidRPr="1129FFEA" w:rsidR="7ED47E4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17 May 2025).</w:t>
      </w:r>
    </w:p>
    <w:p w:rsidR="352B168B" w:rsidP="1129FFEA" w:rsidRDefault="352B168B" w14:paraId="14E2C6E1" w14:textId="574217C3">
      <w:pPr>
        <w:spacing w:before="240" w:beforeAutospacing="off" w:after="240" w:afterAutospacing="off"/>
        <w:jc w:val="left"/>
      </w:pPr>
      <w:r w:rsidRPr="41E84A1D" w:rsidR="352B168B">
        <w:rPr>
          <w:rFonts w:ascii="Calibri" w:hAnsi="Calibri" w:eastAsia="Calibri" w:cs="Calibri"/>
          <w:noProof w:val="0"/>
          <w:sz w:val="22"/>
          <w:szCs w:val="22"/>
          <w:lang w:val="en-GB"/>
        </w:rPr>
        <w:t>You Clever Monkey</w:t>
      </w:r>
      <w:r w:rsidRPr="41E84A1D" w:rsidR="5C773323">
        <w:rPr>
          <w:rFonts w:ascii="Calibri" w:hAnsi="Calibri" w:eastAsia="Calibri" w:cs="Calibri"/>
          <w:noProof w:val="0"/>
          <w:sz w:val="22"/>
          <w:szCs w:val="22"/>
          <w:lang w:val="en-GB"/>
        </w:rPr>
        <w:t>.</w:t>
      </w:r>
      <w:r w:rsidRPr="41E84A1D" w:rsidR="352B168B">
        <w:rPr>
          <w:rFonts w:ascii="Calibri" w:hAnsi="Calibri" w:eastAsia="Calibri" w:cs="Calibri"/>
          <w:noProof w:val="0"/>
          <w:sz w:val="22"/>
          <w:szCs w:val="22"/>
          <w:lang w:val="en-GB"/>
        </w:rPr>
        <w:t xml:space="preserve"> (n.d.) Daily classroom visual timetable [image]. Available at: </w:t>
      </w:r>
      <w:hyperlink r:id="R631a60a7d3cf4f5c">
        <w:r w:rsidRPr="41E84A1D" w:rsidR="352B168B">
          <w:rPr>
            <w:rStyle w:val="Hyperlink"/>
            <w:rFonts w:ascii="Calibri" w:hAnsi="Calibri" w:eastAsia="Calibri" w:cs="Calibri"/>
            <w:noProof w:val="0"/>
            <w:sz w:val="22"/>
            <w:szCs w:val="22"/>
            <w:lang w:val="en-GB"/>
          </w:rPr>
          <w:t>https://cdn.shopify.com/s/files/1/1109/7376/products/4_cfdd1b7b-db69-4960-ab26-61c9f4517cc7_580x870.png?v=1675830917</w:t>
        </w:r>
      </w:hyperlink>
      <w:r w:rsidRPr="41E84A1D" w:rsidR="352B168B">
        <w:rPr>
          <w:rFonts w:ascii="Calibri" w:hAnsi="Calibri" w:eastAsia="Calibri" w:cs="Calibri"/>
          <w:noProof w:val="0"/>
          <w:sz w:val="22"/>
          <w:szCs w:val="22"/>
          <w:lang w:val="en-GB"/>
        </w:rPr>
        <w:t xml:space="preserve"> (Accessed: 17 May 2025).</w:t>
      </w:r>
    </w:p>
    <w:p w:rsidR="0183399D" w:rsidP="41E84A1D" w:rsidRDefault="0183399D" w14:paraId="6C922B7C" w14:textId="6C5A636E">
      <w:pPr>
        <w:spacing w:before="240" w:beforeAutospacing="off" w:after="240" w:afterAutospacing="off"/>
        <w:jc w:val="left"/>
        <w:rPr>
          <w:rFonts w:ascii="Calibri" w:hAnsi="Calibri" w:eastAsia="Calibri" w:cs="Calibri"/>
          <w:b w:val="0"/>
          <w:bCs w:val="0"/>
          <w:noProof w:val="0"/>
          <w:sz w:val="22"/>
          <w:szCs w:val="22"/>
          <w:lang w:val="en-GB"/>
        </w:rPr>
      </w:pPr>
      <w:r w:rsidRPr="41E84A1D" w:rsidR="0183399D">
        <w:rPr>
          <w:rFonts w:ascii="Calibri" w:hAnsi="Calibri" w:eastAsia="Calibri" w:cs="Calibri"/>
          <w:b w:val="0"/>
          <w:bCs w:val="0"/>
          <w:noProof w:val="0"/>
          <w:sz w:val="22"/>
          <w:szCs w:val="22"/>
          <w:lang w:val="en-GB"/>
        </w:rPr>
        <w:t xml:space="preserve">Ysgol Clywedog (2019) </w:t>
      </w:r>
      <w:r w:rsidRPr="41E84A1D" w:rsidR="0183399D">
        <w:rPr>
          <w:rFonts w:ascii="Calibri" w:hAnsi="Calibri" w:eastAsia="Calibri" w:cs="Calibri"/>
          <w:b w:val="0"/>
          <w:bCs w:val="0"/>
          <w:i w:val="1"/>
          <w:iCs w:val="1"/>
          <w:noProof w:val="0"/>
          <w:sz w:val="22"/>
          <w:szCs w:val="22"/>
          <w:lang w:val="en-GB"/>
        </w:rPr>
        <w:t>New Welsh Government ALN Bill Consultation Open</w:t>
      </w:r>
      <w:r w:rsidRPr="41E84A1D" w:rsidR="0183399D">
        <w:rPr>
          <w:rFonts w:ascii="Calibri" w:hAnsi="Calibri" w:eastAsia="Calibri" w:cs="Calibri"/>
          <w:b w:val="0"/>
          <w:bCs w:val="0"/>
          <w:noProof w:val="0"/>
          <w:sz w:val="22"/>
          <w:szCs w:val="22"/>
          <w:lang w:val="en-GB"/>
        </w:rPr>
        <w:t xml:space="preserve"> [Online image]. Available at: </w:t>
      </w:r>
      <w:hyperlink r:id="R6ef62a2dfbe6468c">
        <w:r w:rsidRPr="41E84A1D" w:rsidR="0183399D">
          <w:rPr>
            <w:rStyle w:val="Hyperlink"/>
            <w:rFonts w:ascii="Calibri" w:hAnsi="Calibri" w:eastAsia="Calibri" w:cs="Calibri"/>
            <w:b w:val="0"/>
            <w:bCs w:val="0"/>
            <w:noProof w:val="0"/>
            <w:sz w:val="22"/>
            <w:szCs w:val="22"/>
            <w:lang w:val="en-GB"/>
          </w:rPr>
          <w:t>https://clywedog.org/wp-content/uploads/2019/02/IMG_2721.jpg</w:t>
        </w:r>
      </w:hyperlink>
      <w:r w:rsidRPr="41E84A1D" w:rsidR="0183399D">
        <w:rPr>
          <w:rFonts w:ascii="Calibri" w:hAnsi="Calibri" w:eastAsia="Calibri" w:cs="Calibri"/>
          <w:b w:val="0"/>
          <w:bCs w:val="0"/>
          <w:noProof w:val="0"/>
          <w:sz w:val="22"/>
          <w:szCs w:val="22"/>
          <w:lang w:val="en-GB"/>
        </w:rPr>
        <w:t xml:space="preserve"> (Accessed: 17 May 2025).</w:t>
      </w:r>
    </w:p>
    <w:p w:rsidR="1129FFEA" w:rsidP="1129FFEA" w:rsidRDefault="1129FFEA" w14:paraId="4F8AF72B" w14:textId="2136C0C1">
      <w:pPr>
        <w:spacing w:before="240" w:beforeAutospacing="off" w:after="24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sectPr w:rsidRPr="00B103B9" w:rsidR="000037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7198D"/>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D474C"/>
    <w:rsid w:val="00536CFB"/>
    <w:rsid w:val="00543F5E"/>
    <w:rsid w:val="00584970"/>
    <w:rsid w:val="005B783A"/>
    <w:rsid w:val="005F42D0"/>
    <w:rsid w:val="005F7C42"/>
    <w:rsid w:val="0062310A"/>
    <w:rsid w:val="00664B16"/>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E2A35"/>
    <w:rsid w:val="00BE3554"/>
    <w:rsid w:val="00C129B8"/>
    <w:rsid w:val="00C24461"/>
    <w:rsid w:val="00C2550A"/>
    <w:rsid w:val="00C4699D"/>
    <w:rsid w:val="00CF32AC"/>
    <w:rsid w:val="00D24ADF"/>
    <w:rsid w:val="00D26517"/>
    <w:rsid w:val="00DC55F3"/>
    <w:rsid w:val="00DD5969"/>
    <w:rsid w:val="00E10797"/>
    <w:rsid w:val="00E243A8"/>
    <w:rsid w:val="00E6747C"/>
    <w:rsid w:val="00EA0B9A"/>
    <w:rsid w:val="00EA15D1"/>
    <w:rsid w:val="00EA6220"/>
    <w:rsid w:val="00EC1771"/>
    <w:rsid w:val="00F8089C"/>
    <w:rsid w:val="00F934CF"/>
    <w:rsid w:val="0183399D"/>
    <w:rsid w:val="02D3270F"/>
    <w:rsid w:val="03694C45"/>
    <w:rsid w:val="07A418FA"/>
    <w:rsid w:val="07C22EB7"/>
    <w:rsid w:val="093508B5"/>
    <w:rsid w:val="0A83BA0B"/>
    <w:rsid w:val="0E0380F2"/>
    <w:rsid w:val="0E0380F2"/>
    <w:rsid w:val="1129FFEA"/>
    <w:rsid w:val="138034DF"/>
    <w:rsid w:val="140F5D2E"/>
    <w:rsid w:val="17215B02"/>
    <w:rsid w:val="1ABA85C3"/>
    <w:rsid w:val="22AD37D1"/>
    <w:rsid w:val="23CB0EAC"/>
    <w:rsid w:val="2DA555AE"/>
    <w:rsid w:val="2E06BADD"/>
    <w:rsid w:val="302BCE61"/>
    <w:rsid w:val="30AA99EC"/>
    <w:rsid w:val="31F3A4CD"/>
    <w:rsid w:val="329454A2"/>
    <w:rsid w:val="33D520A2"/>
    <w:rsid w:val="352B168B"/>
    <w:rsid w:val="364DEE5C"/>
    <w:rsid w:val="3C3BE1DB"/>
    <w:rsid w:val="414BE48D"/>
    <w:rsid w:val="41E84A1D"/>
    <w:rsid w:val="439569BD"/>
    <w:rsid w:val="44F213A8"/>
    <w:rsid w:val="45AC36C3"/>
    <w:rsid w:val="465E4A66"/>
    <w:rsid w:val="473C648B"/>
    <w:rsid w:val="498F8DD0"/>
    <w:rsid w:val="4AF44EC7"/>
    <w:rsid w:val="4CB5C0D2"/>
    <w:rsid w:val="4D5B5B97"/>
    <w:rsid w:val="4E5EE39B"/>
    <w:rsid w:val="4F65B281"/>
    <w:rsid w:val="4FA58CB4"/>
    <w:rsid w:val="4FA58CB4"/>
    <w:rsid w:val="548FC35E"/>
    <w:rsid w:val="59F96889"/>
    <w:rsid w:val="5C773323"/>
    <w:rsid w:val="6025689E"/>
    <w:rsid w:val="62FC6C2C"/>
    <w:rsid w:val="639EBF4A"/>
    <w:rsid w:val="68BF1CB5"/>
    <w:rsid w:val="69FC5E63"/>
    <w:rsid w:val="6A45D6CA"/>
    <w:rsid w:val="6A606EAD"/>
    <w:rsid w:val="6EE9BBAA"/>
    <w:rsid w:val="708EC3BA"/>
    <w:rsid w:val="71984EB9"/>
    <w:rsid w:val="7209840D"/>
    <w:rsid w:val="7B02AE85"/>
    <w:rsid w:val="7BDF2EC1"/>
    <w:rsid w:val="7ED47E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65E4A66"/>
    <w:rPr>
      <w:noProof w:val="0"/>
    </w:rPr>
  </w:style>
  <w:style w:type="paragraph" w:styleId="Heading1">
    <w:uiPriority w:val="9"/>
    <w:name w:val="heading 1"/>
    <w:basedOn w:val="Normal"/>
    <w:next w:val="Normal"/>
    <w:link w:val="Heading1Char"/>
    <w:qFormat/>
    <w:rsid w:val="465E4A66"/>
    <w:rPr>
      <w:rFonts w:ascii="Aptos Display" w:hAnsi="Aptos Display" w:eastAsia="等线 Light"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semiHidden/>
    <w:unhideWhenUsed/>
    <w:link w:val="Heading2Char"/>
    <w:qFormat/>
    <w:rsid w:val="465E4A66"/>
    <w:rPr>
      <w:rFonts w:ascii="Aptos Display" w:hAnsi="Aptos Display" w:eastAsia="等线 Light"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semiHidden/>
    <w:unhideWhenUsed/>
    <w:link w:val="Heading3Char"/>
    <w:qFormat/>
    <w:rsid w:val="465E4A66"/>
    <w:rPr>
      <w:rFonts w:eastAsia="等线 Light"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465E4A66"/>
    <w:rPr>
      <w:rFonts w:eastAsia="等线 Light"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465E4A66"/>
    <w:rPr>
      <w:rFonts w:eastAsia="等线 Light"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465E4A66"/>
    <w:rPr>
      <w:rFonts w:eastAsia="等线 Light"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semiHidden/>
    <w:unhideWhenUsed/>
    <w:link w:val="Heading7Char"/>
    <w:qFormat/>
    <w:rsid w:val="465E4A66"/>
    <w:rPr>
      <w:rFonts w:eastAsia="等线 Light"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semiHidden/>
    <w:unhideWhenUsed/>
    <w:link w:val="Heading8Char"/>
    <w:qFormat/>
    <w:rsid w:val="465E4A66"/>
    <w:rPr>
      <w:rFonts w:eastAsia="等线 Light"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semiHidden/>
    <w:unhideWhenUsed/>
    <w:link w:val="Heading9Char"/>
    <w:qFormat/>
    <w:rsid w:val="465E4A66"/>
    <w:rPr>
      <w:rFonts w:eastAsia="等线 Light"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uiPriority w:val="10"/>
    <w:name w:val="Title"/>
    <w:basedOn w:val="Normal"/>
    <w:next w:val="Normal"/>
    <w:link w:val="TitleChar"/>
    <w:qFormat/>
    <w:rsid w:val="465E4A66"/>
    <w:rPr>
      <w:rFonts w:ascii="Aptos Display" w:hAnsi="Aptos Display" w:eastAsia="等线 Light" w:cs="Times New Roman" w:asciiTheme="majorAscii" w:hAnsiTheme="majorAscii" w:eastAsiaTheme="majorEastAsia" w:cstheme="majorBidi"/>
      <w:sz w:val="56"/>
      <w:szCs w:val="56"/>
    </w:rPr>
    <w:pPr>
      <w:spacing w:after="80" w:line="240" w:lineRule="auto"/>
      <w:contextualSpacing/>
    </w:p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465E4A66"/>
    <w:rPr>
      <w:rFonts w:eastAsia="等线 Light" w:cs="Times New Roman"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465E4A66"/>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uiPriority w:val="34"/>
    <w:name w:val="List Paragraph"/>
    <w:basedOn w:val="Normal"/>
    <w:qFormat/>
    <w:rsid w:val="465E4A66"/>
    <w:pPr>
      <w:spacing/>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uiPriority w:val="30"/>
    <w:name w:val="Intense Quote"/>
    <w:basedOn w:val="Normal"/>
    <w:next w:val="Normal"/>
    <w:link w:val="IntenseQuoteChar"/>
    <w:qFormat/>
    <w:rsid w:val="465E4A6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465E4A6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3.png" Id="Rb496dfe8ecfd4968" /><Relationship Type="http://schemas.openxmlformats.org/officeDocument/2006/relationships/hyperlink" Target="https://doi.org/10.1080/01411926.2010.501096" TargetMode="External" Id="Rf8a6ef3cf2a74931" /><Relationship Type="http://schemas.openxmlformats.org/officeDocument/2006/relationships/hyperlink" Target="https://hwb.gov.wales/api/storage/19bc948b-8a3f-41e0-944a-7bf2cadf7d18/professional-standards-for-teaching-and-leadership-interactive-pdf-for-pc.pdf" TargetMode="External" Id="Rda0fc43525ce480c" /><Relationship Type="http://schemas.openxmlformats.org/officeDocument/2006/relationships/hyperlink" Target="https://www.legislation.gov.uk/anaw/2018/2/contents/enacted" TargetMode="External" Id="Ra1ae45de3ddf4ad9" /><Relationship Type="http://schemas.openxmlformats.org/officeDocument/2006/relationships/image" Target="/media/image4.png" Id="R7940d486aa2b4f77" /><Relationship Type="http://schemas.openxmlformats.org/officeDocument/2006/relationships/image" Target="/media/image5.png" Id="R9a5f67cb975741c8" /><Relationship Type="http://schemas.openxmlformats.org/officeDocument/2006/relationships/hyperlink" Target="https://encrypted-tbn0.gstatic.com/images?q=tbn:ANd9GcRZNI9AcaFmprgb7C-1YVOwp4tc08G5qfEbWtUe8VpTYDM5579TJ948LL6MjOCim3YFf8I" TargetMode="External" Id="R31a30f5a0ad04991" /><Relationship Type="http://schemas.openxmlformats.org/officeDocument/2006/relationships/hyperlink" Target="https://hwb.gov.wales/curriculum-for-wales" TargetMode="External" Id="R3476d100893445ad" /><Relationship Type="http://schemas.openxmlformats.org/officeDocument/2006/relationships/image" Target="/media/image6.png" Id="R3a754e23951845b5" /><Relationship Type="http://schemas.openxmlformats.org/officeDocument/2006/relationships/hyperlink" Target="https://images.twinkl.co.uk/tw1n/image/private/t_630_eco/image_repo/da/29/t-l-4477-general-writing-checklist_ver_1.jpg" TargetMode="External" Id="R7182594dd98e4f1a" /><Relationship Type="http://schemas.openxmlformats.org/officeDocument/2006/relationships/image" Target="/media/image7.png" Id="Rf0126389cf2541ba" /><Relationship Type="http://schemas.openxmlformats.org/officeDocument/2006/relationships/image" Target="/media/image8.png" Id="Rfe7d5935886b4de3" /><Relationship Type="http://schemas.openxmlformats.org/officeDocument/2006/relationships/hyperlink" Target="https://gov.wales/additional-learning-needs-code" TargetMode="External" Id="Ra80b9ba01f12447f" /><Relationship Type="http://schemas.openxmlformats.org/officeDocument/2006/relationships/hyperlink" Target="https://someonesmum.co.uk/wp-content/uploads/2017/08/Visual-Timetable-for-starting-school.jpg" TargetMode="External" Id="R4fcf37193ed8447a" /><Relationship Type="http://schemas.openxmlformats.org/officeDocument/2006/relationships/hyperlink" Target="https://cdn.shopify.com/s/files/1/1109/7376/products/4_cfdd1b7b-db69-4960-ab26-61c9f4517cc7_580x870.png?v=1675830917" TargetMode="External" Id="R631a60a7d3cf4f5c" /><Relationship Type="http://schemas.openxmlformats.org/officeDocument/2006/relationships/hyperlink" Target="https://clywedog.org/wp-content/uploads/2019/02/IMG_2721.jpg" TargetMode="External" Id="R6ef62a2dfbe646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Keira Wickham (2300800)</lastModifiedBy>
  <revision>7</revision>
  <dcterms:created xsi:type="dcterms:W3CDTF">2025-03-20T11:28:00.0000000Z</dcterms:created>
  <dcterms:modified xsi:type="dcterms:W3CDTF">2025-05-19T11:12:12.9071981Z</dcterms:modified>
</coreProperties>
</file>