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8B0B2" w14:textId="098F5133" w:rsidR="00704357" w:rsidRPr="00A737BB" w:rsidRDefault="00704357" w:rsidP="00941879">
      <w:pPr>
        <w:jc w:val="both"/>
        <w:rPr>
          <w:rFonts w:ascii="Times New Roman" w:hAnsi="Times New Roman" w:cs="Times New Roman"/>
          <w:sz w:val="24"/>
          <w:szCs w:val="24"/>
          <w:lang w:val="en-GB"/>
        </w:rPr>
      </w:pPr>
    </w:p>
    <w:p w14:paraId="0565D4B9" w14:textId="77777777" w:rsidR="00A737BB" w:rsidRPr="00A737BB" w:rsidRDefault="00A737BB" w:rsidP="00941879">
      <w:pPr>
        <w:jc w:val="both"/>
        <w:rPr>
          <w:rFonts w:ascii="Times New Roman" w:hAnsi="Times New Roman" w:cs="Times New Roman"/>
          <w:sz w:val="24"/>
          <w:szCs w:val="24"/>
          <w:lang w:val="en-GB"/>
        </w:rPr>
      </w:pPr>
    </w:p>
    <w:p w14:paraId="2E9E6A2A" w14:textId="77777777" w:rsidR="00A737BB" w:rsidRPr="00A737BB" w:rsidRDefault="00A737BB" w:rsidP="00941879">
      <w:pPr>
        <w:jc w:val="both"/>
        <w:rPr>
          <w:rFonts w:ascii="Times New Roman" w:hAnsi="Times New Roman" w:cs="Times New Roman"/>
          <w:sz w:val="24"/>
          <w:szCs w:val="24"/>
          <w:lang w:val="en-GB"/>
        </w:rPr>
      </w:pPr>
    </w:p>
    <w:p w14:paraId="0E5BA680" w14:textId="77777777" w:rsidR="00A737BB" w:rsidRPr="00A737BB" w:rsidRDefault="00A737BB" w:rsidP="00941879">
      <w:pPr>
        <w:jc w:val="both"/>
        <w:rPr>
          <w:rFonts w:ascii="Times New Roman" w:hAnsi="Times New Roman" w:cs="Times New Roman"/>
          <w:sz w:val="24"/>
          <w:szCs w:val="24"/>
          <w:lang w:val="en-GB"/>
        </w:rPr>
      </w:pPr>
      <w:r w:rsidRPr="00A737BB">
        <w:rPr>
          <w:rFonts w:ascii="Times New Roman" w:hAnsi="Times New Roman" w:cs="Times New Roman"/>
          <w:noProof/>
          <w:sz w:val="24"/>
          <w:szCs w:val="24"/>
          <w:lang w:val="en-GB"/>
        </w:rPr>
        <w:drawing>
          <wp:inline distT="0" distB="0" distL="0" distR="0" wp14:anchorId="570F2DCF" wp14:editId="7C5D38A2">
            <wp:extent cx="4480560" cy="2352468"/>
            <wp:effectExtent l="0" t="0" r="0" b="0"/>
            <wp:docPr id="1411199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99302" name="Picture 141119930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86564" cy="2355621"/>
                    </a:xfrm>
                    <a:prstGeom prst="rect">
                      <a:avLst/>
                    </a:prstGeom>
                  </pic:spPr>
                </pic:pic>
              </a:graphicData>
            </a:graphic>
          </wp:inline>
        </w:drawing>
      </w:r>
    </w:p>
    <w:p w14:paraId="16E07E6A" w14:textId="77777777" w:rsidR="00A737BB" w:rsidRPr="00A737BB" w:rsidRDefault="00A737BB" w:rsidP="00941879">
      <w:pPr>
        <w:jc w:val="both"/>
        <w:rPr>
          <w:rFonts w:ascii="Times New Roman" w:hAnsi="Times New Roman" w:cs="Times New Roman"/>
          <w:bCs/>
          <w:sz w:val="24"/>
          <w:szCs w:val="24"/>
        </w:rPr>
      </w:pPr>
    </w:p>
    <w:p w14:paraId="0B6217BF" w14:textId="77777777" w:rsidR="00A737BB" w:rsidRPr="00A737BB" w:rsidRDefault="00A737BB" w:rsidP="00941879">
      <w:pPr>
        <w:jc w:val="both"/>
        <w:rPr>
          <w:rFonts w:ascii="Times New Roman" w:hAnsi="Times New Roman" w:cs="Times New Roman"/>
          <w:bCs/>
          <w:sz w:val="24"/>
          <w:szCs w:val="24"/>
        </w:rPr>
      </w:pPr>
    </w:p>
    <w:p w14:paraId="6D0F3CC9" w14:textId="4B8FA7C8" w:rsidR="00A737BB" w:rsidRPr="00A737BB" w:rsidRDefault="00A737BB" w:rsidP="00941879">
      <w:pPr>
        <w:jc w:val="both"/>
        <w:rPr>
          <w:rFonts w:ascii="Times New Roman" w:hAnsi="Times New Roman" w:cs="Times New Roman"/>
          <w:b/>
          <w:sz w:val="34"/>
          <w:szCs w:val="34"/>
        </w:rPr>
      </w:pPr>
    </w:p>
    <w:tbl>
      <w:tblPr>
        <w:tblStyle w:val="TableGrid"/>
        <w:tblW w:w="9054" w:type="dxa"/>
        <w:tblLook w:val="04A0" w:firstRow="1" w:lastRow="0" w:firstColumn="1" w:lastColumn="0" w:noHBand="0" w:noVBand="1"/>
      </w:tblPr>
      <w:tblGrid>
        <w:gridCol w:w="2547"/>
        <w:gridCol w:w="6507"/>
      </w:tblGrid>
      <w:tr w:rsidR="0064493D" w14:paraId="11FFEA47" w14:textId="77777777" w:rsidTr="00881B8C">
        <w:trPr>
          <w:trHeight w:val="486"/>
        </w:trPr>
        <w:tc>
          <w:tcPr>
            <w:tcW w:w="2547" w:type="dxa"/>
          </w:tcPr>
          <w:p w14:paraId="461EC3DE" w14:textId="02EA48D8" w:rsidR="0064493D" w:rsidRPr="0064493D" w:rsidRDefault="0064493D" w:rsidP="00941879">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Student Name:</w:t>
            </w:r>
          </w:p>
        </w:tc>
        <w:tc>
          <w:tcPr>
            <w:tcW w:w="6507" w:type="dxa"/>
          </w:tcPr>
          <w:p w14:paraId="254CE528" w14:textId="70C68E68" w:rsidR="0064493D" w:rsidRPr="0064493D" w:rsidRDefault="0064493D" w:rsidP="00941879">
            <w:pPr>
              <w:spacing w:line="360" w:lineRule="auto"/>
              <w:jc w:val="both"/>
              <w:rPr>
                <w:rFonts w:ascii="Times New Roman" w:hAnsi="Times New Roman" w:cs="Times New Roman"/>
                <w:sz w:val="28"/>
                <w:szCs w:val="28"/>
                <w:lang w:val="en-GB"/>
              </w:rPr>
            </w:pPr>
            <w:r w:rsidRPr="0064493D">
              <w:rPr>
                <w:rFonts w:ascii="Times New Roman" w:hAnsi="Times New Roman" w:cs="Times New Roman"/>
                <w:sz w:val="28"/>
                <w:szCs w:val="28"/>
                <w:lang w:val="en-GB"/>
              </w:rPr>
              <w:t>Riddhi Damjibhai Mendpara</w:t>
            </w:r>
          </w:p>
        </w:tc>
      </w:tr>
      <w:tr w:rsidR="0064493D" w14:paraId="0C169E50" w14:textId="77777777" w:rsidTr="00881B8C">
        <w:trPr>
          <w:trHeight w:val="486"/>
        </w:trPr>
        <w:tc>
          <w:tcPr>
            <w:tcW w:w="2547" w:type="dxa"/>
          </w:tcPr>
          <w:p w14:paraId="21CB68DB" w14:textId="1213613F" w:rsidR="0064493D" w:rsidRPr="0064493D" w:rsidRDefault="0064493D" w:rsidP="00941879">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Student ID:</w:t>
            </w:r>
          </w:p>
        </w:tc>
        <w:tc>
          <w:tcPr>
            <w:tcW w:w="6507" w:type="dxa"/>
          </w:tcPr>
          <w:p w14:paraId="138262D7" w14:textId="1093C33C" w:rsidR="0064493D" w:rsidRPr="0064493D" w:rsidRDefault="0064493D" w:rsidP="00941879">
            <w:pPr>
              <w:spacing w:line="360" w:lineRule="auto"/>
              <w:jc w:val="both"/>
              <w:rPr>
                <w:rFonts w:ascii="Times New Roman" w:hAnsi="Times New Roman" w:cs="Times New Roman"/>
                <w:sz w:val="28"/>
                <w:szCs w:val="28"/>
                <w:lang w:val="en-GB"/>
              </w:rPr>
            </w:pPr>
            <w:r w:rsidRPr="0064493D">
              <w:rPr>
                <w:rFonts w:ascii="Times New Roman" w:hAnsi="Times New Roman" w:cs="Times New Roman"/>
                <w:sz w:val="28"/>
                <w:szCs w:val="28"/>
                <w:lang w:val="en-GB"/>
              </w:rPr>
              <w:t>2518862</w:t>
            </w:r>
          </w:p>
        </w:tc>
      </w:tr>
      <w:tr w:rsidR="0064493D" w14:paraId="0128A26D" w14:textId="77777777" w:rsidTr="00881B8C">
        <w:trPr>
          <w:trHeight w:val="973"/>
        </w:trPr>
        <w:tc>
          <w:tcPr>
            <w:tcW w:w="2547" w:type="dxa"/>
          </w:tcPr>
          <w:p w14:paraId="5AC40C1F" w14:textId="1607DB54" w:rsidR="0064493D" w:rsidRPr="0064493D" w:rsidRDefault="0064493D" w:rsidP="00941879">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Module:</w:t>
            </w:r>
          </w:p>
        </w:tc>
        <w:tc>
          <w:tcPr>
            <w:tcW w:w="6507" w:type="dxa"/>
          </w:tcPr>
          <w:p w14:paraId="2E11EFC8" w14:textId="246CF262" w:rsidR="0064493D" w:rsidRPr="0064493D" w:rsidRDefault="00881B8C" w:rsidP="00941879">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ACCA70</w:t>
            </w:r>
            <w:r w:rsidR="00417A45">
              <w:rPr>
                <w:rFonts w:ascii="Times New Roman" w:hAnsi="Times New Roman" w:cs="Times New Roman"/>
                <w:sz w:val="28"/>
                <w:szCs w:val="28"/>
                <w:lang w:val="en-GB"/>
              </w:rPr>
              <w:t>28</w:t>
            </w:r>
            <w:r>
              <w:rPr>
                <w:rFonts w:ascii="Times New Roman" w:hAnsi="Times New Roman" w:cs="Times New Roman"/>
                <w:sz w:val="28"/>
                <w:szCs w:val="28"/>
                <w:lang w:val="en-GB"/>
              </w:rPr>
              <w:t xml:space="preserve"> </w:t>
            </w:r>
            <w:r w:rsidR="00FB2F1C">
              <w:rPr>
                <w:rFonts w:ascii="Times New Roman" w:hAnsi="Times New Roman" w:cs="Times New Roman"/>
                <w:sz w:val="28"/>
                <w:szCs w:val="28"/>
                <w:lang w:val="en-GB"/>
              </w:rPr>
              <w:t>Data security, Governance and Compliance</w:t>
            </w:r>
          </w:p>
        </w:tc>
      </w:tr>
      <w:tr w:rsidR="0064493D" w14:paraId="71B7E244" w14:textId="77777777" w:rsidTr="00881B8C">
        <w:trPr>
          <w:trHeight w:val="486"/>
        </w:trPr>
        <w:tc>
          <w:tcPr>
            <w:tcW w:w="2547" w:type="dxa"/>
          </w:tcPr>
          <w:p w14:paraId="0EEBF01D" w14:textId="5900FD72" w:rsidR="0064493D" w:rsidRPr="0064493D" w:rsidRDefault="0064493D" w:rsidP="00941879">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Lecturer:</w:t>
            </w:r>
          </w:p>
        </w:tc>
        <w:tc>
          <w:tcPr>
            <w:tcW w:w="6507" w:type="dxa"/>
          </w:tcPr>
          <w:p w14:paraId="0C674B13" w14:textId="576D5FBE" w:rsidR="0064493D" w:rsidRPr="0064493D" w:rsidRDefault="00D04573" w:rsidP="00941879">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Carlene Campbell</w:t>
            </w:r>
          </w:p>
        </w:tc>
      </w:tr>
      <w:tr w:rsidR="0064493D" w14:paraId="022E2261" w14:textId="77777777" w:rsidTr="00881B8C">
        <w:trPr>
          <w:trHeight w:val="486"/>
        </w:trPr>
        <w:tc>
          <w:tcPr>
            <w:tcW w:w="2547" w:type="dxa"/>
          </w:tcPr>
          <w:p w14:paraId="36704267" w14:textId="34310E5E" w:rsidR="0064493D" w:rsidRPr="0064493D" w:rsidRDefault="0064493D" w:rsidP="00941879">
            <w:pPr>
              <w:spacing w:line="360" w:lineRule="auto"/>
              <w:jc w:val="both"/>
              <w:rPr>
                <w:rFonts w:ascii="Times New Roman" w:hAnsi="Times New Roman" w:cs="Times New Roman"/>
                <w:b/>
                <w:bCs/>
                <w:sz w:val="28"/>
                <w:szCs w:val="28"/>
                <w:lang w:val="en-GB"/>
              </w:rPr>
            </w:pPr>
            <w:r w:rsidRPr="0064493D">
              <w:rPr>
                <w:rFonts w:ascii="Times New Roman" w:hAnsi="Times New Roman" w:cs="Times New Roman"/>
                <w:b/>
                <w:bCs/>
                <w:sz w:val="28"/>
                <w:szCs w:val="28"/>
                <w:lang w:val="en-GB"/>
              </w:rPr>
              <w:t>Submission Date:</w:t>
            </w:r>
          </w:p>
        </w:tc>
        <w:tc>
          <w:tcPr>
            <w:tcW w:w="6507" w:type="dxa"/>
          </w:tcPr>
          <w:p w14:paraId="0BB036AC" w14:textId="0C925BF6" w:rsidR="0064493D" w:rsidRPr="0064493D" w:rsidRDefault="00881B8C" w:rsidP="00941879">
            <w:p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20</w:t>
            </w:r>
            <w:r w:rsidRPr="00881B8C">
              <w:rPr>
                <w:rFonts w:ascii="Times New Roman" w:hAnsi="Times New Roman" w:cs="Times New Roman"/>
                <w:sz w:val="28"/>
                <w:szCs w:val="28"/>
                <w:vertAlign w:val="superscript"/>
                <w:lang w:val="en-GB"/>
              </w:rPr>
              <w:t>th</w:t>
            </w:r>
            <w:r>
              <w:rPr>
                <w:rFonts w:ascii="Times New Roman" w:hAnsi="Times New Roman" w:cs="Times New Roman"/>
                <w:sz w:val="28"/>
                <w:szCs w:val="28"/>
                <w:lang w:val="en-GB"/>
              </w:rPr>
              <w:t xml:space="preserve"> July 2026</w:t>
            </w:r>
          </w:p>
        </w:tc>
      </w:tr>
    </w:tbl>
    <w:p w14:paraId="757CDF09" w14:textId="77777777" w:rsidR="00A737BB" w:rsidRPr="00A737BB" w:rsidRDefault="00A737BB" w:rsidP="00941879">
      <w:pPr>
        <w:spacing w:line="360" w:lineRule="auto"/>
        <w:jc w:val="both"/>
        <w:rPr>
          <w:rFonts w:ascii="Times New Roman" w:hAnsi="Times New Roman" w:cs="Times New Roman"/>
          <w:sz w:val="24"/>
          <w:szCs w:val="24"/>
          <w:lang w:val="en-GB"/>
        </w:rPr>
      </w:pPr>
    </w:p>
    <w:p w14:paraId="52856324" w14:textId="77777777" w:rsidR="00A737BB" w:rsidRPr="00A737BB" w:rsidRDefault="00A737BB" w:rsidP="00941879">
      <w:pPr>
        <w:jc w:val="both"/>
        <w:rPr>
          <w:rFonts w:ascii="Times New Roman" w:hAnsi="Times New Roman" w:cs="Times New Roman"/>
          <w:sz w:val="24"/>
          <w:szCs w:val="24"/>
          <w:lang w:val="en-GB"/>
        </w:rPr>
      </w:pPr>
    </w:p>
    <w:p w14:paraId="6239341E" w14:textId="77777777" w:rsidR="00A737BB" w:rsidRPr="00A737BB" w:rsidRDefault="00A737BB" w:rsidP="00941879">
      <w:pPr>
        <w:jc w:val="both"/>
        <w:rPr>
          <w:rFonts w:ascii="Times New Roman" w:hAnsi="Times New Roman" w:cs="Times New Roman"/>
          <w:sz w:val="24"/>
          <w:szCs w:val="24"/>
          <w:lang w:val="en-GB"/>
        </w:rPr>
      </w:pPr>
    </w:p>
    <w:p w14:paraId="47914D26" w14:textId="77777777" w:rsidR="00A737BB" w:rsidRDefault="00A737BB" w:rsidP="00941879">
      <w:pPr>
        <w:jc w:val="both"/>
        <w:rPr>
          <w:rFonts w:ascii="Times New Roman" w:hAnsi="Times New Roman" w:cs="Times New Roman"/>
          <w:sz w:val="24"/>
          <w:szCs w:val="24"/>
          <w:lang w:val="en-GB"/>
        </w:rPr>
      </w:pPr>
    </w:p>
    <w:p w14:paraId="61C6F602" w14:textId="77777777" w:rsidR="00563EB3" w:rsidRDefault="00563EB3" w:rsidP="00941879">
      <w:pPr>
        <w:jc w:val="both"/>
        <w:rPr>
          <w:rFonts w:ascii="Times New Roman" w:hAnsi="Times New Roman" w:cs="Times New Roman"/>
          <w:sz w:val="24"/>
          <w:szCs w:val="24"/>
          <w:lang w:val="en-GB"/>
        </w:rPr>
      </w:pPr>
    </w:p>
    <w:p w14:paraId="1947F379" w14:textId="77777777" w:rsidR="00563EB3" w:rsidRDefault="00563EB3" w:rsidP="00941879">
      <w:pPr>
        <w:jc w:val="both"/>
        <w:rPr>
          <w:rFonts w:ascii="Times New Roman" w:hAnsi="Times New Roman" w:cs="Times New Roman"/>
          <w:sz w:val="24"/>
          <w:szCs w:val="24"/>
          <w:lang w:val="en-GB"/>
        </w:rPr>
      </w:pPr>
    </w:p>
    <w:p w14:paraId="51ECD0CB" w14:textId="77777777" w:rsidR="00563EB3" w:rsidRPr="00A737BB" w:rsidRDefault="00563EB3" w:rsidP="00941879">
      <w:pPr>
        <w:jc w:val="both"/>
        <w:rPr>
          <w:rFonts w:ascii="Times New Roman" w:hAnsi="Times New Roman" w:cs="Times New Roman"/>
          <w:sz w:val="24"/>
          <w:szCs w:val="24"/>
          <w:lang w:val="en-GB"/>
        </w:rPr>
      </w:pPr>
    </w:p>
    <w:sdt>
      <w:sdtPr>
        <w:rPr>
          <w:rFonts w:asciiTheme="minorHAnsi" w:eastAsiaTheme="minorEastAsia" w:hAnsiTheme="minorHAnsi" w:cs="Times New Roman"/>
          <w:color w:val="auto"/>
          <w:sz w:val="22"/>
          <w:szCs w:val="22"/>
        </w:rPr>
        <w:id w:val="-1927419570"/>
        <w:docPartObj>
          <w:docPartGallery w:val="Table of Contents"/>
          <w:docPartUnique/>
        </w:docPartObj>
      </w:sdtPr>
      <w:sdtContent>
        <w:p w14:paraId="6A20794C" w14:textId="726FD017" w:rsidR="00C656EE" w:rsidRDefault="00C656EE">
          <w:pPr>
            <w:pStyle w:val="TOCHeading"/>
          </w:pPr>
          <w:r>
            <w:t>Table of Contents</w:t>
          </w:r>
        </w:p>
        <w:p w14:paraId="7ADA3777" w14:textId="7397C27A" w:rsidR="00C656EE" w:rsidRPr="00C656EE" w:rsidRDefault="00C656EE" w:rsidP="00C656EE">
          <w:pPr>
            <w:pStyle w:val="TOC1"/>
          </w:pPr>
          <w:r w:rsidRPr="00C656EE">
            <w:t>Abstract</w:t>
          </w:r>
          <w:r w:rsidRPr="00C656EE">
            <w:ptab w:relativeTo="margin" w:alignment="right" w:leader="dot"/>
          </w:r>
          <w:r w:rsidR="009A61E2">
            <w:t>3</w:t>
          </w:r>
        </w:p>
        <w:p w14:paraId="3B088CEF" w14:textId="2131073A" w:rsidR="00C656EE" w:rsidRDefault="00C656EE" w:rsidP="00C656EE">
          <w:pPr>
            <w:pStyle w:val="TOC1"/>
          </w:pPr>
          <w:r>
            <w:t>1.Introduction</w:t>
          </w:r>
          <w:r>
            <w:ptab w:relativeTo="margin" w:alignment="right" w:leader="dot"/>
          </w:r>
          <w:r w:rsidR="009A61E2">
            <w:t>4</w:t>
          </w:r>
        </w:p>
        <w:p w14:paraId="3672137F" w14:textId="6B6B0848" w:rsidR="00C656EE" w:rsidRPr="001360E3" w:rsidRDefault="00C656EE" w:rsidP="001360E3">
          <w:pPr>
            <w:pStyle w:val="TOC1"/>
          </w:pPr>
          <w:r>
            <w:t>2.Literature Review</w:t>
          </w:r>
          <w:r>
            <w:ptab w:relativeTo="margin" w:alignment="right" w:leader="dot"/>
          </w:r>
          <w:r w:rsidR="00A441C6">
            <w:t>4</w:t>
          </w:r>
        </w:p>
        <w:p w14:paraId="53E46E8C" w14:textId="2AC42899" w:rsidR="00C656EE" w:rsidRPr="00C656EE" w:rsidRDefault="00C656EE" w:rsidP="00C656EE">
          <w:pPr>
            <w:pStyle w:val="TOC2"/>
          </w:pPr>
          <w:r w:rsidRPr="00C656EE">
            <w:t>3. Proposed Security Governance Framework for Aero</w:t>
          </w:r>
          <w:r>
            <w:t xml:space="preserve"> </w:t>
          </w:r>
          <w:r w:rsidRPr="00C656EE">
            <w:t>Link Logistics</w:t>
          </w:r>
          <w:r>
            <w:t>……………………………………………</w:t>
          </w:r>
          <w:proofErr w:type="gramStart"/>
          <w:r>
            <w:t>…..</w:t>
          </w:r>
          <w:proofErr w:type="gramEnd"/>
          <w:r w:rsidR="00F83260">
            <w:t>5</w:t>
          </w:r>
        </w:p>
        <w:p w14:paraId="30E0B05F" w14:textId="7F0A4F43" w:rsidR="00C656EE" w:rsidRPr="00C656EE" w:rsidRDefault="00C656EE" w:rsidP="00C656EE">
          <w:pPr>
            <w:pStyle w:val="TOC2"/>
          </w:pPr>
          <w:r w:rsidRPr="00C656EE">
            <w:t xml:space="preserve">    3.1 Governance Structure ....................................................</w:t>
          </w:r>
          <w:r>
            <w:t>..................................</w:t>
          </w:r>
          <w:r w:rsidRPr="00C656EE">
            <w:t xml:space="preserve">........................... </w:t>
          </w:r>
          <w:r w:rsidR="00F83260">
            <w:t>6</w:t>
          </w:r>
        </w:p>
        <w:p w14:paraId="36DB0394" w14:textId="2C195BCB" w:rsidR="00C656EE" w:rsidRPr="00C656EE" w:rsidRDefault="00C656EE" w:rsidP="00C656EE">
          <w:pPr>
            <w:pStyle w:val="TOC2"/>
          </w:pPr>
          <w:r>
            <w:t xml:space="preserve">    </w:t>
          </w:r>
          <w:r w:rsidRPr="00C656EE">
            <w:t>3.2 Risk Management .............................................................................</w:t>
          </w:r>
          <w:r>
            <w:t>.................................</w:t>
          </w:r>
          <w:r w:rsidRPr="00C656EE">
            <w:t xml:space="preserve">......... </w:t>
          </w:r>
          <w:r w:rsidR="00F83260">
            <w:t>6</w:t>
          </w:r>
        </w:p>
        <w:p w14:paraId="0B252128" w14:textId="1E31A9B7" w:rsidR="00C656EE" w:rsidRPr="00C656EE" w:rsidRDefault="00C656EE" w:rsidP="00C656EE">
          <w:pPr>
            <w:pStyle w:val="TOC2"/>
          </w:pPr>
          <w:r>
            <w:t xml:space="preserve">    </w:t>
          </w:r>
          <w:r w:rsidRPr="00C656EE">
            <w:t>3.3 Security Policies and Procedures ......................................</w:t>
          </w:r>
          <w:r>
            <w:t>....................................</w:t>
          </w:r>
          <w:r w:rsidRPr="00C656EE">
            <w:t xml:space="preserve">...................... </w:t>
          </w:r>
          <w:r w:rsidR="00F83260">
            <w:t>6</w:t>
          </w:r>
        </w:p>
        <w:p w14:paraId="2A75AD96" w14:textId="67ADA84C" w:rsidR="00C656EE" w:rsidRPr="00C656EE" w:rsidRDefault="00C656EE" w:rsidP="00C656EE">
          <w:pPr>
            <w:pStyle w:val="TOC2"/>
          </w:pPr>
          <w:r>
            <w:t xml:space="preserve">    </w:t>
          </w:r>
          <w:r w:rsidRPr="00C656EE">
            <w:t>3.4 Access Control .......................................................</w:t>
          </w:r>
          <w:r>
            <w:t>.................................</w:t>
          </w:r>
          <w:r w:rsidRPr="00C656EE">
            <w:t xml:space="preserve">.................................... </w:t>
          </w:r>
          <w:r w:rsidR="00F83260">
            <w:t>7</w:t>
          </w:r>
        </w:p>
        <w:p w14:paraId="7F9113DA" w14:textId="0323FE61" w:rsidR="00C656EE" w:rsidRPr="00C656EE" w:rsidRDefault="00C656EE" w:rsidP="00C656EE">
          <w:pPr>
            <w:pStyle w:val="TOC2"/>
          </w:pPr>
          <w:r>
            <w:t xml:space="preserve">    </w:t>
          </w:r>
          <w:r w:rsidRPr="00C656EE">
            <w:t>3.5 Compliance (GDPR and ISO/IEC 27001) ............</w:t>
          </w:r>
          <w:r>
            <w:t>......................................</w:t>
          </w:r>
          <w:r w:rsidRPr="00C656EE">
            <w:t>...................................</w:t>
          </w:r>
          <w:r w:rsidR="009A61E2">
            <w:t>.</w:t>
          </w:r>
          <w:r w:rsidRPr="00C656EE">
            <w:t xml:space="preserve"> </w:t>
          </w:r>
          <w:r w:rsidR="00F83260">
            <w:t>7</w:t>
          </w:r>
        </w:p>
        <w:p w14:paraId="7BB39385" w14:textId="0CBD2123" w:rsidR="00C656EE" w:rsidRPr="00C656EE" w:rsidRDefault="00C656EE" w:rsidP="00C656EE">
          <w:pPr>
            <w:pStyle w:val="TOC2"/>
          </w:pPr>
          <w:r>
            <w:t xml:space="preserve">    </w:t>
          </w:r>
          <w:r w:rsidRPr="00C656EE">
            <w:t>3.6 Vendor Management ..............................................</w:t>
          </w:r>
          <w:r>
            <w:t>................................</w:t>
          </w:r>
          <w:r w:rsidRPr="00C656EE">
            <w:t>..................................</w:t>
          </w:r>
          <w:r>
            <w:t>.</w:t>
          </w:r>
          <w:r w:rsidR="009A61E2">
            <w:t>.</w:t>
          </w:r>
          <w:r w:rsidRPr="00C656EE">
            <w:t xml:space="preserve"> </w:t>
          </w:r>
          <w:r w:rsidR="00F83260">
            <w:t>7</w:t>
          </w:r>
        </w:p>
        <w:p w14:paraId="332F42F0" w14:textId="4924F306" w:rsidR="00C656EE" w:rsidRPr="00C656EE" w:rsidRDefault="00C656EE" w:rsidP="00C656EE">
          <w:pPr>
            <w:pStyle w:val="TOC2"/>
          </w:pPr>
          <w:r>
            <w:t xml:space="preserve">    </w:t>
          </w:r>
          <w:r w:rsidRPr="00C656EE">
            <w:t>3.7 Incident Response .............................................</w:t>
          </w:r>
          <w:r>
            <w:t>................................</w:t>
          </w:r>
          <w:r w:rsidRPr="00C656EE">
            <w:t>.......................................</w:t>
          </w:r>
          <w:r>
            <w:t>.</w:t>
          </w:r>
          <w:r w:rsidR="00700A69">
            <w:t xml:space="preserve">  </w:t>
          </w:r>
          <w:r w:rsidRPr="00C656EE">
            <w:t xml:space="preserve"> </w:t>
          </w:r>
          <w:r w:rsidR="00700A69">
            <w:t>8</w:t>
          </w:r>
        </w:p>
        <w:p w14:paraId="3727C123" w14:textId="37B764C0" w:rsidR="00C656EE" w:rsidRDefault="00C656EE" w:rsidP="00C656EE">
          <w:pPr>
            <w:pStyle w:val="TOC2"/>
          </w:pPr>
          <w:r>
            <w:t xml:space="preserve">    </w:t>
          </w:r>
          <w:r w:rsidRPr="00C656EE">
            <w:t>3.8 Business Continuity Planning ...........................................................</w:t>
          </w:r>
          <w:r>
            <w:t>..................................</w:t>
          </w:r>
          <w:r w:rsidRPr="00C656EE">
            <w:t>......</w:t>
          </w:r>
          <w:r w:rsidR="00700A69">
            <w:t>..</w:t>
          </w:r>
          <w:r>
            <w:t>.</w:t>
          </w:r>
          <w:r w:rsidRPr="00C656EE">
            <w:t xml:space="preserve"> </w:t>
          </w:r>
          <w:r w:rsidR="00700A69">
            <w:t>8</w:t>
          </w:r>
        </w:p>
        <w:p w14:paraId="67DA0A18" w14:textId="0A59808C" w:rsidR="00C656EE" w:rsidRPr="00C656EE" w:rsidRDefault="00C656EE" w:rsidP="00C656EE">
          <w:r w:rsidRPr="00C656EE">
            <w:t>4. Critical Discussion ........................................................................................</w:t>
          </w:r>
          <w:r>
            <w:t>..................................</w:t>
          </w:r>
          <w:r w:rsidR="00700A69">
            <w:t>..</w:t>
          </w:r>
          <w:r w:rsidRPr="00C656EE">
            <w:t xml:space="preserve">. </w:t>
          </w:r>
          <w:r w:rsidR="00700A69">
            <w:t>8</w:t>
          </w:r>
        </w:p>
        <w:p w14:paraId="32C224AB" w14:textId="29BE8D1D" w:rsidR="00C656EE" w:rsidRPr="00C656EE" w:rsidRDefault="00C656EE" w:rsidP="00C656EE">
          <w:r w:rsidRPr="00C656EE">
            <w:t>5. Conclusion ....................................................................................................</w:t>
          </w:r>
          <w:r>
            <w:t>.................................</w:t>
          </w:r>
          <w:r w:rsidRPr="00C656EE">
            <w:t>. 1</w:t>
          </w:r>
          <w:r w:rsidR="00700A69">
            <w:t>0</w:t>
          </w:r>
        </w:p>
        <w:p w14:paraId="5D0587D1" w14:textId="292EDEEC" w:rsidR="00C656EE" w:rsidRPr="00C656EE" w:rsidRDefault="00C656EE" w:rsidP="00C656EE">
          <w:r w:rsidRPr="00C656EE">
            <w:t>References ..............................................................................</w:t>
          </w:r>
          <w:r w:rsidR="009A61E2">
            <w:t>...............................</w:t>
          </w:r>
          <w:r w:rsidRPr="00C656EE">
            <w:t>...........................</w:t>
          </w:r>
          <w:r w:rsidR="00354468">
            <w:t>.</w:t>
          </w:r>
          <w:r w:rsidRPr="00C656EE">
            <w:t xml:space="preserve">. </w:t>
          </w:r>
          <w:r w:rsidR="00354468">
            <w:t>11</w:t>
          </w:r>
        </w:p>
        <w:p w14:paraId="0EB09AD6" w14:textId="77777777" w:rsidR="00C656EE" w:rsidRPr="00C656EE" w:rsidRDefault="00C656EE" w:rsidP="00C656EE"/>
        <w:p w14:paraId="49A2F067" w14:textId="7B134CD6" w:rsidR="00C656EE" w:rsidRDefault="00000000">
          <w:pPr>
            <w:pStyle w:val="TOC3"/>
            <w:ind w:left="446"/>
          </w:pPr>
        </w:p>
      </w:sdtContent>
    </w:sdt>
    <w:p w14:paraId="2C497403" w14:textId="77777777" w:rsidR="00A737BB" w:rsidRPr="00A737BB" w:rsidRDefault="00A737BB" w:rsidP="00941879">
      <w:pPr>
        <w:jc w:val="both"/>
        <w:rPr>
          <w:rFonts w:ascii="Times New Roman" w:hAnsi="Times New Roman" w:cs="Times New Roman"/>
          <w:sz w:val="24"/>
          <w:szCs w:val="24"/>
          <w:lang w:val="en-GB"/>
        </w:rPr>
      </w:pPr>
    </w:p>
    <w:p w14:paraId="18F45C54" w14:textId="77777777" w:rsidR="00A737BB" w:rsidRPr="00A737BB" w:rsidRDefault="00A737BB" w:rsidP="00941879">
      <w:pPr>
        <w:jc w:val="both"/>
        <w:rPr>
          <w:rFonts w:ascii="Times New Roman" w:hAnsi="Times New Roman" w:cs="Times New Roman"/>
          <w:sz w:val="24"/>
          <w:szCs w:val="24"/>
          <w:lang w:val="en-GB"/>
        </w:rPr>
      </w:pPr>
    </w:p>
    <w:p w14:paraId="61CD4642" w14:textId="1809810E" w:rsidR="006F44E3" w:rsidRDefault="006F44E3" w:rsidP="00941879">
      <w:pPr>
        <w:pStyle w:val="TOCHeading"/>
        <w:jc w:val="both"/>
      </w:pPr>
    </w:p>
    <w:p w14:paraId="7186AFB2" w14:textId="77777777" w:rsidR="00A737BB" w:rsidRPr="00A737BB" w:rsidRDefault="00A737BB" w:rsidP="00941879">
      <w:pPr>
        <w:jc w:val="both"/>
        <w:rPr>
          <w:rFonts w:ascii="Times New Roman" w:hAnsi="Times New Roman" w:cs="Times New Roman"/>
          <w:sz w:val="24"/>
          <w:szCs w:val="24"/>
          <w:lang w:val="en-GB"/>
        </w:rPr>
      </w:pPr>
    </w:p>
    <w:p w14:paraId="4E6C3E36" w14:textId="77777777" w:rsidR="00A737BB" w:rsidRPr="00A737BB" w:rsidRDefault="00A737BB" w:rsidP="00941879">
      <w:pPr>
        <w:jc w:val="both"/>
        <w:rPr>
          <w:rFonts w:ascii="Times New Roman" w:hAnsi="Times New Roman" w:cs="Times New Roman"/>
          <w:sz w:val="24"/>
          <w:szCs w:val="24"/>
          <w:lang w:val="en-GB"/>
        </w:rPr>
      </w:pPr>
    </w:p>
    <w:p w14:paraId="7493D6A1" w14:textId="77777777" w:rsidR="0064493D" w:rsidRDefault="0064493D" w:rsidP="00941879">
      <w:pPr>
        <w:jc w:val="both"/>
        <w:rPr>
          <w:rFonts w:ascii="Times New Roman" w:hAnsi="Times New Roman" w:cs="Times New Roman"/>
          <w:sz w:val="24"/>
          <w:szCs w:val="24"/>
          <w:lang w:val="en-GB"/>
        </w:rPr>
      </w:pPr>
    </w:p>
    <w:p w14:paraId="4D47AE28" w14:textId="77777777" w:rsidR="0064493D" w:rsidRDefault="0064493D" w:rsidP="00941879">
      <w:pPr>
        <w:jc w:val="both"/>
        <w:rPr>
          <w:rFonts w:ascii="Times New Roman" w:hAnsi="Times New Roman" w:cs="Times New Roman"/>
          <w:sz w:val="24"/>
          <w:szCs w:val="24"/>
          <w:lang w:val="en-GB"/>
        </w:rPr>
      </w:pPr>
    </w:p>
    <w:p w14:paraId="2881BB85" w14:textId="77777777" w:rsidR="0064493D" w:rsidRDefault="0064493D" w:rsidP="00941879">
      <w:pPr>
        <w:jc w:val="both"/>
        <w:rPr>
          <w:rFonts w:ascii="Times New Roman" w:hAnsi="Times New Roman" w:cs="Times New Roman"/>
          <w:sz w:val="24"/>
          <w:szCs w:val="24"/>
          <w:lang w:val="en-GB"/>
        </w:rPr>
      </w:pPr>
    </w:p>
    <w:p w14:paraId="6C62B90A" w14:textId="77777777" w:rsidR="0064493D" w:rsidRDefault="0064493D" w:rsidP="00941879">
      <w:pPr>
        <w:jc w:val="both"/>
        <w:rPr>
          <w:rFonts w:ascii="Times New Roman" w:hAnsi="Times New Roman" w:cs="Times New Roman"/>
          <w:sz w:val="24"/>
          <w:szCs w:val="24"/>
          <w:lang w:val="en-GB"/>
        </w:rPr>
      </w:pPr>
    </w:p>
    <w:p w14:paraId="226F9ED0" w14:textId="77777777" w:rsidR="00563EB3" w:rsidRDefault="00563EB3" w:rsidP="00941879">
      <w:pPr>
        <w:pStyle w:val="NoSpacing"/>
        <w:jc w:val="both"/>
        <w:rPr>
          <w:rStyle w:val="Heading1Char"/>
          <w:rFonts w:ascii="Times New Roman" w:hAnsi="Times New Roman" w:cs="Times New Roman"/>
          <w:b/>
          <w:bCs/>
          <w:sz w:val="30"/>
          <w:szCs w:val="30"/>
          <w:u w:val="single"/>
        </w:rPr>
      </w:pPr>
    </w:p>
    <w:p w14:paraId="7DD5C435" w14:textId="77777777" w:rsidR="00E03044" w:rsidRDefault="00E03044" w:rsidP="00941879">
      <w:pPr>
        <w:pStyle w:val="NoSpacing"/>
        <w:jc w:val="both"/>
        <w:rPr>
          <w:rStyle w:val="Heading1Char"/>
          <w:rFonts w:ascii="Calibri" w:hAnsi="Calibri" w:cs="Calibri"/>
          <w:b/>
          <w:bCs/>
          <w:sz w:val="30"/>
          <w:szCs w:val="30"/>
        </w:rPr>
      </w:pPr>
      <w:bookmarkStart w:id="0" w:name="_Toc235309929"/>
    </w:p>
    <w:p w14:paraId="65252C9D" w14:textId="77777777" w:rsidR="00E03044" w:rsidRDefault="00E03044" w:rsidP="00941879">
      <w:pPr>
        <w:pStyle w:val="NoSpacing"/>
        <w:jc w:val="both"/>
        <w:rPr>
          <w:rStyle w:val="Heading1Char"/>
          <w:rFonts w:ascii="Calibri" w:hAnsi="Calibri" w:cs="Calibri"/>
          <w:b/>
          <w:bCs/>
          <w:sz w:val="30"/>
          <w:szCs w:val="30"/>
        </w:rPr>
      </w:pPr>
    </w:p>
    <w:p w14:paraId="1266F477" w14:textId="77777777" w:rsidR="00E03044" w:rsidRDefault="00E03044" w:rsidP="00941879">
      <w:pPr>
        <w:pStyle w:val="NoSpacing"/>
        <w:jc w:val="both"/>
        <w:rPr>
          <w:rStyle w:val="Heading1Char"/>
          <w:rFonts w:ascii="Calibri" w:hAnsi="Calibri" w:cs="Calibri"/>
          <w:b/>
          <w:bCs/>
          <w:sz w:val="30"/>
          <w:szCs w:val="30"/>
        </w:rPr>
      </w:pPr>
    </w:p>
    <w:p w14:paraId="17DFB8EC" w14:textId="5E2D7ED1" w:rsidR="00EB5E6C" w:rsidRPr="00941879" w:rsidRDefault="00EB5E6C" w:rsidP="00941879">
      <w:pPr>
        <w:pStyle w:val="NoSpacing"/>
        <w:jc w:val="both"/>
        <w:rPr>
          <w:rFonts w:ascii="Calibri" w:hAnsi="Calibri" w:cs="Calibri"/>
          <w:sz w:val="30"/>
          <w:szCs w:val="30"/>
          <w:lang w:val="en-GB"/>
        </w:rPr>
      </w:pPr>
      <w:r w:rsidRPr="00941879">
        <w:rPr>
          <w:rStyle w:val="Heading1Char"/>
          <w:rFonts w:ascii="Calibri" w:hAnsi="Calibri" w:cs="Calibri"/>
          <w:b/>
          <w:bCs/>
          <w:sz w:val="30"/>
          <w:szCs w:val="30"/>
        </w:rPr>
        <w:lastRenderedPageBreak/>
        <w:t>Abstract</w:t>
      </w:r>
      <w:bookmarkEnd w:id="0"/>
    </w:p>
    <w:p w14:paraId="584E9A6F" w14:textId="2061B5FD" w:rsidR="00EB5E6C" w:rsidRPr="00941879" w:rsidRDefault="00EB5E6C" w:rsidP="00941879">
      <w:pPr>
        <w:jc w:val="both"/>
        <w:rPr>
          <w:rFonts w:ascii="Calibri" w:hAnsi="Calibri" w:cs="Calibri"/>
          <w:sz w:val="24"/>
          <w:szCs w:val="24"/>
          <w:lang w:val="en-GB"/>
        </w:rPr>
      </w:pPr>
      <w:r w:rsidRPr="00941879">
        <w:rPr>
          <w:rFonts w:ascii="Calibri" w:hAnsi="Calibri" w:cs="Calibri"/>
          <w:sz w:val="24"/>
          <w:szCs w:val="24"/>
          <w:lang w:val="en-GB"/>
        </w:rPr>
        <w:t xml:space="preserve">This report </w:t>
      </w:r>
      <w:r w:rsidR="00941879" w:rsidRPr="00941879">
        <w:rPr>
          <w:rFonts w:ascii="Calibri" w:hAnsi="Calibri" w:cs="Calibri"/>
          <w:sz w:val="24"/>
          <w:szCs w:val="24"/>
          <w:lang w:val="en-GB"/>
        </w:rPr>
        <w:t>analyses</w:t>
      </w:r>
      <w:r w:rsidRPr="00941879">
        <w:rPr>
          <w:rFonts w:ascii="Calibri" w:hAnsi="Calibri" w:cs="Calibri"/>
          <w:sz w:val="24"/>
          <w:szCs w:val="24"/>
          <w:lang w:val="en-GB"/>
        </w:rPr>
        <w:t xml:space="preserve"> the security governance and compliance issues confronting Aero</w:t>
      </w:r>
      <w:r w:rsidR="00941879" w:rsidRPr="00941879">
        <w:rPr>
          <w:rFonts w:ascii="Calibri" w:hAnsi="Calibri" w:cs="Calibri"/>
          <w:sz w:val="24"/>
          <w:szCs w:val="24"/>
          <w:lang w:val="en-GB"/>
        </w:rPr>
        <w:t xml:space="preserve"> </w:t>
      </w:r>
      <w:r w:rsidRPr="00941879">
        <w:rPr>
          <w:rFonts w:ascii="Calibri" w:hAnsi="Calibri" w:cs="Calibri"/>
          <w:sz w:val="24"/>
          <w:szCs w:val="24"/>
          <w:lang w:val="en-GB"/>
        </w:rPr>
        <w:t xml:space="preserve">Link Logistics (ALL), a global logistics company that relies significantly on third-party cloud infrastructure, IoT-enabled tracking devices, and AI-powered analytics. </w:t>
      </w:r>
      <w:proofErr w:type="gramStart"/>
      <w:r w:rsidRPr="00941879">
        <w:rPr>
          <w:rFonts w:ascii="Calibri" w:hAnsi="Calibri" w:cs="Calibri"/>
          <w:sz w:val="24"/>
          <w:szCs w:val="24"/>
          <w:lang w:val="en-GB"/>
        </w:rPr>
        <w:t>In spite of</w:t>
      </w:r>
      <w:proofErr w:type="gramEnd"/>
      <w:r w:rsidRPr="00941879">
        <w:rPr>
          <w:rFonts w:ascii="Calibri" w:hAnsi="Calibri" w:cs="Calibri"/>
          <w:sz w:val="24"/>
          <w:szCs w:val="24"/>
          <w:lang w:val="en-GB"/>
        </w:rPr>
        <w:t xml:space="preserve"> this technological complexity, ALL currently does not have a cohesive security framework, a centralized risk management process, and established compliance auditing, leading to ongoing data breaches and persistent vendor accountability issues. Utilizing contemporary literature concerning the NIST Cybersecurity Framework, ISO/IEC 27001,</w:t>
      </w:r>
      <w:r w:rsidR="00C10D32">
        <w:rPr>
          <w:rFonts w:ascii="Calibri" w:hAnsi="Calibri" w:cs="Calibri"/>
          <w:sz w:val="24"/>
          <w:szCs w:val="24"/>
          <w:lang w:val="en-GB"/>
        </w:rPr>
        <w:t xml:space="preserve"> </w:t>
      </w:r>
      <w:r w:rsidRPr="00941879">
        <w:rPr>
          <w:rFonts w:ascii="Calibri" w:hAnsi="Calibri" w:cs="Calibri"/>
          <w:sz w:val="24"/>
          <w:szCs w:val="24"/>
          <w:lang w:val="en-GB"/>
        </w:rPr>
        <w:t>ITIL 4, and risk guidance specific to AI/IoT, this report thoroughly assesses current security governance models prior to suggesting a comprehensive framework suited to ALL's operational environment. The suggested design focuses on governance structure, risk management, security policy, access control, compliance with GDPR and ISO/IEC 27001, vendor management, incident response, and planning for business continuity. The report finds that no singular framework sufficiently meets ALL's requirements, and that a purposefully integrated, risk-oriented strategy is necessary to ensure sustainable security governance and regulatory adherence.</w:t>
      </w:r>
    </w:p>
    <w:p w14:paraId="6F2C2F61" w14:textId="77777777" w:rsidR="006D2E93" w:rsidRDefault="006D2E93" w:rsidP="00941879">
      <w:pPr>
        <w:jc w:val="both"/>
        <w:rPr>
          <w:rFonts w:ascii="Times New Roman" w:hAnsi="Times New Roman" w:cs="Times New Roman"/>
          <w:sz w:val="24"/>
          <w:szCs w:val="24"/>
          <w:lang w:val="en-GB"/>
        </w:rPr>
      </w:pPr>
    </w:p>
    <w:p w14:paraId="0215212E" w14:textId="77777777" w:rsidR="006D2E93" w:rsidRPr="0064493D" w:rsidRDefault="006D2E93" w:rsidP="00941879">
      <w:pPr>
        <w:jc w:val="both"/>
        <w:rPr>
          <w:rFonts w:ascii="Times New Roman" w:hAnsi="Times New Roman" w:cs="Times New Roman"/>
          <w:sz w:val="24"/>
          <w:szCs w:val="24"/>
          <w:lang w:val="en-GB"/>
        </w:rPr>
      </w:pPr>
    </w:p>
    <w:p w14:paraId="5FE3ECCD" w14:textId="77777777" w:rsidR="00EB5E6C" w:rsidRPr="0064493D" w:rsidRDefault="00EB5E6C" w:rsidP="00941879">
      <w:pPr>
        <w:jc w:val="both"/>
        <w:rPr>
          <w:rFonts w:ascii="Times New Roman" w:hAnsi="Times New Roman" w:cs="Times New Roman"/>
          <w:sz w:val="24"/>
          <w:szCs w:val="24"/>
          <w:lang w:val="en-GB"/>
        </w:rPr>
      </w:pPr>
    </w:p>
    <w:p w14:paraId="14534A0A" w14:textId="77777777" w:rsidR="00EB5E6C" w:rsidRPr="0064493D" w:rsidRDefault="00EB5E6C" w:rsidP="00941879">
      <w:pPr>
        <w:jc w:val="both"/>
        <w:rPr>
          <w:rFonts w:ascii="Times New Roman" w:hAnsi="Times New Roman" w:cs="Times New Roman"/>
          <w:sz w:val="24"/>
          <w:szCs w:val="24"/>
          <w:lang w:val="en-GB"/>
        </w:rPr>
      </w:pPr>
    </w:p>
    <w:p w14:paraId="36146ADA" w14:textId="77777777" w:rsidR="00EB5E6C" w:rsidRPr="0064493D" w:rsidRDefault="00EB5E6C" w:rsidP="00941879">
      <w:pPr>
        <w:jc w:val="both"/>
        <w:rPr>
          <w:rFonts w:ascii="Times New Roman" w:hAnsi="Times New Roman" w:cs="Times New Roman"/>
          <w:sz w:val="24"/>
          <w:szCs w:val="24"/>
          <w:lang w:val="en-GB"/>
        </w:rPr>
      </w:pPr>
    </w:p>
    <w:p w14:paraId="57267DE7" w14:textId="77777777" w:rsidR="00EB5E6C" w:rsidRPr="0064493D" w:rsidRDefault="00EB5E6C" w:rsidP="00941879">
      <w:pPr>
        <w:jc w:val="both"/>
        <w:rPr>
          <w:rFonts w:ascii="Times New Roman" w:hAnsi="Times New Roman" w:cs="Times New Roman"/>
          <w:sz w:val="24"/>
          <w:szCs w:val="24"/>
          <w:lang w:val="en-GB"/>
        </w:rPr>
      </w:pPr>
    </w:p>
    <w:p w14:paraId="7392FFFB" w14:textId="77777777" w:rsidR="0064493D" w:rsidRPr="0064493D" w:rsidRDefault="0064493D" w:rsidP="00941879">
      <w:pPr>
        <w:jc w:val="both"/>
        <w:rPr>
          <w:rFonts w:ascii="Times New Roman" w:hAnsi="Times New Roman" w:cs="Times New Roman"/>
          <w:sz w:val="24"/>
          <w:szCs w:val="24"/>
          <w:lang w:val="en-GB"/>
        </w:rPr>
      </w:pPr>
    </w:p>
    <w:p w14:paraId="018EB4ED" w14:textId="77777777" w:rsidR="0064493D" w:rsidRPr="0064493D" w:rsidRDefault="0064493D" w:rsidP="00941879">
      <w:pPr>
        <w:jc w:val="both"/>
        <w:rPr>
          <w:rFonts w:ascii="Times New Roman" w:hAnsi="Times New Roman" w:cs="Times New Roman"/>
          <w:sz w:val="24"/>
          <w:szCs w:val="24"/>
          <w:lang w:val="en-GB"/>
        </w:rPr>
      </w:pPr>
    </w:p>
    <w:p w14:paraId="02D7528E" w14:textId="77777777" w:rsidR="0064493D" w:rsidRPr="0064493D" w:rsidRDefault="0064493D" w:rsidP="00941879">
      <w:pPr>
        <w:jc w:val="both"/>
        <w:rPr>
          <w:rFonts w:ascii="Times New Roman" w:hAnsi="Times New Roman" w:cs="Times New Roman"/>
          <w:sz w:val="24"/>
          <w:szCs w:val="24"/>
          <w:lang w:val="en-GB"/>
        </w:rPr>
      </w:pPr>
    </w:p>
    <w:p w14:paraId="62318943" w14:textId="77777777" w:rsidR="0064493D" w:rsidRPr="0064493D" w:rsidRDefault="0064493D" w:rsidP="00941879">
      <w:pPr>
        <w:jc w:val="both"/>
        <w:rPr>
          <w:rFonts w:ascii="Times New Roman" w:hAnsi="Times New Roman" w:cs="Times New Roman"/>
          <w:sz w:val="24"/>
          <w:szCs w:val="24"/>
          <w:lang w:val="en-GB"/>
        </w:rPr>
      </w:pPr>
    </w:p>
    <w:p w14:paraId="3B9C2BFE" w14:textId="77777777" w:rsidR="0064493D" w:rsidRPr="0064493D" w:rsidRDefault="0064493D" w:rsidP="00941879">
      <w:pPr>
        <w:jc w:val="both"/>
        <w:rPr>
          <w:rFonts w:ascii="Times New Roman" w:hAnsi="Times New Roman" w:cs="Times New Roman"/>
          <w:sz w:val="24"/>
          <w:szCs w:val="24"/>
          <w:lang w:val="en-GB"/>
        </w:rPr>
      </w:pPr>
    </w:p>
    <w:p w14:paraId="3AD6C1A1" w14:textId="77777777" w:rsidR="0064493D" w:rsidRPr="0064493D" w:rsidRDefault="0064493D" w:rsidP="00941879">
      <w:pPr>
        <w:jc w:val="both"/>
        <w:rPr>
          <w:rFonts w:ascii="Times New Roman" w:hAnsi="Times New Roman" w:cs="Times New Roman"/>
          <w:sz w:val="24"/>
          <w:szCs w:val="24"/>
          <w:lang w:val="en-GB"/>
        </w:rPr>
      </w:pPr>
    </w:p>
    <w:p w14:paraId="31155654" w14:textId="77777777" w:rsidR="0064493D" w:rsidRPr="0064493D" w:rsidRDefault="0064493D" w:rsidP="00941879">
      <w:pPr>
        <w:jc w:val="both"/>
        <w:rPr>
          <w:rFonts w:ascii="Times New Roman" w:hAnsi="Times New Roman" w:cs="Times New Roman"/>
          <w:sz w:val="24"/>
          <w:szCs w:val="24"/>
          <w:lang w:val="en-GB"/>
        </w:rPr>
      </w:pPr>
    </w:p>
    <w:p w14:paraId="2D8FF23C" w14:textId="77777777" w:rsidR="0064493D" w:rsidRPr="0064493D" w:rsidRDefault="0064493D" w:rsidP="00941879">
      <w:pPr>
        <w:jc w:val="both"/>
        <w:rPr>
          <w:rFonts w:ascii="Times New Roman" w:hAnsi="Times New Roman" w:cs="Times New Roman"/>
          <w:sz w:val="24"/>
          <w:szCs w:val="24"/>
          <w:lang w:val="en-GB"/>
        </w:rPr>
      </w:pPr>
    </w:p>
    <w:p w14:paraId="452F8F9E" w14:textId="77777777" w:rsidR="0064493D" w:rsidRPr="0064493D" w:rsidRDefault="0064493D" w:rsidP="00941879">
      <w:pPr>
        <w:jc w:val="both"/>
        <w:rPr>
          <w:rFonts w:ascii="Times New Roman" w:hAnsi="Times New Roman" w:cs="Times New Roman"/>
          <w:sz w:val="24"/>
          <w:szCs w:val="24"/>
          <w:lang w:val="en-GB"/>
        </w:rPr>
      </w:pPr>
    </w:p>
    <w:p w14:paraId="03100AAE" w14:textId="77777777" w:rsidR="0064493D" w:rsidRPr="0064493D" w:rsidRDefault="0064493D" w:rsidP="00941879">
      <w:pPr>
        <w:jc w:val="both"/>
        <w:rPr>
          <w:rFonts w:ascii="Times New Roman" w:hAnsi="Times New Roman" w:cs="Times New Roman"/>
          <w:sz w:val="24"/>
          <w:szCs w:val="24"/>
          <w:lang w:val="en-GB"/>
        </w:rPr>
      </w:pPr>
    </w:p>
    <w:p w14:paraId="70A06255" w14:textId="77777777" w:rsidR="0064493D" w:rsidRPr="0064493D" w:rsidRDefault="0064493D" w:rsidP="00941879">
      <w:pPr>
        <w:jc w:val="both"/>
        <w:rPr>
          <w:rFonts w:ascii="Times New Roman" w:hAnsi="Times New Roman" w:cs="Times New Roman"/>
          <w:sz w:val="24"/>
          <w:szCs w:val="24"/>
          <w:lang w:val="en-GB"/>
        </w:rPr>
      </w:pPr>
    </w:p>
    <w:p w14:paraId="3571A3D5" w14:textId="77777777" w:rsidR="0064493D" w:rsidRPr="0064493D" w:rsidRDefault="0064493D" w:rsidP="00941879">
      <w:pPr>
        <w:jc w:val="both"/>
        <w:rPr>
          <w:rFonts w:ascii="Times New Roman" w:hAnsi="Times New Roman" w:cs="Times New Roman"/>
          <w:sz w:val="24"/>
          <w:szCs w:val="24"/>
          <w:lang w:val="en-GB"/>
        </w:rPr>
      </w:pPr>
    </w:p>
    <w:p w14:paraId="18E7595A" w14:textId="77777777" w:rsidR="0064493D" w:rsidRPr="0064493D" w:rsidRDefault="0064493D" w:rsidP="00941879">
      <w:pPr>
        <w:jc w:val="both"/>
        <w:rPr>
          <w:rFonts w:ascii="Times New Roman" w:hAnsi="Times New Roman" w:cs="Times New Roman"/>
          <w:sz w:val="24"/>
          <w:szCs w:val="24"/>
          <w:lang w:val="en-GB"/>
        </w:rPr>
      </w:pPr>
    </w:p>
    <w:p w14:paraId="6379364E" w14:textId="77777777" w:rsidR="00C72BC1" w:rsidRDefault="00B560CA" w:rsidP="00C72BC1">
      <w:pPr>
        <w:jc w:val="both"/>
        <w:rPr>
          <w:rStyle w:val="Heading1Char"/>
          <w:rFonts w:ascii="Calibri" w:hAnsi="Calibri" w:cs="Calibri"/>
          <w:b/>
          <w:bCs/>
          <w:sz w:val="30"/>
          <w:szCs w:val="30"/>
        </w:rPr>
      </w:pPr>
      <w:bookmarkStart w:id="1" w:name="_Toc235309930"/>
      <w:r w:rsidRPr="00941879">
        <w:rPr>
          <w:rStyle w:val="Heading1Char"/>
          <w:rFonts w:ascii="Calibri" w:hAnsi="Calibri" w:cs="Calibri"/>
          <w:b/>
          <w:bCs/>
          <w:sz w:val="30"/>
          <w:szCs w:val="30"/>
        </w:rPr>
        <w:t>Introduction</w:t>
      </w:r>
      <w:bookmarkStart w:id="2" w:name="_Toc235309931"/>
      <w:bookmarkEnd w:id="1"/>
    </w:p>
    <w:p w14:paraId="115C8B16" w14:textId="7903AE8B" w:rsidR="00CC6A0A" w:rsidRPr="00C72BC1" w:rsidRDefault="00CC6A0A" w:rsidP="00C72BC1">
      <w:pPr>
        <w:jc w:val="both"/>
        <w:rPr>
          <w:rFonts w:ascii="Calibri" w:eastAsiaTheme="majorEastAsia" w:hAnsi="Calibri" w:cs="Calibri"/>
          <w:b/>
          <w:bCs/>
          <w:color w:val="2F5496" w:themeColor="accent1" w:themeShade="BF"/>
          <w:sz w:val="30"/>
          <w:szCs w:val="30"/>
        </w:rPr>
      </w:pPr>
      <w:r w:rsidRPr="00CC6A0A">
        <w:rPr>
          <w:rFonts w:ascii="Calibri" w:hAnsi="Calibri" w:cs="Calibri"/>
          <w:sz w:val="24"/>
          <w:szCs w:val="24"/>
        </w:rPr>
        <w:t xml:space="preserve">Contemporary business networks encounter rising cybersecurity risks from cloud services, telecommuting, IoT gadgets, and the escalating quantity of interconnected services. Conventional perimeter-based security approaches are inadequate now as attackers can utilize compromised devices and user credentials to navigate laterally within enterprise networks. As a result, organizations are progressively embracing Zero Trust Architecture (ZTA), which adheres to the concept of "never trust, always verify" by persistently confirming users, devices, and applications prior to permitting access to organizational resources </w:t>
      </w:r>
      <w:sdt>
        <w:sdtPr>
          <w:rPr>
            <w:rFonts w:ascii="Calibri" w:hAnsi="Calibri" w:cs="Calibri"/>
            <w:color w:val="000000"/>
            <w:sz w:val="24"/>
            <w:szCs w:val="24"/>
            <w:highlight w:val="white"/>
          </w:rPr>
          <w:alias w:val="Citation"/>
          <w:tag w:val="{&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6881358"/>
          <w:placeholder>
            <w:docPart w:val="DD5E0BF45CF346C8801A4A933BA1F56C"/>
          </w:placeholder>
        </w:sdtPr>
        <w:sdtContent>
          <w:r w:rsidR="00DF67C1">
            <w:rPr>
              <w:rFonts w:ascii="Calibri" w:eastAsia="Times New Roman" w:hAnsi="Calibri" w:cs="Calibri"/>
              <w:color w:val="000000"/>
            </w:rPr>
            <w:t>[1]</w:t>
          </w:r>
        </w:sdtContent>
      </w:sdt>
      <w:r w:rsidRPr="00CC6A0A">
        <w:rPr>
          <w:rFonts w:ascii="Calibri" w:hAnsi="Calibri" w:cs="Calibri"/>
          <w:sz w:val="24"/>
          <w:szCs w:val="24"/>
        </w:rPr>
        <w:t>,</w:t>
      </w:r>
      <w:r w:rsidRPr="00C72BC1">
        <w:rPr>
          <w:rFonts w:ascii="Calibri" w:hAnsi="Calibri" w:cs="Calibri"/>
          <w:sz w:val="24"/>
          <w:szCs w:val="24"/>
        </w:rPr>
        <w:t xml:space="preserve"> </w:t>
      </w:r>
      <w:sdt>
        <w:sdtPr>
          <w:rPr>
            <w:rFonts w:ascii="Calibri" w:hAnsi="Calibri" w:cs="Calibri"/>
            <w:color w:val="000000"/>
            <w:sz w:val="24"/>
            <w:szCs w:val="24"/>
            <w:highlight w:val="white"/>
          </w:rPr>
          <w:alias w:val="Citation"/>
          <w:tag w:val="{&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9937929"/>
          <w:placeholder>
            <w:docPart w:val="811300E525C0457E849A81F1C75BC34F"/>
          </w:placeholder>
        </w:sdtPr>
        <w:sdtContent>
          <w:r w:rsidR="00DF67C1">
            <w:rPr>
              <w:rFonts w:ascii="Calibri" w:eastAsia="Times New Roman" w:hAnsi="Calibri" w:cs="Calibri"/>
              <w:color w:val="000000"/>
            </w:rPr>
            <w:t>[2]</w:t>
          </w:r>
        </w:sdtContent>
      </w:sdt>
      <w:r w:rsidRPr="00CC6A0A">
        <w:rPr>
          <w:rFonts w:ascii="Calibri" w:hAnsi="Calibri" w:cs="Calibri"/>
          <w:sz w:val="24"/>
          <w:szCs w:val="24"/>
        </w:rPr>
        <w:t>. Additionally, enterprise firewalls that integrate Zero Trust principles offer enhanced access control, ongoing monitoring, least-privilege enforcement, and centralized security management, rendering them appropriate for safeguarding contemporary enterprise infrastructures</w:t>
      </w:r>
      <w:r w:rsidR="00A841FD">
        <w:rPr>
          <w:rFonts w:ascii="Calibri" w:hAnsi="Calibri" w:cs="Calibri"/>
          <w:sz w:val="24"/>
          <w:szCs w:val="24"/>
        </w:rPr>
        <w:t xml:space="preserve"> </w:t>
      </w:r>
      <w:sdt>
        <w:sdtPr>
          <w:rPr>
            <w:rFonts w:ascii="Calibri" w:hAnsi="Calibri" w:cs="Calibri"/>
            <w:color w:val="000000"/>
            <w:sz w:val="24"/>
            <w:szCs w:val="24"/>
            <w:highlight w:val="white"/>
          </w:rPr>
          <w:alias w:val="Citation"/>
          <w:tag w:val="{&quot;referencesIds&quot;:[&quot;doc:6a5d8a5c2db3087ec5ef5683&quot;],&quot;referencesOptions&quot;:{&quot;doc:6a5d8a5c2db3087ec5ef5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42021231"/>
          <w:placeholder>
            <w:docPart w:val="E170C156EC6643B28146FD74C51C2FD4"/>
          </w:placeholder>
        </w:sdtPr>
        <w:sdtContent>
          <w:r w:rsidR="00DF67C1">
            <w:rPr>
              <w:rFonts w:ascii="Calibri" w:eastAsia="Times New Roman" w:hAnsi="Calibri" w:cs="Calibri"/>
              <w:color w:val="000000"/>
            </w:rPr>
            <w:t>[4]</w:t>
          </w:r>
        </w:sdtContent>
      </w:sdt>
      <w:r w:rsidRPr="00CC6A0A">
        <w:rPr>
          <w:rFonts w:ascii="Calibri" w:hAnsi="Calibri" w:cs="Calibri"/>
          <w:sz w:val="24"/>
          <w:szCs w:val="24"/>
        </w:rPr>
        <w:t>. These security principles establish the basis for deploying Check Point Gaia Security Gateway and Smart</w:t>
      </w:r>
      <w:r>
        <w:rPr>
          <w:rFonts w:ascii="Calibri" w:hAnsi="Calibri" w:cs="Calibri"/>
          <w:sz w:val="24"/>
          <w:szCs w:val="24"/>
        </w:rPr>
        <w:t xml:space="preserve"> </w:t>
      </w:r>
      <w:r w:rsidRPr="00CC6A0A">
        <w:rPr>
          <w:rFonts w:ascii="Calibri" w:hAnsi="Calibri" w:cs="Calibri"/>
          <w:sz w:val="24"/>
          <w:szCs w:val="24"/>
        </w:rPr>
        <w:t xml:space="preserve">Console in this initiative, enabling secure network management and enhanced threat defence </w:t>
      </w:r>
      <w:sdt>
        <w:sdtPr>
          <w:rPr>
            <w:rFonts w:ascii="Calibri" w:hAnsi="Calibri" w:cs="Calibri"/>
            <w:color w:val="000000"/>
            <w:sz w:val="24"/>
            <w:szCs w:val="24"/>
            <w:highlight w:val="white"/>
          </w:rPr>
          <w:alias w:val="Citation"/>
          <w:tag w:val="{&quot;referencesIds&quot;:[&quot;doc:6a5d8a5c2db3087ec5ef5681&quot;],&quot;referencesOptions&quot;:{&quot;doc:6a5d8a5c2db3087ec5ef56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07257333"/>
          <w:placeholder>
            <w:docPart w:val="EED02400B51843FCAAAF3A548E1BCDF7"/>
          </w:placeholder>
        </w:sdtPr>
        <w:sdtContent>
          <w:r w:rsidR="00DF67C1">
            <w:rPr>
              <w:rFonts w:ascii="Calibri" w:eastAsia="Times New Roman" w:hAnsi="Calibri" w:cs="Calibri"/>
              <w:color w:val="000000"/>
            </w:rPr>
            <w:t>[5]</w:t>
          </w:r>
        </w:sdtContent>
      </w:sdt>
      <w:r w:rsidRPr="00CC6A0A">
        <w:rPr>
          <w:rFonts w:ascii="Calibri" w:hAnsi="Calibri" w:cs="Calibri"/>
          <w:sz w:val="24"/>
          <w:szCs w:val="24"/>
        </w:rPr>
        <w:t xml:space="preserve">, </w:t>
      </w:r>
      <w:sdt>
        <w:sdtPr>
          <w:rPr>
            <w:rFonts w:ascii="Calibri" w:hAnsi="Calibri" w:cs="Calibri"/>
            <w:color w:val="000000"/>
            <w:sz w:val="24"/>
            <w:szCs w:val="24"/>
            <w:highlight w:val="white"/>
          </w:rPr>
          <w:alias w:val="Citation"/>
          <w:tag w:val="{&quot;referencesIds&quot;:[&quot;doc:6a5d8a5cc2ecfb3df852878b&quot;],&quot;referencesOptions&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1669411"/>
          <w:placeholder>
            <w:docPart w:val="4E1E0036681E4AFC8EA00A17E071AEE4"/>
          </w:placeholder>
        </w:sdtPr>
        <w:sdtContent>
          <w:r w:rsidR="00DF67C1">
            <w:rPr>
              <w:rFonts w:ascii="Calibri" w:eastAsia="Times New Roman" w:hAnsi="Calibri" w:cs="Calibri"/>
              <w:color w:val="000000"/>
            </w:rPr>
            <w:t>[6]</w:t>
          </w:r>
        </w:sdtContent>
      </w:sdt>
      <w:r w:rsidRPr="00CC6A0A">
        <w:rPr>
          <w:rFonts w:ascii="Calibri" w:hAnsi="Calibri" w:cs="Calibri"/>
          <w:sz w:val="24"/>
          <w:szCs w:val="24"/>
        </w:rPr>
        <w:t xml:space="preserve">, </w:t>
      </w:r>
      <w:sdt>
        <w:sdtPr>
          <w:rPr>
            <w:rFonts w:ascii="Calibri" w:hAnsi="Calibri" w:cs="Calibri"/>
            <w:color w:val="000000"/>
            <w:sz w:val="24"/>
            <w:szCs w:val="24"/>
            <w:highlight w:val="white"/>
          </w:rPr>
          <w:alias w:val="Citation"/>
          <w:tag w:val="{&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6180473"/>
          <w:placeholder>
            <w:docPart w:val="E4373D5493934E99BD6E4205D06053B7"/>
          </w:placeholder>
        </w:sdtPr>
        <w:sdtContent>
          <w:r w:rsidR="00DF67C1">
            <w:rPr>
              <w:rFonts w:ascii="Calibri" w:eastAsia="Times New Roman" w:hAnsi="Calibri" w:cs="Calibri"/>
              <w:color w:val="000000"/>
            </w:rPr>
            <w:t>[7]</w:t>
          </w:r>
        </w:sdtContent>
      </w:sdt>
      <w:r w:rsidRPr="00CC6A0A">
        <w:rPr>
          <w:rFonts w:ascii="Calibri" w:hAnsi="Calibri" w:cs="Calibri"/>
          <w:sz w:val="24"/>
          <w:szCs w:val="24"/>
        </w:rPr>
        <w:t>.</w:t>
      </w:r>
    </w:p>
    <w:p w14:paraId="755CDC73" w14:textId="77777777" w:rsidR="00C72BC1" w:rsidRDefault="00C72BC1" w:rsidP="00941879">
      <w:pPr>
        <w:pStyle w:val="Heading1"/>
        <w:jc w:val="both"/>
        <w:rPr>
          <w:rFonts w:asciiTheme="minorHAnsi" w:hAnsiTheme="minorHAnsi" w:cstheme="minorHAnsi"/>
          <w:b/>
          <w:bCs/>
          <w:sz w:val="30"/>
          <w:szCs w:val="30"/>
          <w:lang w:val="en-GB"/>
        </w:rPr>
      </w:pPr>
    </w:p>
    <w:p w14:paraId="4805B3CC" w14:textId="77777777" w:rsidR="00C72BC1" w:rsidRDefault="00C72BC1" w:rsidP="00941879">
      <w:pPr>
        <w:pStyle w:val="Heading1"/>
        <w:jc w:val="both"/>
        <w:rPr>
          <w:rFonts w:asciiTheme="minorHAnsi" w:hAnsiTheme="minorHAnsi" w:cstheme="minorHAnsi"/>
          <w:b/>
          <w:bCs/>
          <w:sz w:val="30"/>
          <w:szCs w:val="30"/>
          <w:lang w:val="en-GB"/>
        </w:rPr>
      </w:pPr>
    </w:p>
    <w:p w14:paraId="387CDCD7" w14:textId="77777777" w:rsidR="00C72BC1" w:rsidRDefault="00C72BC1" w:rsidP="00941879">
      <w:pPr>
        <w:pStyle w:val="Heading1"/>
        <w:jc w:val="both"/>
        <w:rPr>
          <w:rFonts w:asciiTheme="minorHAnsi" w:hAnsiTheme="minorHAnsi" w:cstheme="minorHAnsi"/>
          <w:b/>
          <w:bCs/>
          <w:sz w:val="30"/>
          <w:szCs w:val="30"/>
          <w:lang w:val="en-GB"/>
        </w:rPr>
      </w:pPr>
    </w:p>
    <w:p w14:paraId="4F19E8D2" w14:textId="77777777" w:rsidR="00C72BC1" w:rsidRDefault="00C72BC1" w:rsidP="00941879">
      <w:pPr>
        <w:pStyle w:val="Heading1"/>
        <w:jc w:val="both"/>
        <w:rPr>
          <w:rFonts w:asciiTheme="minorHAnsi" w:hAnsiTheme="minorHAnsi" w:cstheme="minorHAnsi"/>
          <w:b/>
          <w:bCs/>
          <w:sz w:val="30"/>
          <w:szCs w:val="30"/>
          <w:lang w:val="en-GB"/>
        </w:rPr>
      </w:pPr>
    </w:p>
    <w:p w14:paraId="7AD8FD1E" w14:textId="77777777" w:rsidR="00C72BC1" w:rsidRDefault="00C72BC1" w:rsidP="00C72BC1">
      <w:pPr>
        <w:rPr>
          <w:lang w:val="en-GB"/>
        </w:rPr>
      </w:pPr>
    </w:p>
    <w:p w14:paraId="716256BA" w14:textId="77777777" w:rsidR="00C72BC1" w:rsidRDefault="00C72BC1" w:rsidP="00C72BC1">
      <w:pPr>
        <w:rPr>
          <w:lang w:val="en-GB"/>
        </w:rPr>
      </w:pPr>
    </w:p>
    <w:p w14:paraId="5238D90A" w14:textId="77777777" w:rsidR="00C72BC1" w:rsidRDefault="00C72BC1" w:rsidP="00C72BC1">
      <w:pPr>
        <w:rPr>
          <w:lang w:val="en-GB"/>
        </w:rPr>
      </w:pPr>
    </w:p>
    <w:p w14:paraId="00D26D92" w14:textId="755EECCC" w:rsidR="00C72BC1" w:rsidRPr="00C72BC1" w:rsidRDefault="00C72BC1" w:rsidP="00C72BC1">
      <w:pPr>
        <w:rPr>
          <w:lang w:val="en-GB"/>
        </w:rPr>
      </w:pPr>
    </w:p>
    <w:p w14:paraId="05B85659" w14:textId="6560D6B6" w:rsidR="009179F8" w:rsidRPr="00941879" w:rsidRDefault="009179F8" w:rsidP="00941879">
      <w:pPr>
        <w:pStyle w:val="Heading1"/>
        <w:jc w:val="both"/>
        <w:rPr>
          <w:rFonts w:asciiTheme="minorHAnsi" w:hAnsiTheme="minorHAnsi" w:cstheme="minorHAnsi"/>
          <w:b/>
          <w:bCs/>
          <w:sz w:val="30"/>
          <w:szCs w:val="30"/>
          <w:lang w:val="en-GB"/>
        </w:rPr>
      </w:pPr>
      <w:r w:rsidRPr="00941879">
        <w:rPr>
          <w:rFonts w:asciiTheme="minorHAnsi" w:hAnsiTheme="minorHAnsi" w:cstheme="minorHAnsi"/>
          <w:b/>
          <w:bCs/>
          <w:sz w:val="30"/>
          <w:szCs w:val="30"/>
          <w:lang w:val="en-GB"/>
        </w:rPr>
        <w:t>Literature Review</w:t>
      </w:r>
      <w:bookmarkEnd w:id="2"/>
    </w:p>
    <w:p w14:paraId="218730EC" w14:textId="34E91E33" w:rsidR="000D4BBE" w:rsidRPr="000D4BBE" w:rsidRDefault="000D4BBE" w:rsidP="000D4BBE">
      <w:pPr>
        <w:jc w:val="both"/>
        <w:rPr>
          <w:rFonts w:cstheme="minorHAnsi"/>
          <w:sz w:val="24"/>
          <w:szCs w:val="24"/>
          <w:lang w:val="en-GB"/>
        </w:rPr>
      </w:pPr>
      <w:r w:rsidRPr="000D4BBE">
        <w:rPr>
          <w:rFonts w:cstheme="minorHAnsi"/>
          <w:sz w:val="24"/>
          <w:szCs w:val="24"/>
          <w:lang w:val="en-GB"/>
        </w:rPr>
        <w:t xml:space="preserve">Organizations are progressively implementing Zero Trust Architecture (ZTA) to enhance enterprise network security in response to contemporary cyber threats. In contrast to conventional perimeter-based security models, Zero Trust operates on the premise that no user, device, or application should be inherently trusted, whether located within or beyond the organizational network. Each access request must be persistently verified, permitted, and </w:t>
      </w:r>
      <w:r w:rsidRPr="000D4BBE">
        <w:rPr>
          <w:rFonts w:cstheme="minorHAnsi"/>
          <w:sz w:val="24"/>
          <w:szCs w:val="24"/>
          <w:lang w:val="en-GB"/>
        </w:rPr>
        <w:lastRenderedPageBreak/>
        <w:t>overseen prior to granting access. Rose et al.  presented the Zero Trust model founded on the concept of "never trust, always verify," offering an organized method to limit lateral movement and lessen the effects of compromised credentials</w:t>
      </w:r>
      <w:r>
        <w:rPr>
          <w:rFonts w:cstheme="minorHAnsi"/>
          <w:sz w:val="24"/>
          <w:szCs w:val="24"/>
          <w:lang w:val="en-GB"/>
        </w:rPr>
        <w:t xml:space="preserve"> </w:t>
      </w:r>
      <w:sdt>
        <w:sdtPr>
          <w:rPr>
            <w:rFonts w:ascii="Calibri" w:hAnsi="Calibri" w:cs="Calibri"/>
            <w:color w:val="000000"/>
            <w:sz w:val="24"/>
            <w:szCs w:val="24"/>
            <w:highlight w:val="white"/>
            <w:lang w:val="en-GB"/>
          </w:rPr>
          <w:alias w:val="Citation"/>
          <w:tag w:val="{&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33392987"/>
          <w:placeholder>
            <w:docPart w:val="6C553DEFC8EB4336A29352EFF4B1364F"/>
          </w:placeholder>
        </w:sdtPr>
        <w:sdtContent>
          <w:r w:rsidR="00DF67C1">
            <w:rPr>
              <w:rFonts w:ascii="Calibri" w:eastAsia="Times New Roman" w:hAnsi="Calibri" w:cs="Calibri"/>
              <w:color w:val="000000"/>
            </w:rPr>
            <w:t>[</w:t>
          </w:r>
          <w:r w:rsidR="002511D7">
            <w:rPr>
              <w:rFonts w:ascii="Calibri" w:eastAsia="Times New Roman" w:hAnsi="Calibri" w:cs="Calibri"/>
              <w:color w:val="000000"/>
            </w:rPr>
            <w:t>3</w:t>
          </w:r>
          <w:r w:rsidR="00DF67C1">
            <w:rPr>
              <w:rFonts w:ascii="Calibri" w:eastAsia="Times New Roman" w:hAnsi="Calibri" w:cs="Calibri"/>
              <w:color w:val="000000"/>
            </w:rPr>
            <w:t>]</w:t>
          </w:r>
        </w:sdtContent>
      </w:sdt>
      <w:r w:rsidRPr="000D4BBE">
        <w:rPr>
          <w:rFonts w:cstheme="minorHAnsi"/>
          <w:sz w:val="24"/>
          <w:szCs w:val="24"/>
          <w:lang w:val="en-GB"/>
        </w:rPr>
        <w:t>. Their framework has evolved into a crucial benchmark for establishing secure business settings.</w:t>
      </w:r>
    </w:p>
    <w:p w14:paraId="110FF5FF" w14:textId="4301D8C6" w:rsidR="000D4BBE" w:rsidRPr="000D4BBE" w:rsidRDefault="000D4BBE" w:rsidP="000D4BBE">
      <w:pPr>
        <w:jc w:val="both"/>
        <w:rPr>
          <w:rFonts w:cstheme="minorHAnsi"/>
          <w:sz w:val="24"/>
          <w:szCs w:val="24"/>
          <w:lang w:val="en-GB"/>
        </w:rPr>
      </w:pPr>
      <w:r w:rsidRPr="000D4BBE">
        <w:rPr>
          <w:rFonts w:cstheme="minorHAnsi"/>
          <w:sz w:val="24"/>
          <w:szCs w:val="24"/>
          <w:lang w:val="en-GB"/>
        </w:rPr>
        <w:t xml:space="preserve">Recent research has broadened the Zero Trust framework to tackle real-world implementation issues in corporate networks. Bhattarai et al. [1] suggested a Zero Trust architecture grounded in fuzzy logic that enhances security decision-making by assessing trust levels dynamically prior to allowing network access. In the same vein, </w:t>
      </w:r>
      <w:proofErr w:type="spellStart"/>
      <w:r w:rsidRPr="000D4BBE">
        <w:rPr>
          <w:rFonts w:cstheme="minorHAnsi"/>
          <w:sz w:val="24"/>
          <w:szCs w:val="24"/>
          <w:lang w:val="en-GB"/>
        </w:rPr>
        <w:t>Phiyavura</w:t>
      </w:r>
      <w:proofErr w:type="spellEnd"/>
      <w:r w:rsidRPr="000D4BBE">
        <w:rPr>
          <w:rFonts w:cstheme="minorHAnsi"/>
          <w:sz w:val="24"/>
          <w:szCs w:val="24"/>
          <w:lang w:val="en-GB"/>
        </w:rPr>
        <w:t xml:space="preserve"> and </w:t>
      </w:r>
      <w:proofErr w:type="spellStart"/>
      <w:r w:rsidRPr="000D4BBE">
        <w:rPr>
          <w:rFonts w:cstheme="minorHAnsi"/>
          <w:sz w:val="24"/>
          <w:szCs w:val="24"/>
          <w:lang w:val="en-GB"/>
        </w:rPr>
        <w:t>Teerakanok</w:t>
      </w:r>
      <w:proofErr w:type="spellEnd"/>
      <w:r w:rsidRPr="000D4BBE">
        <w:rPr>
          <w:rFonts w:cstheme="minorHAnsi"/>
          <w:sz w:val="24"/>
          <w:szCs w:val="24"/>
          <w:lang w:val="en-GB"/>
        </w:rPr>
        <w:t xml:space="preserve"> developed a detailed migration framework that aids organizations in shifting from conventional perimeter security to Zero Trust frameworks while reducing operational interruptions</w:t>
      </w:r>
      <w:r w:rsidR="00907FF7">
        <w:rPr>
          <w:rFonts w:cstheme="minorHAnsi"/>
          <w:sz w:val="24"/>
          <w:szCs w:val="24"/>
          <w:lang w:val="en-GB"/>
        </w:rPr>
        <w:t xml:space="preserve"> </w:t>
      </w:r>
      <w:sdt>
        <w:sdtPr>
          <w:rPr>
            <w:rFonts w:ascii="Calibri" w:hAnsi="Calibri" w:cs="Calibri"/>
            <w:color w:val="000000"/>
            <w:sz w:val="24"/>
            <w:szCs w:val="24"/>
            <w:highlight w:val="white"/>
            <w:lang w:val="en-GB"/>
          </w:rPr>
          <w:alias w:val="Citation"/>
          <w:tag w:val="{&quot;referencesIds&quot;:[&quot;doc:6a5d8a5b147d1d5588ba5ee9&quot;],&quot;referencesOptions&quot;:{&quot;doc:6a5d8a5b147d1d5588ba5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29646293"/>
          <w:placeholder>
            <w:docPart w:val="83F9A4E7ED9049CC896B855889943A2E"/>
          </w:placeholder>
        </w:sdtPr>
        <w:sdtContent>
          <w:r w:rsidR="00DF67C1">
            <w:rPr>
              <w:rFonts w:ascii="Calibri" w:eastAsia="Times New Roman" w:hAnsi="Calibri" w:cs="Calibri"/>
              <w:color w:val="000000"/>
            </w:rPr>
            <w:t>[</w:t>
          </w:r>
          <w:r w:rsidR="002511D7">
            <w:rPr>
              <w:rFonts w:ascii="Calibri" w:eastAsia="Times New Roman" w:hAnsi="Calibri" w:cs="Calibri"/>
              <w:color w:val="000000"/>
            </w:rPr>
            <w:t>7</w:t>
          </w:r>
          <w:r w:rsidR="00DF67C1">
            <w:rPr>
              <w:rFonts w:ascii="Calibri" w:eastAsia="Times New Roman" w:hAnsi="Calibri" w:cs="Calibri"/>
              <w:color w:val="000000"/>
            </w:rPr>
            <w:t>]</w:t>
          </w:r>
        </w:sdtContent>
      </w:sdt>
      <w:r w:rsidRPr="000D4BBE">
        <w:rPr>
          <w:rFonts w:cstheme="minorHAnsi"/>
          <w:sz w:val="24"/>
          <w:szCs w:val="24"/>
          <w:lang w:val="en-GB"/>
        </w:rPr>
        <w:t>. Syed et al. additionally showed that integrating identity validation, minimal access permissions, ongoing monitoring, and micro-segmentation greatly boosts enterprise security by decreasing unauthorized entry and enhancing threat identification</w:t>
      </w:r>
      <w:r w:rsidR="00907FF7">
        <w:rPr>
          <w:rFonts w:cstheme="minorHAnsi"/>
          <w:sz w:val="24"/>
          <w:szCs w:val="24"/>
          <w:lang w:val="en-GB"/>
        </w:rPr>
        <w:t xml:space="preserve"> </w:t>
      </w:r>
      <w:sdt>
        <w:sdtPr>
          <w:rPr>
            <w:rFonts w:ascii="Calibri" w:hAnsi="Calibri" w:cs="Calibri"/>
            <w:color w:val="000000"/>
            <w:sz w:val="24"/>
            <w:szCs w:val="24"/>
            <w:highlight w:val="white"/>
            <w:lang w:val="en-GB"/>
          </w:rPr>
          <w:alias w:val="Citation"/>
          <w:tag w:val="{&quot;referencesIds&quot;:[&quot;doc:6a5d8a5c2db3087ec5ef5683&quot;],&quot;referencesOptions&quot;:{&quot;doc:6a5d8a5c2db3087ec5ef5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0412183"/>
          <w:placeholder>
            <w:docPart w:val="431E70C683014BB6A2A544CE2CB90228"/>
          </w:placeholder>
        </w:sdtPr>
        <w:sdtContent>
          <w:r w:rsidR="00DF67C1">
            <w:rPr>
              <w:rFonts w:ascii="Calibri" w:eastAsia="Times New Roman" w:hAnsi="Calibri" w:cs="Calibri"/>
              <w:color w:val="000000"/>
            </w:rPr>
            <w:t>[</w:t>
          </w:r>
          <w:r w:rsidR="00B01975">
            <w:rPr>
              <w:rFonts w:ascii="Calibri" w:eastAsia="Times New Roman" w:hAnsi="Calibri" w:cs="Calibri"/>
              <w:color w:val="000000"/>
            </w:rPr>
            <w:t>6</w:t>
          </w:r>
          <w:r w:rsidR="00DF67C1">
            <w:rPr>
              <w:rFonts w:ascii="Calibri" w:eastAsia="Times New Roman" w:hAnsi="Calibri" w:cs="Calibri"/>
              <w:color w:val="000000"/>
            </w:rPr>
            <w:t>]</w:t>
          </w:r>
        </w:sdtContent>
      </w:sdt>
      <w:r w:rsidRPr="000D4BBE">
        <w:rPr>
          <w:rFonts w:cstheme="minorHAnsi"/>
          <w:sz w:val="24"/>
          <w:szCs w:val="24"/>
          <w:lang w:val="en-GB"/>
        </w:rPr>
        <w:t>.</w:t>
      </w:r>
    </w:p>
    <w:p w14:paraId="7668888A" w14:textId="7881944C" w:rsidR="008A7740" w:rsidRPr="00F54AEC" w:rsidRDefault="000D4BBE" w:rsidP="00941879">
      <w:pPr>
        <w:jc w:val="both"/>
        <w:rPr>
          <w:rFonts w:cstheme="minorHAnsi"/>
          <w:sz w:val="24"/>
          <w:szCs w:val="24"/>
          <w:lang w:val="en-GB"/>
        </w:rPr>
      </w:pPr>
      <w:r w:rsidRPr="000D4BBE">
        <w:rPr>
          <w:rFonts w:cstheme="minorHAnsi"/>
          <w:sz w:val="24"/>
          <w:szCs w:val="24"/>
          <w:lang w:val="en-GB"/>
        </w:rPr>
        <w:t xml:space="preserve">Enterprise firewalls continue to be a crucial part of network protection as they implement security regulations and manage interactions between reliable and unreliable networks. </w:t>
      </w:r>
      <w:proofErr w:type="spellStart"/>
      <w:r w:rsidRPr="000D4BBE">
        <w:rPr>
          <w:rFonts w:cstheme="minorHAnsi"/>
          <w:sz w:val="24"/>
          <w:szCs w:val="24"/>
          <w:lang w:val="en-GB"/>
        </w:rPr>
        <w:t>Sarkorn</w:t>
      </w:r>
      <w:proofErr w:type="spellEnd"/>
      <w:r w:rsidRPr="000D4BBE">
        <w:rPr>
          <w:rFonts w:cstheme="minorHAnsi"/>
          <w:sz w:val="24"/>
          <w:szCs w:val="24"/>
          <w:lang w:val="en-GB"/>
        </w:rPr>
        <w:t xml:space="preserve"> and </w:t>
      </w:r>
      <w:proofErr w:type="spellStart"/>
      <w:r w:rsidRPr="000D4BBE">
        <w:rPr>
          <w:rFonts w:cstheme="minorHAnsi"/>
          <w:sz w:val="24"/>
          <w:szCs w:val="24"/>
          <w:lang w:val="en-GB"/>
        </w:rPr>
        <w:t>Chimmannee</w:t>
      </w:r>
      <w:proofErr w:type="spellEnd"/>
      <w:r w:rsidR="00B01975">
        <w:rPr>
          <w:rFonts w:cstheme="minorHAnsi"/>
          <w:sz w:val="24"/>
          <w:szCs w:val="24"/>
          <w:lang w:val="en-GB"/>
        </w:rPr>
        <w:t xml:space="preserve"> [4]</w:t>
      </w:r>
      <w:r w:rsidRPr="000D4BBE">
        <w:rPr>
          <w:rFonts w:cstheme="minorHAnsi"/>
          <w:sz w:val="24"/>
          <w:szCs w:val="24"/>
          <w:lang w:val="en-GB"/>
        </w:rPr>
        <w:t xml:space="preserve"> emphasized that contemporary Next-Generation Firewalls (NGFWs) incorporate application awareness, user-</w:t>
      </w:r>
      <w:r w:rsidR="00907FF7" w:rsidRPr="000D4BBE">
        <w:rPr>
          <w:rFonts w:cstheme="minorHAnsi"/>
          <w:sz w:val="24"/>
          <w:szCs w:val="24"/>
          <w:lang w:val="en-GB"/>
        </w:rPr>
        <w:t>cantered</w:t>
      </w:r>
      <w:r w:rsidRPr="000D4BBE">
        <w:rPr>
          <w:rFonts w:cstheme="minorHAnsi"/>
          <w:sz w:val="24"/>
          <w:szCs w:val="24"/>
          <w:lang w:val="en-GB"/>
        </w:rPr>
        <w:t xml:space="preserve"> access control, intrusion prevention, and deep packet inspection to enhance enterprise security beyond conventional packet filtering. Similarly, </w:t>
      </w:r>
      <w:r w:rsidR="00D81383">
        <w:rPr>
          <w:rFonts w:cstheme="minorHAnsi"/>
          <w:sz w:val="24"/>
          <w:szCs w:val="24"/>
          <w:lang w:val="en-GB"/>
        </w:rPr>
        <w:t xml:space="preserve">Qazi [5] </w:t>
      </w:r>
      <w:r w:rsidRPr="000D4BBE">
        <w:rPr>
          <w:rFonts w:cstheme="minorHAnsi"/>
          <w:sz w:val="24"/>
          <w:szCs w:val="24"/>
          <w:lang w:val="en-GB"/>
        </w:rPr>
        <w:t>highlighted that Zero Trust principles paired with application-aware firewalls enhance the security of enterprise applications by ensuring continuous authentication, enforcing policies, and facilitating network segmentation</w:t>
      </w:r>
      <w:r w:rsidR="00907FF7">
        <w:rPr>
          <w:rFonts w:cstheme="minorHAnsi"/>
          <w:sz w:val="24"/>
          <w:szCs w:val="24"/>
          <w:lang w:val="en-GB"/>
        </w:rPr>
        <w:t xml:space="preserve"> </w:t>
      </w:r>
      <w:sdt>
        <w:sdtPr>
          <w:rPr>
            <w:rFonts w:ascii="Calibri" w:hAnsi="Calibri" w:cs="Calibri"/>
            <w:color w:val="000000"/>
            <w:sz w:val="24"/>
            <w:szCs w:val="24"/>
            <w:highlight w:val="white"/>
            <w:lang w:val="en-GB"/>
          </w:rPr>
          <w:alias w:val="Citation"/>
          <w:tag w:val="{&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4993696"/>
          <w:placeholder>
            <w:docPart w:val="C4154BA7BE434F3482DBD68B51F6380A"/>
          </w:placeholder>
        </w:sdtPr>
        <w:sdtContent>
          <w:r w:rsidR="00DF67C1">
            <w:rPr>
              <w:rFonts w:ascii="Calibri" w:eastAsia="Times New Roman" w:hAnsi="Calibri" w:cs="Calibri"/>
              <w:color w:val="000000"/>
            </w:rPr>
            <w:t>[7]</w:t>
          </w:r>
        </w:sdtContent>
      </w:sdt>
      <w:r w:rsidRPr="000D4BBE">
        <w:rPr>
          <w:rFonts w:cstheme="minorHAnsi"/>
          <w:sz w:val="24"/>
          <w:szCs w:val="24"/>
          <w:lang w:val="en-GB"/>
        </w:rPr>
        <w:t>. These studies advocate for the deployment of Check Point Gaia Security Gateway, Smart</w:t>
      </w:r>
      <w:r w:rsidR="00907FF7">
        <w:rPr>
          <w:rFonts w:cstheme="minorHAnsi"/>
          <w:sz w:val="24"/>
          <w:szCs w:val="24"/>
          <w:lang w:val="en-GB"/>
        </w:rPr>
        <w:t xml:space="preserve"> </w:t>
      </w:r>
      <w:r w:rsidRPr="000D4BBE">
        <w:rPr>
          <w:rFonts w:cstheme="minorHAnsi"/>
          <w:sz w:val="24"/>
          <w:szCs w:val="24"/>
          <w:lang w:val="en-GB"/>
        </w:rPr>
        <w:t>Console, firewall rule setup, and enhanced security capabilities like Application Control, Identity Awareness, and Intrusion Prevention System (IPS) in this initiative.</w:t>
      </w:r>
    </w:p>
    <w:p w14:paraId="234B052E" w14:textId="77777777" w:rsidR="008A7740" w:rsidRPr="0064493D" w:rsidRDefault="008A7740" w:rsidP="00941879">
      <w:pPr>
        <w:jc w:val="both"/>
        <w:rPr>
          <w:rFonts w:ascii="Times New Roman" w:hAnsi="Times New Roman" w:cs="Times New Roman"/>
          <w:sz w:val="24"/>
          <w:szCs w:val="24"/>
          <w:lang w:val="en-GB"/>
        </w:rPr>
      </w:pPr>
    </w:p>
    <w:p w14:paraId="10127C12" w14:textId="0E619C54" w:rsidR="008A7740" w:rsidRPr="00941879" w:rsidRDefault="008A7740" w:rsidP="00941879">
      <w:pPr>
        <w:pStyle w:val="Heading1"/>
        <w:jc w:val="both"/>
        <w:rPr>
          <w:rFonts w:asciiTheme="minorHAnsi" w:hAnsiTheme="minorHAnsi" w:cstheme="minorHAnsi"/>
          <w:b/>
          <w:bCs/>
          <w:sz w:val="30"/>
          <w:szCs w:val="30"/>
          <w:lang w:val="en-GB"/>
        </w:rPr>
      </w:pPr>
      <w:bookmarkStart w:id="3" w:name="_Toc235309937"/>
      <w:r w:rsidRPr="00941879">
        <w:rPr>
          <w:rFonts w:asciiTheme="minorHAnsi" w:hAnsiTheme="minorHAnsi" w:cstheme="minorHAnsi"/>
          <w:b/>
          <w:bCs/>
          <w:sz w:val="30"/>
          <w:szCs w:val="30"/>
          <w:lang w:val="en-GB"/>
        </w:rPr>
        <w:t>Proposed Security Governance Framework for Aero</w:t>
      </w:r>
      <w:r w:rsidR="00941879" w:rsidRPr="00941879">
        <w:rPr>
          <w:rFonts w:asciiTheme="minorHAnsi" w:hAnsiTheme="minorHAnsi" w:cstheme="minorHAnsi"/>
          <w:b/>
          <w:bCs/>
          <w:sz w:val="30"/>
          <w:szCs w:val="30"/>
          <w:lang w:val="en-GB"/>
        </w:rPr>
        <w:t xml:space="preserve"> </w:t>
      </w:r>
      <w:r w:rsidRPr="00941879">
        <w:rPr>
          <w:rFonts w:asciiTheme="minorHAnsi" w:hAnsiTheme="minorHAnsi" w:cstheme="minorHAnsi"/>
          <w:b/>
          <w:bCs/>
          <w:sz w:val="30"/>
          <w:szCs w:val="30"/>
          <w:lang w:val="en-GB"/>
        </w:rPr>
        <w:t>Link Logistics</w:t>
      </w:r>
      <w:bookmarkEnd w:id="3"/>
    </w:p>
    <w:p w14:paraId="302E8785" w14:textId="27322495" w:rsidR="008A7740" w:rsidRPr="00941879" w:rsidRDefault="008A7740" w:rsidP="00941879">
      <w:pPr>
        <w:jc w:val="both"/>
        <w:rPr>
          <w:rFonts w:cstheme="minorHAnsi"/>
          <w:sz w:val="24"/>
          <w:szCs w:val="24"/>
          <w:lang w:val="en-GB"/>
        </w:rPr>
      </w:pPr>
      <w:r w:rsidRPr="00941879">
        <w:rPr>
          <w:rFonts w:cstheme="minorHAnsi"/>
          <w:sz w:val="24"/>
          <w:szCs w:val="24"/>
          <w:lang w:val="en-GB"/>
        </w:rPr>
        <w:t>The approach uses complimentary components of NIST CSF 2.0, ISO/IEC 27001, and IoT/AI-specific risk recommendations, customised to ALL's unique operating environment, rather than implementing a single standard in isolation. It is believed that ALL does not currently have a Chief Information Security Officer (CISO) position, has an existing but underdeveloped IT department, and has a limited budgetary capability for security investment.</w:t>
      </w:r>
    </w:p>
    <w:p w14:paraId="0411D003" w14:textId="77777777" w:rsidR="008A7740" w:rsidRPr="00941879" w:rsidRDefault="008A7740" w:rsidP="00941879">
      <w:pPr>
        <w:jc w:val="both"/>
        <w:rPr>
          <w:rFonts w:cstheme="minorHAnsi"/>
          <w:sz w:val="24"/>
          <w:szCs w:val="24"/>
          <w:lang w:val="en-GB"/>
        </w:rPr>
      </w:pPr>
    </w:p>
    <w:p w14:paraId="3A65BCA3" w14:textId="51B703ED" w:rsidR="008A7740" w:rsidRPr="00941879" w:rsidRDefault="008A7740" w:rsidP="00941879">
      <w:pPr>
        <w:pStyle w:val="Heading1"/>
        <w:jc w:val="both"/>
        <w:rPr>
          <w:rFonts w:asciiTheme="minorHAnsi" w:hAnsiTheme="minorHAnsi" w:cstheme="minorHAnsi"/>
          <w:b/>
          <w:bCs/>
          <w:sz w:val="30"/>
          <w:szCs w:val="30"/>
          <w:lang w:val="en-GB"/>
        </w:rPr>
      </w:pPr>
      <w:bookmarkStart w:id="4" w:name="_Toc235309938"/>
      <w:r w:rsidRPr="00941879">
        <w:rPr>
          <w:rFonts w:asciiTheme="minorHAnsi" w:hAnsiTheme="minorHAnsi" w:cstheme="minorHAnsi"/>
          <w:b/>
          <w:bCs/>
          <w:sz w:val="30"/>
          <w:szCs w:val="30"/>
          <w:lang w:val="en-GB"/>
        </w:rPr>
        <w:t>Governance Structure</w:t>
      </w:r>
      <w:bookmarkEnd w:id="4"/>
    </w:p>
    <w:p w14:paraId="6C027FDF" w14:textId="76110901" w:rsidR="008A7740" w:rsidRPr="00941879" w:rsidRDefault="008A7740" w:rsidP="00941879">
      <w:pPr>
        <w:jc w:val="both"/>
        <w:rPr>
          <w:rFonts w:cstheme="minorHAnsi"/>
          <w:sz w:val="24"/>
          <w:szCs w:val="24"/>
          <w:lang w:val="en-GB"/>
        </w:rPr>
      </w:pPr>
      <w:r w:rsidRPr="00941879">
        <w:rPr>
          <w:rFonts w:cstheme="minorHAnsi"/>
          <w:sz w:val="24"/>
          <w:szCs w:val="24"/>
          <w:lang w:val="en-GB"/>
        </w:rPr>
        <w:t xml:space="preserve">ALL should designate a CISO or comparable senior security lead who reports directly to the board in accordance with the Govern role defined in NIST CSF 2.0, which views governance as </w:t>
      </w:r>
      <w:r w:rsidRPr="00941879">
        <w:rPr>
          <w:rFonts w:cstheme="minorHAnsi"/>
          <w:sz w:val="24"/>
          <w:szCs w:val="24"/>
          <w:lang w:val="en-GB"/>
        </w:rPr>
        <w:lastRenderedPageBreak/>
        <w:t xml:space="preserve">a separate organisational duty rather than a consequence of technological controls </w:t>
      </w:r>
      <w:sdt>
        <w:sdtPr>
          <w:rPr>
            <w:rFonts w:ascii="Calibri" w:hAnsi="Calibri" w:cs="Calibri"/>
            <w:color w:val="000000"/>
            <w:sz w:val="24"/>
            <w:szCs w:val="24"/>
            <w:highlight w:val="white"/>
            <w:lang w:val="en-GB"/>
          </w:rPr>
          <w:alias w:val="Citation"/>
          <w:tag w:val="{&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9054659"/>
          <w:placeholder>
            <w:docPart w:val="0275D902006C4887BEE9933C50F5B3DF"/>
          </w:placeholder>
        </w:sdtPr>
        <w:sdtContent>
          <w:r w:rsidR="00DF67C1">
            <w:rPr>
              <w:rFonts w:ascii="Calibri" w:eastAsia="Times New Roman" w:hAnsi="Calibri" w:cs="Calibri"/>
              <w:color w:val="000000"/>
            </w:rPr>
            <w:t>[</w:t>
          </w:r>
          <w:r w:rsidR="00D81383">
            <w:rPr>
              <w:rFonts w:ascii="Calibri" w:eastAsia="Times New Roman" w:hAnsi="Calibri" w:cs="Calibri"/>
              <w:color w:val="000000"/>
            </w:rPr>
            <w:t>3</w:t>
          </w:r>
          <w:r w:rsidR="00DF67C1">
            <w:rPr>
              <w:rFonts w:ascii="Calibri" w:eastAsia="Times New Roman" w:hAnsi="Calibri" w:cs="Calibri"/>
              <w:color w:val="000000"/>
            </w:rPr>
            <w:t>]</w:t>
          </w:r>
        </w:sdtContent>
      </w:sdt>
      <w:r w:rsidRPr="00941879">
        <w:rPr>
          <w:rFonts w:cstheme="minorHAnsi"/>
          <w:sz w:val="24"/>
          <w:szCs w:val="24"/>
          <w:lang w:val="en-GB"/>
        </w:rPr>
        <w:t>. To determine risk appetite, adopt policy, and supervise compliance monitoring, a cross-functional Security Steering Committee with representatives from IT, legal, HR, and operations should be formed.</w:t>
      </w:r>
      <w:r w:rsidR="00DC28A1">
        <w:rPr>
          <w:rFonts w:cstheme="minorHAnsi"/>
          <w:sz w:val="24"/>
          <w:szCs w:val="24"/>
          <w:lang w:val="en-GB"/>
        </w:rPr>
        <w:t xml:space="preserve"> </w:t>
      </w:r>
      <w:r w:rsidRPr="00941879">
        <w:rPr>
          <w:rFonts w:cstheme="minorHAnsi"/>
          <w:sz w:val="24"/>
          <w:szCs w:val="24"/>
          <w:lang w:val="en-GB"/>
        </w:rPr>
        <w:t>ALL's claimed lack of formalised security obligation is immediately addressed by a clear assignment of responsibilities at this level.</w:t>
      </w:r>
    </w:p>
    <w:p w14:paraId="36F072DE" w14:textId="77777777" w:rsidR="008A7740" w:rsidRPr="00941879" w:rsidRDefault="008A7740" w:rsidP="00941879">
      <w:pPr>
        <w:jc w:val="both"/>
        <w:rPr>
          <w:rFonts w:cstheme="minorHAnsi"/>
          <w:sz w:val="24"/>
          <w:szCs w:val="24"/>
          <w:lang w:val="en-GB"/>
        </w:rPr>
      </w:pPr>
    </w:p>
    <w:p w14:paraId="41737502" w14:textId="751E8AE3" w:rsidR="008A7740" w:rsidRPr="00941879" w:rsidRDefault="008A7740" w:rsidP="00941879">
      <w:pPr>
        <w:pStyle w:val="Heading1"/>
        <w:jc w:val="both"/>
        <w:rPr>
          <w:rFonts w:asciiTheme="minorHAnsi" w:hAnsiTheme="minorHAnsi" w:cstheme="minorHAnsi"/>
          <w:b/>
          <w:bCs/>
          <w:sz w:val="30"/>
          <w:szCs w:val="30"/>
          <w:lang w:val="en-GB"/>
        </w:rPr>
      </w:pPr>
      <w:bookmarkStart w:id="5" w:name="_Toc235309939"/>
      <w:r w:rsidRPr="00941879">
        <w:rPr>
          <w:rFonts w:asciiTheme="minorHAnsi" w:hAnsiTheme="minorHAnsi" w:cstheme="minorHAnsi"/>
          <w:b/>
          <w:bCs/>
          <w:sz w:val="30"/>
          <w:szCs w:val="30"/>
          <w:lang w:val="en-GB"/>
        </w:rPr>
        <w:t>Risk Management</w:t>
      </w:r>
      <w:bookmarkEnd w:id="5"/>
    </w:p>
    <w:p w14:paraId="055C96B6" w14:textId="7EF4FA8C" w:rsidR="008A7740" w:rsidRPr="00941879" w:rsidRDefault="008A7740" w:rsidP="00941879">
      <w:pPr>
        <w:jc w:val="both"/>
        <w:rPr>
          <w:rFonts w:cstheme="minorHAnsi"/>
          <w:sz w:val="24"/>
          <w:szCs w:val="24"/>
          <w:lang w:val="en-GB"/>
        </w:rPr>
      </w:pPr>
      <w:r w:rsidRPr="00941879">
        <w:rPr>
          <w:rFonts w:cstheme="minorHAnsi"/>
          <w:sz w:val="24"/>
          <w:szCs w:val="24"/>
          <w:lang w:val="en-GB"/>
        </w:rPr>
        <w:t xml:space="preserve">The existing ad hoc method used by ALL should be replaced with an organised, ongoing risk management procedure. Starting with an asset inventory that includes cloud services, IoT devices, third-party interfaces, and data flows containing customer PII, this should adhere to the Identify function of NIST CSF 2.0 </w:t>
      </w:r>
      <w:sdt>
        <w:sdtPr>
          <w:rPr>
            <w:rFonts w:ascii="Calibri" w:hAnsi="Calibri" w:cs="Calibri"/>
            <w:color w:val="000000"/>
            <w:sz w:val="24"/>
            <w:szCs w:val="24"/>
            <w:highlight w:val="white"/>
            <w:lang w:val="en-GB"/>
          </w:rPr>
          <w:alias w:val="Citation"/>
          <w:tag w:val="{&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2957817"/>
          <w:placeholder>
            <w:docPart w:val="D177DFBE46504593A9AD38FDDF9D60B3"/>
          </w:placeholder>
        </w:sdtPr>
        <w:sdtContent>
          <w:r w:rsidR="00DF67C1">
            <w:rPr>
              <w:rFonts w:ascii="Calibri" w:eastAsia="Times New Roman" w:hAnsi="Calibri" w:cs="Calibri"/>
              <w:color w:val="000000"/>
            </w:rPr>
            <w:t>[</w:t>
          </w:r>
          <w:r w:rsidR="00AE2087">
            <w:rPr>
              <w:rFonts w:ascii="Calibri" w:eastAsia="Times New Roman" w:hAnsi="Calibri" w:cs="Calibri"/>
              <w:color w:val="000000"/>
            </w:rPr>
            <w:t>3</w:t>
          </w:r>
          <w:r w:rsidR="00DF67C1">
            <w:rPr>
              <w:rFonts w:ascii="Calibri" w:eastAsia="Times New Roman" w:hAnsi="Calibri" w:cs="Calibri"/>
              <w:color w:val="000000"/>
            </w:rPr>
            <w:t>]</w:t>
          </w:r>
        </w:sdtContent>
      </w:sdt>
      <w:r w:rsidRPr="00941879">
        <w:rPr>
          <w:rFonts w:cstheme="minorHAnsi"/>
          <w:sz w:val="24"/>
          <w:szCs w:val="24"/>
          <w:lang w:val="en-GB"/>
        </w:rPr>
        <w:t xml:space="preserve">. ALL's risk register should be evaluated at least quarterly and updated anytime new suppliers, devices, or AI models are added into the environment, given the increasing regulatory and research focus on securing AI-enabled operations, as represented in NIST's own yearly priorities </w:t>
      </w:r>
      <w:sdt>
        <w:sdtPr>
          <w:rPr>
            <w:rFonts w:ascii="Calibri" w:hAnsi="Calibri" w:cs="Calibri"/>
            <w:color w:val="000000"/>
            <w:sz w:val="24"/>
            <w:szCs w:val="24"/>
            <w:highlight w:val="white"/>
            <w:lang w:val="en-GB"/>
          </w:rPr>
          <w:alias w:val="Citation"/>
          <w:tag w:val="{&quot;referencesIds&quot;:[&quot;doc:6a5d8a5c2db3087ec5ef5683&quot;],&quot;referencesOptions&quot;:{&quot;doc:6a5d8a5c2db3087ec5ef5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5155141"/>
          <w:placeholder>
            <w:docPart w:val="A49DF19CC14141328C66F9DBA5805E27"/>
          </w:placeholder>
        </w:sdtPr>
        <w:sdtContent>
          <w:r w:rsidR="00DF67C1">
            <w:rPr>
              <w:rFonts w:ascii="Calibri" w:eastAsia="Times New Roman" w:hAnsi="Calibri" w:cs="Calibri"/>
              <w:color w:val="000000"/>
            </w:rPr>
            <w:t>[4]</w:t>
          </w:r>
        </w:sdtContent>
      </w:sdt>
      <w:r w:rsidRPr="00941879">
        <w:rPr>
          <w:rFonts w:cstheme="minorHAnsi"/>
          <w:sz w:val="24"/>
          <w:szCs w:val="24"/>
          <w:lang w:val="en-GB"/>
        </w:rPr>
        <w:t>.</w:t>
      </w:r>
    </w:p>
    <w:p w14:paraId="4C0E7472" w14:textId="77777777" w:rsidR="008A7740" w:rsidRPr="0064493D" w:rsidRDefault="008A7740" w:rsidP="00941879">
      <w:pPr>
        <w:jc w:val="both"/>
        <w:rPr>
          <w:rFonts w:ascii="Times New Roman" w:hAnsi="Times New Roman" w:cs="Times New Roman"/>
          <w:sz w:val="24"/>
          <w:szCs w:val="24"/>
          <w:lang w:val="en-GB"/>
        </w:rPr>
      </w:pPr>
    </w:p>
    <w:p w14:paraId="61961952" w14:textId="73EB1AB8" w:rsidR="008A7740" w:rsidRPr="00941879" w:rsidRDefault="008A7740" w:rsidP="00941879">
      <w:pPr>
        <w:pStyle w:val="Heading1"/>
        <w:jc w:val="both"/>
        <w:rPr>
          <w:rFonts w:asciiTheme="minorHAnsi" w:hAnsiTheme="minorHAnsi" w:cstheme="minorHAnsi"/>
          <w:b/>
          <w:bCs/>
          <w:sz w:val="30"/>
          <w:szCs w:val="30"/>
          <w:lang w:val="en-GB"/>
        </w:rPr>
      </w:pPr>
      <w:bookmarkStart w:id="6" w:name="_Toc235309940"/>
      <w:r w:rsidRPr="00941879">
        <w:rPr>
          <w:rFonts w:asciiTheme="minorHAnsi" w:hAnsiTheme="minorHAnsi" w:cstheme="minorHAnsi"/>
          <w:b/>
          <w:bCs/>
          <w:sz w:val="30"/>
          <w:szCs w:val="30"/>
          <w:lang w:val="en-GB"/>
        </w:rPr>
        <w:t>Security Policies and Procedures</w:t>
      </w:r>
      <w:bookmarkEnd w:id="6"/>
    </w:p>
    <w:p w14:paraId="56564BCF" w14:textId="6B4FEC54" w:rsidR="008A7740" w:rsidRPr="00941879" w:rsidRDefault="008A7740" w:rsidP="00941879">
      <w:pPr>
        <w:jc w:val="both"/>
        <w:rPr>
          <w:rFonts w:cstheme="minorHAnsi"/>
          <w:sz w:val="24"/>
          <w:szCs w:val="24"/>
          <w:lang w:val="en-GB"/>
        </w:rPr>
      </w:pPr>
      <w:r w:rsidRPr="00941879">
        <w:rPr>
          <w:rFonts w:cstheme="minorHAnsi"/>
          <w:sz w:val="24"/>
          <w:szCs w:val="24"/>
          <w:lang w:val="en-GB"/>
        </w:rPr>
        <w:t xml:space="preserve">To transform governance choices into operational practice, formal, written security rules should be created. Research on the integration of cybersecurity frameworks into IT security strategy has shown that this area is frequently poor in businesses with immature governance </w:t>
      </w:r>
      <w:sdt>
        <w:sdtPr>
          <w:rPr>
            <w:rFonts w:ascii="Calibri" w:hAnsi="Calibri" w:cs="Calibri"/>
            <w:color w:val="000000"/>
            <w:sz w:val="24"/>
            <w:szCs w:val="24"/>
            <w:highlight w:val="white"/>
            <w:lang w:val="en-GB"/>
          </w:rPr>
          <w:alias w:val="Citation"/>
          <w:tag w:val="{&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1133266"/>
          <w:placeholder>
            <w:docPart w:val="065C8D2ADF7F43579E7C1A84C7BBDCCB"/>
          </w:placeholder>
        </w:sdtPr>
        <w:sdtContent>
          <w:r w:rsidR="00DF67C1">
            <w:rPr>
              <w:rFonts w:ascii="Calibri" w:eastAsia="Times New Roman" w:hAnsi="Calibri" w:cs="Calibri"/>
              <w:color w:val="000000"/>
            </w:rPr>
            <w:t>[2]</w:t>
          </w:r>
        </w:sdtContent>
      </w:sdt>
      <w:r w:rsidRPr="00941879">
        <w:rPr>
          <w:rFonts w:cstheme="minorHAnsi"/>
          <w:sz w:val="24"/>
          <w:szCs w:val="24"/>
          <w:lang w:val="en-GB"/>
        </w:rPr>
        <w:t xml:space="preserve">. </w:t>
      </w:r>
      <w:proofErr w:type="gramStart"/>
      <w:r w:rsidRPr="00941879">
        <w:rPr>
          <w:rFonts w:cstheme="minorHAnsi"/>
          <w:sz w:val="24"/>
          <w:szCs w:val="24"/>
          <w:lang w:val="en-GB"/>
        </w:rPr>
        <w:t>In order to</w:t>
      </w:r>
      <w:proofErr w:type="gramEnd"/>
      <w:r w:rsidRPr="00941879">
        <w:rPr>
          <w:rFonts w:cstheme="minorHAnsi"/>
          <w:sz w:val="24"/>
          <w:szCs w:val="24"/>
          <w:lang w:val="en-GB"/>
        </w:rPr>
        <w:t xml:space="preserve"> facilitate future certification, policies should explicitly map to ISO/IEC 27001 Annex A controls and include permitted use, data categorisation, remote access, and incident reporting. A Bring Your Own Device (BYOD) policy with basic security baselines (encryption, endpoint protection, multi-factor authentication) is crucial since </w:t>
      </w:r>
      <w:proofErr w:type="gramStart"/>
      <w:r w:rsidRPr="00941879">
        <w:rPr>
          <w:rFonts w:cstheme="minorHAnsi"/>
          <w:sz w:val="24"/>
          <w:szCs w:val="24"/>
          <w:lang w:val="en-GB"/>
        </w:rPr>
        <w:t>ALL</w:t>
      </w:r>
      <w:proofErr w:type="gramEnd"/>
      <w:r w:rsidRPr="00941879">
        <w:rPr>
          <w:rFonts w:cstheme="minorHAnsi"/>
          <w:sz w:val="24"/>
          <w:szCs w:val="24"/>
          <w:lang w:val="en-GB"/>
        </w:rPr>
        <w:t xml:space="preserve"> depends on unmanaged employee and partner devices for remote access.</w:t>
      </w:r>
    </w:p>
    <w:p w14:paraId="47A7290D" w14:textId="77777777" w:rsidR="008A7740" w:rsidRPr="00941879" w:rsidRDefault="008A7740" w:rsidP="00941879">
      <w:pPr>
        <w:jc w:val="both"/>
        <w:rPr>
          <w:rFonts w:cstheme="minorHAnsi"/>
          <w:sz w:val="24"/>
          <w:szCs w:val="24"/>
          <w:lang w:val="en-GB"/>
        </w:rPr>
      </w:pPr>
    </w:p>
    <w:p w14:paraId="72DEC44A" w14:textId="6CBABF59" w:rsidR="008A7740" w:rsidRPr="00941879" w:rsidRDefault="008A7740" w:rsidP="00941879">
      <w:pPr>
        <w:pStyle w:val="Heading1"/>
        <w:jc w:val="both"/>
        <w:rPr>
          <w:rFonts w:asciiTheme="minorHAnsi" w:hAnsiTheme="minorHAnsi" w:cstheme="minorHAnsi"/>
          <w:b/>
          <w:bCs/>
          <w:sz w:val="30"/>
          <w:szCs w:val="30"/>
          <w:lang w:val="en-GB"/>
        </w:rPr>
      </w:pPr>
      <w:bookmarkStart w:id="7" w:name="_Toc235309941"/>
      <w:r w:rsidRPr="00941879">
        <w:rPr>
          <w:rFonts w:asciiTheme="minorHAnsi" w:hAnsiTheme="minorHAnsi" w:cstheme="minorHAnsi"/>
          <w:b/>
          <w:bCs/>
          <w:sz w:val="30"/>
          <w:szCs w:val="30"/>
          <w:lang w:val="en-GB"/>
        </w:rPr>
        <w:t>Access Control</w:t>
      </w:r>
      <w:bookmarkEnd w:id="7"/>
    </w:p>
    <w:p w14:paraId="671D52A7" w14:textId="1883CB6F" w:rsidR="008A7740" w:rsidRPr="00941879" w:rsidRDefault="008A7740" w:rsidP="00941879">
      <w:pPr>
        <w:jc w:val="both"/>
        <w:rPr>
          <w:rFonts w:cstheme="minorHAnsi"/>
          <w:sz w:val="24"/>
          <w:szCs w:val="24"/>
          <w:lang w:val="en-GB"/>
        </w:rPr>
      </w:pPr>
      <w:r w:rsidRPr="00941879">
        <w:rPr>
          <w:rFonts w:cstheme="minorHAnsi"/>
          <w:sz w:val="24"/>
          <w:szCs w:val="24"/>
          <w:lang w:val="en-GB"/>
        </w:rPr>
        <w:t xml:space="preserve">Considering ALL's decentralized workforce and fleet of IoT devices, access control must adhere to a least-privilege, role-based framework, supplemented by Zero Trust principles that authenticate every access request, irrespective of network location. IoT devices pose specific access control issues, as they are often installed without strong lifecycle security management, are seldom updated, and commonly keep default credentials [6]. Consequently, </w:t>
      </w:r>
      <w:r w:rsidR="00597422">
        <w:rPr>
          <w:rFonts w:cstheme="minorHAnsi"/>
          <w:sz w:val="24"/>
          <w:szCs w:val="24"/>
          <w:lang w:val="en-GB"/>
        </w:rPr>
        <w:t>the organisation</w:t>
      </w:r>
      <w:r w:rsidRPr="00941879">
        <w:rPr>
          <w:rFonts w:cstheme="minorHAnsi"/>
          <w:sz w:val="24"/>
          <w:szCs w:val="24"/>
          <w:lang w:val="en-GB"/>
        </w:rPr>
        <w:t xml:space="preserve"> should adopt network segmentation to separate IoT tracking devices from essential business systems, in addition to implementing device authentication and certificate-oriented identity management. Due to the increasing overlap between AI and IoT risks, access </w:t>
      </w:r>
      <w:r w:rsidRPr="00941879">
        <w:rPr>
          <w:rFonts w:cstheme="minorHAnsi"/>
          <w:sz w:val="24"/>
          <w:szCs w:val="24"/>
          <w:lang w:val="en-GB"/>
        </w:rPr>
        <w:lastRenderedPageBreak/>
        <w:t xml:space="preserve">to AI analytics platforms and their foundational training data must be governed by the same strict access controls as essential financial or customer systems </w:t>
      </w:r>
      <w:sdt>
        <w:sdtPr>
          <w:rPr>
            <w:rFonts w:ascii="Calibri" w:hAnsi="Calibri" w:cs="Calibri"/>
            <w:color w:val="000000"/>
            <w:sz w:val="24"/>
            <w:szCs w:val="24"/>
            <w:highlight w:val="white"/>
            <w:lang w:val="en-GB"/>
          </w:rPr>
          <w:alias w:val="Citation"/>
          <w:tag w:val="{&quot;referencesIds&quot;:[&quot;doc:6a5d8a5b755c93472ccdd44e&quot;,&quot;doc:6a5d8a5cc2ecfb3df852878b&quot;],&quot;referencesOptions&quot;:{&quot;doc:6a5d8a5b755c93472ccdd44e&quot;:{&quot;author&quot;:true,&quot;year&quot;:true,&quot;formatAuthorYear&quot;:false,&quot;pageReplace&quot;:&quot;&quot;,&quot;additionalField&quot;:&quot;&quot;,&quot;additionalValue&quot;:&quot;&quot;,&quot;prefix&quot;:&quot;&quot;,&quot;suffix&quot;:&quot;&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45925052"/>
          <w:placeholder>
            <w:docPart w:val="78E26215F7914E48A06056FC9B279254"/>
          </w:placeholder>
        </w:sdtPr>
        <w:sdtContent>
          <w:r w:rsidR="00DF67C1">
            <w:rPr>
              <w:rFonts w:ascii="Calibri" w:eastAsia="Times New Roman" w:hAnsi="Calibri" w:cs="Calibri"/>
              <w:color w:val="000000"/>
            </w:rPr>
            <w:t>[2], [6]</w:t>
          </w:r>
        </w:sdtContent>
      </w:sdt>
      <w:r w:rsidRPr="00941879">
        <w:rPr>
          <w:rFonts w:cstheme="minorHAnsi"/>
          <w:sz w:val="24"/>
          <w:szCs w:val="24"/>
          <w:lang w:val="en-GB"/>
        </w:rPr>
        <w:t>.</w:t>
      </w:r>
    </w:p>
    <w:p w14:paraId="6AF8AF9A" w14:textId="77777777" w:rsidR="008A7740" w:rsidRPr="00941879" w:rsidRDefault="008A7740" w:rsidP="00941879">
      <w:pPr>
        <w:jc w:val="both"/>
        <w:rPr>
          <w:rFonts w:cstheme="minorHAnsi"/>
          <w:sz w:val="24"/>
          <w:szCs w:val="24"/>
          <w:lang w:val="en-GB"/>
        </w:rPr>
      </w:pPr>
    </w:p>
    <w:p w14:paraId="6175861A" w14:textId="2FC326F8" w:rsidR="008A7740" w:rsidRPr="00941879" w:rsidRDefault="008A7740" w:rsidP="00941879">
      <w:pPr>
        <w:pStyle w:val="Heading1"/>
        <w:jc w:val="both"/>
        <w:rPr>
          <w:rFonts w:asciiTheme="minorHAnsi" w:hAnsiTheme="minorHAnsi" w:cstheme="minorHAnsi"/>
          <w:b/>
          <w:bCs/>
          <w:sz w:val="30"/>
          <w:szCs w:val="30"/>
          <w:lang w:val="en-GB"/>
        </w:rPr>
      </w:pPr>
      <w:bookmarkStart w:id="8" w:name="_Toc235309942"/>
      <w:r w:rsidRPr="00941879">
        <w:rPr>
          <w:rFonts w:asciiTheme="minorHAnsi" w:hAnsiTheme="minorHAnsi" w:cstheme="minorHAnsi"/>
          <w:b/>
          <w:bCs/>
          <w:sz w:val="30"/>
          <w:szCs w:val="30"/>
          <w:lang w:val="en-GB"/>
        </w:rPr>
        <w:t>Compliance (GDPR, ISO 27001)</w:t>
      </w:r>
      <w:bookmarkEnd w:id="8"/>
    </w:p>
    <w:p w14:paraId="74A687A8" w14:textId="77777777" w:rsidR="008A7740" w:rsidRPr="00941879" w:rsidRDefault="008A7740" w:rsidP="00941879">
      <w:pPr>
        <w:jc w:val="both"/>
        <w:rPr>
          <w:rFonts w:cstheme="minorHAnsi"/>
          <w:sz w:val="24"/>
          <w:szCs w:val="24"/>
          <w:lang w:val="en-GB"/>
        </w:rPr>
      </w:pPr>
      <w:r w:rsidRPr="00941879">
        <w:rPr>
          <w:rFonts w:cstheme="minorHAnsi"/>
          <w:sz w:val="24"/>
          <w:szCs w:val="24"/>
          <w:lang w:val="en-GB"/>
        </w:rPr>
        <w:t>ALL's lack of a structured compliance audit procedure is a notable governance deficiency. Obtaining ISO/IEC 27001 certification would establish a formal ISMS and offer external assurance to clients and regulators, while also facilitating GDPR compliance via its mandates for risk evaluation, access management, and ongoing enhancement. A Data Protection Impact Assessment (DPIA) must be performed for any systems handling customer PII, especially the IoT tracking information and AI analytics processes, and a Data Protection Officer (DPO) should be appointed to manage continuous GDPR adherence, breach notification periods, and requests from data subjects regarding their rights.</w:t>
      </w:r>
    </w:p>
    <w:p w14:paraId="33AF2DAB" w14:textId="77777777" w:rsidR="008A7740" w:rsidRPr="00941879" w:rsidRDefault="008A7740" w:rsidP="00941879">
      <w:pPr>
        <w:jc w:val="both"/>
        <w:rPr>
          <w:rFonts w:cstheme="minorHAnsi"/>
          <w:sz w:val="24"/>
          <w:szCs w:val="24"/>
          <w:lang w:val="en-GB"/>
        </w:rPr>
      </w:pPr>
    </w:p>
    <w:p w14:paraId="6277D9DA" w14:textId="6AF920E3" w:rsidR="008A7740" w:rsidRPr="00941879" w:rsidRDefault="008A7740" w:rsidP="00941879">
      <w:pPr>
        <w:pStyle w:val="Heading1"/>
        <w:jc w:val="both"/>
        <w:rPr>
          <w:rFonts w:asciiTheme="minorHAnsi" w:hAnsiTheme="minorHAnsi" w:cstheme="minorHAnsi"/>
          <w:b/>
          <w:bCs/>
          <w:sz w:val="30"/>
          <w:szCs w:val="30"/>
          <w:lang w:val="en-GB"/>
        </w:rPr>
      </w:pPr>
      <w:bookmarkStart w:id="9" w:name="_Toc235309943"/>
      <w:r w:rsidRPr="00941879">
        <w:rPr>
          <w:rFonts w:asciiTheme="minorHAnsi" w:hAnsiTheme="minorHAnsi" w:cstheme="minorHAnsi"/>
          <w:b/>
          <w:bCs/>
          <w:sz w:val="30"/>
          <w:szCs w:val="30"/>
          <w:lang w:val="en-GB"/>
        </w:rPr>
        <w:t>Vendor Management</w:t>
      </w:r>
      <w:bookmarkEnd w:id="9"/>
    </w:p>
    <w:p w14:paraId="2AED6D25" w14:textId="6A978A28" w:rsidR="008A7740" w:rsidRPr="00941879" w:rsidRDefault="008A7740" w:rsidP="00941879">
      <w:pPr>
        <w:jc w:val="both"/>
        <w:rPr>
          <w:rFonts w:cstheme="minorHAnsi"/>
          <w:sz w:val="24"/>
          <w:szCs w:val="24"/>
          <w:lang w:val="en-GB"/>
        </w:rPr>
      </w:pPr>
      <w:r w:rsidRPr="00941879">
        <w:rPr>
          <w:rFonts w:cstheme="minorHAnsi"/>
          <w:sz w:val="24"/>
          <w:szCs w:val="24"/>
          <w:lang w:val="en-GB"/>
        </w:rPr>
        <w:t>With around 88% of ALL's IT infrastructure contracted via IaaS and SaaS agreements, managing vendors and Service Level Agreements (SLA) is an essential governance focus. A structured Third-Party Risk Management (TPRM) program must be implemented,</w:t>
      </w:r>
      <w:r w:rsidRPr="0064493D">
        <w:rPr>
          <w:rFonts w:ascii="Times New Roman" w:hAnsi="Times New Roman" w:cs="Times New Roman"/>
          <w:sz w:val="24"/>
          <w:szCs w:val="24"/>
          <w:lang w:val="en-GB"/>
        </w:rPr>
        <w:t xml:space="preserve"> </w:t>
      </w:r>
      <w:r w:rsidRPr="00941879">
        <w:rPr>
          <w:rFonts w:cstheme="minorHAnsi"/>
          <w:sz w:val="24"/>
          <w:szCs w:val="24"/>
          <w:lang w:val="en-GB"/>
        </w:rPr>
        <w:t xml:space="preserve">necessitating security evaluations prior to onboarding new suppliers and regular reassessments afterward. SLAs must clearly outline security responsibilities, obligations for breach notification, rights to conduct audits, and requirements for data residency, responding to the vendor accountability issues presented in ALL's case. Due to the intricate nature of overseeing security in varied and decentralized third-party settings, adaptable governance frameworks that can implement uniform security policies across different vendor infrastructures are especially pertinent in this context </w:t>
      </w:r>
      <w:sdt>
        <w:sdtPr>
          <w:rPr>
            <w:rFonts w:ascii="Calibri" w:hAnsi="Calibri" w:cs="Calibri"/>
            <w:color w:val="000000"/>
            <w:sz w:val="24"/>
            <w:szCs w:val="24"/>
            <w:highlight w:val="white"/>
            <w:lang w:val="en-GB"/>
          </w:rPr>
          <w:alias w:val="Citation"/>
          <w:tag w:val="{&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2156462"/>
          <w:placeholder>
            <w:docPart w:val="80B657F1592846689C7262A43BF58706"/>
          </w:placeholder>
        </w:sdtPr>
        <w:sdtContent>
          <w:r w:rsidR="00DF67C1">
            <w:rPr>
              <w:rFonts w:ascii="Calibri" w:eastAsia="Times New Roman" w:hAnsi="Calibri" w:cs="Calibri"/>
              <w:color w:val="000000"/>
            </w:rPr>
            <w:t>[7]</w:t>
          </w:r>
        </w:sdtContent>
      </w:sdt>
      <w:r w:rsidRPr="00941879">
        <w:rPr>
          <w:rFonts w:cstheme="minorHAnsi"/>
          <w:sz w:val="24"/>
          <w:szCs w:val="24"/>
          <w:lang w:val="en-GB"/>
        </w:rPr>
        <w:t>.</w:t>
      </w:r>
    </w:p>
    <w:p w14:paraId="7180DBF6" w14:textId="77777777" w:rsidR="008A7740" w:rsidRPr="00941879" w:rsidRDefault="008A7740" w:rsidP="00941879">
      <w:pPr>
        <w:jc w:val="both"/>
        <w:rPr>
          <w:rFonts w:cstheme="minorHAnsi"/>
          <w:sz w:val="24"/>
          <w:szCs w:val="24"/>
          <w:lang w:val="en-GB"/>
        </w:rPr>
      </w:pPr>
    </w:p>
    <w:p w14:paraId="77835D0E" w14:textId="7B75A2F2" w:rsidR="008A7740" w:rsidRPr="00941879" w:rsidRDefault="008A7740" w:rsidP="00941879">
      <w:pPr>
        <w:pStyle w:val="Heading1"/>
        <w:jc w:val="both"/>
        <w:rPr>
          <w:rFonts w:asciiTheme="minorHAnsi" w:hAnsiTheme="minorHAnsi" w:cstheme="minorHAnsi"/>
          <w:b/>
          <w:bCs/>
          <w:sz w:val="30"/>
          <w:szCs w:val="30"/>
          <w:lang w:val="en-GB"/>
        </w:rPr>
      </w:pPr>
      <w:bookmarkStart w:id="10" w:name="_Toc235309944"/>
      <w:r w:rsidRPr="00941879">
        <w:rPr>
          <w:rFonts w:asciiTheme="minorHAnsi" w:hAnsiTheme="minorHAnsi" w:cstheme="minorHAnsi"/>
          <w:b/>
          <w:bCs/>
          <w:sz w:val="30"/>
          <w:szCs w:val="30"/>
          <w:lang w:val="en-GB"/>
        </w:rPr>
        <w:t>Incident Response</w:t>
      </w:r>
      <w:bookmarkEnd w:id="10"/>
    </w:p>
    <w:p w14:paraId="0595E97C" w14:textId="3DBB3384" w:rsidR="008A7740" w:rsidRPr="00941879" w:rsidRDefault="008A7740" w:rsidP="00941879">
      <w:pPr>
        <w:jc w:val="both"/>
        <w:rPr>
          <w:rFonts w:cstheme="minorHAnsi"/>
          <w:sz w:val="24"/>
          <w:szCs w:val="24"/>
          <w:lang w:val="en-GB"/>
        </w:rPr>
      </w:pPr>
      <w:r w:rsidRPr="00941879">
        <w:rPr>
          <w:rFonts w:cstheme="minorHAnsi"/>
          <w:sz w:val="24"/>
          <w:szCs w:val="24"/>
          <w:lang w:val="en-GB"/>
        </w:rPr>
        <w:t xml:space="preserve">A plan for incident response (IRP) must be created in accordance with the Respond function of NIST CSF 2.0, outlining responsibilities, escalation routes, and communication methods for security incidents, such as breaches related to client shipment data or PII </w:t>
      </w:r>
      <w:sdt>
        <w:sdtPr>
          <w:rPr>
            <w:rFonts w:ascii="Calibri" w:hAnsi="Calibri" w:cs="Calibri"/>
            <w:color w:val="000000"/>
            <w:sz w:val="24"/>
            <w:szCs w:val="24"/>
            <w:highlight w:val="white"/>
            <w:lang w:val="en-GB"/>
          </w:rPr>
          <w:alias w:val="Citation"/>
          <w:tag w:val="{&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0020090"/>
          <w:placeholder>
            <w:docPart w:val="29C2FC07428F40FB9C827E6487656682"/>
          </w:placeholder>
        </w:sdtPr>
        <w:sdtContent>
          <w:r w:rsidR="00DF67C1">
            <w:rPr>
              <w:rFonts w:ascii="Calibri" w:eastAsia="Times New Roman" w:hAnsi="Calibri" w:cs="Calibri"/>
              <w:color w:val="000000"/>
            </w:rPr>
            <w:t>[1]</w:t>
          </w:r>
        </w:sdtContent>
      </w:sdt>
      <w:r w:rsidRPr="00941879">
        <w:rPr>
          <w:rFonts w:cstheme="minorHAnsi"/>
          <w:sz w:val="24"/>
          <w:szCs w:val="24"/>
          <w:lang w:val="en-GB"/>
        </w:rPr>
        <w:t>. Considering ALL's operations driven by IoT and AI, the strategy must encompass detailed playbooks for IoT device breaches and unusual AI system activity, guided by studies that emphasize the unique incident patterns brought about by AI-integrated and IoT-linked systems</w:t>
      </w:r>
      <w:r w:rsidR="00907FF7">
        <w:rPr>
          <w:rFonts w:cstheme="minorHAnsi"/>
          <w:sz w:val="24"/>
          <w:szCs w:val="24"/>
          <w:lang w:val="en-GB"/>
        </w:rPr>
        <w:t xml:space="preserve"> </w:t>
      </w:r>
      <w:sdt>
        <w:sdtPr>
          <w:rPr>
            <w:rFonts w:ascii="Calibri" w:hAnsi="Calibri" w:cs="Calibri"/>
            <w:color w:val="000000"/>
            <w:sz w:val="24"/>
            <w:szCs w:val="24"/>
            <w:highlight w:val="white"/>
            <w:lang w:val="en-GB"/>
          </w:rPr>
          <w:alias w:val="Citation"/>
          <w:tag w:val="{&quot;referencesIds&quot;:[&quot;doc:6a5d8a5cc2ecfb3df852878b&quot;],&quot;referencesOptions&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3377700"/>
          <w:placeholder>
            <w:docPart w:val="A2676EB0674D4A138CB7495E66D3C99D"/>
          </w:placeholder>
        </w:sdtPr>
        <w:sdtContent>
          <w:r w:rsidR="00DF67C1">
            <w:rPr>
              <w:rFonts w:ascii="Calibri" w:eastAsia="Times New Roman" w:hAnsi="Calibri" w:cs="Calibri"/>
              <w:color w:val="000000"/>
            </w:rPr>
            <w:t>[6]</w:t>
          </w:r>
        </w:sdtContent>
      </w:sdt>
      <w:r w:rsidRPr="00941879">
        <w:rPr>
          <w:rFonts w:cstheme="minorHAnsi"/>
          <w:sz w:val="24"/>
          <w:szCs w:val="24"/>
          <w:lang w:val="en-GB"/>
        </w:rPr>
        <w:t>. Frequent tabletop exercises must be performed to evaluate the plan's efficiency and make certain that personnel are aware of reporting duties, such as GDPR's 72-hour breach notification stipulation.</w:t>
      </w:r>
    </w:p>
    <w:p w14:paraId="632AF636" w14:textId="77777777" w:rsidR="008A7740" w:rsidRPr="00941879" w:rsidRDefault="008A7740" w:rsidP="00941879">
      <w:pPr>
        <w:jc w:val="both"/>
        <w:rPr>
          <w:rFonts w:cstheme="minorHAnsi"/>
          <w:sz w:val="24"/>
          <w:szCs w:val="24"/>
          <w:lang w:val="en-GB"/>
        </w:rPr>
      </w:pPr>
    </w:p>
    <w:p w14:paraId="0234705B" w14:textId="1D6D0C17" w:rsidR="008A7740" w:rsidRPr="00941879" w:rsidRDefault="008A7740" w:rsidP="00941879">
      <w:pPr>
        <w:pStyle w:val="Heading1"/>
        <w:jc w:val="both"/>
        <w:rPr>
          <w:rFonts w:asciiTheme="minorHAnsi" w:hAnsiTheme="minorHAnsi" w:cstheme="minorHAnsi"/>
          <w:b/>
          <w:bCs/>
          <w:sz w:val="30"/>
          <w:szCs w:val="30"/>
          <w:lang w:val="en-GB"/>
        </w:rPr>
      </w:pPr>
      <w:bookmarkStart w:id="11" w:name="_Toc235309945"/>
      <w:r w:rsidRPr="00941879">
        <w:rPr>
          <w:rFonts w:asciiTheme="minorHAnsi" w:hAnsiTheme="minorHAnsi" w:cstheme="minorHAnsi"/>
          <w:b/>
          <w:bCs/>
          <w:sz w:val="30"/>
          <w:szCs w:val="30"/>
          <w:lang w:val="en-GB"/>
        </w:rPr>
        <w:t>Business Continuity Planning</w:t>
      </w:r>
      <w:bookmarkEnd w:id="11"/>
    </w:p>
    <w:p w14:paraId="30C6F467" w14:textId="7E64F1D5" w:rsidR="008A7740" w:rsidRPr="00941879" w:rsidRDefault="008A7740" w:rsidP="00941879">
      <w:pPr>
        <w:jc w:val="both"/>
        <w:rPr>
          <w:rFonts w:cstheme="minorHAnsi"/>
          <w:sz w:val="24"/>
          <w:szCs w:val="24"/>
          <w:lang w:val="en-GB"/>
        </w:rPr>
      </w:pPr>
      <w:r w:rsidRPr="00941879">
        <w:rPr>
          <w:rFonts w:cstheme="minorHAnsi"/>
          <w:sz w:val="24"/>
          <w:szCs w:val="24"/>
          <w:lang w:val="en-GB"/>
        </w:rPr>
        <w:t xml:space="preserve">A Business Continuity and Disaster Recovery (BCDR) plan must be created, in alignment with the Recover function of NIST CSF 2.0, to guarantee that ALL can recover essential logistics operations after a security event or system failure </w:t>
      </w:r>
      <w:sdt>
        <w:sdtPr>
          <w:rPr>
            <w:rFonts w:ascii="Calibri" w:hAnsi="Calibri" w:cs="Calibri"/>
            <w:color w:val="000000"/>
            <w:sz w:val="24"/>
            <w:szCs w:val="24"/>
            <w:highlight w:val="white"/>
            <w:lang w:val="en-GB"/>
          </w:rPr>
          <w:alias w:val="Citation"/>
          <w:tag w:val="{&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7102440"/>
          <w:placeholder>
            <w:docPart w:val="DC8CFE4D86A3485D88A54E89D0FAC983"/>
          </w:placeholder>
        </w:sdtPr>
        <w:sdtContent>
          <w:r w:rsidR="00DF67C1">
            <w:rPr>
              <w:rFonts w:ascii="Calibri" w:eastAsia="Times New Roman" w:hAnsi="Calibri" w:cs="Calibri"/>
              <w:color w:val="000000"/>
            </w:rPr>
            <w:t>[1]</w:t>
          </w:r>
        </w:sdtContent>
      </w:sdt>
      <w:r w:rsidRPr="00941879">
        <w:rPr>
          <w:rFonts w:cstheme="minorHAnsi"/>
          <w:sz w:val="24"/>
          <w:szCs w:val="24"/>
          <w:lang w:val="en-GB"/>
        </w:rPr>
        <w:t xml:space="preserve">. Considering ALL's reliance on external IaaS/SaaS providers, continuity planning should include vendor-related outages, in addition to internal failures, highlighting the necessity for SLA provisions that address uptime assurances and failover assistance. Adaptive, edge-based security methods that uphold policy enforcement despite interruptions in connection to central cloud systems are especially pertinent to ALL's distributed IoT tracking network, ensuring that security measures stay effective during outages rather than failing open </w:t>
      </w:r>
      <w:sdt>
        <w:sdtPr>
          <w:rPr>
            <w:rFonts w:ascii="Calibri" w:hAnsi="Calibri" w:cs="Calibri"/>
            <w:color w:val="000000"/>
            <w:sz w:val="24"/>
            <w:szCs w:val="24"/>
            <w:highlight w:val="white"/>
            <w:lang w:val="en-GB"/>
          </w:rPr>
          <w:alias w:val="Citation"/>
          <w:tag w:val="{&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1072516"/>
          <w:placeholder>
            <w:docPart w:val="8CD8A173176A46AE81CE4ACB1D4E20F2"/>
          </w:placeholder>
        </w:sdtPr>
        <w:sdtContent>
          <w:r w:rsidR="00DF67C1">
            <w:rPr>
              <w:rFonts w:ascii="Calibri" w:eastAsia="Times New Roman" w:hAnsi="Calibri" w:cs="Calibri"/>
              <w:color w:val="000000"/>
            </w:rPr>
            <w:t>[7]</w:t>
          </w:r>
        </w:sdtContent>
      </w:sdt>
      <w:r w:rsidRPr="00941879">
        <w:rPr>
          <w:rFonts w:cstheme="minorHAnsi"/>
          <w:sz w:val="24"/>
          <w:szCs w:val="24"/>
          <w:lang w:val="en-GB"/>
        </w:rPr>
        <w:t>.Collectively, these eight elements create a cohesive governance framework that tackles ALL's current compliance deficiencies while developing the structural maturity required to handle the security risks posed by its cloud, IoT, and AI-driven operations.</w:t>
      </w:r>
    </w:p>
    <w:p w14:paraId="5B9AE6BD" w14:textId="77777777" w:rsidR="008A7740" w:rsidRPr="0064493D" w:rsidRDefault="008A7740" w:rsidP="00941879">
      <w:pPr>
        <w:jc w:val="both"/>
        <w:rPr>
          <w:rFonts w:ascii="Times New Roman" w:hAnsi="Times New Roman" w:cs="Times New Roman"/>
          <w:sz w:val="24"/>
          <w:szCs w:val="24"/>
          <w:lang w:val="en-GB"/>
        </w:rPr>
      </w:pPr>
    </w:p>
    <w:p w14:paraId="6092D0E7" w14:textId="5856D3FE" w:rsidR="008A7740" w:rsidRPr="006E2302" w:rsidRDefault="008A7740" w:rsidP="00941879">
      <w:pPr>
        <w:pStyle w:val="Heading1"/>
        <w:jc w:val="both"/>
        <w:rPr>
          <w:rFonts w:asciiTheme="minorHAnsi" w:hAnsiTheme="minorHAnsi" w:cstheme="minorHAnsi"/>
          <w:b/>
          <w:bCs/>
          <w:sz w:val="30"/>
          <w:szCs w:val="30"/>
          <w:u w:val="single"/>
          <w:lang w:val="en-GB"/>
        </w:rPr>
      </w:pPr>
      <w:bookmarkStart w:id="12" w:name="_Toc235309946"/>
      <w:r w:rsidRPr="006E2302">
        <w:rPr>
          <w:rFonts w:asciiTheme="minorHAnsi" w:hAnsiTheme="minorHAnsi" w:cstheme="minorHAnsi"/>
          <w:b/>
          <w:bCs/>
          <w:sz w:val="30"/>
          <w:szCs w:val="30"/>
          <w:lang w:val="en-GB"/>
        </w:rPr>
        <w:t>Critical</w:t>
      </w:r>
      <w:r w:rsidR="00941879" w:rsidRPr="006E2302">
        <w:rPr>
          <w:rFonts w:asciiTheme="minorHAnsi" w:hAnsiTheme="minorHAnsi" w:cstheme="minorHAnsi"/>
          <w:b/>
          <w:bCs/>
          <w:sz w:val="30"/>
          <w:szCs w:val="30"/>
          <w:u w:val="single"/>
          <w:lang w:val="en-GB"/>
        </w:rPr>
        <w:t xml:space="preserve"> </w:t>
      </w:r>
      <w:r w:rsidRPr="006E2302">
        <w:rPr>
          <w:rFonts w:asciiTheme="minorHAnsi" w:hAnsiTheme="minorHAnsi" w:cstheme="minorHAnsi"/>
          <w:b/>
          <w:bCs/>
          <w:sz w:val="30"/>
          <w:szCs w:val="30"/>
          <w:lang w:val="en-GB"/>
        </w:rPr>
        <w:t>Discussion</w:t>
      </w:r>
      <w:bookmarkEnd w:id="12"/>
    </w:p>
    <w:p w14:paraId="6C608CBA" w14:textId="49DBE0AD" w:rsidR="008A7740" w:rsidRPr="006E2302" w:rsidRDefault="008A7740" w:rsidP="00941879">
      <w:pPr>
        <w:jc w:val="both"/>
        <w:rPr>
          <w:rFonts w:cstheme="minorHAnsi"/>
          <w:sz w:val="24"/>
          <w:szCs w:val="24"/>
          <w:lang w:val="en-GB"/>
        </w:rPr>
      </w:pPr>
      <w:r w:rsidRPr="006E2302">
        <w:rPr>
          <w:rFonts w:cstheme="minorHAnsi"/>
          <w:sz w:val="24"/>
          <w:szCs w:val="24"/>
          <w:lang w:val="en-GB"/>
        </w:rPr>
        <w:t>The suggested framework for Aero</w:t>
      </w:r>
      <w:r w:rsidR="00941879" w:rsidRPr="006E2302">
        <w:rPr>
          <w:rFonts w:cstheme="minorHAnsi"/>
          <w:sz w:val="24"/>
          <w:szCs w:val="24"/>
          <w:lang w:val="en-GB"/>
        </w:rPr>
        <w:t xml:space="preserve"> </w:t>
      </w:r>
      <w:r w:rsidRPr="006E2302">
        <w:rPr>
          <w:rFonts w:cstheme="minorHAnsi"/>
          <w:sz w:val="24"/>
          <w:szCs w:val="24"/>
          <w:lang w:val="en-GB"/>
        </w:rPr>
        <w:t xml:space="preserve">Link Logistics highlights a wider conflict present in contemporary security governance literature: the balance between adaptability and reliability. NIST CSF 2.0's results-oriented framework provides flexibility that aligns with ALL's changing cloud, IoT, and AI landscape, yet its optional aspect means it lacks an external assurance system </w:t>
      </w:r>
      <w:proofErr w:type="gramStart"/>
      <w:r w:rsidRPr="006E2302">
        <w:rPr>
          <w:rFonts w:cstheme="minorHAnsi"/>
          <w:sz w:val="24"/>
          <w:szCs w:val="24"/>
          <w:lang w:val="en-GB"/>
        </w:rPr>
        <w:t>similar to</w:t>
      </w:r>
      <w:proofErr w:type="gramEnd"/>
      <w:r w:rsidRPr="006E2302">
        <w:rPr>
          <w:rFonts w:cstheme="minorHAnsi"/>
          <w:sz w:val="24"/>
          <w:szCs w:val="24"/>
          <w:lang w:val="en-GB"/>
        </w:rPr>
        <w:t xml:space="preserve"> ISO/IEC 27001 certification </w:t>
      </w:r>
      <w:sdt>
        <w:sdtPr>
          <w:rPr>
            <w:rFonts w:ascii="Calibri" w:hAnsi="Calibri" w:cs="Calibri"/>
            <w:color w:val="000000"/>
            <w:sz w:val="24"/>
            <w:szCs w:val="24"/>
            <w:highlight w:val="white"/>
            <w:lang w:val="en-GB"/>
          </w:rPr>
          <w:alias w:val="Citation"/>
          <w:tag w:val="{&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6554098"/>
          <w:placeholder>
            <w:docPart w:val="D826B1897CD14FE3947A02018CF344D3"/>
          </w:placeholder>
        </w:sdtPr>
        <w:sdtContent>
          <w:r w:rsidR="00DF67C1">
            <w:rPr>
              <w:rFonts w:ascii="Calibri" w:eastAsia="Times New Roman" w:hAnsi="Calibri" w:cs="Calibri"/>
              <w:color w:val="000000"/>
            </w:rPr>
            <w:t>[1]</w:t>
          </w:r>
        </w:sdtContent>
      </w:sdt>
      <w:r w:rsidRPr="006E2302">
        <w:rPr>
          <w:rFonts w:cstheme="minorHAnsi"/>
          <w:sz w:val="24"/>
          <w:szCs w:val="24"/>
          <w:lang w:val="en-GB"/>
        </w:rPr>
        <w:t xml:space="preserve">. Depending solely on CSF would prevent ALL from conclusively proving compliance to clients or regulators, presenting a significant risk due to the organization's history of data breaches and GDPR vulnerabilities. In contrast, ISO/IEC 27001 provides thorough audit capabilities but is relatively sluggish in addressing emerging risk types like AI model bias or the proliferation of IoT devices, highlighting the growing preference in comparative studies for integrated, multi-framework methods rather than dependence on one standard </w:t>
      </w:r>
      <w:sdt>
        <w:sdtPr>
          <w:rPr>
            <w:rFonts w:ascii="Calibri" w:hAnsi="Calibri" w:cs="Calibri"/>
            <w:color w:val="000000"/>
            <w:sz w:val="24"/>
            <w:szCs w:val="24"/>
            <w:highlight w:val="white"/>
            <w:lang w:val="en-GB"/>
          </w:rPr>
          <w:alias w:val="Citation"/>
          <w:tag w:val="{&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482405"/>
          <w:placeholder>
            <w:docPart w:val="A8F22595127F49F1AC4F0748D3F65711"/>
          </w:placeholder>
        </w:sdtPr>
        <w:sdtContent>
          <w:r w:rsidR="00DF67C1">
            <w:rPr>
              <w:rFonts w:ascii="Calibri" w:eastAsia="Times New Roman" w:hAnsi="Calibri" w:cs="Calibri"/>
              <w:color w:val="000000"/>
            </w:rPr>
            <w:t>[2]</w:t>
          </w:r>
        </w:sdtContent>
      </w:sdt>
      <w:r w:rsidRPr="006E2302">
        <w:rPr>
          <w:rFonts w:cstheme="minorHAnsi"/>
          <w:sz w:val="24"/>
          <w:szCs w:val="24"/>
          <w:lang w:val="en-GB"/>
        </w:rPr>
        <w:t>.</w:t>
      </w:r>
      <w:r w:rsidR="0003482C">
        <w:rPr>
          <w:rFonts w:cstheme="minorHAnsi"/>
          <w:sz w:val="24"/>
          <w:szCs w:val="24"/>
          <w:lang w:val="en-GB"/>
        </w:rPr>
        <w:t xml:space="preserve"> </w:t>
      </w:r>
      <w:r w:rsidRPr="006E2302">
        <w:rPr>
          <w:rFonts w:cstheme="minorHAnsi"/>
          <w:sz w:val="24"/>
          <w:szCs w:val="24"/>
          <w:lang w:val="en-GB"/>
        </w:rPr>
        <w:t xml:space="preserve">This presents a concrete issue for </w:t>
      </w:r>
      <w:r w:rsidR="00597422">
        <w:rPr>
          <w:rFonts w:cstheme="minorHAnsi"/>
          <w:sz w:val="24"/>
          <w:szCs w:val="24"/>
          <w:lang w:val="en-GB"/>
        </w:rPr>
        <w:t>the organisation</w:t>
      </w:r>
      <w:r w:rsidRPr="006E2302">
        <w:rPr>
          <w:rFonts w:cstheme="minorHAnsi"/>
          <w:sz w:val="24"/>
          <w:szCs w:val="24"/>
          <w:lang w:val="en-GB"/>
        </w:rPr>
        <w:t xml:space="preserve"> adding an extra AI-focused framework heightens governance intricacy and resource requirements, which might be hard for an organization with underdeveloped security systems to accommodate swiftly.</w:t>
      </w:r>
    </w:p>
    <w:p w14:paraId="4F039C9A" w14:textId="77777777" w:rsidR="008A7740" w:rsidRPr="006E2302" w:rsidRDefault="008A7740" w:rsidP="00941879">
      <w:pPr>
        <w:jc w:val="both"/>
        <w:rPr>
          <w:rFonts w:cstheme="minorHAnsi"/>
          <w:sz w:val="24"/>
          <w:szCs w:val="24"/>
          <w:lang w:val="en-GB"/>
        </w:rPr>
      </w:pPr>
    </w:p>
    <w:p w14:paraId="589BA27A" w14:textId="692C13C7" w:rsidR="008A7740" w:rsidRPr="006E2302" w:rsidRDefault="008A7740" w:rsidP="00941879">
      <w:pPr>
        <w:jc w:val="both"/>
        <w:rPr>
          <w:rFonts w:cstheme="minorHAnsi"/>
          <w:sz w:val="24"/>
          <w:szCs w:val="24"/>
          <w:lang w:val="en-GB"/>
        </w:rPr>
      </w:pPr>
      <w:r w:rsidRPr="006E2302">
        <w:rPr>
          <w:rFonts w:cstheme="minorHAnsi"/>
          <w:sz w:val="24"/>
          <w:szCs w:val="24"/>
          <w:lang w:val="en-GB"/>
        </w:rPr>
        <w:t xml:space="preserve">The literature concerning IoT and vendors emphasizes an implementation gap instead of a knowledge gap: adaptive, edge-based security models are suggested specifically because centralized governance cannot effectively manage the varied, distributed ecosystems of devices and vendors </w:t>
      </w:r>
      <w:sdt>
        <w:sdtPr>
          <w:rPr>
            <w:rFonts w:ascii="Calibri" w:hAnsi="Calibri" w:cs="Calibri"/>
            <w:color w:val="000000"/>
            <w:sz w:val="24"/>
            <w:szCs w:val="24"/>
            <w:highlight w:val="white"/>
            <w:lang w:val="en-GB"/>
          </w:rPr>
          <w:alias w:val="Citation"/>
          <w:tag w:val="{&quot;referencesIds&quot;:[&quot;doc:6a5d8a5c2db3087ec5ef5681&quot;,&quot;doc:6a5d8a5cc2ecfb3df852878b&quot;,&quot;doc:6a5d8a5e147d1d5588ba5eeb&quot;],&quot;referencesOptions&quot;:{&quot;doc:6a5d8a5c2db3087ec5ef5681&quot;:{&quot;author&quot;:true,&quot;year&quot;:true,&quot;formatAuthorYear&quot;:false,&quot;pageReplace&quot;:&quot;&quot;,&quot;additionalField&quot;:&quot;&quot;,&quot;additionalValue&quot;:&quot;&quot;,&quot;prefix&quot;:&quot;&quot;,&quot;suffix&quot;:&quot;&quot;},&quot;doc:6a5d8a5cc2ecfb3df852878b&quot;:{&quot;author&quot;:true,&quot;year&quot;:true,&quot;formatAuthorYear&quot;:false,&quot;pageReplace&quot;:&quot;&quot;,&quot;additionalField&quot;:&quot;&quot;,&quot;additionalValue&quot;:&quot;&quot;,&quot;prefix&quot;:&quot;&quot;,&quot;suffix&quot;:&quot;&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4634096"/>
          <w:placeholder>
            <w:docPart w:val="055F9D2D3DA34BD0B554E406BE3EF750"/>
          </w:placeholder>
        </w:sdtPr>
        <w:sdtContent>
          <w:r w:rsidR="00DF67C1">
            <w:rPr>
              <w:rFonts w:ascii="Calibri" w:eastAsia="Times New Roman" w:hAnsi="Calibri" w:cs="Calibri"/>
              <w:color w:val="000000"/>
            </w:rPr>
            <w:t>[5][7]</w:t>
          </w:r>
        </w:sdtContent>
      </w:sdt>
      <w:sdt>
        <w:sdtPr>
          <w:rPr>
            <w:rFonts w:ascii="Calibri" w:hAnsi="Calibri" w:cs="Calibri"/>
            <w:color w:val="000000"/>
            <w:sz w:val="24"/>
            <w:szCs w:val="24"/>
            <w:highlight w:val="white"/>
            <w:lang w:val="en-GB"/>
          </w:rPr>
          <w:alias w:val="Citation"/>
          <w:tag w:val="{&quot;referencesIds&quot;:[&quot;doc:6a5d8a5cc2ecfb3df852878b&quot;],&quot;referencesOptions&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5713146"/>
          <w:placeholder>
            <w:docPart w:val="CC850BE95E074B1B8A54DB29A0EB0E28"/>
          </w:placeholder>
        </w:sdtPr>
        <w:sdtContent>
          <w:r w:rsidR="00DF67C1">
            <w:rPr>
              <w:rFonts w:ascii="Calibri" w:eastAsia="Times New Roman" w:hAnsi="Calibri" w:cs="Calibri"/>
              <w:color w:val="000000"/>
            </w:rPr>
            <w:t>[6]</w:t>
          </w:r>
        </w:sdtContent>
      </w:sdt>
      <w:r w:rsidRPr="006E2302">
        <w:rPr>
          <w:rFonts w:cstheme="minorHAnsi"/>
          <w:sz w:val="24"/>
          <w:szCs w:val="24"/>
          <w:lang w:val="en-GB"/>
        </w:rPr>
        <w:t xml:space="preserve">. For </w:t>
      </w:r>
      <w:r w:rsidR="00597422">
        <w:rPr>
          <w:rFonts w:cstheme="minorHAnsi"/>
          <w:sz w:val="24"/>
          <w:szCs w:val="24"/>
          <w:lang w:val="en-GB"/>
        </w:rPr>
        <w:t>the organizat</w:t>
      </w:r>
      <w:r w:rsidR="005B6D4A">
        <w:rPr>
          <w:rFonts w:cstheme="minorHAnsi"/>
          <w:sz w:val="24"/>
          <w:szCs w:val="24"/>
          <w:lang w:val="en-GB"/>
        </w:rPr>
        <w:t>ion</w:t>
      </w:r>
      <w:r w:rsidRPr="006E2302">
        <w:rPr>
          <w:rFonts w:cstheme="minorHAnsi"/>
          <w:sz w:val="24"/>
          <w:szCs w:val="24"/>
          <w:lang w:val="en-GB"/>
        </w:rPr>
        <w:t xml:space="preserve"> this indicates that governance maturity ought to be developed gradually, emphasizing governance framework, risk oversight, and </w:t>
      </w:r>
      <w:r w:rsidRPr="006E2302">
        <w:rPr>
          <w:rFonts w:cstheme="minorHAnsi"/>
          <w:sz w:val="24"/>
          <w:szCs w:val="24"/>
          <w:lang w:val="en-GB"/>
        </w:rPr>
        <w:lastRenderedPageBreak/>
        <w:t>vendor responsibility before pursuing more resource-demanding measures like complete ISO/IEC 27001 certification or edge-based IoT enforcement. A fundamental assumption of this proposal is that ALL possesses adequate budget and management dedication to support a phased implementation; if resource limitations are more stringent than expected, prioritization would have to further focus on the highest-risk gaps, specifically vendor accountability and PII safeguarding.</w:t>
      </w:r>
    </w:p>
    <w:p w14:paraId="65B4F6B0" w14:textId="77777777" w:rsidR="008A7740" w:rsidRPr="006E2302" w:rsidRDefault="008A7740" w:rsidP="00941879">
      <w:pPr>
        <w:jc w:val="both"/>
        <w:rPr>
          <w:rFonts w:cstheme="minorHAnsi"/>
          <w:sz w:val="24"/>
          <w:szCs w:val="24"/>
          <w:lang w:val="en-GB"/>
        </w:rPr>
      </w:pPr>
    </w:p>
    <w:p w14:paraId="0CF38CD9" w14:textId="77777777" w:rsidR="003965A4" w:rsidRDefault="003965A4" w:rsidP="00941879">
      <w:pPr>
        <w:jc w:val="both"/>
        <w:rPr>
          <w:rFonts w:ascii="Times New Roman" w:hAnsi="Times New Roman" w:cs="Times New Roman"/>
          <w:b/>
          <w:bCs/>
          <w:sz w:val="30"/>
          <w:szCs w:val="30"/>
          <w:u w:val="single"/>
          <w:lang w:val="en-GB"/>
        </w:rPr>
      </w:pPr>
    </w:p>
    <w:p w14:paraId="1FD51C14" w14:textId="77777777" w:rsidR="003965A4" w:rsidRDefault="003965A4" w:rsidP="00941879">
      <w:pPr>
        <w:jc w:val="both"/>
        <w:rPr>
          <w:rFonts w:ascii="Times New Roman" w:hAnsi="Times New Roman" w:cs="Times New Roman"/>
          <w:b/>
          <w:bCs/>
          <w:sz w:val="30"/>
          <w:szCs w:val="30"/>
          <w:u w:val="single"/>
          <w:lang w:val="en-GB"/>
        </w:rPr>
      </w:pPr>
    </w:p>
    <w:p w14:paraId="7EE2D2B0" w14:textId="77777777" w:rsidR="003965A4" w:rsidRDefault="003965A4" w:rsidP="00941879">
      <w:pPr>
        <w:jc w:val="both"/>
        <w:rPr>
          <w:rFonts w:ascii="Times New Roman" w:hAnsi="Times New Roman" w:cs="Times New Roman"/>
          <w:b/>
          <w:bCs/>
          <w:sz w:val="30"/>
          <w:szCs w:val="30"/>
          <w:u w:val="single"/>
          <w:lang w:val="en-GB"/>
        </w:rPr>
      </w:pPr>
    </w:p>
    <w:p w14:paraId="1422B46E" w14:textId="77777777" w:rsidR="003965A4" w:rsidRDefault="003965A4" w:rsidP="00941879">
      <w:pPr>
        <w:jc w:val="both"/>
        <w:rPr>
          <w:rFonts w:ascii="Times New Roman" w:hAnsi="Times New Roman" w:cs="Times New Roman"/>
          <w:b/>
          <w:bCs/>
          <w:sz w:val="30"/>
          <w:szCs w:val="30"/>
          <w:u w:val="single"/>
          <w:lang w:val="en-GB"/>
        </w:rPr>
      </w:pPr>
    </w:p>
    <w:p w14:paraId="06CEBF18" w14:textId="77777777" w:rsidR="003965A4" w:rsidRDefault="003965A4" w:rsidP="00941879">
      <w:pPr>
        <w:jc w:val="both"/>
        <w:rPr>
          <w:rFonts w:ascii="Times New Roman" w:hAnsi="Times New Roman" w:cs="Times New Roman"/>
          <w:b/>
          <w:bCs/>
          <w:sz w:val="30"/>
          <w:szCs w:val="30"/>
          <w:u w:val="single"/>
          <w:lang w:val="en-GB"/>
        </w:rPr>
      </w:pPr>
    </w:p>
    <w:p w14:paraId="54DEA285" w14:textId="77777777" w:rsidR="003965A4" w:rsidRDefault="003965A4" w:rsidP="00941879">
      <w:pPr>
        <w:jc w:val="both"/>
        <w:rPr>
          <w:rFonts w:ascii="Times New Roman" w:hAnsi="Times New Roman" w:cs="Times New Roman"/>
          <w:b/>
          <w:bCs/>
          <w:sz w:val="30"/>
          <w:szCs w:val="30"/>
          <w:u w:val="single"/>
          <w:lang w:val="en-GB"/>
        </w:rPr>
      </w:pPr>
    </w:p>
    <w:p w14:paraId="33D5F5E6" w14:textId="77777777" w:rsidR="003965A4" w:rsidRDefault="003965A4" w:rsidP="00941879">
      <w:pPr>
        <w:jc w:val="both"/>
        <w:rPr>
          <w:rFonts w:ascii="Times New Roman" w:hAnsi="Times New Roman" w:cs="Times New Roman"/>
          <w:b/>
          <w:bCs/>
          <w:sz w:val="30"/>
          <w:szCs w:val="30"/>
          <w:u w:val="single"/>
          <w:lang w:val="en-GB"/>
        </w:rPr>
      </w:pPr>
    </w:p>
    <w:p w14:paraId="75E8B615" w14:textId="77777777" w:rsidR="003965A4" w:rsidRDefault="003965A4" w:rsidP="00941879">
      <w:pPr>
        <w:jc w:val="both"/>
        <w:rPr>
          <w:rFonts w:ascii="Times New Roman" w:hAnsi="Times New Roman" w:cs="Times New Roman"/>
          <w:b/>
          <w:bCs/>
          <w:sz w:val="30"/>
          <w:szCs w:val="30"/>
          <w:u w:val="single"/>
          <w:lang w:val="en-GB"/>
        </w:rPr>
      </w:pPr>
    </w:p>
    <w:p w14:paraId="00F4874D" w14:textId="77777777" w:rsidR="00563EB3" w:rsidRDefault="00563EB3" w:rsidP="00941879">
      <w:pPr>
        <w:jc w:val="both"/>
        <w:rPr>
          <w:rFonts w:ascii="Times New Roman" w:hAnsi="Times New Roman" w:cs="Times New Roman"/>
          <w:b/>
          <w:bCs/>
          <w:sz w:val="30"/>
          <w:szCs w:val="30"/>
          <w:u w:val="single"/>
          <w:lang w:val="en-GB"/>
        </w:rPr>
      </w:pPr>
    </w:p>
    <w:p w14:paraId="3CFCD5E1" w14:textId="77777777" w:rsidR="00DF67C1" w:rsidRDefault="00DF67C1" w:rsidP="00941879">
      <w:pPr>
        <w:pStyle w:val="Heading1"/>
        <w:jc w:val="both"/>
        <w:rPr>
          <w:rFonts w:asciiTheme="minorHAnsi" w:hAnsiTheme="minorHAnsi" w:cstheme="minorHAnsi"/>
          <w:b/>
          <w:bCs/>
          <w:sz w:val="30"/>
          <w:szCs w:val="30"/>
          <w:lang w:val="en-GB"/>
        </w:rPr>
      </w:pPr>
      <w:bookmarkStart w:id="13" w:name="_Toc235309947"/>
    </w:p>
    <w:p w14:paraId="584CEC7C" w14:textId="77777777" w:rsidR="00DF67C1" w:rsidRDefault="00DF67C1" w:rsidP="00941879">
      <w:pPr>
        <w:pStyle w:val="Heading1"/>
        <w:jc w:val="both"/>
        <w:rPr>
          <w:rFonts w:asciiTheme="minorHAnsi" w:hAnsiTheme="minorHAnsi" w:cstheme="minorHAnsi"/>
          <w:b/>
          <w:bCs/>
          <w:sz w:val="30"/>
          <w:szCs w:val="30"/>
          <w:lang w:val="en-GB"/>
        </w:rPr>
      </w:pPr>
    </w:p>
    <w:p w14:paraId="5FF733D0" w14:textId="77777777" w:rsidR="009332CD" w:rsidRDefault="009332CD" w:rsidP="00941879">
      <w:pPr>
        <w:pStyle w:val="Heading1"/>
        <w:jc w:val="both"/>
        <w:rPr>
          <w:rFonts w:asciiTheme="minorHAnsi" w:hAnsiTheme="minorHAnsi" w:cstheme="minorHAnsi"/>
          <w:b/>
          <w:bCs/>
          <w:sz w:val="30"/>
          <w:szCs w:val="30"/>
          <w:lang w:val="en-GB"/>
        </w:rPr>
      </w:pPr>
    </w:p>
    <w:p w14:paraId="6DDD4BD0" w14:textId="77777777" w:rsidR="009332CD" w:rsidRDefault="009332CD" w:rsidP="00941879">
      <w:pPr>
        <w:pStyle w:val="Heading1"/>
        <w:jc w:val="both"/>
        <w:rPr>
          <w:rFonts w:asciiTheme="minorHAnsi" w:hAnsiTheme="minorHAnsi" w:cstheme="minorHAnsi"/>
          <w:b/>
          <w:bCs/>
          <w:sz w:val="30"/>
          <w:szCs w:val="30"/>
          <w:lang w:val="en-GB"/>
        </w:rPr>
      </w:pPr>
    </w:p>
    <w:p w14:paraId="210FCF05" w14:textId="77777777" w:rsidR="009332CD" w:rsidRDefault="009332CD" w:rsidP="00941879">
      <w:pPr>
        <w:pStyle w:val="Heading1"/>
        <w:jc w:val="both"/>
        <w:rPr>
          <w:rFonts w:asciiTheme="minorHAnsi" w:hAnsiTheme="minorHAnsi" w:cstheme="minorHAnsi"/>
          <w:b/>
          <w:bCs/>
          <w:sz w:val="30"/>
          <w:szCs w:val="30"/>
          <w:lang w:val="en-GB"/>
        </w:rPr>
      </w:pPr>
    </w:p>
    <w:p w14:paraId="2DBFCE67" w14:textId="77777777" w:rsidR="009332CD" w:rsidRDefault="009332CD" w:rsidP="00941879">
      <w:pPr>
        <w:pStyle w:val="Heading1"/>
        <w:jc w:val="both"/>
        <w:rPr>
          <w:rFonts w:asciiTheme="minorHAnsi" w:hAnsiTheme="minorHAnsi" w:cstheme="minorHAnsi"/>
          <w:b/>
          <w:bCs/>
          <w:sz w:val="30"/>
          <w:szCs w:val="30"/>
          <w:lang w:val="en-GB"/>
        </w:rPr>
      </w:pPr>
    </w:p>
    <w:p w14:paraId="6A68AC01" w14:textId="1D2BA0AD" w:rsidR="008A7740" w:rsidRPr="006E2302" w:rsidRDefault="008A7740" w:rsidP="00941879">
      <w:pPr>
        <w:pStyle w:val="Heading1"/>
        <w:jc w:val="both"/>
        <w:rPr>
          <w:rFonts w:asciiTheme="minorHAnsi" w:hAnsiTheme="minorHAnsi" w:cstheme="minorHAnsi"/>
          <w:b/>
          <w:bCs/>
          <w:sz w:val="30"/>
          <w:szCs w:val="30"/>
          <w:lang w:val="en-GB"/>
        </w:rPr>
      </w:pPr>
      <w:r w:rsidRPr="006E2302">
        <w:rPr>
          <w:rFonts w:asciiTheme="minorHAnsi" w:hAnsiTheme="minorHAnsi" w:cstheme="minorHAnsi"/>
          <w:b/>
          <w:bCs/>
          <w:sz w:val="30"/>
          <w:szCs w:val="30"/>
          <w:lang w:val="en-GB"/>
        </w:rPr>
        <w:t>Conclusion</w:t>
      </w:r>
      <w:bookmarkEnd w:id="13"/>
    </w:p>
    <w:p w14:paraId="4C9B9C0C" w14:textId="76DAC779" w:rsidR="008A7740" w:rsidRPr="006E2302" w:rsidRDefault="008A7740" w:rsidP="00941879">
      <w:pPr>
        <w:jc w:val="both"/>
        <w:rPr>
          <w:rFonts w:cstheme="minorHAnsi"/>
          <w:sz w:val="24"/>
          <w:szCs w:val="24"/>
          <w:lang w:val="en-GB"/>
        </w:rPr>
      </w:pPr>
      <w:r w:rsidRPr="006E2302">
        <w:rPr>
          <w:rFonts w:cstheme="minorHAnsi"/>
          <w:sz w:val="24"/>
          <w:szCs w:val="24"/>
          <w:lang w:val="en-GB"/>
        </w:rPr>
        <w:t>This report recommends a comprehensive security governance framework for Aero</w:t>
      </w:r>
      <w:r w:rsidR="006E2302">
        <w:rPr>
          <w:rFonts w:cstheme="minorHAnsi"/>
          <w:sz w:val="24"/>
          <w:szCs w:val="24"/>
          <w:lang w:val="en-GB"/>
        </w:rPr>
        <w:t xml:space="preserve"> </w:t>
      </w:r>
      <w:r w:rsidRPr="006E2302">
        <w:rPr>
          <w:rFonts w:cstheme="minorHAnsi"/>
          <w:sz w:val="24"/>
          <w:szCs w:val="24"/>
          <w:lang w:val="en-GB"/>
        </w:rPr>
        <w:t xml:space="preserve">Link Logistics, merging the risk-based governance model of NIST CSF 2.0, the </w:t>
      </w:r>
      <w:r w:rsidR="00E52FB6">
        <w:rPr>
          <w:rFonts w:cstheme="minorHAnsi"/>
          <w:sz w:val="24"/>
          <w:szCs w:val="24"/>
          <w:lang w:val="en-GB"/>
        </w:rPr>
        <w:t>zero trust</w:t>
      </w:r>
      <w:r w:rsidR="005E5020">
        <w:rPr>
          <w:rFonts w:cstheme="minorHAnsi"/>
          <w:sz w:val="24"/>
          <w:szCs w:val="24"/>
          <w:lang w:val="en-GB"/>
        </w:rPr>
        <w:t xml:space="preserve"> security model together with ISO/IEC 27001 and NIST </w:t>
      </w:r>
      <w:r w:rsidR="008C337F">
        <w:rPr>
          <w:rFonts w:cstheme="minorHAnsi"/>
          <w:sz w:val="24"/>
          <w:szCs w:val="24"/>
          <w:lang w:val="en-GB"/>
        </w:rPr>
        <w:t>CSF 2.0,</w:t>
      </w:r>
      <w:r w:rsidRPr="006E2302">
        <w:rPr>
          <w:rFonts w:cstheme="minorHAnsi"/>
          <w:sz w:val="24"/>
          <w:szCs w:val="24"/>
          <w:lang w:val="en-GB"/>
        </w:rPr>
        <w:t xml:space="preserve"> the compliance rigor of ISO/IEC 27001, and AI/IoT-specific risk guidance </w:t>
      </w:r>
      <w:sdt>
        <w:sdtPr>
          <w:rPr>
            <w:rFonts w:ascii="Calibri" w:hAnsi="Calibri" w:cs="Calibri"/>
            <w:color w:val="000000"/>
            <w:sz w:val="24"/>
            <w:szCs w:val="24"/>
            <w:highlight w:val="white"/>
            <w:lang w:val="en-GB"/>
          </w:rPr>
          <w:alias w:val="Citation"/>
          <w:tag w:val="{&quot;referencesIds&quot;:[&quot;doc:6a5d8a5b147d1d5588ba5ee9&quot;,&quot;doc:6a5d8a5c2db3087ec5ef5681&quot;],&quot;referencesOptions&quot;:{&quot;doc:6a5d8a5b147d1d5588ba5ee9&quot;:{&quot;author&quot;:true,&quot;year&quot;:true,&quot;formatAuthorYear&quot;:false,&quot;pageReplace&quot;:&quot;&quot;,&quot;additionalField&quot;:&quot;&quot;,&quot;additionalValue&quot;:&quot;&quot;,&quot;prefix&quot;:&quot;&quot;,&quot;suffix&quot;:&quot;&quot;},&quot;doc:6a5d8a5c2db3087ec5ef56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9639213"/>
          <w:placeholder>
            <w:docPart w:val="50CCFD3AF7F34E1FB837C73027BC537A"/>
          </w:placeholder>
        </w:sdtPr>
        <w:sdtContent>
          <w:r w:rsidR="00DF67C1">
            <w:rPr>
              <w:rFonts w:ascii="Calibri" w:eastAsia="Times New Roman" w:hAnsi="Calibri" w:cs="Calibri"/>
              <w:color w:val="000000"/>
            </w:rPr>
            <w:t>[3][5]</w:t>
          </w:r>
        </w:sdtContent>
      </w:sdt>
      <w:sdt>
        <w:sdtPr>
          <w:rPr>
            <w:rFonts w:ascii="Calibri" w:hAnsi="Calibri" w:cs="Calibri"/>
            <w:color w:val="000000"/>
            <w:sz w:val="24"/>
            <w:szCs w:val="24"/>
            <w:highlight w:val="white"/>
            <w:lang w:val="en-GB"/>
          </w:rPr>
          <w:alias w:val="Citation"/>
          <w:tag w:val="{&quot;referencesIds&quot;:[&quot;doc:6a5d8a5cc2ecfb3df852878b&quot;,&quot;doc:6a5d8a5e147d1d5588ba5eeb&quot;],&quot;referencesOptions&quot;:{&quot;doc:6a5d8a5cc2ecfb3df852878b&quot;:{&quot;author&quot;:true,&quot;year&quot;:true,&quot;formatAuthorYear&quot;:false,&quot;pageReplace&quot;:&quot;&quot;,&quot;additionalField&quot;:&quot;&quot;,&quot;additionalValue&quot;:&quot;&quot;,&quot;prefix&quot;:&quot;&quot;,&quot;suffix&quot;:&quot;&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9725502"/>
          <w:placeholder>
            <w:docPart w:val="5CC2241D78F0437282D9CE9B881D8BE6"/>
          </w:placeholder>
        </w:sdtPr>
        <w:sdtContent>
          <w:r w:rsidR="00DF67C1">
            <w:rPr>
              <w:rFonts w:ascii="Calibri" w:eastAsia="Times New Roman" w:hAnsi="Calibri" w:cs="Calibri"/>
              <w:color w:val="000000"/>
            </w:rPr>
            <w:t>[6][7]</w:t>
          </w:r>
        </w:sdtContent>
      </w:sdt>
      <w:r w:rsidRPr="006E2302">
        <w:rPr>
          <w:rFonts w:cstheme="minorHAnsi"/>
          <w:sz w:val="24"/>
          <w:szCs w:val="24"/>
          <w:lang w:val="en-GB"/>
        </w:rPr>
        <w:t>. No singular framework sufficiently tackles ALL's mix of outsourced infrastructure, IoT-enabled operations, and AI-driven analytics; thus, effective governance demands intentional integration instead of depending on a single standard. Ongoing evaluation of this framework is crucial, as changing regulatory requirements and new technologies will keep altering ALL's risk environment</w:t>
      </w:r>
      <w:r w:rsidR="005B4B14">
        <w:rPr>
          <w:rFonts w:cstheme="minorHAnsi"/>
          <w:sz w:val="24"/>
          <w:szCs w:val="24"/>
          <w:lang w:val="en-GB"/>
        </w:rPr>
        <w:t xml:space="preserve">. </w:t>
      </w:r>
      <w:sdt>
        <w:sdtPr>
          <w:rPr>
            <w:rFonts w:ascii="Calibri" w:hAnsi="Calibri" w:cs="Calibri"/>
            <w:color w:val="000000"/>
            <w:sz w:val="24"/>
            <w:szCs w:val="24"/>
            <w:highlight w:val="darkCyan"/>
            <w:lang w:val="en-GB"/>
          </w:rPr>
          <w:alias w:val="Citation"/>
          <w:tag w:val="{&quot;referencesIds&quot;:[&quot;doc:6a5d85a8c2ecfb3df852875c&quot;],&quot;referencesOptions&quot;:{&quot;doc:6a5d85a8c2ecfb3df85287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6732779"/>
          <w:placeholder>
            <w:docPart w:val="69BFB9ED18624218B175855EFDF3CBA8"/>
          </w:placeholder>
          <w:showingPlcHdr/>
        </w:sdtPr>
        <w:sdtContent>
          <w:r w:rsidR="00706B19" w:rsidRPr="00FF27DE">
            <w:rPr>
              <w:rStyle w:val="PlaceholderText"/>
            </w:rPr>
            <w:t>Formatting...</w:t>
          </w:r>
        </w:sdtContent>
      </w:sdt>
    </w:p>
    <w:p w14:paraId="2A5D44C8" w14:textId="77777777" w:rsidR="008A7740" w:rsidRPr="0064493D" w:rsidRDefault="008A7740" w:rsidP="00941879">
      <w:pPr>
        <w:jc w:val="both"/>
        <w:rPr>
          <w:rFonts w:ascii="Times New Roman" w:hAnsi="Times New Roman" w:cs="Times New Roman"/>
          <w:sz w:val="24"/>
          <w:szCs w:val="24"/>
          <w:lang w:val="en-GB"/>
        </w:rPr>
      </w:pPr>
    </w:p>
    <w:p w14:paraId="18C9475B" w14:textId="77777777" w:rsidR="00B560CA" w:rsidRPr="0064493D" w:rsidRDefault="00B560CA" w:rsidP="00941879">
      <w:pPr>
        <w:jc w:val="both"/>
        <w:rPr>
          <w:rFonts w:ascii="Times New Roman" w:hAnsi="Times New Roman" w:cs="Times New Roman"/>
          <w:sz w:val="24"/>
          <w:szCs w:val="24"/>
          <w:lang w:val="en-GB"/>
        </w:rPr>
      </w:pPr>
    </w:p>
    <w:p w14:paraId="690946FA" w14:textId="77777777" w:rsidR="00B560CA" w:rsidRPr="0064493D" w:rsidRDefault="00B560CA" w:rsidP="00941879">
      <w:pPr>
        <w:jc w:val="both"/>
        <w:rPr>
          <w:rFonts w:ascii="Times New Roman" w:hAnsi="Times New Roman" w:cs="Times New Roman"/>
          <w:sz w:val="24"/>
          <w:szCs w:val="24"/>
          <w:lang w:val="en-GB"/>
        </w:rPr>
      </w:pPr>
    </w:p>
    <w:p w14:paraId="0284C591" w14:textId="77777777" w:rsidR="00B560CA" w:rsidRPr="0064493D" w:rsidRDefault="00B560CA" w:rsidP="00941879">
      <w:pPr>
        <w:jc w:val="both"/>
        <w:rPr>
          <w:rFonts w:ascii="Times New Roman" w:hAnsi="Times New Roman" w:cs="Times New Roman"/>
          <w:sz w:val="24"/>
          <w:szCs w:val="24"/>
          <w:lang w:val="en-GB"/>
        </w:rPr>
      </w:pPr>
    </w:p>
    <w:p w14:paraId="0CA6D7B5" w14:textId="77777777" w:rsidR="00B560CA" w:rsidRPr="0064493D" w:rsidRDefault="00B560CA" w:rsidP="00941879">
      <w:pPr>
        <w:jc w:val="both"/>
        <w:rPr>
          <w:rFonts w:ascii="Times New Roman" w:hAnsi="Times New Roman" w:cs="Times New Roman"/>
          <w:sz w:val="24"/>
          <w:szCs w:val="24"/>
          <w:lang w:val="en-GB"/>
        </w:rPr>
      </w:pPr>
    </w:p>
    <w:p w14:paraId="1E5EFE77" w14:textId="77777777" w:rsidR="00881B8C" w:rsidRDefault="00881B8C">
      <w:pPr>
        <w:pStyle w:val="NormalWeb"/>
        <w:jc w:val="center"/>
        <w:rPr>
          <w:lang w:val="en-GB"/>
        </w:rPr>
      </w:pPr>
      <w:r>
        <w:rPr>
          <w:lang w:val="en-GB"/>
        </w:rPr>
        <w:br/>
      </w:r>
    </w:p>
    <w:p w14:paraId="272F177D" w14:textId="0E69404F" w:rsidR="00881B8C" w:rsidRDefault="00881B8C" w:rsidP="00941879">
      <w:pPr>
        <w:jc w:val="both"/>
        <w:rPr>
          <w:rFonts w:ascii="Times New Roman" w:hAnsi="Times New Roman" w:cs="Times New Roman"/>
          <w:sz w:val="24"/>
          <w:szCs w:val="24"/>
          <w:lang w:val="en-GB"/>
        </w:rPr>
      </w:pPr>
    </w:p>
    <w:p w14:paraId="3D0B3742" w14:textId="77777777" w:rsidR="00D57A3B" w:rsidRDefault="00D57A3B">
      <w:pPr>
        <w:pStyle w:val="NormalWeb"/>
        <w:jc w:val="center"/>
        <w:rPr>
          <w:lang w:val="en-GB"/>
        </w:rPr>
      </w:pPr>
      <w:r>
        <w:rPr>
          <w:lang w:val="en-GB"/>
        </w:rPr>
        <w:br/>
      </w:r>
    </w:p>
    <w:sdt>
      <w:sdtPr>
        <w:rPr>
          <w:rFonts w:asciiTheme="minorHAnsi" w:eastAsiaTheme="minorHAnsi" w:hAnsiTheme="minorHAnsi" w:cstheme="minorBidi"/>
          <w:kern w:val="2"/>
          <w:sz w:val="22"/>
          <w:szCs w:val="22"/>
          <w:lang w:val="en-GB" w:eastAsia="en-US"/>
          <w14:ligatures w14:val="standardContextual"/>
        </w:rPr>
        <w:tag w:val="rw.bWnCOutputStyleIdiblio"/>
        <w:id w:val="910352110"/>
        <w:placeholder>
          <w:docPart w:val="C67006EDC6D34BB7A1FDEAC6ABD8C985"/>
        </w:placeholder>
      </w:sdtPr>
      <w:sdtContent>
        <w:p w14:paraId="3610AF8C" w14:textId="77777777" w:rsidR="00DF67C1" w:rsidRDefault="00DF67C1">
          <w:pPr>
            <w:pStyle w:val="NormalWeb"/>
            <w:jc w:val="center"/>
            <w:rPr>
              <w:lang w:val="en-GB"/>
            </w:rPr>
          </w:pPr>
        </w:p>
        <w:p w14:paraId="511656FE" w14:textId="77777777" w:rsidR="009332CD" w:rsidRDefault="009332CD" w:rsidP="009332CD">
          <w:pPr>
            <w:pStyle w:val="NormalWeb"/>
            <w:rPr>
              <w:rFonts w:ascii="Calibri" w:hAnsi="Calibri" w:cs="Calibri"/>
              <w:b/>
              <w:bCs/>
              <w:color w:val="000000"/>
              <w:sz w:val="32"/>
              <w:szCs w:val="32"/>
            </w:rPr>
          </w:pPr>
        </w:p>
        <w:p w14:paraId="26DE7E0F" w14:textId="4CC23273" w:rsidR="00DF67C1" w:rsidRPr="00DF67C1" w:rsidRDefault="00DF67C1">
          <w:pPr>
            <w:pStyle w:val="NormalWeb"/>
            <w:jc w:val="center"/>
            <w:rPr>
              <w:rFonts w:ascii="Calibri" w:hAnsi="Calibri" w:cs="Calibri"/>
              <w:b/>
              <w:bCs/>
              <w:color w:val="000000"/>
              <w:sz w:val="32"/>
              <w:szCs w:val="32"/>
            </w:rPr>
          </w:pPr>
          <w:r w:rsidRPr="00DF67C1">
            <w:rPr>
              <w:rFonts w:ascii="Calibri" w:hAnsi="Calibri" w:cs="Calibri"/>
              <w:b/>
              <w:bCs/>
              <w:color w:val="000000"/>
              <w:sz w:val="32"/>
              <w:szCs w:val="32"/>
            </w:rPr>
            <w:t>References</w:t>
          </w:r>
        </w:p>
        <w:p w14:paraId="4096CD15" w14:textId="77777777" w:rsidR="00DF67C1" w:rsidRDefault="00DF67C1">
          <w:pPr>
            <w:pStyle w:val="NormalWeb"/>
            <w:rPr>
              <w:rFonts w:ascii="Calibri" w:hAnsi="Calibri" w:cs="Calibri"/>
              <w:color w:val="000000"/>
            </w:rPr>
          </w:pPr>
          <w:r>
            <w:rPr>
              <w:rFonts w:ascii="Calibri" w:hAnsi="Calibri" w:cs="Calibri"/>
              <w:color w:val="000000"/>
            </w:rPr>
            <w:t xml:space="preserve">[1] H. Bhattarai, A. R. Kulkarni and M. Niamat, "Fuzzy Logic Based Zero Trust Architecture for Security of AMI in Smart Grids," </w:t>
          </w:r>
          <w:r>
            <w:rPr>
              <w:rFonts w:ascii="Calibri" w:hAnsi="Calibri" w:cs="Calibri"/>
              <w:i/>
              <w:iCs/>
              <w:color w:val="000000"/>
            </w:rPr>
            <w:t xml:space="preserve">2025 1st International Conference on Secure IoT, Assured and Trusted Computing (SATC), </w:t>
          </w:r>
          <w:r>
            <w:rPr>
              <w:rFonts w:ascii="Calibri" w:hAnsi="Calibri" w:cs="Calibri"/>
              <w:color w:val="000000"/>
            </w:rPr>
            <w:t>pp. 1, 2025</w:t>
          </w:r>
          <w:proofErr w:type="gramStart"/>
          <w:r>
            <w:rPr>
              <w:rFonts w:ascii="Calibri" w:hAnsi="Calibri" w:cs="Calibri"/>
              <w:color w:val="000000"/>
            </w:rPr>
            <w:t>. .</w:t>
          </w:r>
          <w:proofErr w:type="gramEnd"/>
          <w:r>
            <w:rPr>
              <w:rFonts w:ascii="Calibri" w:hAnsi="Calibri" w:cs="Calibri"/>
              <w:color w:val="000000"/>
            </w:rPr>
            <w:t xml:space="preserve"> DOI: 10.1109/satc65530.2025.11137056.</w:t>
          </w:r>
        </w:p>
        <w:p w14:paraId="74466AFA" w14:textId="25193D2C" w:rsidR="00DF67C1" w:rsidRDefault="00DF67C1">
          <w:pPr>
            <w:pStyle w:val="NormalWeb"/>
            <w:rPr>
              <w:rFonts w:ascii="Calibri" w:hAnsi="Calibri" w:cs="Calibri"/>
              <w:color w:val="000000"/>
            </w:rPr>
          </w:pPr>
          <w:r>
            <w:rPr>
              <w:rFonts w:ascii="Calibri" w:hAnsi="Calibri" w:cs="Calibri"/>
              <w:color w:val="000000"/>
            </w:rPr>
            <w:t xml:space="preserve">[2] </w:t>
          </w:r>
          <w:r w:rsidR="00580757" w:rsidRPr="00580757">
            <w:rPr>
              <w:rFonts w:ascii="Calibri" w:hAnsi="Calibri" w:cs="Calibri"/>
              <w:color w:val="000000"/>
            </w:rPr>
            <w:t xml:space="preserve">A. </w:t>
          </w:r>
          <w:proofErr w:type="spellStart"/>
          <w:r w:rsidR="00580757" w:rsidRPr="00580757">
            <w:rPr>
              <w:rFonts w:ascii="Calibri" w:hAnsi="Calibri" w:cs="Calibri"/>
              <w:color w:val="000000"/>
            </w:rPr>
            <w:t>Lokare</w:t>
          </w:r>
          <w:proofErr w:type="spellEnd"/>
          <w:r w:rsidR="00580757" w:rsidRPr="00580757">
            <w:rPr>
              <w:rFonts w:ascii="Calibri" w:hAnsi="Calibri" w:cs="Calibri"/>
              <w:color w:val="000000"/>
            </w:rPr>
            <w:t>, S. Bankar and P. Mhaske, "Integrating Cybersecurity Frameworks into IT Security: A Comprehensive Analysis of Threat Mitigation Strategies and Adaptive Technologies," 2024.</w:t>
          </w:r>
        </w:p>
        <w:p w14:paraId="4C82FC8B" w14:textId="77777777" w:rsidR="00DF67C1" w:rsidRDefault="00DF67C1">
          <w:pPr>
            <w:pStyle w:val="NormalWeb"/>
            <w:rPr>
              <w:rFonts w:ascii="Calibri" w:hAnsi="Calibri" w:cs="Calibri"/>
              <w:color w:val="000000"/>
            </w:rPr>
          </w:pPr>
          <w:r>
            <w:rPr>
              <w:rFonts w:ascii="Calibri" w:hAnsi="Calibri" w:cs="Calibri"/>
              <w:color w:val="000000"/>
            </w:rPr>
            <w:t>[3] S. Rose</w:t>
          </w:r>
          <w:r>
            <w:rPr>
              <w:rFonts w:ascii="Calibri" w:hAnsi="Calibri" w:cs="Calibri"/>
              <w:i/>
              <w:iCs/>
              <w:color w:val="000000"/>
            </w:rPr>
            <w:t xml:space="preserve"> et al</w:t>
          </w:r>
          <w:r>
            <w:rPr>
              <w:rFonts w:ascii="Calibri" w:hAnsi="Calibri" w:cs="Calibri"/>
              <w:color w:val="000000"/>
            </w:rPr>
            <w:t>, "Zero Trust Architecture," 2020</w:t>
          </w:r>
          <w:proofErr w:type="gramStart"/>
          <w:r>
            <w:rPr>
              <w:rFonts w:ascii="Calibri" w:hAnsi="Calibri" w:cs="Calibri"/>
              <w:color w:val="000000"/>
            </w:rPr>
            <w:t>. .</w:t>
          </w:r>
          <w:proofErr w:type="gramEnd"/>
          <w:r>
            <w:rPr>
              <w:rFonts w:ascii="Calibri" w:hAnsi="Calibri" w:cs="Calibri"/>
              <w:color w:val="000000"/>
            </w:rPr>
            <w:t xml:space="preserve"> DOI: 10.6028/nist.sp.800-207.</w:t>
          </w:r>
        </w:p>
        <w:p w14:paraId="581F46EC" w14:textId="77777777" w:rsidR="00DF67C1" w:rsidRDefault="00DF67C1">
          <w:pPr>
            <w:pStyle w:val="NormalWeb"/>
            <w:rPr>
              <w:rFonts w:ascii="Calibri" w:hAnsi="Calibri" w:cs="Calibri"/>
              <w:color w:val="000000"/>
            </w:rPr>
          </w:pPr>
          <w:r>
            <w:rPr>
              <w:rFonts w:ascii="Calibri" w:hAnsi="Calibri" w:cs="Calibri"/>
              <w:color w:val="000000"/>
            </w:rPr>
            <w:t xml:space="preserve">[4] T. </w:t>
          </w:r>
          <w:proofErr w:type="spellStart"/>
          <w:r>
            <w:rPr>
              <w:rFonts w:ascii="Calibri" w:hAnsi="Calibri" w:cs="Calibri"/>
              <w:color w:val="000000"/>
            </w:rPr>
            <w:t>Sarkorn</w:t>
          </w:r>
          <w:proofErr w:type="spellEnd"/>
          <w:r>
            <w:rPr>
              <w:rFonts w:ascii="Calibri" w:hAnsi="Calibri" w:cs="Calibri"/>
              <w:color w:val="000000"/>
            </w:rPr>
            <w:t xml:space="preserve"> and K. </w:t>
          </w:r>
          <w:proofErr w:type="spellStart"/>
          <w:r>
            <w:rPr>
              <w:rFonts w:ascii="Calibri" w:hAnsi="Calibri" w:cs="Calibri"/>
              <w:color w:val="000000"/>
            </w:rPr>
            <w:t>Chimmanee</w:t>
          </w:r>
          <w:proofErr w:type="spellEnd"/>
          <w:r>
            <w:rPr>
              <w:rFonts w:ascii="Calibri" w:hAnsi="Calibri" w:cs="Calibri"/>
              <w:color w:val="000000"/>
            </w:rPr>
            <w:t xml:space="preserve">, "Review on Zero Trust Architecture Apply </w:t>
          </w:r>
          <w:proofErr w:type="gramStart"/>
          <w:r>
            <w:rPr>
              <w:rFonts w:ascii="Calibri" w:hAnsi="Calibri" w:cs="Calibri"/>
              <w:color w:val="000000"/>
            </w:rPr>
            <w:t>In</w:t>
          </w:r>
          <w:proofErr w:type="gramEnd"/>
          <w:r>
            <w:rPr>
              <w:rFonts w:ascii="Calibri" w:hAnsi="Calibri" w:cs="Calibri"/>
              <w:color w:val="000000"/>
            </w:rPr>
            <w:t xml:space="preserve"> Enterprise Next Generation Firewall," </w:t>
          </w:r>
          <w:r>
            <w:rPr>
              <w:rFonts w:ascii="Calibri" w:hAnsi="Calibri" w:cs="Calibri"/>
              <w:i/>
              <w:iCs/>
              <w:color w:val="000000"/>
            </w:rPr>
            <w:t>2024 8th International Conference on Information Technology (</w:t>
          </w:r>
          <w:proofErr w:type="spellStart"/>
          <w:r>
            <w:rPr>
              <w:rFonts w:ascii="Calibri" w:hAnsi="Calibri" w:cs="Calibri"/>
              <w:i/>
              <w:iCs/>
              <w:color w:val="000000"/>
            </w:rPr>
            <w:t>InCIT</w:t>
          </w:r>
          <w:proofErr w:type="spellEnd"/>
          <w:r>
            <w:rPr>
              <w:rFonts w:ascii="Calibri" w:hAnsi="Calibri" w:cs="Calibri"/>
              <w:i/>
              <w:iCs/>
              <w:color w:val="000000"/>
            </w:rPr>
            <w:t xml:space="preserve">), </w:t>
          </w:r>
          <w:r>
            <w:rPr>
              <w:rFonts w:ascii="Calibri" w:hAnsi="Calibri" w:cs="Calibri"/>
              <w:color w:val="000000"/>
            </w:rPr>
            <w:t>pp. 255, 2024</w:t>
          </w:r>
          <w:proofErr w:type="gramStart"/>
          <w:r>
            <w:rPr>
              <w:rFonts w:ascii="Calibri" w:hAnsi="Calibri" w:cs="Calibri"/>
              <w:color w:val="000000"/>
            </w:rPr>
            <w:t>. .</w:t>
          </w:r>
          <w:proofErr w:type="gramEnd"/>
          <w:r>
            <w:rPr>
              <w:rFonts w:ascii="Calibri" w:hAnsi="Calibri" w:cs="Calibri"/>
              <w:color w:val="000000"/>
            </w:rPr>
            <w:t xml:space="preserve"> DOI: 10.1109/incit63192.2024.10810611.</w:t>
          </w:r>
        </w:p>
        <w:p w14:paraId="42F0B130" w14:textId="77777777" w:rsidR="00DF67C1" w:rsidRDefault="00DF67C1">
          <w:pPr>
            <w:pStyle w:val="NormalWeb"/>
            <w:rPr>
              <w:rFonts w:ascii="Calibri" w:hAnsi="Calibri" w:cs="Calibri"/>
              <w:color w:val="000000"/>
            </w:rPr>
          </w:pPr>
          <w:r>
            <w:rPr>
              <w:rFonts w:ascii="Calibri" w:hAnsi="Calibri" w:cs="Calibri"/>
              <w:color w:val="000000"/>
            </w:rPr>
            <w:t xml:space="preserve">[5] F. A. Qazi, "Study of Zero Trust Architecture for Applications and Network Security," </w:t>
          </w:r>
          <w:r>
            <w:rPr>
              <w:rFonts w:ascii="Calibri" w:hAnsi="Calibri" w:cs="Calibri"/>
              <w:i/>
              <w:iCs/>
              <w:color w:val="000000"/>
            </w:rPr>
            <w:t xml:space="preserve">2022 IEEE 19th International Conference on Smart Communities: Improving Quality of Life using ICT, IoT and AI (HONET), </w:t>
          </w:r>
          <w:r>
            <w:rPr>
              <w:rFonts w:ascii="Calibri" w:hAnsi="Calibri" w:cs="Calibri"/>
              <w:color w:val="000000"/>
            </w:rPr>
            <w:t>pp. 111, 2022</w:t>
          </w:r>
          <w:proofErr w:type="gramStart"/>
          <w:r>
            <w:rPr>
              <w:rFonts w:ascii="Calibri" w:hAnsi="Calibri" w:cs="Calibri"/>
              <w:color w:val="000000"/>
            </w:rPr>
            <w:t>. .</w:t>
          </w:r>
          <w:proofErr w:type="gramEnd"/>
          <w:r>
            <w:rPr>
              <w:rFonts w:ascii="Calibri" w:hAnsi="Calibri" w:cs="Calibri"/>
              <w:color w:val="000000"/>
            </w:rPr>
            <w:t xml:space="preserve"> DOI: 10.1109/honet56683.2022.10019186.</w:t>
          </w:r>
        </w:p>
        <w:p w14:paraId="26CA5608" w14:textId="77777777" w:rsidR="00DF67C1" w:rsidRDefault="00DF67C1">
          <w:pPr>
            <w:pStyle w:val="NormalWeb"/>
            <w:rPr>
              <w:rFonts w:ascii="Calibri" w:hAnsi="Calibri" w:cs="Calibri"/>
              <w:color w:val="000000"/>
            </w:rPr>
          </w:pPr>
          <w:r>
            <w:rPr>
              <w:rFonts w:ascii="Calibri" w:hAnsi="Calibri" w:cs="Calibri"/>
              <w:color w:val="000000"/>
            </w:rPr>
            <w:t>[6] N. F. Syed</w:t>
          </w:r>
          <w:r>
            <w:rPr>
              <w:rFonts w:ascii="Calibri" w:hAnsi="Calibri" w:cs="Calibri"/>
              <w:i/>
              <w:iCs/>
              <w:color w:val="000000"/>
            </w:rPr>
            <w:t xml:space="preserve"> et al</w:t>
          </w:r>
          <w:r>
            <w:rPr>
              <w:rFonts w:ascii="Calibri" w:hAnsi="Calibri" w:cs="Calibri"/>
              <w:color w:val="000000"/>
            </w:rPr>
            <w:t xml:space="preserve">, "Zero Trust Architecture (ZTA): A Comprehensive Survey," </w:t>
          </w:r>
          <w:r>
            <w:rPr>
              <w:rFonts w:ascii="Calibri" w:hAnsi="Calibri" w:cs="Calibri"/>
              <w:i/>
              <w:iCs/>
              <w:color w:val="000000"/>
            </w:rPr>
            <w:t xml:space="preserve">IEEE Access, </w:t>
          </w:r>
          <w:r>
            <w:rPr>
              <w:rFonts w:ascii="Calibri" w:hAnsi="Calibri" w:cs="Calibri"/>
              <w:color w:val="000000"/>
            </w:rPr>
            <w:t>vol. 10, pp. 57143, 2022</w:t>
          </w:r>
          <w:proofErr w:type="gramStart"/>
          <w:r>
            <w:rPr>
              <w:rFonts w:ascii="Calibri" w:hAnsi="Calibri" w:cs="Calibri"/>
              <w:color w:val="000000"/>
            </w:rPr>
            <w:t>. .</w:t>
          </w:r>
          <w:proofErr w:type="gramEnd"/>
          <w:r>
            <w:rPr>
              <w:rFonts w:ascii="Calibri" w:hAnsi="Calibri" w:cs="Calibri"/>
              <w:color w:val="000000"/>
            </w:rPr>
            <w:t xml:space="preserve"> DOI: 10.1109/access.2022.3174679.</w:t>
          </w:r>
        </w:p>
        <w:p w14:paraId="3B533158" w14:textId="77777777" w:rsidR="00DF67C1" w:rsidRDefault="00DF67C1">
          <w:pPr>
            <w:pStyle w:val="NormalWeb"/>
            <w:rPr>
              <w:rFonts w:ascii="Calibri" w:hAnsi="Calibri" w:cs="Calibri"/>
              <w:color w:val="000000"/>
            </w:rPr>
          </w:pPr>
          <w:r>
            <w:rPr>
              <w:rFonts w:ascii="Calibri" w:hAnsi="Calibri" w:cs="Calibri"/>
              <w:color w:val="000000"/>
            </w:rPr>
            <w:t xml:space="preserve">[7] P. </w:t>
          </w:r>
          <w:proofErr w:type="spellStart"/>
          <w:r>
            <w:rPr>
              <w:rFonts w:ascii="Calibri" w:hAnsi="Calibri" w:cs="Calibri"/>
              <w:color w:val="000000"/>
            </w:rPr>
            <w:t>Phiayura</w:t>
          </w:r>
          <w:proofErr w:type="spellEnd"/>
          <w:r>
            <w:rPr>
              <w:rFonts w:ascii="Calibri" w:hAnsi="Calibri" w:cs="Calibri"/>
              <w:color w:val="000000"/>
            </w:rPr>
            <w:t xml:space="preserve"> and S. </w:t>
          </w:r>
          <w:proofErr w:type="spellStart"/>
          <w:r>
            <w:rPr>
              <w:rFonts w:ascii="Calibri" w:hAnsi="Calibri" w:cs="Calibri"/>
              <w:color w:val="000000"/>
            </w:rPr>
            <w:t>Teerakanok</w:t>
          </w:r>
          <w:proofErr w:type="spellEnd"/>
          <w:r>
            <w:rPr>
              <w:rFonts w:ascii="Calibri" w:hAnsi="Calibri" w:cs="Calibri"/>
              <w:color w:val="000000"/>
            </w:rPr>
            <w:t xml:space="preserve">, "A Comprehensive Framework for Migrating to Zero Trust Architecture," </w:t>
          </w:r>
          <w:r>
            <w:rPr>
              <w:rFonts w:ascii="Calibri" w:hAnsi="Calibri" w:cs="Calibri"/>
              <w:i/>
              <w:iCs/>
              <w:color w:val="000000"/>
            </w:rPr>
            <w:t xml:space="preserve">IEEE Access, </w:t>
          </w:r>
          <w:r>
            <w:rPr>
              <w:rFonts w:ascii="Calibri" w:hAnsi="Calibri" w:cs="Calibri"/>
              <w:color w:val="000000"/>
            </w:rPr>
            <w:t>vol. 11, pp. 19487, 2023</w:t>
          </w:r>
          <w:proofErr w:type="gramStart"/>
          <w:r>
            <w:rPr>
              <w:rFonts w:ascii="Calibri" w:hAnsi="Calibri" w:cs="Calibri"/>
              <w:color w:val="000000"/>
            </w:rPr>
            <w:t>. .</w:t>
          </w:r>
          <w:proofErr w:type="gramEnd"/>
          <w:r>
            <w:rPr>
              <w:rFonts w:ascii="Calibri" w:hAnsi="Calibri" w:cs="Calibri"/>
              <w:color w:val="000000"/>
            </w:rPr>
            <w:t xml:space="preserve"> DOI: 10.1109/access.2023.3248622.</w:t>
          </w:r>
        </w:p>
        <w:p w14:paraId="6B3B0F09" w14:textId="0198DEE7" w:rsidR="00D57A3B" w:rsidRDefault="00000000" w:rsidP="00941879">
          <w:pPr>
            <w:jc w:val="both"/>
            <w:rPr>
              <w:rFonts w:ascii="Times New Roman" w:hAnsi="Times New Roman" w:cs="Times New Roman"/>
              <w:sz w:val="24"/>
              <w:szCs w:val="24"/>
              <w:lang w:val="en-GB"/>
            </w:rPr>
          </w:pPr>
        </w:p>
      </w:sdtContent>
    </w:sdt>
    <w:p w14:paraId="6A1CD6A0" w14:textId="5A57894C" w:rsidR="00B560CA" w:rsidRPr="0064493D" w:rsidRDefault="00B560CA" w:rsidP="00941879">
      <w:pPr>
        <w:jc w:val="both"/>
        <w:rPr>
          <w:rFonts w:ascii="Times New Roman" w:hAnsi="Times New Roman" w:cs="Times New Roman"/>
          <w:sz w:val="24"/>
          <w:szCs w:val="24"/>
          <w:lang w:val="en-GB"/>
        </w:rPr>
      </w:pPr>
    </w:p>
    <w:sectPr w:rsidR="00B560CA" w:rsidRPr="0064493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CC5FA" w14:textId="77777777" w:rsidR="003167BC" w:rsidRDefault="003167BC" w:rsidP="00A737BB">
      <w:pPr>
        <w:spacing w:after="0" w:line="240" w:lineRule="auto"/>
      </w:pPr>
      <w:r>
        <w:separator/>
      </w:r>
    </w:p>
  </w:endnote>
  <w:endnote w:type="continuationSeparator" w:id="0">
    <w:p w14:paraId="14863800" w14:textId="77777777" w:rsidR="003167BC" w:rsidRDefault="003167BC" w:rsidP="00A73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367500"/>
      <w:docPartObj>
        <w:docPartGallery w:val="Page Numbers (Bottom of Page)"/>
        <w:docPartUnique/>
      </w:docPartObj>
    </w:sdtPr>
    <w:sdtEndPr>
      <w:rPr>
        <w:noProof/>
      </w:rPr>
    </w:sdtEndPr>
    <w:sdtContent>
      <w:p w14:paraId="4DC699AB" w14:textId="04A5E950" w:rsidR="0064493D" w:rsidRDefault="006449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8880CB" w14:textId="190D6A94" w:rsidR="0064493D" w:rsidRDefault="0064493D" w:rsidP="0064493D">
    <w:pPr>
      <w:pStyle w:val="Footer"/>
      <w:tabs>
        <w:tab w:val="clear" w:pos="4513"/>
      </w:tabs>
      <w:spacing w:line="480" w:lineRule="auto"/>
    </w:pPr>
    <w:r>
      <w:t>2518862</w:t>
    </w:r>
    <w:r>
      <w:tab/>
      <w:t>@U</w:t>
    </w:r>
    <w:r w:rsidRPr="00032A9A">
      <w:t xml:space="preserve">niversity of </w:t>
    </w:r>
    <w:r>
      <w:t>W</w:t>
    </w:r>
    <w:r w:rsidRPr="00032A9A">
      <w:t xml:space="preserve">ales </w:t>
    </w:r>
    <w:r>
      <w:t>T</w:t>
    </w:r>
    <w:r w:rsidRPr="00032A9A">
      <w:t xml:space="preserve">rinity </w:t>
    </w:r>
    <w:r>
      <w:t>S</w:t>
    </w:r>
    <w:r w:rsidRPr="00032A9A">
      <w:t xml:space="preserve">aint </w:t>
    </w:r>
    <w:r>
      <w:t>D</w:t>
    </w:r>
    <w:r w:rsidRPr="00032A9A">
      <w:t>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CACC" w14:textId="77777777" w:rsidR="003167BC" w:rsidRDefault="003167BC" w:rsidP="00A737BB">
      <w:pPr>
        <w:spacing w:after="0" w:line="240" w:lineRule="auto"/>
      </w:pPr>
      <w:r>
        <w:separator/>
      </w:r>
    </w:p>
  </w:footnote>
  <w:footnote w:type="continuationSeparator" w:id="0">
    <w:p w14:paraId="6D682E47" w14:textId="77777777" w:rsidR="003167BC" w:rsidRDefault="003167BC" w:rsidP="00A73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80A97" w14:textId="77777777" w:rsidR="00A737BB" w:rsidRDefault="00A737BB" w:rsidP="00A737BB">
    <w:pPr>
      <w:pStyle w:val="Header"/>
      <w:ind w:left="720"/>
      <w:jc w:val="right"/>
    </w:pPr>
    <w:r>
      <w:rPr>
        <w:noProof/>
      </w:rPr>
      <w:drawing>
        <wp:inline distT="0" distB="0" distL="0" distR="0" wp14:anchorId="41C0CB01" wp14:editId="2EC9A8D7">
          <wp:extent cx="1360000" cy="576000"/>
          <wp:effectExtent l="152400" t="152400" r="354965" b="357505"/>
          <wp:docPr id="1434920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920707" name="Picture 1434920707"/>
                  <pic:cNvPicPr/>
                </pic:nvPicPr>
                <pic:blipFill>
                  <a:blip r:embed="rId1">
                    <a:extLst>
                      <a:ext uri="{28A0092B-C50C-407E-A947-70E740481C1C}">
                        <a14:useLocalDpi xmlns:a14="http://schemas.microsoft.com/office/drawing/2010/main" val="0"/>
                      </a:ext>
                    </a:extLst>
                  </a:blip>
                  <a:stretch>
                    <a:fillRect/>
                  </a:stretch>
                </pic:blipFill>
                <pic:spPr>
                  <a:xfrm>
                    <a:off x="0" y="0"/>
                    <a:ext cx="1360000" cy="576000"/>
                  </a:xfrm>
                  <a:prstGeom prst="rect">
                    <a:avLst/>
                  </a:prstGeom>
                  <a:ln>
                    <a:noFill/>
                  </a:ln>
                  <a:effectLst>
                    <a:outerShdw blurRad="292100" dist="139700" dir="2700000" algn="tl" rotWithShape="0">
                      <a:srgbClr val="333333">
                        <a:alpha val="65000"/>
                      </a:srgbClr>
                    </a:outerShdw>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CA"/>
    <w:rsid w:val="0003482C"/>
    <w:rsid w:val="00056EBB"/>
    <w:rsid w:val="00077758"/>
    <w:rsid w:val="000D4BBE"/>
    <w:rsid w:val="001174AF"/>
    <w:rsid w:val="001360E3"/>
    <w:rsid w:val="00157164"/>
    <w:rsid w:val="00180BF6"/>
    <w:rsid w:val="00193AED"/>
    <w:rsid w:val="001C01D7"/>
    <w:rsid w:val="001D3CBF"/>
    <w:rsid w:val="002042BF"/>
    <w:rsid w:val="00204E51"/>
    <w:rsid w:val="002511D7"/>
    <w:rsid w:val="00287B75"/>
    <w:rsid w:val="0030078E"/>
    <w:rsid w:val="00302E89"/>
    <w:rsid w:val="003167BC"/>
    <w:rsid w:val="00350C49"/>
    <w:rsid w:val="00354468"/>
    <w:rsid w:val="003949E9"/>
    <w:rsid w:val="003965A4"/>
    <w:rsid w:val="00417A45"/>
    <w:rsid w:val="004D03F7"/>
    <w:rsid w:val="004F6F06"/>
    <w:rsid w:val="00563EB3"/>
    <w:rsid w:val="00580757"/>
    <w:rsid w:val="00592D6D"/>
    <w:rsid w:val="00597422"/>
    <w:rsid w:val="005B3C26"/>
    <w:rsid w:val="005B4B14"/>
    <w:rsid w:val="005B6D4A"/>
    <w:rsid w:val="005D09F3"/>
    <w:rsid w:val="005D7760"/>
    <w:rsid w:val="005E5020"/>
    <w:rsid w:val="0064493D"/>
    <w:rsid w:val="00654A2E"/>
    <w:rsid w:val="006D170D"/>
    <w:rsid w:val="006D2E93"/>
    <w:rsid w:val="006D41D9"/>
    <w:rsid w:val="006E2302"/>
    <w:rsid w:val="006F44E3"/>
    <w:rsid w:val="00700A69"/>
    <w:rsid w:val="00704357"/>
    <w:rsid w:val="00706B19"/>
    <w:rsid w:val="0079259D"/>
    <w:rsid w:val="00816ED5"/>
    <w:rsid w:val="00862FA6"/>
    <w:rsid w:val="00881B8C"/>
    <w:rsid w:val="00883F2D"/>
    <w:rsid w:val="008A7740"/>
    <w:rsid w:val="008B2219"/>
    <w:rsid w:val="008C337F"/>
    <w:rsid w:val="008C5CE0"/>
    <w:rsid w:val="008D5A73"/>
    <w:rsid w:val="00907FF7"/>
    <w:rsid w:val="009179F8"/>
    <w:rsid w:val="009332CD"/>
    <w:rsid w:val="00941879"/>
    <w:rsid w:val="00977B07"/>
    <w:rsid w:val="009A61E2"/>
    <w:rsid w:val="009C5B86"/>
    <w:rsid w:val="009E3C5D"/>
    <w:rsid w:val="00A254BA"/>
    <w:rsid w:val="00A441C6"/>
    <w:rsid w:val="00A737BB"/>
    <w:rsid w:val="00A841FD"/>
    <w:rsid w:val="00AE2087"/>
    <w:rsid w:val="00B01975"/>
    <w:rsid w:val="00B44839"/>
    <w:rsid w:val="00B560CA"/>
    <w:rsid w:val="00B813DB"/>
    <w:rsid w:val="00C10D32"/>
    <w:rsid w:val="00C23A79"/>
    <w:rsid w:val="00C319B7"/>
    <w:rsid w:val="00C656EE"/>
    <w:rsid w:val="00C72BC1"/>
    <w:rsid w:val="00CB1B39"/>
    <w:rsid w:val="00CB50FB"/>
    <w:rsid w:val="00CC6A0A"/>
    <w:rsid w:val="00D04573"/>
    <w:rsid w:val="00D57A3B"/>
    <w:rsid w:val="00D81383"/>
    <w:rsid w:val="00D9381C"/>
    <w:rsid w:val="00DC28A1"/>
    <w:rsid w:val="00DF67C1"/>
    <w:rsid w:val="00DF7368"/>
    <w:rsid w:val="00E03044"/>
    <w:rsid w:val="00E52FB6"/>
    <w:rsid w:val="00E52FE4"/>
    <w:rsid w:val="00E845E1"/>
    <w:rsid w:val="00EB5E6C"/>
    <w:rsid w:val="00F54AEC"/>
    <w:rsid w:val="00F65238"/>
    <w:rsid w:val="00F83260"/>
    <w:rsid w:val="00FB2F1C"/>
    <w:rsid w:val="00FD2676"/>
    <w:rsid w:val="00FF40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FD3A4"/>
  <w15:chartTrackingRefBased/>
  <w15:docId w15:val="{3B308866-0289-4776-B025-6452575B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0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560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60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60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60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60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0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0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0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0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560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60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60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60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60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0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0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0CA"/>
    <w:rPr>
      <w:rFonts w:eastAsiaTheme="majorEastAsia" w:cstheme="majorBidi"/>
      <w:color w:val="272727" w:themeColor="text1" w:themeTint="D8"/>
    </w:rPr>
  </w:style>
  <w:style w:type="paragraph" w:styleId="Title">
    <w:name w:val="Title"/>
    <w:basedOn w:val="Normal"/>
    <w:next w:val="Normal"/>
    <w:link w:val="TitleChar"/>
    <w:uiPriority w:val="10"/>
    <w:qFormat/>
    <w:rsid w:val="00B560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0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0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0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0CA"/>
    <w:pPr>
      <w:spacing w:before="160"/>
      <w:jc w:val="center"/>
    </w:pPr>
    <w:rPr>
      <w:i/>
      <w:iCs/>
      <w:color w:val="404040" w:themeColor="text1" w:themeTint="BF"/>
    </w:rPr>
  </w:style>
  <w:style w:type="character" w:customStyle="1" w:styleId="QuoteChar">
    <w:name w:val="Quote Char"/>
    <w:basedOn w:val="DefaultParagraphFont"/>
    <w:link w:val="Quote"/>
    <w:uiPriority w:val="29"/>
    <w:rsid w:val="00B560CA"/>
    <w:rPr>
      <w:i/>
      <w:iCs/>
      <w:color w:val="404040" w:themeColor="text1" w:themeTint="BF"/>
    </w:rPr>
  </w:style>
  <w:style w:type="paragraph" w:styleId="ListParagraph">
    <w:name w:val="List Paragraph"/>
    <w:basedOn w:val="Normal"/>
    <w:uiPriority w:val="34"/>
    <w:qFormat/>
    <w:rsid w:val="00B560CA"/>
    <w:pPr>
      <w:ind w:left="720"/>
      <w:contextualSpacing/>
    </w:pPr>
  </w:style>
  <w:style w:type="character" w:styleId="IntenseEmphasis">
    <w:name w:val="Intense Emphasis"/>
    <w:basedOn w:val="DefaultParagraphFont"/>
    <w:uiPriority w:val="21"/>
    <w:qFormat/>
    <w:rsid w:val="00B560CA"/>
    <w:rPr>
      <w:i/>
      <w:iCs/>
      <w:color w:val="2F5496" w:themeColor="accent1" w:themeShade="BF"/>
    </w:rPr>
  </w:style>
  <w:style w:type="paragraph" w:styleId="IntenseQuote">
    <w:name w:val="Intense Quote"/>
    <w:basedOn w:val="Normal"/>
    <w:next w:val="Normal"/>
    <w:link w:val="IntenseQuoteChar"/>
    <w:uiPriority w:val="30"/>
    <w:qFormat/>
    <w:rsid w:val="00B560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60CA"/>
    <w:rPr>
      <w:i/>
      <w:iCs/>
      <w:color w:val="2F5496" w:themeColor="accent1" w:themeShade="BF"/>
    </w:rPr>
  </w:style>
  <w:style w:type="character" w:styleId="IntenseReference">
    <w:name w:val="Intense Reference"/>
    <w:basedOn w:val="DefaultParagraphFont"/>
    <w:uiPriority w:val="32"/>
    <w:qFormat/>
    <w:rsid w:val="00B560CA"/>
    <w:rPr>
      <w:b/>
      <w:bCs/>
      <w:smallCaps/>
      <w:color w:val="2F5496" w:themeColor="accent1" w:themeShade="BF"/>
      <w:spacing w:val="5"/>
    </w:rPr>
  </w:style>
  <w:style w:type="paragraph" w:styleId="Header">
    <w:name w:val="header"/>
    <w:basedOn w:val="Normal"/>
    <w:link w:val="HeaderChar"/>
    <w:uiPriority w:val="99"/>
    <w:unhideWhenUsed/>
    <w:rsid w:val="00A73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7BB"/>
  </w:style>
  <w:style w:type="paragraph" w:styleId="Footer">
    <w:name w:val="footer"/>
    <w:basedOn w:val="Normal"/>
    <w:link w:val="FooterChar"/>
    <w:uiPriority w:val="99"/>
    <w:unhideWhenUsed/>
    <w:rsid w:val="00A73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7BB"/>
  </w:style>
  <w:style w:type="table" w:styleId="TableGrid">
    <w:name w:val="Table Grid"/>
    <w:basedOn w:val="TableNormal"/>
    <w:uiPriority w:val="39"/>
    <w:rsid w:val="00644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656EE"/>
    <w:pPr>
      <w:spacing w:after="100"/>
    </w:pPr>
  </w:style>
  <w:style w:type="paragraph" w:styleId="TOCHeading">
    <w:name w:val="TOC Heading"/>
    <w:basedOn w:val="Heading1"/>
    <w:next w:val="Normal"/>
    <w:uiPriority w:val="39"/>
    <w:unhideWhenUsed/>
    <w:qFormat/>
    <w:rsid w:val="006F44E3"/>
    <w:pPr>
      <w:spacing w:before="240" w:after="0"/>
      <w:outlineLvl w:val="9"/>
    </w:pPr>
    <w:rPr>
      <w:kern w:val="0"/>
      <w:sz w:val="32"/>
      <w:szCs w:val="32"/>
      <w:lang w:val="en-US"/>
      <w14:ligatures w14:val="none"/>
    </w:rPr>
  </w:style>
  <w:style w:type="paragraph" w:styleId="FootnoteText">
    <w:name w:val="footnote text"/>
    <w:basedOn w:val="Normal"/>
    <w:link w:val="FootnoteTextChar"/>
    <w:uiPriority w:val="99"/>
    <w:semiHidden/>
    <w:unhideWhenUsed/>
    <w:rsid w:val="006F44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44E3"/>
    <w:rPr>
      <w:sz w:val="20"/>
      <w:szCs w:val="20"/>
    </w:rPr>
  </w:style>
  <w:style w:type="character" w:styleId="FootnoteReference">
    <w:name w:val="footnote reference"/>
    <w:basedOn w:val="DefaultParagraphFont"/>
    <w:uiPriority w:val="99"/>
    <w:semiHidden/>
    <w:unhideWhenUsed/>
    <w:rsid w:val="006F44E3"/>
    <w:rPr>
      <w:vertAlign w:val="superscript"/>
    </w:rPr>
  </w:style>
  <w:style w:type="paragraph" w:styleId="NoSpacing">
    <w:name w:val="No Spacing"/>
    <w:uiPriority w:val="1"/>
    <w:qFormat/>
    <w:rsid w:val="003965A4"/>
    <w:pPr>
      <w:spacing w:after="0" w:line="240" w:lineRule="auto"/>
    </w:pPr>
  </w:style>
  <w:style w:type="character" w:styleId="Hyperlink">
    <w:name w:val="Hyperlink"/>
    <w:basedOn w:val="DefaultParagraphFont"/>
    <w:uiPriority w:val="99"/>
    <w:unhideWhenUsed/>
    <w:rsid w:val="00563EB3"/>
    <w:rPr>
      <w:color w:val="0563C1" w:themeColor="hyperlink"/>
      <w:u w:val="single"/>
    </w:rPr>
  </w:style>
  <w:style w:type="paragraph" w:styleId="TOC2">
    <w:name w:val="toc 2"/>
    <w:basedOn w:val="Normal"/>
    <w:next w:val="Normal"/>
    <w:autoRedefine/>
    <w:uiPriority w:val="39"/>
    <w:unhideWhenUsed/>
    <w:rsid w:val="00C656EE"/>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563EB3"/>
    <w:pPr>
      <w:spacing w:after="100"/>
      <w:ind w:left="440"/>
    </w:pPr>
    <w:rPr>
      <w:rFonts w:eastAsiaTheme="minorEastAsia" w:cs="Times New Roman"/>
      <w:kern w:val="0"/>
      <w:lang w:val="en-US"/>
      <w14:ligatures w14:val="none"/>
    </w:rPr>
  </w:style>
  <w:style w:type="character" w:styleId="PlaceholderText">
    <w:name w:val="Placeholder Text"/>
    <w:basedOn w:val="DefaultParagraphFont"/>
    <w:uiPriority w:val="99"/>
    <w:semiHidden/>
    <w:rsid w:val="00881B8C"/>
    <w:rPr>
      <w:color w:val="666666"/>
    </w:rPr>
  </w:style>
  <w:style w:type="paragraph" w:styleId="NormalWeb">
    <w:name w:val="Normal (Web)"/>
    <w:basedOn w:val="Normal"/>
    <w:uiPriority w:val="99"/>
    <w:semiHidden/>
    <w:unhideWhenUsed/>
    <w:rsid w:val="00881B8C"/>
    <w:pPr>
      <w:spacing w:before="100" w:beforeAutospacing="1" w:after="100" w:afterAutospacing="1" w:line="240" w:lineRule="auto"/>
    </w:pPr>
    <w:rPr>
      <w:rFonts w:ascii="Times New Roman" w:eastAsiaTheme="minorEastAsia"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BFB9ED18624218B175855EFDF3CBA8"/>
        <w:category>
          <w:name w:val="General"/>
          <w:gallery w:val="placeholder"/>
        </w:category>
        <w:types>
          <w:type w:val="bbPlcHdr"/>
        </w:types>
        <w:behaviors>
          <w:behavior w:val="content"/>
        </w:behaviors>
        <w:guid w:val="{5530E074-53DB-43BE-8856-7076A62DBC7C}"/>
      </w:docPartPr>
      <w:docPartBody>
        <w:p w:rsidR="00FF0026" w:rsidRDefault="00EB40E0">
          <w:r w:rsidRPr="00FF27DE">
            <w:rPr>
              <w:rStyle w:val="PlaceholderText"/>
            </w:rPr>
            <w:t>Formatting...</w:t>
          </w:r>
        </w:p>
      </w:docPartBody>
    </w:docPart>
    <w:docPart>
      <w:docPartPr>
        <w:name w:val="C67006EDC6D34BB7A1FDEAC6ABD8C985"/>
        <w:category>
          <w:name w:val="General"/>
          <w:gallery w:val="placeholder"/>
        </w:category>
        <w:types>
          <w:type w:val="bbPlcHdr"/>
        </w:types>
        <w:behaviors>
          <w:behavior w:val="content"/>
        </w:behaviors>
        <w:guid w:val="{42432508-E4F3-4973-B215-73EB81C97044}"/>
      </w:docPartPr>
      <w:docPartBody>
        <w:p w:rsidR="00FF0026" w:rsidRDefault="00EB40E0">
          <w:r w:rsidRPr="00FF27DE">
            <w:rPr>
              <w:rStyle w:val="PlaceholderText"/>
            </w:rPr>
            <w:t>Formatting Bibliography...</w:t>
          </w:r>
        </w:p>
      </w:docPartBody>
    </w:docPart>
    <w:docPart>
      <w:docPartPr>
        <w:name w:val="DD5E0BF45CF346C8801A4A933BA1F56C"/>
        <w:category>
          <w:name w:val="General"/>
          <w:gallery w:val="placeholder"/>
        </w:category>
        <w:types>
          <w:type w:val="bbPlcHdr"/>
        </w:types>
        <w:behaviors>
          <w:behavior w:val="content"/>
        </w:behaviors>
        <w:guid w:val="{4BA54ED5-73CA-4DCE-AC53-F187A667A2A4}"/>
      </w:docPartPr>
      <w:docPartBody>
        <w:p w:rsidR="00FF0026" w:rsidRDefault="00EB40E0">
          <w:r w:rsidRPr="00FF27DE">
            <w:rPr>
              <w:rStyle w:val="PlaceholderText"/>
            </w:rPr>
            <w:t>Formatting...</w:t>
          </w:r>
        </w:p>
      </w:docPartBody>
    </w:docPart>
    <w:docPart>
      <w:docPartPr>
        <w:name w:val="811300E525C0457E849A81F1C75BC34F"/>
        <w:category>
          <w:name w:val="General"/>
          <w:gallery w:val="placeholder"/>
        </w:category>
        <w:types>
          <w:type w:val="bbPlcHdr"/>
        </w:types>
        <w:behaviors>
          <w:behavior w:val="content"/>
        </w:behaviors>
        <w:guid w:val="{DCD6614B-6F38-4FB0-94C3-7E84A279BCF8}"/>
      </w:docPartPr>
      <w:docPartBody>
        <w:p w:rsidR="00FF0026" w:rsidRDefault="00EB40E0">
          <w:r w:rsidRPr="00FF27DE">
            <w:rPr>
              <w:rStyle w:val="PlaceholderText"/>
            </w:rPr>
            <w:t>Formatting...</w:t>
          </w:r>
        </w:p>
      </w:docPartBody>
    </w:docPart>
    <w:docPart>
      <w:docPartPr>
        <w:name w:val="E170C156EC6643B28146FD74C51C2FD4"/>
        <w:category>
          <w:name w:val="General"/>
          <w:gallery w:val="placeholder"/>
        </w:category>
        <w:types>
          <w:type w:val="bbPlcHdr"/>
        </w:types>
        <w:behaviors>
          <w:behavior w:val="content"/>
        </w:behaviors>
        <w:guid w:val="{16C11EE6-597C-489E-A9FA-DD1AC9C0E7E1}"/>
      </w:docPartPr>
      <w:docPartBody>
        <w:p w:rsidR="00FF0026" w:rsidRDefault="00EB40E0">
          <w:r w:rsidRPr="00FF27DE">
            <w:rPr>
              <w:rStyle w:val="PlaceholderText"/>
            </w:rPr>
            <w:t>Formatting...</w:t>
          </w:r>
        </w:p>
      </w:docPartBody>
    </w:docPart>
    <w:docPart>
      <w:docPartPr>
        <w:name w:val="EED02400B51843FCAAAF3A548E1BCDF7"/>
        <w:category>
          <w:name w:val="General"/>
          <w:gallery w:val="placeholder"/>
        </w:category>
        <w:types>
          <w:type w:val="bbPlcHdr"/>
        </w:types>
        <w:behaviors>
          <w:behavior w:val="content"/>
        </w:behaviors>
        <w:guid w:val="{4C12A285-667D-463C-B9AD-8F01F8EDF584}"/>
      </w:docPartPr>
      <w:docPartBody>
        <w:p w:rsidR="00FF0026" w:rsidRDefault="00EB40E0">
          <w:r w:rsidRPr="00FF27DE">
            <w:rPr>
              <w:rStyle w:val="PlaceholderText"/>
            </w:rPr>
            <w:t>Formatting...</w:t>
          </w:r>
        </w:p>
      </w:docPartBody>
    </w:docPart>
    <w:docPart>
      <w:docPartPr>
        <w:name w:val="4E1E0036681E4AFC8EA00A17E071AEE4"/>
        <w:category>
          <w:name w:val="General"/>
          <w:gallery w:val="placeholder"/>
        </w:category>
        <w:types>
          <w:type w:val="bbPlcHdr"/>
        </w:types>
        <w:behaviors>
          <w:behavior w:val="content"/>
        </w:behaviors>
        <w:guid w:val="{DAF1C529-C1D9-4439-9612-922F78BE0A4C}"/>
      </w:docPartPr>
      <w:docPartBody>
        <w:p w:rsidR="00FF0026" w:rsidRDefault="00EB40E0">
          <w:r w:rsidRPr="00FF27DE">
            <w:rPr>
              <w:rStyle w:val="PlaceholderText"/>
            </w:rPr>
            <w:t>Formatting...</w:t>
          </w:r>
        </w:p>
      </w:docPartBody>
    </w:docPart>
    <w:docPart>
      <w:docPartPr>
        <w:name w:val="E4373D5493934E99BD6E4205D06053B7"/>
        <w:category>
          <w:name w:val="General"/>
          <w:gallery w:val="placeholder"/>
        </w:category>
        <w:types>
          <w:type w:val="bbPlcHdr"/>
        </w:types>
        <w:behaviors>
          <w:behavior w:val="content"/>
        </w:behaviors>
        <w:guid w:val="{972F1B4B-FE6E-4655-8C20-17705C12A55D}"/>
      </w:docPartPr>
      <w:docPartBody>
        <w:p w:rsidR="00FF0026" w:rsidRDefault="00EB40E0">
          <w:r w:rsidRPr="00FF27DE">
            <w:rPr>
              <w:rStyle w:val="PlaceholderText"/>
            </w:rPr>
            <w:t>Formatting...</w:t>
          </w:r>
        </w:p>
      </w:docPartBody>
    </w:docPart>
    <w:docPart>
      <w:docPartPr>
        <w:name w:val="6C553DEFC8EB4336A29352EFF4B1364F"/>
        <w:category>
          <w:name w:val="General"/>
          <w:gallery w:val="placeholder"/>
        </w:category>
        <w:types>
          <w:type w:val="bbPlcHdr"/>
        </w:types>
        <w:behaviors>
          <w:behavior w:val="content"/>
        </w:behaviors>
        <w:guid w:val="{01DE8F9B-95DB-45FD-ABDD-84B40176DDE9}"/>
      </w:docPartPr>
      <w:docPartBody>
        <w:p w:rsidR="00FF0026" w:rsidRDefault="00EB40E0">
          <w:r w:rsidRPr="00FF27DE">
            <w:rPr>
              <w:rStyle w:val="PlaceholderText"/>
            </w:rPr>
            <w:t>Formatting...</w:t>
          </w:r>
        </w:p>
      </w:docPartBody>
    </w:docPart>
    <w:docPart>
      <w:docPartPr>
        <w:name w:val="83F9A4E7ED9049CC896B855889943A2E"/>
        <w:category>
          <w:name w:val="General"/>
          <w:gallery w:val="placeholder"/>
        </w:category>
        <w:types>
          <w:type w:val="bbPlcHdr"/>
        </w:types>
        <w:behaviors>
          <w:behavior w:val="content"/>
        </w:behaviors>
        <w:guid w:val="{A78DD69E-00EF-4075-9AEC-452FE19D1B0B}"/>
      </w:docPartPr>
      <w:docPartBody>
        <w:p w:rsidR="00FF0026" w:rsidRDefault="00EB40E0">
          <w:r w:rsidRPr="00FF27DE">
            <w:rPr>
              <w:rStyle w:val="PlaceholderText"/>
            </w:rPr>
            <w:t>Formatting...</w:t>
          </w:r>
        </w:p>
      </w:docPartBody>
    </w:docPart>
    <w:docPart>
      <w:docPartPr>
        <w:name w:val="431E70C683014BB6A2A544CE2CB90228"/>
        <w:category>
          <w:name w:val="General"/>
          <w:gallery w:val="placeholder"/>
        </w:category>
        <w:types>
          <w:type w:val="bbPlcHdr"/>
        </w:types>
        <w:behaviors>
          <w:behavior w:val="content"/>
        </w:behaviors>
        <w:guid w:val="{841EF5C2-40D8-4F22-B043-6C2461478960}"/>
      </w:docPartPr>
      <w:docPartBody>
        <w:p w:rsidR="00FF0026" w:rsidRDefault="00EB40E0">
          <w:r w:rsidRPr="00FF27DE">
            <w:rPr>
              <w:rStyle w:val="PlaceholderText"/>
            </w:rPr>
            <w:t>Formatting...</w:t>
          </w:r>
        </w:p>
      </w:docPartBody>
    </w:docPart>
    <w:docPart>
      <w:docPartPr>
        <w:name w:val="C4154BA7BE434F3482DBD68B51F6380A"/>
        <w:category>
          <w:name w:val="General"/>
          <w:gallery w:val="placeholder"/>
        </w:category>
        <w:types>
          <w:type w:val="bbPlcHdr"/>
        </w:types>
        <w:behaviors>
          <w:behavior w:val="content"/>
        </w:behaviors>
        <w:guid w:val="{AD480E32-5D9C-4D64-BE2F-16D6B607DB26}"/>
      </w:docPartPr>
      <w:docPartBody>
        <w:p w:rsidR="00FF0026" w:rsidRDefault="00EB40E0">
          <w:r w:rsidRPr="00FF27DE">
            <w:rPr>
              <w:rStyle w:val="PlaceholderText"/>
            </w:rPr>
            <w:t>Formatting...</w:t>
          </w:r>
        </w:p>
      </w:docPartBody>
    </w:docPart>
    <w:docPart>
      <w:docPartPr>
        <w:name w:val="0275D902006C4887BEE9933C50F5B3DF"/>
        <w:category>
          <w:name w:val="General"/>
          <w:gallery w:val="placeholder"/>
        </w:category>
        <w:types>
          <w:type w:val="bbPlcHdr"/>
        </w:types>
        <w:behaviors>
          <w:behavior w:val="content"/>
        </w:behaviors>
        <w:guid w:val="{64C56250-B9F7-4B86-9714-4F1478E97115}"/>
      </w:docPartPr>
      <w:docPartBody>
        <w:p w:rsidR="00FF0026" w:rsidRDefault="00EB40E0">
          <w:r w:rsidRPr="00FF27DE">
            <w:rPr>
              <w:rStyle w:val="PlaceholderText"/>
            </w:rPr>
            <w:t>Formatting...</w:t>
          </w:r>
        </w:p>
      </w:docPartBody>
    </w:docPart>
    <w:docPart>
      <w:docPartPr>
        <w:name w:val="D177DFBE46504593A9AD38FDDF9D60B3"/>
        <w:category>
          <w:name w:val="General"/>
          <w:gallery w:val="placeholder"/>
        </w:category>
        <w:types>
          <w:type w:val="bbPlcHdr"/>
        </w:types>
        <w:behaviors>
          <w:behavior w:val="content"/>
        </w:behaviors>
        <w:guid w:val="{61A84B11-3767-4B7B-A3E3-79D6F452A0CC}"/>
      </w:docPartPr>
      <w:docPartBody>
        <w:p w:rsidR="00FF0026" w:rsidRDefault="00EB40E0">
          <w:r w:rsidRPr="00FF27DE">
            <w:rPr>
              <w:rStyle w:val="PlaceholderText"/>
            </w:rPr>
            <w:t>Formatting...</w:t>
          </w:r>
        </w:p>
      </w:docPartBody>
    </w:docPart>
    <w:docPart>
      <w:docPartPr>
        <w:name w:val="A49DF19CC14141328C66F9DBA5805E27"/>
        <w:category>
          <w:name w:val="General"/>
          <w:gallery w:val="placeholder"/>
        </w:category>
        <w:types>
          <w:type w:val="bbPlcHdr"/>
        </w:types>
        <w:behaviors>
          <w:behavior w:val="content"/>
        </w:behaviors>
        <w:guid w:val="{0C2842B7-EBBB-4F6F-B2ED-A88DF2493FD9}"/>
      </w:docPartPr>
      <w:docPartBody>
        <w:p w:rsidR="00FF0026" w:rsidRDefault="00EB40E0">
          <w:r w:rsidRPr="00FF27DE">
            <w:rPr>
              <w:rStyle w:val="PlaceholderText"/>
            </w:rPr>
            <w:t>Formatting...</w:t>
          </w:r>
        </w:p>
      </w:docPartBody>
    </w:docPart>
    <w:docPart>
      <w:docPartPr>
        <w:name w:val="065C8D2ADF7F43579E7C1A84C7BBDCCB"/>
        <w:category>
          <w:name w:val="General"/>
          <w:gallery w:val="placeholder"/>
        </w:category>
        <w:types>
          <w:type w:val="bbPlcHdr"/>
        </w:types>
        <w:behaviors>
          <w:behavior w:val="content"/>
        </w:behaviors>
        <w:guid w:val="{9C787607-01FB-4E76-A39D-A9BD959E15AE}"/>
      </w:docPartPr>
      <w:docPartBody>
        <w:p w:rsidR="00FF0026" w:rsidRDefault="00EB40E0">
          <w:r w:rsidRPr="00FF27DE">
            <w:rPr>
              <w:rStyle w:val="PlaceholderText"/>
            </w:rPr>
            <w:t>Formatting...</w:t>
          </w:r>
        </w:p>
      </w:docPartBody>
    </w:docPart>
    <w:docPart>
      <w:docPartPr>
        <w:name w:val="78E26215F7914E48A06056FC9B279254"/>
        <w:category>
          <w:name w:val="General"/>
          <w:gallery w:val="placeholder"/>
        </w:category>
        <w:types>
          <w:type w:val="bbPlcHdr"/>
        </w:types>
        <w:behaviors>
          <w:behavior w:val="content"/>
        </w:behaviors>
        <w:guid w:val="{3FFDC399-14C1-477C-B2E1-153B167CD24C}"/>
      </w:docPartPr>
      <w:docPartBody>
        <w:p w:rsidR="00FF0026" w:rsidRDefault="00EB40E0">
          <w:r w:rsidRPr="00FF27DE">
            <w:rPr>
              <w:rStyle w:val="PlaceholderText"/>
            </w:rPr>
            <w:t>Formatting...</w:t>
          </w:r>
        </w:p>
      </w:docPartBody>
    </w:docPart>
    <w:docPart>
      <w:docPartPr>
        <w:name w:val="80B657F1592846689C7262A43BF58706"/>
        <w:category>
          <w:name w:val="General"/>
          <w:gallery w:val="placeholder"/>
        </w:category>
        <w:types>
          <w:type w:val="bbPlcHdr"/>
        </w:types>
        <w:behaviors>
          <w:behavior w:val="content"/>
        </w:behaviors>
        <w:guid w:val="{E20A3F87-630B-4BED-9B91-5C957E24BBDB}"/>
      </w:docPartPr>
      <w:docPartBody>
        <w:p w:rsidR="00FF0026" w:rsidRDefault="00EB40E0">
          <w:r w:rsidRPr="00FF27DE">
            <w:rPr>
              <w:rStyle w:val="PlaceholderText"/>
            </w:rPr>
            <w:t>Formatting...</w:t>
          </w:r>
        </w:p>
      </w:docPartBody>
    </w:docPart>
    <w:docPart>
      <w:docPartPr>
        <w:name w:val="29C2FC07428F40FB9C827E6487656682"/>
        <w:category>
          <w:name w:val="General"/>
          <w:gallery w:val="placeholder"/>
        </w:category>
        <w:types>
          <w:type w:val="bbPlcHdr"/>
        </w:types>
        <w:behaviors>
          <w:behavior w:val="content"/>
        </w:behaviors>
        <w:guid w:val="{08FF9058-3272-485B-9BFC-05790BC1A4A8}"/>
      </w:docPartPr>
      <w:docPartBody>
        <w:p w:rsidR="00FF0026" w:rsidRDefault="00EB40E0">
          <w:r w:rsidRPr="00FF27DE">
            <w:rPr>
              <w:rStyle w:val="PlaceholderText"/>
            </w:rPr>
            <w:t>Formatting...</w:t>
          </w:r>
        </w:p>
      </w:docPartBody>
    </w:docPart>
    <w:docPart>
      <w:docPartPr>
        <w:name w:val="A2676EB0674D4A138CB7495E66D3C99D"/>
        <w:category>
          <w:name w:val="General"/>
          <w:gallery w:val="placeholder"/>
        </w:category>
        <w:types>
          <w:type w:val="bbPlcHdr"/>
        </w:types>
        <w:behaviors>
          <w:behavior w:val="content"/>
        </w:behaviors>
        <w:guid w:val="{7EA5EFD6-7DA4-415D-90C2-0E069013C36B}"/>
      </w:docPartPr>
      <w:docPartBody>
        <w:p w:rsidR="00FF0026" w:rsidRDefault="00EB40E0">
          <w:r w:rsidRPr="00FF27DE">
            <w:rPr>
              <w:rStyle w:val="PlaceholderText"/>
            </w:rPr>
            <w:t>Formatting...</w:t>
          </w:r>
        </w:p>
      </w:docPartBody>
    </w:docPart>
    <w:docPart>
      <w:docPartPr>
        <w:name w:val="DC8CFE4D86A3485D88A54E89D0FAC983"/>
        <w:category>
          <w:name w:val="General"/>
          <w:gallery w:val="placeholder"/>
        </w:category>
        <w:types>
          <w:type w:val="bbPlcHdr"/>
        </w:types>
        <w:behaviors>
          <w:behavior w:val="content"/>
        </w:behaviors>
        <w:guid w:val="{F52109AA-AB13-468B-A7CF-109DD01B8261}"/>
      </w:docPartPr>
      <w:docPartBody>
        <w:p w:rsidR="00FF0026" w:rsidRDefault="00EB40E0">
          <w:r w:rsidRPr="00FF27DE">
            <w:rPr>
              <w:rStyle w:val="PlaceholderText"/>
            </w:rPr>
            <w:t>Formatting...</w:t>
          </w:r>
        </w:p>
      </w:docPartBody>
    </w:docPart>
    <w:docPart>
      <w:docPartPr>
        <w:name w:val="8CD8A173176A46AE81CE4ACB1D4E20F2"/>
        <w:category>
          <w:name w:val="General"/>
          <w:gallery w:val="placeholder"/>
        </w:category>
        <w:types>
          <w:type w:val="bbPlcHdr"/>
        </w:types>
        <w:behaviors>
          <w:behavior w:val="content"/>
        </w:behaviors>
        <w:guid w:val="{328582D7-C941-444C-A562-489B81DFD4F7}"/>
      </w:docPartPr>
      <w:docPartBody>
        <w:p w:rsidR="00FF0026" w:rsidRDefault="00EB40E0">
          <w:r w:rsidRPr="00FF27DE">
            <w:rPr>
              <w:rStyle w:val="PlaceholderText"/>
            </w:rPr>
            <w:t>Formatting...</w:t>
          </w:r>
        </w:p>
      </w:docPartBody>
    </w:docPart>
    <w:docPart>
      <w:docPartPr>
        <w:name w:val="D826B1897CD14FE3947A02018CF344D3"/>
        <w:category>
          <w:name w:val="General"/>
          <w:gallery w:val="placeholder"/>
        </w:category>
        <w:types>
          <w:type w:val="bbPlcHdr"/>
        </w:types>
        <w:behaviors>
          <w:behavior w:val="content"/>
        </w:behaviors>
        <w:guid w:val="{FB54961B-E0E0-4DD0-9C04-0B18FD838C47}"/>
      </w:docPartPr>
      <w:docPartBody>
        <w:p w:rsidR="00FF0026" w:rsidRDefault="00EB40E0">
          <w:r w:rsidRPr="00FF27DE">
            <w:rPr>
              <w:rStyle w:val="PlaceholderText"/>
            </w:rPr>
            <w:t>Formatting...</w:t>
          </w:r>
        </w:p>
      </w:docPartBody>
    </w:docPart>
    <w:docPart>
      <w:docPartPr>
        <w:name w:val="A8F22595127F49F1AC4F0748D3F65711"/>
        <w:category>
          <w:name w:val="General"/>
          <w:gallery w:val="placeholder"/>
        </w:category>
        <w:types>
          <w:type w:val="bbPlcHdr"/>
        </w:types>
        <w:behaviors>
          <w:behavior w:val="content"/>
        </w:behaviors>
        <w:guid w:val="{B120990B-DCB7-40C6-BD16-D7A60EADF812}"/>
      </w:docPartPr>
      <w:docPartBody>
        <w:p w:rsidR="00FF0026" w:rsidRDefault="00EB40E0">
          <w:r w:rsidRPr="00FF27DE">
            <w:rPr>
              <w:rStyle w:val="PlaceholderText"/>
            </w:rPr>
            <w:t>Formatting...</w:t>
          </w:r>
        </w:p>
      </w:docPartBody>
    </w:docPart>
    <w:docPart>
      <w:docPartPr>
        <w:name w:val="055F9D2D3DA34BD0B554E406BE3EF750"/>
        <w:category>
          <w:name w:val="General"/>
          <w:gallery w:val="placeholder"/>
        </w:category>
        <w:types>
          <w:type w:val="bbPlcHdr"/>
        </w:types>
        <w:behaviors>
          <w:behavior w:val="content"/>
        </w:behaviors>
        <w:guid w:val="{D93DA42C-9023-449B-B915-36B3F2D0BB68}"/>
      </w:docPartPr>
      <w:docPartBody>
        <w:p w:rsidR="00FF0026" w:rsidRDefault="00EB40E0">
          <w:r w:rsidRPr="00FF27DE">
            <w:rPr>
              <w:rStyle w:val="PlaceholderText"/>
            </w:rPr>
            <w:t>Formatting...</w:t>
          </w:r>
        </w:p>
      </w:docPartBody>
    </w:docPart>
    <w:docPart>
      <w:docPartPr>
        <w:name w:val="CC850BE95E074B1B8A54DB29A0EB0E28"/>
        <w:category>
          <w:name w:val="General"/>
          <w:gallery w:val="placeholder"/>
        </w:category>
        <w:types>
          <w:type w:val="bbPlcHdr"/>
        </w:types>
        <w:behaviors>
          <w:behavior w:val="content"/>
        </w:behaviors>
        <w:guid w:val="{C19CD3AB-8592-44AC-8E16-FA917CA9303E}"/>
      </w:docPartPr>
      <w:docPartBody>
        <w:p w:rsidR="00FF0026" w:rsidRDefault="00EB40E0">
          <w:r w:rsidRPr="00FF27DE">
            <w:rPr>
              <w:rStyle w:val="PlaceholderText"/>
            </w:rPr>
            <w:t>Formatting...</w:t>
          </w:r>
        </w:p>
      </w:docPartBody>
    </w:docPart>
    <w:docPart>
      <w:docPartPr>
        <w:name w:val="50CCFD3AF7F34E1FB837C73027BC537A"/>
        <w:category>
          <w:name w:val="General"/>
          <w:gallery w:val="placeholder"/>
        </w:category>
        <w:types>
          <w:type w:val="bbPlcHdr"/>
        </w:types>
        <w:behaviors>
          <w:behavior w:val="content"/>
        </w:behaviors>
        <w:guid w:val="{6168CBA0-DCD4-418C-B481-07CDD1E50F42}"/>
      </w:docPartPr>
      <w:docPartBody>
        <w:p w:rsidR="00FF0026" w:rsidRDefault="00EB40E0">
          <w:r w:rsidRPr="00FF27DE">
            <w:rPr>
              <w:rStyle w:val="PlaceholderText"/>
            </w:rPr>
            <w:t>Formatting...</w:t>
          </w:r>
        </w:p>
      </w:docPartBody>
    </w:docPart>
    <w:docPart>
      <w:docPartPr>
        <w:name w:val="5CC2241D78F0437282D9CE9B881D8BE6"/>
        <w:category>
          <w:name w:val="General"/>
          <w:gallery w:val="placeholder"/>
        </w:category>
        <w:types>
          <w:type w:val="bbPlcHdr"/>
        </w:types>
        <w:behaviors>
          <w:behavior w:val="content"/>
        </w:behaviors>
        <w:guid w:val="{58FF521E-4CD3-45DF-9AB6-BE0572983012}"/>
      </w:docPartPr>
      <w:docPartBody>
        <w:p w:rsidR="00FF0026" w:rsidRDefault="00EB40E0">
          <w:r w:rsidRPr="00FF27DE">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0E0"/>
    <w:rsid w:val="00157164"/>
    <w:rsid w:val="001C7870"/>
    <w:rsid w:val="00204E51"/>
    <w:rsid w:val="004F6F06"/>
    <w:rsid w:val="005A4BA7"/>
    <w:rsid w:val="00814FA5"/>
    <w:rsid w:val="00816ED5"/>
    <w:rsid w:val="00C319B7"/>
    <w:rsid w:val="00D9381C"/>
    <w:rsid w:val="00E73419"/>
    <w:rsid w:val="00EB40E0"/>
    <w:rsid w:val="00EC4D6E"/>
    <w:rsid w:val="00FF00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40E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29697B-3606-4C1E-9A82-4BE4AAF30EEB}">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35482405&quot;:{&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482405,&quot;citationText&quot;:&quot;&lt;span style=\&quot;font-family:Calibri;font-size:16px;color:#000000\&quot;&gt;[2]&lt;/span&gt;&quot;},&quot;167224578&quot;:{&quot;referencesIds&quot;:[&quot;doc:6a5d8a5b147d1d5588ba5ee9&quot;],&quot;referencesOptions&quot;:{&quot;doc:6a5d8a5b147d1d5588ba5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224578,&quot;citationText&quot;:&quot;&lt;span style=\&quot;font-family:Calibri;font-size:16px;color:#000000\&quot;&gt;[3]&lt;/span&gt;&quot;},&quot;313377700&quot;:{&quot;referencesIds&quot;:[&quot;doc:6a5d8a5cc2ecfb3df852878b&quot;],&quot;referencesOptions&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77700,&quot;citationText&quot;:&quot;&lt;span style=\&quot;font-family:Calibri;font-size:16px;color:#000000\&quot;&gt;[6]&lt;/span&gt;&quot;},&quot;329646293&quot;:{&quot;referencesIds&quot;:[&quot;doc:6a5d8a5b147d1d5588ba5ee9&quot;],&quot;referencesOptions&quot;:{&quot;doc:6a5d8a5b147d1d5588ba5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9646293,&quot;citationText&quot;:&quot;&lt;span style=\&quot;font-family:Calibri;font-size:16px;color:#000000\&quot;&gt;[3]&lt;/span&gt;&quot;},&quot;352156462&quot;:{&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156462,&quot;citationText&quot;:&quot;&lt;span style=\&quot;font-family:Calibri;font-size:16px;color:#000000\&quot;&gt;[7]&lt;/span&gt;&quot;},&quot;686180473&quot;:{&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6180473,&quot;citationText&quot;:&quot;&lt;span style=\&quot;font-family:Calibri;font-size:16px;color:#000000\&quot;&gt;[7]&lt;/span&gt;&quot;},&quot;789937929&quot;:{&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937929,&quot;citationText&quot;:&quot;&lt;span style=\&quot;font-family:Calibri;font-size:16px;color:#000000\&quot;&gt;[2]&lt;/span&gt;&quot;},&quot;1461072516&quot;:{&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1072516,&quot;citationText&quot;:&quot;&lt;span style=\&quot;font-family:Calibri;font-size:16px;color:#000000\&quot;&gt;[7]&lt;/span&gt;&quot;},&quot;1542021231&quot;:{&quot;referencesIds&quot;:[&quot;doc:6a5d8a5c2db3087ec5ef5683&quot;],&quot;referencesOptions&quot;:{&quot;doc:6a5d8a5c2db3087ec5ef5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2021231,&quot;citationText&quot;:&quot;&lt;span style=\&quot;font-family:Calibri;font-size:16px;color:#000000\&quot;&gt;[4]&lt;/span&gt;&quot;},&quot;1585640504&quot;:{&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640504,&quot;citationText&quot;:&quot;&lt;span style=\&quot;font-family:Calibri;font-size:16px;color:#000000\&quot;&gt;[2]&lt;/span&gt;&quot;},&quot;1626732779&quot;:{&quot;referencesIds&quot;:[&quot;doc:6a5d85a8c2ecfb3df852875c&quot;],&quot;referencesOptions&quot;:{&quot;doc:6a5d85a8c2ecfb3df852875c&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1626732779,&quot;citationText&quot;:&quo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lt;span style=\&quot;font-family:Calibri;font-size:16px;color:#000000\&quot;&gt;[2]&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lt;/span&gt;&quot;},&quot;1645925052&quot;:{&quot;referencesIds&quot;:[&quot;doc:6a5d8a5b755c93472ccdd44e&quot;,&quot;doc:6a5d8a5cc2ecfb3df852878b&quot;],&quot;referencesOptions&quot;:{&quot;doc:6a5d8a5b755c93472ccdd44e&quot;:{&quot;author&quot;:true,&quot;year&quot;:true,&quot;formatAuthorYear&quot;:false,&quot;pageReplace&quot;:&quot;&quot;,&quot;additionalField&quot;:&quot;&quot;,&quot;additionalValue&quot;:&quot;&quot;,&quot;prefix&quot;:&quot;&quot;,&quot;suffix&quot;:&quot;&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925052,&quot;citationText&quot;:&quot;&lt;span style=\&quot;font-family:Calibri;font-size:16px;color:#000000\&quot;&gt;[2], [6]&lt;/span&gt;&quot;},&quot;1678000570&quot;:{&quot;referencesIds&quot;:[&quot;doc:6a5d8a5b147d1d5588ba5ee9&quot;],&quot;referencesOptions&quot;:{&quot;doc:6a5d8a5b147d1d5588ba5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8000570,&quot;citationText&quot;:&quot;&lt;span style=\&quot;font-family:Calibri;font-size:16px;color:#000000\&quot;&gt;[3]&lt;/span&gt;&quot;},&quot;1690020090&quot;:{&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0020090,&quot;citationText&quot;:&quot;&lt;span style=\&quot;font-family:Calibri;font-size:16px;color:#000000\&quot;&gt;[1]&lt;/span&gt;&quot;},&quot;1939639213&quot;:{&quot;referencesIds&quot;:[&quot;doc:6a5d8a5b147d1d5588ba5ee9&quot;,&quot;doc:6a5d8a5c2db3087ec5ef5681&quot;],&quot;referencesOptions&quot;:{&quot;doc:6a5d8a5b147d1d5588ba5ee9&quot;:{&quot;author&quot;:true,&quot;year&quot;:true,&quot;formatAuthorYear&quot;:false,&quot;pageReplace&quot;:&quot;&quot;,&quot;additionalField&quot;:&quot;&quot;,&quot;additionalValue&quot;:&quot;&quot;,&quot;prefix&quot;:&quot;&quot;,&quot;suffix&quot;:&quot;&quot;},&quot;doc:6a5d8a5c2db3087ec5ef56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639213,&quot;citationText&quot;:&quot;&lt;span style=\&quot;font-family:Calibri;font-size:16px;color:#000000\&quot;&gt;[3], [5]&lt;/span&gt;&quot;},&quot;1951669411&quot;:{&quot;referencesIds&quot;:[&quot;doc:6a5d8a5cc2ecfb3df852878b&quot;],&quot;referencesOptions&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669411,&quot;citationText&quot;:&quot;&lt;span style=\&quot;font-family:Calibri;font-size:16px;color:#000000\&quot;&gt;[6]&lt;/span&gt;&quot;},&quot;1982957817&quot;:{&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2957817,&quot;citationText&quot;:&quot;&lt;span style=\&quot;font-family:Calibri;font-size:16px;color:#000000\&quot;&gt;[1]&lt;/span&gt;&quot;},&quot;2068445860&quot;:{&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8445860,&quot;citationText&quot;:&quot;&lt;span style=\&quot;font-family:Calibri;font-size:16px;color:#000000\&quot;&gt;[2]&lt;/span&gt;&quot;},&quot;2084634096&quot;:{&quot;referencesIds&quot;:[&quot;doc:6a5d8a5c2db3087ec5ef5681&quot;,&quot;doc:6a5d8a5cc2ecfb3df852878b&quot;,&quot;doc:6a5d8a5e147d1d5588ba5eeb&quot;],&quot;referencesOptions&quot;:{&quot;doc:6a5d8a5c2db3087ec5ef5681&quot;:{&quot;author&quot;:true,&quot;year&quot;:true,&quot;formatAuthorYear&quot;:false,&quot;pageReplace&quot;:&quot;&quot;,&quot;additionalField&quot;:&quot;&quot;,&quot;additionalValue&quot;:&quot;&quot;,&quot;prefix&quot;:&quot;&quot;,&quot;suffix&quot;:&quot;&quot;},&quot;doc:6a5d8a5cc2ecfb3df852878b&quot;:{&quot;author&quot;:true,&quot;year&quot;:true,&quot;formatAuthorYear&quot;:false,&quot;pageReplace&quot;:&quot;&quot;,&quot;additionalField&quot;:&quot;&quot;,&quot;additionalValue&quot;:&quot;&quot;,&quot;prefix&quot;:&quot;&quot;,&quot;suffix&quot;:&quot;&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4634096,&quot;citationText&quot;:&quot;&lt;span style=\&quot;font-family:Calibri;font-size:16px;color:#000000\&quot;&gt;[5]-[7]&lt;/span&gt;&quot;},&quot;2117941514&quot;:{&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7941514,&quot;citationText&quot;:&quot;&lt;span style=\&quot;font-family:Calibri;font-size:16px;color:#000000\&quot;&gt;[1]&lt;/span&gt;&quot;},&quot;-1966881358&quot;:{&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6881358,&quot;citationText&quot;:&quot;&lt;span style=\&quot;font-family:Calibri;font-size:16px;color:#000000\&quot;&gt;[1]&lt;/span&gt;&quot;},&quot;-707257333&quot;:{&quot;referencesIds&quot;:[&quot;doc:6a5d8a5c2db3087ec5ef5681&quot;],&quot;referencesOptions&quot;:{&quot;doc:6a5d8a5c2db3087ec5ef56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7257333,&quot;citationText&quot;:&quot;&lt;span style=\&quot;font-family:Calibri;font-size:16px;color:#000000\&quot;&gt;[5]&lt;/span&gt;&quot;},&quot;-2133392987&quot;:{&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3392987,&quot;citationText&quot;:&quot;&lt;span style=\&quot;font-family:Calibri;font-size:16px;color:#000000\&quot;&gt;[2]&lt;/span&gt;&quot;},&quot;-1820412183&quot;:{&quot;referencesIds&quot;:[&quot;doc:6a5d8a5c2db3087ec5ef5683&quot;],&quot;referencesOptions&quot;:{&quot;doc:6a5d8a5c2db3087ec5ef5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0412183,&quot;citationText&quot;:&quot;&lt;span style=\&quot;font-family:Calibri;font-size:16px;color:#000000\&quot;&gt;[4]&lt;/span&gt;&quot;},&quot;-694993696&quot;:{&quot;referencesIds&quot;:[&quot;doc:6a5d8a5e147d1d5588ba5eeb&quot;],&quot;referencesOptions&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4993696,&quot;citationText&quot;:&quot;&lt;span style=\&quot;font-family:Calibri;font-size:16px;color:#000000\&quot;&gt;[7]&lt;/span&gt;&quot;},&quot;-1009054659&quot;:{&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054659,&quot;citationText&quot;:&quot;&lt;span style=\&quot;font-family:Calibri;font-size:16px;color:#000000\&quot;&gt;[1]&lt;/span&gt;&quot;},&quot;-1805155141&quot;:{&quot;referencesIds&quot;:[&quot;doc:6a5d8a5c2db3087ec5ef5683&quot;],&quot;referencesOptions&quot;:{&quot;doc:6a5d8a5c2db3087ec5ef568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5155141,&quot;citationText&quot;:&quot;&lt;span style=\&quot;font-family:Calibri;font-size:16px;color:#000000\&quot;&gt;[4]&lt;/span&gt;&quot;},&quot;-1441133266&quot;:{&quot;referencesIds&quot;:[&quot;doc:6a5d8a5b755c93472ccdd44e&quot;],&quot;referencesOptions&quot;:{&quot;doc:6a5d8a5b755c93472ccdd4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1133266,&quot;citationText&quot;:&quot;&lt;span style=\&quot;font-family:Calibri;font-size:16px;color:#000000\&quot;&gt;[2]&lt;/span&gt;&quot;},&quot;-457102440&quot;:{&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102440,&quot;citationText&quot;:&quot;&lt;span style=\&quot;font-family:Calibri;font-size:16px;color:#000000\&quot;&gt;[1]&lt;/span&gt;&quot;},&quot;-1886554098&quot;:{&quot;referencesIds&quot;:[&quot;doc:6a5d8a5b755c93472ccdd44f&quot;],&quot;referencesOptions&quot;:{&quot;doc:6a5d8a5b755c93472ccdd4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6554098,&quot;citationText&quot;:&quot;&lt;span style=\&quot;font-family:Calibri;font-size:16px;color:#000000\&quot;&gt;[1]&lt;/span&gt;&quot;},&quot;-1785414793&quot;:{&quot;referencesIds&quot;:[&quot;doc:6a5d8a5b147d1d5588ba5ee9&quot;],&quot;referencesOptions&quot;:{&quot;doc:6a5d8a5b147d1d5588ba5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414793,&quot;citationText&quot;:&quot;&lt;span style=\&quot;font-family:Calibri;font-size:16px;color:#000000\&quot;&gt;[3]&lt;/span&gt;&quot;},&quot;-1495713146&quot;:{&quot;referencesIds&quot;:[&quot;doc:6a5d8a5cc2ecfb3df852878b&quot;],&quot;referencesOptions&quot;:{&quot;doc:6a5d8a5cc2ecfb3df852878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5713146,&quot;citationText&quot;:&quot;&lt;span style=\&quot;font-family:Calibri;font-size:16px;color:#000000\&quot;&gt;[6]&lt;/span&gt;&quot;},&quot;-459725502&quot;:{&quot;referencesIds&quot;:[&quot;doc:6a5d8a5cc2ecfb3df852878b&quot;,&quot;doc:6a5d8a5e147d1d5588ba5eeb&quot;],&quot;referencesOptions&quot;:{&quot;doc:6a5d8a5cc2ecfb3df852878b&quot;:{&quot;author&quot;:true,&quot;year&quot;:true,&quot;formatAuthorYear&quot;:false,&quot;pageReplace&quot;:&quot;&quot;,&quot;additionalField&quot;:&quot;&quot;,&quot;additionalValue&quot;:&quot;&quot;,&quot;prefix&quot;:&quot;&quot;,&quot;suffix&quot;:&quot;&quot;},&quot;doc:6a5d8a5e147d1d5588ba5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9725502,&quot;citationText&quot;:&quot;&lt;span style=\&quot;font-family:Calibri;font-size:16px;color:#000000\&quot;&gt;[6], [7]&lt;/span&gt;&quot;}}"/>
    <we:property name="currentFolder" value="{&quot;depth&quot;:0,&quot;id&quot;:&quot;all&quot;,&quot;name&quot;:&quot;All references&quot;,&quot;parentId&quot;:null,&quot;position&quot;:-2,&quot;isShared&quot;:false}"/>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af973484c4bc6c36376ce3be2ff5fbd9">
  <xsd:schema xmlns:xsd="http://www.w3.org/2001/XMLSchema" xmlns:xs="http://www.w3.org/2001/XMLSchema" xmlns:p="http://schemas.microsoft.com/office/2006/metadata/properties" xmlns:ns3="21f98238-5914-40fc-b2db-49ce196065c9" targetNamespace="http://schemas.microsoft.com/office/2006/metadata/properties" ma:root="true" ma:fieldsID="daf7bf600b8f3a055f69800ace65636d"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230D2649-2CDB-498A-B2F4-428C9F57C09C}">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60A4DA4D-09C3-43C7-818A-F5D3F7121381}">
  <ds:schemaRefs>
    <ds:schemaRef ds:uri="http://schemas.microsoft.com/sharepoint/v3/contenttype/forms"/>
  </ds:schemaRefs>
</ds:datastoreItem>
</file>

<file path=customXml/itemProps3.xml><?xml version="1.0" encoding="utf-8"?>
<ds:datastoreItem xmlns:ds="http://schemas.openxmlformats.org/officeDocument/2006/customXml" ds:itemID="{D08623BB-8ED2-4C2F-8C68-57356F6DF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5217DC-D807-4581-A05B-2EC56738D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11</Pages>
  <Words>2695</Words>
  <Characters>15368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Riddhi Damjibhai Mendpara (2518862)</dc:creator>
  <cp:keywords/>
  <dc:description/>
  <cp:lastModifiedBy>Riddhi Damjibhai Mendpara (2518862)</cp:lastModifiedBy>
  <cp:revision>49</cp:revision>
  <dcterms:created xsi:type="dcterms:W3CDTF">2026-07-20T03:15:00Z</dcterms:created>
  <dcterms:modified xsi:type="dcterms:W3CDTF">2026-07-22T00:56:00Z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