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EC9C53" w14:textId="4DEE2153" w:rsidR="00114199" w:rsidRDefault="005C28E8" w:rsidP="005C28E8">
      <w:pPr>
        <w:spacing w:line="360" w:lineRule="auto"/>
        <w:rPr>
          <w:rFonts w:ascii="Times New Roman" w:hAnsi="Times New Roman"/>
          <w:b/>
          <w:bCs/>
          <w:sz w:val="32"/>
          <w:szCs w:val="32"/>
        </w:rPr>
      </w:pPr>
      <w:r>
        <w:rPr>
          <w:rFonts w:ascii="Times New Roman" w:hAnsi="Times New Roman"/>
          <w:b/>
          <w:bCs/>
          <w:sz w:val="32"/>
          <w:szCs w:val="32"/>
        </w:rPr>
        <w:t xml:space="preserve">      </w:t>
      </w:r>
    </w:p>
    <w:p w14:paraId="161E19F8" w14:textId="77777777" w:rsidR="00D46920" w:rsidRDefault="00D46920" w:rsidP="00D46920">
      <w:pPr>
        <w:spacing w:line="360" w:lineRule="auto"/>
      </w:pPr>
      <w:r>
        <w:rPr>
          <w:noProof/>
        </w:rPr>
        <w:drawing>
          <wp:inline distT="0" distB="0" distL="0" distR="0" wp14:anchorId="7B112E65" wp14:editId="5D2DDB97">
            <wp:extent cx="3345180" cy="1343660"/>
            <wp:effectExtent l="0" t="0" r="0" b="0"/>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45180" cy="1343660"/>
                    </a:xfrm>
                    <a:prstGeom prst="rect">
                      <a:avLst/>
                    </a:prstGeom>
                    <a:noFill/>
                    <a:ln>
                      <a:noFill/>
                    </a:ln>
                  </pic:spPr>
                </pic:pic>
              </a:graphicData>
            </a:graphic>
          </wp:inline>
        </w:drawing>
      </w:r>
    </w:p>
    <w:p w14:paraId="1BD6F6D8" w14:textId="77777777" w:rsidR="00D46920" w:rsidRDefault="00D46920" w:rsidP="00D46920">
      <w:pPr>
        <w:spacing w:line="360" w:lineRule="auto"/>
        <w:rPr>
          <w:rStyle w:val="Strong"/>
          <w:rFonts w:ascii="Segoe UI" w:hAnsi="Segoe UI" w:cs="Segoe UI"/>
          <w:color w:val="1D2125"/>
        </w:rPr>
      </w:pPr>
    </w:p>
    <w:p w14:paraId="20C87557" w14:textId="500AEB35" w:rsidR="00D46920" w:rsidRDefault="006369B9" w:rsidP="00D46920">
      <w:pPr>
        <w:spacing w:line="360" w:lineRule="auto"/>
        <w:rPr>
          <w:rStyle w:val="Strong"/>
          <w:rFonts w:ascii="Arial" w:hAnsi="Arial" w:cs="Arial"/>
          <w:color w:val="1D2125"/>
          <w:sz w:val="36"/>
          <w:szCs w:val="36"/>
        </w:rPr>
      </w:pPr>
      <w:r w:rsidRPr="006369B9">
        <w:rPr>
          <w:rFonts w:ascii="Arial" w:hAnsi="Arial" w:cs="Arial"/>
          <w:b/>
          <w:bCs/>
          <w:color w:val="1D2125"/>
          <w:sz w:val="36"/>
          <w:szCs w:val="36"/>
        </w:rPr>
        <w:t>Protecting and Supporting Families in Health and Care</w:t>
      </w:r>
    </w:p>
    <w:p w14:paraId="09BA2BB5" w14:textId="77777777" w:rsidR="006369B9" w:rsidRDefault="006369B9" w:rsidP="006369B9">
      <w:pPr>
        <w:spacing w:line="360" w:lineRule="auto"/>
        <w:rPr>
          <w:rStyle w:val="Strong"/>
          <w:rFonts w:ascii="Arial" w:hAnsi="Arial" w:cs="Arial"/>
          <w:color w:val="1D2125"/>
          <w:sz w:val="36"/>
          <w:szCs w:val="36"/>
        </w:rPr>
      </w:pPr>
    </w:p>
    <w:p w14:paraId="4E60214F" w14:textId="3AC098FE" w:rsidR="00D46920" w:rsidRDefault="006369B9" w:rsidP="006369B9">
      <w:pPr>
        <w:spacing w:line="360" w:lineRule="auto"/>
        <w:rPr>
          <w:rStyle w:val="Strong"/>
          <w:rFonts w:ascii="Arial" w:hAnsi="Arial" w:cs="Arial"/>
          <w:color w:val="1D2125"/>
          <w:sz w:val="36"/>
          <w:szCs w:val="36"/>
        </w:rPr>
      </w:pPr>
      <w:r>
        <w:rPr>
          <w:rStyle w:val="Strong"/>
          <w:rFonts w:ascii="Arial" w:hAnsi="Arial" w:cs="Arial"/>
          <w:color w:val="1D2125"/>
          <w:sz w:val="36"/>
          <w:szCs w:val="36"/>
        </w:rPr>
        <w:t>Component 2</w:t>
      </w:r>
    </w:p>
    <w:p w14:paraId="12844AB7" w14:textId="77777777" w:rsidR="006369B9" w:rsidRPr="006369B9" w:rsidRDefault="006369B9" w:rsidP="006369B9">
      <w:pPr>
        <w:spacing w:line="360" w:lineRule="auto"/>
        <w:rPr>
          <w:rStyle w:val="Strong"/>
          <w:rFonts w:ascii="Arial" w:hAnsi="Arial" w:cs="Arial"/>
          <w:color w:val="000000"/>
          <w:sz w:val="32"/>
          <w:szCs w:val="32"/>
        </w:rPr>
      </w:pPr>
    </w:p>
    <w:p w14:paraId="58EAA200" w14:textId="77777777" w:rsidR="00D46920" w:rsidRDefault="00D46920" w:rsidP="00D46920">
      <w:pPr>
        <w:spacing w:line="360" w:lineRule="auto"/>
        <w:rPr>
          <w:rStyle w:val="Strong"/>
          <w:rFonts w:ascii="Arial" w:hAnsi="Arial" w:cs="Arial"/>
          <w:color w:val="1D2125"/>
          <w:sz w:val="32"/>
          <w:szCs w:val="32"/>
        </w:rPr>
      </w:pPr>
    </w:p>
    <w:p w14:paraId="0C00B0A7" w14:textId="77777777" w:rsidR="006369B9" w:rsidRDefault="006369B9" w:rsidP="00D46920">
      <w:pPr>
        <w:spacing w:line="360" w:lineRule="auto"/>
        <w:rPr>
          <w:rStyle w:val="Strong"/>
          <w:rFonts w:ascii="Arial" w:hAnsi="Arial" w:cs="Arial"/>
          <w:color w:val="1D2125"/>
          <w:sz w:val="32"/>
          <w:szCs w:val="32"/>
        </w:rPr>
      </w:pPr>
    </w:p>
    <w:p w14:paraId="3C55ACB9" w14:textId="462B73A7"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name:</w:t>
      </w:r>
      <w:r w:rsidR="00186604">
        <w:rPr>
          <w:rStyle w:val="Strong"/>
          <w:rFonts w:ascii="Arial" w:hAnsi="Arial" w:cs="Arial"/>
          <w:color w:val="1D2125"/>
          <w:sz w:val="32"/>
          <w:szCs w:val="32"/>
        </w:rPr>
        <w:t xml:space="preserve"> Cristea Florin Cristian</w:t>
      </w:r>
    </w:p>
    <w:p w14:paraId="3DCFFD10" w14:textId="75E92AA9"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Student number:</w:t>
      </w:r>
      <w:r w:rsidR="00186604">
        <w:rPr>
          <w:rStyle w:val="Strong"/>
          <w:rFonts w:ascii="Arial" w:hAnsi="Arial" w:cs="Arial"/>
          <w:color w:val="1D2125"/>
          <w:sz w:val="32"/>
          <w:szCs w:val="32"/>
        </w:rPr>
        <w:t xml:space="preserve"> 2328061</w:t>
      </w:r>
    </w:p>
    <w:p w14:paraId="6F2C3011" w14:textId="30733D7F" w:rsidR="00D46920" w:rsidRDefault="00D46920" w:rsidP="00D46920">
      <w:pPr>
        <w:spacing w:line="360" w:lineRule="auto"/>
        <w:rPr>
          <w:rStyle w:val="Strong"/>
          <w:rFonts w:ascii="Arial" w:hAnsi="Arial" w:cs="Arial"/>
          <w:color w:val="1D2125"/>
          <w:sz w:val="32"/>
          <w:szCs w:val="32"/>
        </w:rPr>
      </w:pPr>
      <w:r>
        <w:rPr>
          <w:rStyle w:val="Strong"/>
          <w:rFonts w:ascii="Arial" w:hAnsi="Arial" w:cs="Arial"/>
          <w:color w:val="1D2125"/>
          <w:sz w:val="32"/>
          <w:szCs w:val="32"/>
        </w:rPr>
        <w:t>Lecturer’s name:</w:t>
      </w:r>
      <w:r w:rsidR="00EB12B1">
        <w:rPr>
          <w:rStyle w:val="Strong"/>
          <w:rFonts w:ascii="Arial" w:hAnsi="Arial" w:cs="Arial"/>
          <w:color w:val="1D2125"/>
          <w:sz w:val="32"/>
          <w:szCs w:val="32"/>
        </w:rPr>
        <w:t xml:space="preserve"> </w:t>
      </w:r>
      <w:r w:rsidR="006369B9">
        <w:rPr>
          <w:rStyle w:val="Strong"/>
          <w:rFonts w:ascii="Arial" w:hAnsi="Arial" w:cs="Arial"/>
          <w:color w:val="1D2125"/>
          <w:sz w:val="32"/>
          <w:szCs w:val="32"/>
        </w:rPr>
        <w:t xml:space="preserve">Amanda Jones </w:t>
      </w:r>
      <w:r w:rsidR="00EB12B1">
        <w:rPr>
          <w:rStyle w:val="Strong"/>
          <w:rFonts w:ascii="Arial" w:hAnsi="Arial" w:cs="Arial"/>
          <w:color w:val="1D2125"/>
          <w:sz w:val="32"/>
          <w:szCs w:val="32"/>
        </w:rPr>
        <w:t xml:space="preserve"> </w:t>
      </w:r>
    </w:p>
    <w:p w14:paraId="0D3CF38A" w14:textId="77777777" w:rsidR="00D46920" w:rsidRDefault="00D46920" w:rsidP="00D46920">
      <w:pPr>
        <w:spacing w:line="360" w:lineRule="auto"/>
        <w:rPr>
          <w:sz w:val="36"/>
          <w:szCs w:val="36"/>
        </w:rPr>
      </w:pPr>
    </w:p>
    <w:p w14:paraId="7657B63E" w14:textId="77777777" w:rsidR="00D46920" w:rsidRDefault="00D46920" w:rsidP="00D46920">
      <w:pPr>
        <w:spacing w:line="360" w:lineRule="auto"/>
        <w:rPr>
          <w:rFonts w:ascii="Arial" w:hAnsi="Arial" w:cs="Arial"/>
          <w:sz w:val="36"/>
          <w:szCs w:val="36"/>
        </w:rPr>
      </w:pPr>
    </w:p>
    <w:p w14:paraId="1DF762CF" w14:textId="77777777" w:rsidR="00D46920" w:rsidRDefault="00D46920" w:rsidP="00D46920">
      <w:pPr>
        <w:spacing w:line="360" w:lineRule="auto"/>
        <w:rPr>
          <w:rFonts w:ascii="Arial" w:hAnsi="Arial" w:cs="Arial"/>
          <w:sz w:val="36"/>
          <w:szCs w:val="36"/>
        </w:rPr>
      </w:pPr>
    </w:p>
    <w:p w14:paraId="36966376" w14:textId="77777777" w:rsidR="00D46920" w:rsidRDefault="00D46920" w:rsidP="00D46920">
      <w:pPr>
        <w:spacing w:line="360" w:lineRule="auto"/>
        <w:rPr>
          <w:rFonts w:ascii="Arial" w:hAnsi="Arial" w:cs="Arial"/>
          <w:sz w:val="36"/>
          <w:szCs w:val="36"/>
        </w:rPr>
      </w:pPr>
    </w:p>
    <w:p w14:paraId="42726B8D" w14:textId="77777777" w:rsidR="00D46920" w:rsidRDefault="00D46920" w:rsidP="00D46920">
      <w:pPr>
        <w:pStyle w:val="NormalWeb"/>
        <w:spacing w:line="360" w:lineRule="auto"/>
        <w:rPr>
          <w:rFonts w:ascii="Arial" w:hAnsi="Arial" w:cs="Arial"/>
          <w:b/>
          <w:bCs/>
          <w:color w:val="000000"/>
          <w:sz w:val="28"/>
          <w:szCs w:val="28"/>
        </w:rPr>
      </w:pPr>
      <w:r w:rsidRPr="008375B5">
        <w:rPr>
          <w:rFonts w:ascii="Arial" w:hAnsi="Arial" w:cs="Arial"/>
          <w:b/>
          <w:bCs/>
          <w:color w:val="000000"/>
          <w:sz w:val="28"/>
          <w:szCs w:val="28"/>
        </w:rPr>
        <w:lastRenderedPageBreak/>
        <w:t>Table of contents</w:t>
      </w:r>
    </w:p>
    <w:p w14:paraId="02D070C5" w14:textId="472782BA" w:rsidR="00065B25" w:rsidRPr="00065B25" w:rsidRDefault="00065B25" w:rsidP="00065B25">
      <w:pPr>
        <w:pStyle w:val="NormalWeb"/>
        <w:numPr>
          <w:ilvl w:val="0"/>
          <w:numId w:val="14"/>
        </w:numPr>
        <w:spacing w:line="360" w:lineRule="auto"/>
        <w:rPr>
          <w:rFonts w:ascii="Arial" w:hAnsi="Arial" w:cs="Arial"/>
          <w:b/>
          <w:bCs/>
          <w:color w:val="000000"/>
          <w:sz w:val="28"/>
          <w:szCs w:val="28"/>
        </w:rPr>
      </w:pPr>
      <w:r w:rsidRPr="00065B25">
        <w:rPr>
          <w:rFonts w:ascii="Arial" w:hAnsi="Arial" w:cs="Arial"/>
          <w:b/>
          <w:bCs/>
          <w:color w:val="000000"/>
          <w:sz w:val="28"/>
          <w:szCs w:val="28"/>
        </w:rPr>
        <w:t xml:space="preserve">An introduction  </w:t>
      </w:r>
    </w:p>
    <w:p w14:paraId="665E3ABA" w14:textId="30A50E6F" w:rsidR="00065B25" w:rsidRPr="00065B25" w:rsidRDefault="00065B25" w:rsidP="00065B25">
      <w:pPr>
        <w:pStyle w:val="NormalWeb"/>
        <w:numPr>
          <w:ilvl w:val="0"/>
          <w:numId w:val="14"/>
        </w:numPr>
        <w:spacing w:line="360" w:lineRule="auto"/>
        <w:rPr>
          <w:rFonts w:ascii="Arial" w:hAnsi="Arial" w:cs="Arial"/>
          <w:b/>
          <w:bCs/>
          <w:color w:val="000000"/>
          <w:sz w:val="28"/>
          <w:szCs w:val="28"/>
        </w:rPr>
      </w:pPr>
      <w:r w:rsidRPr="00065B25">
        <w:rPr>
          <w:rFonts w:ascii="Arial" w:hAnsi="Arial" w:cs="Arial"/>
          <w:b/>
          <w:bCs/>
          <w:color w:val="000000"/>
          <w:sz w:val="28"/>
          <w:szCs w:val="28"/>
        </w:rPr>
        <w:t xml:space="preserve">Explanation of the Early Help System </w:t>
      </w:r>
    </w:p>
    <w:p w14:paraId="40C88C27" w14:textId="19ADE209" w:rsidR="00065B25" w:rsidRPr="00065B25" w:rsidRDefault="00065B25" w:rsidP="00065B25">
      <w:pPr>
        <w:pStyle w:val="NormalWeb"/>
        <w:numPr>
          <w:ilvl w:val="0"/>
          <w:numId w:val="14"/>
        </w:numPr>
        <w:spacing w:line="360" w:lineRule="auto"/>
        <w:rPr>
          <w:rFonts w:ascii="Arial" w:hAnsi="Arial" w:cs="Arial"/>
          <w:b/>
          <w:bCs/>
          <w:color w:val="000000"/>
          <w:sz w:val="28"/>
          <w:szCs w:val="28"/>
        </w:rPr>
      </w:pPr>
      <w:r w:rsidRPr="00065B25">
        <w:rPr>
          <w:rFonts w:ascii="Arial" w:hAnsi="Arial" w:cs="Arial"/>
          <w:b/>
          <w:bCs/>
          <w:color w:val="000000"/>
          <w:sz w:val="28"/>
          <w:szCs w:val="28"/>
        </w:rPr>
        <w:t xml:space="preserve">Explanation of multi-agency working </w:t>
      </w:r>
    </w:p>
    <w:p w14:paraId="6D595CA6" w14:textId="77777777" w:rsidR="00065B25" w:rsidRPr="00065B25" w:rsidRDefault="00065B25" w:rsidP="00065B25">
      <w:pPr>
        <w:pStyle w:val="NormalWeb"/>
        <w:numPr>
          <w:ilvl w:val="0"/>
          <w:numId w:val="14"/>
        </w:numPr>
        <w:spacing w:line="360" w:lineRule="auto"/>
        <w:rPr>
          <w:rFonts w:ascii="Arial" w:hAnsi="Arial" w:cs="Arial"/>
          <w:b/>
          <w:bCs/>
          <w:color w:val="000000"/>
          <w:sz w:val="28"/>
          <w:szCs w:val="28"/>
        </w:rPr>
      </w:pPr>
      <w:r w:rsidRPr="00065B25">
        <w:rPr>
          <w:rFonts w:ascii="Arial" w:hAnsi="Arial" w:cs="Arial"/>
          <w:b/>
          <w:bCs/>
          <w:color w:val="000000"/>
          <w:sz w:val="28"/>
          <w:szCs w:val="28"/>
        </w:rPr>
        <w:t xml:space="preserve">An evaluation of each of your three local authority websites. </w:t>
      </w:r>
    </w:p>
    <w:p w14:paraId="606686B0" w14:textId="77777777" w:rsidR="00065B25" w:rsidRPr="00065B25" w:rsidRDefault="00065B25" w:rsidP="00065B25">
      <w:pPr>
        <w:pStyle w:val="NormalWeb"/>
        <w:numPr>
          <w:ilvl w:val="0"/>
          <w:numId w:val="14"/>
        </w:numPr>
        <w:spacing w:line="360" w:lineRule="auto"/>
        <w:rPr>
          <w:rFonts w:ascii="Arial" w:hAnsi="Arial" w:cs="Arial"/>
          <w:b/>
          <w:bCs/>
          <w:color w:val="000000"/>
          <w:sz w:val="28"/>
          <w:szCs w:val="28"/>
        </w:rPr>
      </w:pPr>
      <w:r w:rsidRPr="00065B25">
        <w:rPr>
          <w:rFonts w:ascii="Arial" w:hAnsi="Arial" w:cs="Arial"/>
          <w:b/>
          <w:bCs/>
          <w:color w:val="000000"/>
          <w:sz w:val="28"/>
          <w:szCs w:val="28"/>
        </w:rPr>
        <w:t xml:space="preserve">A comparative analysis of the main strengths and weakness of how the local authority websites communicate the Early Help and other support services available to families. </w:t>
      </w:r>
    </w:p>
    <w:p w14:paraId="3A94D737" w14:textId="3CF36495" w:rsidR="00D46920" w:rsidRPr="00065B25" w:rsidRDefault="00065B25" w:rsidP="00065B25">
      <w:pPr>
        <w:pStyle w:val="NormalWeb"/>
        <w:numPr>
          <w:ilvl w:val="0"/>
          <w:numId w:val="14"/>
        </w:numPr>
        <w:spacing w:line="360" w:lineRule="auto"/>
        <w:rPr>
          <w:rFonts w:ascii="Arial" w:hAnsi="Arial" w:cs="Arial"/>
          <w:b/>
          <w:bCs/>
          <w:color w:val="000000"/>
          <w:sz w:val="28"/>
          <w:szCs w:val="28"/>
        </w:rPr>
      </w:pPr>
      <w:r w:rsidRPr="00065B25">
        <w:rPr>
          <w:rFonts w:ascii="Arial" w:hAnsi="Arial" w:cs="Arial"/>
          <w:b/>
          <w:bCs/>
          <w:color w:val="000000"/>
          <w:sz w:val="28"/>
          <w:szCs w:val="28"/>
        </w:rPr>
        <w:t>Conclusion with recommendations for areas for improvement</w:t>
      </w:r>
    </w:p>
    <w:p w14:paraId="23E97EEA" w14:textId="77777777" w:rsidR="00D46920" w:rsidRDefault="00D46920" w:rsidP="005C28E8">
      <w:pPr>
        <w:spacing w:line="360" w:lineRule="auto"/>
        <w:rPr>
          <w:rFonts w:ascii="Times New Roman" w:hAnsi="Times New Roman"/>
          <w:b/>
          <w:bCs/>
          <w:sz w:val="32"/>
          <w:szCs w:val="32"/>
        </w:rPr>
      </w:pPr>
    </w:p>
    <w:p w14:paraId="2BB188C7" w14:textId="77777777" w:rsidR="00D46920" w:rsidRDefault="00D46920" w:rsidP="005C28E8">
      <w:pPr>
        <w:spacing w:line="360" w:lineRule="auto"/>
        <w:rPr>
          <w:rFonts w:ascii="Times New Roman" w:hAnsi="Times New Roman"/>
          <w:b/>
          <w:bCs/>
          <w:sz w:val="32"/>
          <w:szCs w:val="32"/>
        </w:rPr>
      </w:pPr>
    </w:p>
    <w:p w14:paraId="2703C696" w14:textId="77777777" w:rsidR="00065B25" w:rsidRDefault="00065B25" w:rsidP="005C28E8">
      <w:pPr>
        <w:spacing w:line="360" w:lineRule="auto"/>
        <w:rPr>
          <w:rFonts w:ascii="Times New Roman" w:hAnsi="Times New Roman"/>
          <w:b/>
          <w:bCs/>
          <w:sz w:val="32"/>
          <w:szCs w:val="32"/>
        </w:rPr>
      </w:pPr>
    </w:p>
    <w:p w14:paraId="5807A585" w14:textId="77777777" w:rsidR="00065B25" w:rsidRDefault="00065B25" w:rsidP="005C28E8">
      <w:pPr>
        <w:spacing w:line="360" w:lineRule="auto"/>
        <w:rPr>
          <w:rFonts w:ascii="Times New Roman" w:hAnsi="Times New Roman"/>
          <w:b/>
          <w:bCs/>
          <w:sz w:val="32"/>
          <w:szCs w:val="32"/>
        </w:rPr>
      </w:pPr>
    </w:p>
    <w:p w14:paraId="31C7C1D8" w14:textId="77777777" w:rsidR="00065B25" w:rsidRDefault="00065B25" w:rsidP="005C28E8">
      <w:pPr>
        <w:spacing w:line="360" w:lineRule="auto"/>
        <w:rPr>
          <w:rFonts w:ascii="Times New Roman" w:hAnsi="Times New Roman"/>
          <w:b/>
          <w:bCs/>
          <w:sz w:val="32"/>
          <w:szCs w:val="32"/>
        </w:rPr>
      </w:pPr>
    </w:p>
    <w:p w14:paraId="3A893EA7" w14:textId="77777777" w:rsidR="00065B25" w:rsidRDefault="00065B25" w:rsidP="005C28E8">
      <w:pPr>
        <w:spacing w:line="360" w:lineRule="auto"/>
        <w:rPr>
          <w:rFonts w:ascii="Times New Roman" w:hAnsi="Times New Roman"/>
          <w:b/>
          <w:bCs/>
          <w:sz w:val="32"/>
          <w:szCs w:val="32"/>
        </w:rPr>
      </w:pPr>
    </w:p>
    <w:p w14:paraId="23148A9B" w14:textId="77777777" w:rsidR="00065B25" w:rsidRDefault="00065B25" w:rsidP="005C28E8">
      <w:pPr>
        <w:spacing w:line="360" w:lineRule="auto"/>
        <w:rPr>
          <w:rFonts w:ascii="Times New Roman" w:hAnsi="Times New Roman"/>
          <w:b/>
          <w:bCs/>
          <w:sz w:val="32"/>
          <w:szCs w:val="32"/>
        </w:rPr>
      </w:pPr>
    </w:p>
    <w:p w14:paraId="7A0345AF" w14:textId="77777777" w:rsidR="00065B25" w:rsidRDefault="00065B25" w:rsidP="005C28E8">
      <w:pPr>
        <w:spacing w:line="360" w:lineRule="auto"/>
        <w:rPr>
          <w:rFonts w:ascii="Times New Roman" w:hAnsi="Times New Roman"/>
          <w:b/>
          <w:bCs/>
          <w:sz w:val="32"/>
          <w:szCs w:val="32"/>
        </w:rPr>
      </w:pPr>
    </w:p>
    <w:p w14:paraId="7CC441A4" w14:textId="77777777" w:rsidR="00065B25" w:rsidRDefault="00065B25" w:rsidP="005C28E8">
      <w:pPr>
        <w:spacing w:line="360" w:lineRule="auto"/>
        <w:rPr>
          <w:rFonts w:ascii="Times New Roman" w:hAnsi="Times New Roman"/>
          <w:b/>
          <w:bCs/>
          <w:sz w:val="32"/>
          <w:szCs w:val="32"/>
        </w:rPr>
      </w:pPr>
    </w:p>
    <w:p w14:paraId="61F13A45" w14:textId="77777777" w:rsidR="00065B25" w:rsidRDefault="00065B25" w:rsidP="005C28E8">
      <w:pPr>
        <w:spacing w:line="360" w:lineRule="auto"/>
        <w:rPr>
          <w:rFonts w:ascii="Times New Roman" w:hAnsi="Times New Roman"/>
          <w:b/>
          <w:bCs/>
          <w:sz w:val="32"/>
          <w:szCs w:val="32"/>
        </w:rPr>
      </w:pPr>
    </w:p>
    <w:p w14:paraId="57115E02" w14:textId="77777777" w:rsidR="00065B25" w:rsidRDefault="00065B25" w:rsidP="005C28E8">
      <w:pPr>
        <w:spacing w:line="360" w:lineRule="auto"/>
        <w:rPr>
          <w:rFonts w:ascii="Times New Roman" w:hAnsi="Times New Roman"/>
          <w:b/>
          <w:bCs/>
          <w:sz w:val="32"/>
          <w:szCs w:val="32"/>
        </w:rPr>
      </w:pPr>
    </w:p>
    <w:p w14:paraId="4F8F829B" w14:textId="77777777" w:rsidR="006369B9" w:rsidRDefault="006369B9" w:rsidP="005C28E8">
      <w:pPr>
        <w:spacing w:line="360" w:lineRule="auto"/>
        <w:rPr>
          <w:rFonts w:ascii="Arial" w:hAnsi="Arial" w:cs="Arial"/>
          <w:b/>
          <w:bCs/>
          <w:sz w:val="28"/>
          <w:szCs w:val="28"/>
        </w:rPr>
      </w:pPr>
    </w:p>
    <w:p w14:paraId="1AAAEB04" w14:textId="1185A820" w:rsidR="00065B25" w:rsidRDefault="00065B25" w:rsidP="005C28E8">
      <w:pPr>
        <w:spacing w:line="360" w:lineRule="auto"/>
        <w:rPr>
          <w:rFonts w:ascii="Arial" w:hAnsi="Arial" w:cs="Arial"/>
          <w:sz w:val="28"/>
          <w:szCs w:val="28"/>
        </w:rPr>
      </w:pPr>
      <w:r w:rsidRPr="00065B25">
        <w:rPr>
          <w:rFonts w:ascii="Arial" w:hAnsi="Arial" w:cs="Arial"/>
          <w:b/>
          <w:bCs/>
          <w:sz w:val="28"/>
          <w:szCs w:val="28"/>
        </w:rPr>
        <w:lastRenderedPageBreak/>
        <w:t>Introduction</w:t>
      </w:r>
      <w:r w:rsidRPr="00065B25">
        <w:rPr>
          <w:rFonts w:ascii="Arial" w:hAnsi="Arial" w:cs="Arial"/>
          <w:b/>
          <w:bCs/>
          <w:sz w:val="28"/>
          <w:szCs w:val="28"/>
        </w:rPr>
        <w:br/>
      </w:r>
      <w:r w:rsidRPr="00065B25">
        <w:rPr>
          <w:rFonts w:ascii="Arial" w:hAnsi="Arial" w:cs="Arial"/>
          <w:b/>
          <w:bCs/>
          <w:sz w:val="28"/>
          <w:szCs w:val="28"/>
        </w:rPr>
        <w:br/>
      </w:r>
      <w:r w:rsidRPr="00065B25">
        <w:rPr>
          <w:rFonts w:ascii="Arial" w:hAnsi="Arial" w:cs="Arial"/>
          <w:sz w:val="28"/>
          <w:szCs w:val="28"/>
        </w:rPr>
        <w:t>Early Help is central to contemporary safeguarding policy and practice in England. Rooted in a shift towards prevention and family-centred practice, Early Help encourages professionals to intervene as soon as problems are identified. Under legislation, local authorities must not only provide Early Help services but also signpost them to families. In practice, websites are increasingly becoming the first point of contact between families and services. As such, local authorities need to ensure that key information about Early Help is communicated clearly and effectively on their websites.</w:t>
      </w:r>
      <w:r w:rsidRPr="00065B25">
        <w:rPr>
          <w:rFonts w:ascii="Arial" w:hAnsi="Arial" w:cs="Arial"/>
          <w:sz w:val="28"/>
          <w:szCs w:val="28"/>
        </w:rPr>
        <w:br/>
      </w:r>
      <w:r w:rsidRPr="00065B25">
        <w:rPr>
          <w:rFonts w:ascii="Arial" w:hAnsi="Arial" w:cs="Arial"/>
          <w:sz w:val="28"/>
          <w:szCs w:val="28"/>
        </w:rPr>
        <w:br/>
        <w:t>The purpose of this essay is to critically evaluate how Early Help services are signposted and communicated by Leicestershire County Council, Norfolk County Council, and Staffordshire County Council. Focus will be given to how clearly information is presented on the website, whether it is easy to access and locate and how clearly it aligns to national guidance. Assessment will be made against key principles outlined in Early Help System Guide and Working Together to Safeguard Children 2023.</w:t>
      </w:r>
      <w:r w:rsidRPr="00065B25">
        <w:rPr>
          <w:rFonts w:ascii="Arial" w:hAnsi="Arial" w:cs="Arial"/>
          <w:sz w:val="28"/>
          <w:szCs w:val="28"/>
        </w:rPr>
        <w:br/>
      </w:r>
      <w:r w:rsidRPr="00065B25">
        <w:rPr>
          <w:rFonts w:ascii="Arial" w:hAnsi="Arial" w:cs="Arial"/>
          <w:sz w:val="28"/>
          <w:szCs w:val="28"/>
        </w:rPr>
        <w:br/>
        <w:t>The essay will analyse each website in turn before moving onto a comparative discussion. From this, recommendations will be made about how practice could be improved going forward.</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The Early Help System</w:t>
      </w:r>
      <w:r w:rsidRPr="00065B25">
        <w:rPr>
          <w:rFonts w:ascii="Arial" w:hAnsi="Arial" w:cs="Arial"/>
          <w:sz w:val="28"/>
          <w:szCs w:val="28"/>
        </w:rPr>
        <w:br/>
      </w:r>
      <w:r w:rsidRPr="00065B25">
        <w:rPr>
          <w:rFonts w:ascii="Arial" w:hAnsi="Arial" w:cs="Arial"/>
          <w:sz w:val="28"/>
          <w:szCs w:val="28"/>
        </w:rPr>
        <w:br/>
        <w:t xml:space="preserve">Early Help approaches are based around identifying and helping families as soon as issues are recognised. The intention is to minimise difficulties </w:t>
      </w:r>
      <w:r w:rsidRPr="00065B25">
        <w:rPr>
          <w:rFonts w:ascii="Arial" w:hAnsi="Arial" w:cs="Arial"/>
          <w:sz w:val="28"/>
          <w:szCs w:val="28"/>
        </w:rPr>
        <w:lastRenderedPageBreak/>
        <w:t>and prevent situations escalating to the point where statutory child protection involvement is needed. According to Early Help System Guide, Early Help is defined as: “Help with problems at any age. As soon as you become aware of a problem or issue, we encourage you to seek help” (Local Government Association [LGA], 2023, p. 1). This prevention focus is integral to Early Help and points towards a holistic approach to working with families.</w:t>
      </w:r>
      <w:r w:rsidRPr="00065B25">
        <w:rPr>
          <w:rFonts w:ascii="Arial" w:hAnsi="Arial" w:cs="Arial"/>
          <w:sz w:val="28"/>
          <w:szCs w:val="28"/>
        </w:rPr>
        <w:br/>
      </w:r>
      <w:r w:rsidRPr="00065B25">
        <w:rPr>
          <w:rFonts w:ascii="Arial" w:hAnsi="Arial" w:cs="Arial"/>
          <w:sz w:val="28"/>
          <w:szCs w:val="28"/>
        </w:rPr>
        <w:br/>
        <w:t>Working Together to Safeguard Children 2023 statutory guidance also emphasises the importance of Early Help. Guidance makes clear that Early Help sits within everyone’s responsibilities for safeguarding children. In theory, all agencies should identify developing needs and refer families for Early Help as necessary. Early Help is described as ‘intervention which falls between universal services and statutory social care’</w:t>
      </w:r>
      <w:r w:rsidRPr="00065B25">
        <w:rPr>
          <w:rFonts w:ascii="Arial" w:hAnsi="Arial" w:cs="Arial"/>
          <w:sz w:val="28"/>
          <w:szCs w:val="28"/>
        </w:rPr>
        <w:br/>
      </w:r>
      <w:r w:rsidRPr="00065B25">
        <w:rPr>
          <w:rFonts w:ascii="Arial" w:hAnsi="Arial" w:cs="Arial"/>
          <w:sz w:val="28"/>
          <w:szCs w:val="28"/>
        </w:rPr>
        <w:br/>
        <w:t>Central to Early Help is that it is voluntary and families do not have to accept support. Instead, practitioners must work with families in partnership to identify needs. There is a focus on relationship building and working in a strengths-based way with families.</w:t>
      </w:r>
      <w:r w:rsidRPr="00065B25">
        <w:rPr>
          <w:rFonts w:ascii="Arial" w:hAnsi="Arial" w:cs="Arial"/>
          <w:sz w:val="28"/>
          <w:szCs w:val="28"/>
        </w:rPr>
        <w:br/>
      </w:r>
      <w:r w:rsidRPr="00065B25">
        <w:rPr>
          <w:rFonts w:ascii="Arial" w:hAnsi="Arial" w:cs="Arial"/>
          <w:sz w:val="28"/>
          <w:szCs w:val="28"/>
        </w:rPr>
        <w:br/>
        <w:t>Signposting interventions can include a wide range of services including parenting programmes, mental health support or help at school. It can also involve practical support with problems such as housing or finances. Typically, several agencies work together to provide Early Help, based around an Early Help assessment and plan. This means interventions are coordinated around clearly defined outcomes.</w:t>
      </w:r>
      <w:r w:rsidRPr="00065B25">
        <w:rPr>
          <w:rFonts w:ascii="Arial" w:hAnsi="Arial" w:cs="Arial"/>
          <w:sz w:val="28"/>
          <w:szCs w:val="28"/>
        </w:rPr>
        <w:br/>
      </w:r>
      <w:r w:rsidRPr="00065B25">
        <w:rPr>
          <w:rFonts w:ascii="Arial" w:hAnsi="Arial" w:cs="Arial"/>
          <w:sz w:val="28"/>
          <w:szCs w:val="28"/>
        </w:rPr>
        <w:br/>
      </w:r>
    </w:p>
    <w:p w14:paraId="3EC06620" w14:textId="77777777" w:rsidR="00065B25" w:rsidRDefault="00065B25" w:rsidP="005C28E8">
      <w:pPr>
        <w:spacing w:line="360" w:lineRule="auto"/>
        <w:rPr>
          <w:rFonts w:ascii="Arial" w:hAnsi="Arial" w:cs="Arial"/>
          <w:sz w:val="28"/>
          <w:szCs w:val="28"/>
        </w:rPr>
      </w:pPr>
      <w:r w:rsidRPr="00065B25">
        <w:rPr>
          <w:rFonts w:ascii="Arial" w:hAnsi="Arial" w:cs="Arial"/>
          <w:b/>
          <w:bCs/>
          <w:sz w:val="28"/>
          <w:szCs w:val="28"/>
        </w:rPr>
        <w:lastRenderedPageBreak/>
        <w:t>Perspective</w:t>
      </w:r>
      <w:r w:rsidRPr="00065B25">
        <w:rPr>
          <w:rFonts w:ascii="Arial" w:hAnsi="Arial" w:cs="Arial"/>
          <w:sz w:val="28"/>
          <w:szCs w:val="28"/>
        </w:rPr>
        <w:br/>
      </w:r>
      <w:r w:rsidRPr="00065B25">
        <w:rPr>
          <w:rFonts w:ascii="Arial" w:hAnsi="Arial" w:cs="Arial"/>
          <w:sz w:val="28"/>
          <w:szCs w:val="28"/>
        </w:rPr>
        <w:br/>
        <w:t>It can be argued that the Early Help system is inherently difficult to communicate to families. While the premise of Early Help is straightforward, the system itself is complicated. It is not a ‘service’ that families will recognise easily. Instead, Early Help represents a range of different interventions and agencies working together.</w:t>
      </w:r>
      <w:r w:rsidRPr="00065B25">
        <w:rPr>
          <w:rFonts w:ascii="Arial" w:hAnsi="Arial" w:cs="Arial"/>
          <w:sz w:val="28"/>
          <w:szCs w:val="28"/>
        </w:rPr>
        <w:br/>
      </w:r>
      <w:r w:rsidRPr="00065B25">
        <w:rPr>
          <w:rFonts w:ascii="Arial" w:hAnsi="Arial" w:cs="Arial"/>
          <w:sz w:val="28"/>
          <w:szCs w:val="28"/>
        </w:rPr>
        <w:br/>
        <w:t>Communicating systems of support requires local authority websites to simplify and translate government policy. In the case of Early Help, this means explaining how universal services fit within prevention-based approaches to practice.</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Multi-Agency Working</w:t>
      </w:r>
      <w:r w:rsidRPr="00065B25">
        <w:rPr>
          <w:rFonts w:ascii="Arial" w:hAnsi="Arial" w:cs="Arial"/>
          <w:sz w:val="28"/>
          <w:szCs w:val="28"/>
        </w:rPr>
        <w:br/>
      </w:r>
      <w:r w:rsidRPr="00065B25">
        <w:rPr>
          <w:rFonts w:ascii="Arial" w:hAnsi="Arial" w:cs="Arial"/>
          <w:sz w:val="28"/>
          <w:szCs w:val="28"/>
        </w:rPr>
        <w:br/>
        <w:t>Multi-agency working is an essential component of the Early Help system. It involves practitioners from different professional backgrounds working together with children and families. This may include education, health, social care, housing or the voluntary sector. According to Working Together to Safeguard Children 2023, safeguarding is everybody’s responsibility and professionals must work together to achieve the best outcomes.</w:t>
      </w:r>
      <w:r w:rsidRPr="00065B25">
        <w:rPr>
          <w:rFonts w:ascii="Arial" w:hAnsi="Arial" w:cs="Arial"/>
          <w:sz w:val="28"/>
          <w:szCs w:val="28"/>
        </w:rPr>
        <w:br/>
      </w:r>
      <w:r w:rsidRPr="00065B25">
        <w:rPr>
          <w:rFonts w:ascii="Arial" w:hAnsi="Arial" w:cs="Arial"/>
          <w:sz w:val="28"/>
          <w:szCs w:val="28"/>
        </w:rPr>
        <w:br/>
        <w:t>In practical terms, multi-agency working may be necessary where a child’s needs cut across professional boundaries. For example, if a child is struggling at school this may be linked to a parent’s mental health or poverty. Helping the child may involve input from educational support, social workers and mental health professionals.</w:t>
      </w:r>
      <w:r w:rsidRPr="00065B25">
        <w:rPr>
          <w:rFonts w:ascii="Arial" w:hAnsi="Arial" w:cs="Arial"/>
          <w:sz w:val="28"/>
          <w:szCs w:val="28"/>
        </w:rPr>
        <w:br/>
      </w:r>
      <w:r w:rsidRPr="00065B25">
        <w:rPr>
          <w:rFonts w:ascii="Arial" w:hAnsi="Arial" w:cs="Arial"/>
          <w:sz w:val="28"/>
          <w:szCs w:val="28"/>
        </w:rPr>
        <w:br/>
      </w:r>
      <w:r w:rsidRPr="00065B25">
        <w:rPr>
          <w:rFonts w:ascii="Arial" w:hAnsi="Arial" w:cs="Arial"/>
          <w:sz w:val="28"/>
          <w:szCs w:val="28"/>
        </w:rPr>
        <w:lastRenderedPageBreak/>
        <w:t>Working together can take many forms, including sharing information, undertaking assessments or joint planning. Each of these methods aim to give professionals a clearer understanding of the family’s needs. Early Help assessments and co-ordinated plans are a means by which multi-agency working occurs.</w:t>
      </w:r>
      <w:r w:rsidRPr="00065B25">
        <w:rPr>
          <w:rFonts w:ascii="Arial" w:hAnsi="Arial" w:cs="Arial"/>
          <w:sz w:val="28"/>
          <w:szCs w:val="28"/>
        </w:rPr>
        <w:br/>
      </w:r>
      <w:r w:rsidRPr="00065B25">
        <w:rPr>
          <w:rFonts w:ascii="Arial" w:hAnsi="Arial" w:cs="Arial"/>
          <w:sz w:val="28"/>
          <w:szCs w:val="28"/>
        </w:rPr>
        <w:br/>
        <w:t>Importantly, clear communication is required both between professionals, but also with families. Websites need to explain how different professionals and services work together to provide support to families. Failing to do so will only lead to confusion and the undermining of engagement.</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Perspective</w:t>
      </w:r>
      <w:r w:rsidRPr="00065B25">
        <w:rPr>
          <w:rFonts w:ascii="Arial" w:hAnsi="Arial" w:cs="Arial"/>
          <w:sz w:val="28"/>
          <w:szCs w:val="28"/>
        </w:rPr>
        <w:br/>
      </w:r>
      <w:r w:rsidRPr="00065B25">
        <w:rPr>
          <w:rFonts w:ascii="Arial" w:hAnsi="Arial" w:cs="Arial"/>
          <w:sz w:val="28"/>
          <w:szCs w:val="28"/>
        </w:rPr>
        <w:br/>
        <w:t>One problem with multi-agency working is the inherent difficulty in explaining it on a website. While the concept can easily be understood by professionals, this will not be the case for families. Websites need to strike a careful balance between providing enough information and over complicating services.</w:t>
      </w:r>
      <w:r w:rsidRPr="00065B25">
        <w:rPr>
          <w:rFonts w:ascii="Arial" w:hAnsi="Arial" w:cs="Arial"/>
          <w:sz w:val="28"/>
          <w:szCs w:val="28"/>
        </w:rPr>
        <w:br/>
      </w:r>
      <w:r w:rsidRPr="00065B25">
        <w:rPr>
          <w:rFonts w:ascii="Arial" w:hAnsi="Arial" w:cs="Arial"/>
          <w:sz w:val="28"/>
          <w:szCs w:val="28"/>
        </w:rPr>
        <w:br/>
        <w:t>Websites must clearly communicate the concept of multi-agency working but in a way that is accessible. Families need to be aware that professionals work together to coordinate support.</w:t>
      </w:r>
      <w:r w:rsidRPr="00065B25">
        <w:rPr>
          <w:rFonts w:ascii="Arial" w:hAnsi="Arial" w:cs="Arial"/>
          <w:sz w:val="28"/>
          <w:szCs w:val="28"/>
        </w:rPr>
        <w:br/>
      </w:r>
    </w:p>
    <w:p w14:paraId="78F392F1" w14:textId="77777777" w:rsidR="00065B25" w:rsidRDefault="00065B25" w:rsidP="005C28E8">
      <w:pPr>
        <w:spacing w:line="360" w:lineRule="auto"/>
        <w:rPr>
          <w:rFonts w:ascii="Arial" w:hAnsi="Arial" w:cs="Arial"/>
          <w:sz w:val="28"/>
          <w:szCs w:val="28"/>
        </w:rPr>
      </w:pPr>
    </w:p>
    <w:p w14:paraId="7F5F5CF5" w14:textId="77777777" w:rsidR="00065B25" w:rsidRDefault="00065B25" w:rsidP="005C28E8">
      <w:pPr>
        <w:spacing w:line="360" w:lineRule="auto"/>
        <w:rPr>
          <w:rFonts w:ascii="Arial" w:hAnsi="Arial" w:cs="Arial"/>
          <w:sz w:val="28"/>
          <w:szCs w:val="28"/>
        </w:rPr>
      </w:pPr>
    </w:p>
    <w:p w14:paraId="34599F8E" w14:textId="40DBE028" w:rsidR="00065B25" w:rsidRPr="00065B25" w:rsidRDefault="00065B25" w:rsidP="005C28E8">
      <w:pPr>
        <w:spacing w:line="360" w:lineRule="auto"/>
        <w:rPr>
          <w:rFonts w:ascii="Arial" w:hAnsi="Arial" w:cs="Arial"/>
          <w:sz w:val="28"/>
          <w:szCs w:val="28"/>
        </w:rPr>
      </w:pP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lastRenderedPageBreak/>
        <w:t>Leicestershire County Council</w:t>
      </w:r>
      <w:r w:rsidRPr="00065B25">
        <w:rPr>
          <w:rFonts w:ascii="Arial" w:hAnsi="Arial" w:cs="Arial"/>
          <w:sz w:val="28"/>
          <w:szCs w:val="28"/>
        </w:rPr>
        <w:br/>
      </w:r>
      <w:r w:rsidRPr="00065B25">
        <w:rPr>
          <w:rFonts w:ascii="Arial" w:hAnsi="Arial" w:cs="Arial"/>
          <w:sz w:val="28"/>
          <w:szCs w:val="28"/>
        </w:rPr>
        <w:br/>
        <w:t>The website presents Early Help as part of a series of family support services. Services are split into categories including Parenting Support, Children’s Centres and Targeted Services.</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Strengths</w:t>
      </w:r>
      <w:r w:rsidRPr="00065B25">
        <w:rPr>
          <w:rFonts w:ascii="Arial" w:hAnsi="Arial" w:cs="Arial"/>
          <w:sz w:val="28"/>
          <w:szCs w:val="28"/>
        </w:rPr>
        <w:br/>
      </w:r>
      <w:r w:rsidRPr="00065B25">
        <w:rPr>
          <w:rFonts w:ascii="Arial" w:hAnsi="Arial" w:cs="Arial"/>
          <w:sz w:val="28"/>
          <w:szCs w:val="28"/>
        </w:rPr>
        <w:br/>
        <w:t>The website gives clear information about all services available. It also provides information about how families can access support. Contact details and process information is provided.</w:t>
      </w:r>
      <w:r w:rsidRPr="00065B25">
        <w:rPr>
          <w:rFonts w:ascii="Arial" w:hAnsi="Arial" w:cs="Arial"/>
          <w:sz w:val="28"/>
          <w:szCs w:val="28"/>
        </w:rPr>
        <w:br/>
      </w:r>
      <w:r w:rsidRPr="00065B25">
        <w:rPr>
          <w:rFonts w:ascii="Arial" w:hAnsi="Arial" w:cs="Arial"/>
          <w:sz w:val="28"/>
          <w:szCs w:val="28"/>
        </w:rPr>
        <w:br/>
        <w:t>I feel that the website closely reflects national guidance and clearly promotes early intervention and multi-agency working.</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Weaknesses</w:t>
      </w:r>
      <w:r w:rsidRPr="00065B25">
        <w:rPr>
          <w:rFonts w:ascii="Arial" w:hAnsi="Arial" w:cs="Arial"/>
          <w:sz w:val="28"/>
          <w:szCs w:val="28"/>
        </w:rPr>
        <w:br/>
      </w:r>
      <w:r w:rsidRPr="00065B25">
        <w:rPr>
          <w:rFonts w:ascii="Arial" w:hAnsi="Arial" w:cs="Arial"/>
          <w:sz w:val="28"/>
          <w:szCs w:val="28"/>
        </w:rPr>
        <w:br/>
        <w:t>The site can be difficult to navigate and one may have to visit several pages to find the relevant information. Also, some language may be difficult for parents to understand.</w:t>
      </w:r>
      <w:r w:rsidRPr="00065B25">
        <w:rPr>
          <w:rFonts w:ascii="Arial" w:hAnsi="Arial" w:cs="Arial"/>
          <w:sz w:val="28"/>
          <w:szCs w:val="28"/>
        </w:rPr>
        <w:br/>
      </w:r>
      <w:r w:rsidRPr="00065B25">
        <w:rPr>
          <w:rFonts w:ascii="Arial" w:hAnsi="Arial" w:cs="Arial"/>
          <w:sz w:val="28"/>
          <w:szCs w:val="28"/>
        </w:rPr>
        <w:br/>
        <w:t>Information is presented in text format with limited visual engagement.</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Norfolk County Council</w:t>
      </w:r>
      <w:r w:rsidRPr="00065B25">
        <w:rPr>
          <w:rFonts w:ascii="Arial" w:hAnsi="Arial" w:cs="Arial"/>
          <w:sz w:val="28"/>
          <w:szCs w:val="28"/>
        </w:rPr>
        <w:br/>
      </w:r>
      <w:r w:rsidRPr="00065B25">
        <w:rPr>
          <w:rFonts w:ascii="Arial" w:hAnsi="Arial" w:cs="Arial"/>
          <w:sz w:val="28"/>
          <w:szCs w:val="28"/>
        </w:rPr>
        <w:br/>
        <w:t>In contrast to Leicestershire, Norfolk embeds Early Help within a broader ‘Help for families’ service. As such, the website is more distinctly focused around the user experience.</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lastRenderedPageBreak/>
        <w:t>Strengths</w:t>
      </w:r>
      <w:r w:rsidRPr="00065B25">
        <w:rPr>
          <w:rFonts w:ascii="Arial" w:hAnsi="Arial" w:cs="Arial"/>
          <w:sz w:val="28"/>
          <w:szCs w:val="28"/>
        </w:rPr>
        <w:br/>
      </w:r>
      <w:r w:rsidRPr="00065B25">
        <w:rPr>
          <w:rFonts w:ascii="Arial" w:hAnsi="Arial" w:cs="Arial"/>
          <w:sz w:val="28"/>
          <w:szCs w:val="28"/>
        </w:rPr>
        <w:br/>
        <w:t>Information is clearly laid out on the website and written in plain English. This means that anyone can understand what support is available. Norfolk also group information into themes which makes the website easier to navigate.</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Weaknesses</w:t>
      </w:r>
      <w:r w:rsidRPr="00065B25">
        <w:rPr>
          <w:rFonts w:ascii="Arial" w:hAnsi="Arial" w:cs="Arial"/>
          <w:sz w:val="28"/>
          <w:szCs w:val="28"/>
        </w:rPr>
        <w:br/>
      </w:r>
      <w:r w:rsidRPr="00065B25">
        <w:rPr>
          <w:rFonts w:ascii="Arial" w:hAnsi="Arial" w:cs="Arial"/>
          <w:sz w:val="28"/>
          <w:szCs w:val="28"/>
        </w:rPr>
        <w:br/>
        <w:t>While the website simplifies some information, Early Help is not signposted as its own service. Families will not have a good understanding of how the system works including Early Help assessments.</w:t>
      </w:r>
      <w:r w:rsidRPr="00065B25">
        <w:rPr>
          <w:rFonts w:ascii="Arial" w:hAnsi="Arial" w:cs="Arial"/>
          <w:sz w:val="28"/>
          <w:szCs w:val="28"/>
        </w:rPr>
        <w:br/>
      </w:r>
      <w:r w:rsidRPr="00065B25">
        <w:rPr>
          <w:rFonts w:ascii="Arial" w:hAnsi="Arial" w:cs="Arial"/>
          <w:sz w:val="28"/>
          <w:szCs w:val="28"/>
        </w:rPr>
        <w:br/>
        <w:t>However, Norfolk effectively simplify their service which helps to promote accessibility.</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Staffordshire County Council</w:t>
      </w:r>
      <w:r w:rsidRPr="00065B25">
        <w:rPr>
          <w:rFonts w:ascii="Arial" w:hAnsi="Arial" w:cs="Arial"/>
          <w:sz w:val="28"/>
          <w:szCs w:val="28"/>
        </w:rPr>
        <w:br/>
      </w:r>
      <w:r w:rsidRPr="00065B25">
        <w:rPr>
          <w:rFonts w:ascii="Arial" w:hAnsi="Arial" w:cs="Arial"/>
          <w:sz w:val="28"/>
          <w:szCs w:val="28"/>
        </w:rPr>
        <w:br/>
        <w:t>Staffordshire provide comprehensive information about Early Help services on their website. Information focusses heavily on processes and multi-agency working.</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Strengths</w:t>
      </w:r>
      <w:r w:rsidRPr="00065B25">
        <w:rPr>
          <w:rFonts w:ascii="Arial" w:hAnsi="Arial" w:cs="Arial"/>
          <w:sz w:val="28"/>
          <w:szCs w:val="28"/>
        </w:rPr>
        <w:br/>
      </w:r>
      <w:r w:rsidRPr="00065B25">
        <w:rPr>
          <w:rFonts w:ascii="Arial" w:hAnsi="Arial" w:cs="Arial"/>
          <w:sz w:val="28"/>
          <w:szCs w:val="28"/>
        </w:rPr>
        <w:br/>
        <w:t>As with Norfolk, information is laid out clearly on the website. Details about thresholds, referral processes and which agencies are involved are well explained.</w:t>
      </w:r>
      <w:r w:rsidRPr="00065B25">
        <w:rPr>
          <w:rFonts w:ascii="Arial" w:hAnsi="Arial" w:cs="Arial"/>
          <w:sz w:val="28"/>
          <w:szCs w:val="28"/>
        </w:rPr>
        <w:br/>
      </w:r>
      <w:r w:rsidRPr="00065B25">
        <w:rPr>
          <w:rFonts w:ascii="Arial" w:hAnsi="Arial" w:cs="Arial"/>
          <w:sz w:val="28"/>
          <w:szCs w:val="28"/>
        </w:rPr>
        <w:br/>
      </w:r>
      <w:r w:rsidRPr="00065B25">
        <w:rPr>
          <w:rFonts w:ascii="Arial" w:hAnsi="Arial" w:cs="Arial"/>
          <w:sz w:val="28"/>
          <w:szCs w:val="28"/>
        </w:rPr>
        <w:lastRenderedPageBreak/>
        <w:t>The website also explicitly mentions multi-agency working and provides details about how professionals work together.</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Weaknesses</w:t>
      </w:r>
      <w:r w:rsidRPr="00065B25">
        <w:rPr>
          <w:rFonts w:ascii="Arial" w:hAnsi="Arial" w:cs="Arial"/>
          <w:sz w:val="28"/>
          <w:szCs w:val="28"/>
        </w:rPr>
        <w:br/>
      </w:r>
      <w:r w:rsidRPr="00065B25">
        <w:rPr>
          <w:rFonts w:ascii="Arial" w:hAnsi="Arial" w:cs="Arial"/>
          <w:sz w:val="28"/>
          <w:szCs w:val="28"/>
        </w:rPr>
        <w:br/>
        <w:t>Language used on the website can be quite technical which may put some people off. Overall, the website is quite cluttered and difficult to navigate.</w:t>
      </w:r>
      <w:r w:rsidRPr="00065B25">
        <w:rPr>
          <w:rFonts w:ascii="Arial" w:hAnsi="Arial" w:cs="Arial"/>
          <w:sz w:val="28"/>
          <w:szCs w:val="28"/>
        </w:rPr>
        <w:br/>
      </w:r>
      <w:r w:rsidRPr="00065B25">
        <w:rPr>
          <w:rFonts w:ascii="Arial" w:hAnsi="Arial" w:cs="Arial"/>
          <w:sz w:val="28"/>
          <w:szCs w:val="28"/>
        </w:rPr>
        <w:br/>
        <w:t>Visual presentation of information could also be improved.</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Perspective</w:t>
      </w:r>
      <w:r w:rsidRPr="00065B25">
        <w:rPr>
          <w:rFonts w:ascii="Arial" w:hAnsi="Arial" w:cs="Arial"/>
          <w:sz w:val="28"/>
          <w:szCs w:val="28"/>
        </w:rPr>
        <w:br/>
      </w:r>
      <w:r w:rsidRPr="00065B25">
        <w:rPr>
          <w:rFonts w:ascii="Arial" w:hAnsi="Arial" w:cs="Arial"/>
          <w:sz w:val="28"/>
          <w:szCs w:val="28"/>
        </w:rPr>
        <w:br/>
        <w:t>The website from Staffordshire gives plenty of detail for professionals. However, it may be inaccessible for some members of the public. As such, the website does not simplify services enough.</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Comparative Analysis</w:t>
      </w:r>
      <w:r w:rsidRPr="00065B25">
        <w:rPr>
          <w:rFonts w:ascii="Arial" w:hAnsi="Arial" w:cs="Arial"/>
          <w:sz w:val="28"/>
          <w:szCs w:val="28"/>
        </w:rPr>
        <w:br/>
      </w:r>
      <w:r w:rsidRPr="00065B25">
        <w:rPr>
          <w:rFonts w:ascii="Arial" w:hAnsi="Arial" w:cs="Arial"/>
          <w:sz w:val="28"/>
          <w:szCs w:val="28"/>
        </w:rPr>
        <w:br/>
        <w:t>All three websites take different approaches to communicating Early Help services. Norfolk appear to place the greatest emphasis on user engagement and accessibility. Staffordshire do the opposite and include lots of detail about services. Lastly, Leicestershire take a more generalized approach but do not have many defining features.</w:t>
      </w:r>
      <w:r w:rsidRPr="00065B25">
        <w:rPr>
          <w:rFonts w:ascii="Arial" w:hAnsi="Arial" w:cs="Arial"/>
          <w:sz w:val="28"/>
          <w:szCs w:val="28"/>
        </w:rPr>
        <w:br/>
      </w:r>
      <w:r w:rsidRPr="00065B25">
        <w:rPr>
          <w:rFonts w:ascii="Arial" w:hAnsi="Arial" w:cs="Arial"/>
          <w:sz w:val="28"/>
          <w:szCs w:val="28"/>
        </w:rPr>
        <w:br/>
        <w:t>Fundamentally, there is a balance to be struck between accessibility and providing enough information. Norfolk is extremely accessible but some details are lost. However, while Staffordshire provide lots of information, the site is not very accessible.</w:t>
      </w:r>
      <w:r w:rsidRPr="00065B25">
        <w:rPr>
          <w:rFonts w:ascii="Arial" w:hAnsi="Arial" w:cs="Arial"/>
          <w:sz w:val="28"/>
          <w:szCs w:val="28"/>
        </w:rPr>
        <w:br/>
      </w:r>
      <w:r w:rsidRPr="00065B25">
        <w:rPr>
          <w:rFonts w:ascii="Arial" w:hAnsi="Arial" w:cs="Arial"/>
          <w:sz w:val="28"/>
          <w:szCs w:val="28"/>
        </w:rPr>
        <w:lastRenderedPageBreak/>
        <w:br/>
      </w:r>
      <w:r w:rsidRPr="00065B25">
        <w:rPr>
          <w:rFonts w:ascii="Arial" w:hAnsi="Arial" w:cs="Arial"/>
          <w:b/>
          <w:bCs/>
          <w:sz w:val="28"/>
          <w:szCs w:val="28"/>
        </w:rPr>
        <w:t>Conclusion and Recommendations</w:t>
      </w:r>
      <w:r w:rsidRPr="00065B25">
        <w:rPr>
          <w:rFonts w:ascii="Arial" w:hAnsi="Arial" w:cs="Arial"/>
          <w:b/>
          <w:bCs/>
          <w:sz w:val="28"/>
          <w:szCs w:val="28"/>
        </w:rPr>
        <w:br/>
      </w:r>
      <w:r w:rsidRPr="00065B25">
        <w:rPr>
          <w:rFonts w:ascii="Arial" w:hAnsi="Arial" w:cs="Arial"/>
          <w:sz w:val="28"/>
          <w:szCs w:val="28"/>
        </w:rPr>
        <w:br/>
        <w:t>On balance, Norfolk provided the best website due to how accessible the service was. </w:t>
      </w:r>
      <w:proofErr w:type="spellStart"/>
      <w:r w:rsidRPr="00065B25">
        <w:rPr>
          <w:rFonts w:ascii="Arial" w:hAnsi="Arial" w:cs="Arial"/>
          <w:sz w:val="28"/>
          <w:szCs w:val="28"/>
        </w:rPr>
        <w:t>Staffsordshire</w:t>
      </w:r>
      <w:proofErr w:type="spellEnd"/>
      <w:r w:rsidRPr="00065B25">
        <w:rPr>
          <w:rFonts w:ascii="Arial" w:hAnsi="Arial" w:cs="Arial"/>
          <w:sz w:val="28"/>
          <w:szCs w:val="28"/>
        </w:rPr>
        <w:t xml:space="preserve"> had the most information but it could do more to improve accessibility. Likewise, Leicestershire should make improvements but their site was also relatively accessible. Norfolk could improve by providing more information about Early Help including the assessment process.</w:t>
      </w:r>
      <w:r w:rsidRPr="00065B25">
        <w:rPr>
          <w:rFonts w:ascii="Arial" w:hAnsi="Arial" w:cs="Arial"/>
          <w:sz w:val="28"/>
          <w:szCs w:val="28"/>
        </w:rPr>
        <w:br/>
      </w:r>
      <w:r w:rsidRPr="00065B25">
        <w:rPr>
          <w:rFonts w:ascii="Arial" w:hAnsi="Arial" w:cs="Arial"/>
          <w:sz w:val="28"/>
          <w:szCs w:val="28"/>
        </w:rPr>
        <w:br/>
        <w:t>Local authorities should take a more user-centred approach by focussing on making websites accessible. This can be done by using plain English, providing clear navigation and including visual information. Websites should explicitly explain multi-agency working and include step-by-step guides to receiving support.</w:t>
      </w:r>
      <w:r w:rsidRPr="00065B25">
        <w:rPr>
          <w:rFonts w:ascii="Arial" w:hAnsi="Arial" w:cs="Arial"/>
          <w:sz w:val="28"/>
          <w:szCs w:val="28"/>
        </w:rPr>
        <w:br/>
      </w:r>
      <w:r w:rsidRPr="00065B25">
        <w:rPr>
          <w:rFonts w:ascii="Arial" w:hAnsi="Arial" w:cs="Arial"/>
          <w:sz w:val="28"/>
          <w:szCs w:val="28"/>
        </w:rPr>
        <w:br/>
      </w:r>
      <w:r w:rsidRPr="00065B25">
        <w:rPr>
          <w:rFonts w:ascii="Arial" w:hAnsi="Arial" w:cs="Arial"/>
          <w:b/>
          <w:bCs/>
          <w:sz w:val="28"/>
          <w:szCs w:val="28"/>
        </w:rPr>
        <w:t>Final Reflection</w:t>
      </w:r>
      <w:r w:rsidRPr="00065B25">
        <w:rPr>
          <w:rFonts w:ascii="Arial" w:hAnsi="Arial" w:cs="Arial"/>
          <w:sz w:val="28"/>
          <w:szCs w:val="28"/>
        </w:rPr>
        <w:br/>
      </w:r>
      <w:r w:rsidRPr="00065B25">
        <w:rPr>
          <w:rFonts w:ascii="Arial" w:hAnsi="Arial" w:cs="Arial"/>
          <w:sz w:val="28"/>
          <w:szCs w:val="28"/>
        </w:rPr>
        <w:br/>
        <w:t>The accessibility of Early Help systems depends on how it is communicated to families. Websites are critical in ensuring families are aware of support services and know how to receive help. By aligning with national guidance and thinking from a user perspective, local authorities can improve accessibility of their websites.</w:t>
      </w:r>
    </w:p>
    <w:p w14:paraId="23C4321B" w14:textId="77777777" w:rsidR="00D46920" w:rsidRPr="00065B25" w:rsidRDefault="00D46920" w:rsidP="005C28E8">
      <w:pPr>
        <w:spacing w:line="360" w:lineRule="auto"/>
        <w:rPr>
          <w:rFonts w:ascii="Arial" w:hAnsi="Arial" w:cs="Arial"/>
          <w:sz w:val="28"/>
          <w:szCs w:val="28"/>
        </w:rPr>
      </w:pPr>
    </w:p>
    <w:p w14:paraId="2DFFC7B2" w14:textId="77777777" w:rsidR="00D46920" w:rsidRPr="00065B25" w:rsidRDefault="00D46920" w:rsidP="005C28E8">
      <w:pPr>
        <w:spacing w:line="360" w:lineRule="auto"/>
        <w:rPr>
          <w:rFonts w:ascii="Arial" w:hAnsi="Arial" w:cs="Arial"/>
          <w:sz w:val="28"/>
          <w:szCs w:val="28"/>
        </w:rPr>
      </w:pPr>
    </w:p>
    <w:p w14:paraId="3EC5A596" w14:textId="77777777" w:rsidR="00D46920" w:rsidRPr="00065B25" w:rsidRDefault="00D46920" w:rsidP="005C28E8">
      <w:pPr>
        <w:spacing w:line="360" w:lineRule="auto"/>
        <w:rPr>
          <w:rFonts w:ascii="Arial" w:hAnsi="Arial" w:cs="Arial"/>
          <w:sz w:val="28"/>
          <w:szCs w:val="28"/>
        </w:rPr>
      </w:pPr>
    </w:p>
    <w:p w14:paraId="01DFDCA7" w14:textId="77777777" w:rsidR="00D46920" w:rsidRPr="00065B25" w:rsidRDefault="00D46920" w:rsidP="005C28E8">
      <w:pPr>
        <w:spacing w:line="360" w:lineRule="auto"/>
        <w:rPr>
          <w:rFonts w:ascii="Arial" w:hAnsi="Arial" w:cs="Arial"/>
          <w:sz w:val="28"/>
          <w:szCs w:val="28"/>
        </w:rPr>
      </w:pPr>
    </w:p>
    <w:p w14:paraId="747B80A3" w14:textId="77777777" w:rsidR="00D46920" w:rsidRPr="00065B25" w:rsidRDefault="00D46920" w:rsidP="005C28E8">
      <w:pPr>
        <w:spacing w:line="360" w:lineRule="auto"/>
        <w:rPr>
          <w:rFonts w:ascii="Arial" w:hAnsi="Arial" w:cs="Arial"/>
          <w:sz w:val="28"/>
          <w:szCs w:val="28"/>
        </w:rPr>
      </w:pPr>
    </w:p>
    <w:p w14:paraId="362995B3" w14:textId="445152EB" w:rsidR="002F4606" w:rsidRPr="00065B25" w:rsidRDefault="002F4606" w:rsidP="005C28E8">
      <w:pPr>
        <w:spacing w:line="360" w:lineRule="auto"/>
        <w:rPr>
          <w:rFonts w:ascii="Arial" w:hAnsi="Arial" w:cs="Arial"/>
          <w:sz w:val="28"/>
          <w:szCs w:val="28"/>
        </w:rPr>
      </w:pPr>
    </w:p>
    <w:sectPr w:rsidR="002F4606" w:rsidRPr="00065B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egoe UI">
    <w:panose1 w:val="020B0502040204020203"/>
    <w:charset w:val="00"/>
    <w:family w:val="swiss"/>
    <w:pitch w:val="variable"/>
    <w:sig w:usb0="E4002EFF" w:usb1="C000E47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335EAF"/>
    <w:multiLevelType w:val="hybridMultilevel"/>
    <w:tmpl w:val="75605F9C"/>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E0968"/>
    <w:multiLevelType w:val="multilevel"/>
    <w:tmpl w:val="E4820C7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ascii="Times New Roman" w:eastAsia="Times New Roman" w:hAnsi="Times New Roman" w:cs="Times New Roman"/>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F00C58"/>
    <w:multiLevelType w:val="multilevel"/>
    <w:tmpl w:val="A086BA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F55746"/>
    <w:multiLevelType w:val="hybridMultilevel"/>
    <w:tmpl w:val="C4684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C354B9"/>
    <w:multiLevelType w:val="hybridMultilevel"/>
    <w:tmpl w:val="B05079CA"/>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5427507"/>
    <w:multiLevelType w:val="hybridMultilevel"/>
    <w:tmpl w:val="A252A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080395"/>
    <w:multiLevelType w:val="hybridMultilevel"/>
    <w:tmpl w:val="55784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6244B2C"/>
    <w:multiLevelType w:val="hybridMultilevel"/>
    <w:tmpl w:val="1E46D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E51AB7"/>
    <w:multiLevelType w:val="hybridMultilevel"/>
    <w:tmpl w:val="476E9F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313A6A"/>
    <w:multiLevelType w:val="hybridMultilevel"/>
    <w:tmpl w:val="4F40D17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F6AF8"/>
    <w:multiLevelType w:val="hybridMultilevel"/>
    <w:tmpl w:val="143697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5D016C"/>
    <w:multiLevelType w:val="hybridMultilevel"/>
    <w:tmpl w:val="8BA48804"/>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5BD1935"/>
    <w:multiLevelType w:val="hybridMultilevel"/>
    <w:tmpl w:val="965A9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6E7580C"/>
    <w:multiLevelType w:val="hybridMultilevel"/>
    <w:tmpl w:val="898887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F15123"/>
    <w:multiLevelType w:val="hybridMultilevel"/>
    <w:tmpl w:val="047679A6"/>
    <w:lvl w:ilvl="0" w:tplc="824655D6">
      <w:start w:val="1"/>
      <w:numFmt w:val="bullet"/>
      <w:lvlText w:val="-"/>
      <w:lvlJc w:val="left"/>
      <w:pPr>
        <w:ind w:left="720" w:hanging="360"/>
      </w:pPr>
      <w:rPr>
        <w:rFonts w:ascii="Segoe UI" w:eastAsia="Times New Roman" w:hAnsi="Segoe UI" w:cs="Segoe U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8783713">
    <w:abstractNumId w:val="9"/>
  </w:num>
  <w:num w:numId="2" w16cid:durableId="1622766073">
    <w:abstractNumId w:val="4"/>
  </w:num>
  <w:num w:numId="3" w16cid:durableId="521866105">
    <w:abstractNumId w:val="0"/>
  </w:num>
  <w:num w:numId="4" w16cid:durableId="1518612884">
    <w:abstractNumId w:val="11"/>
  </w:num>
  <w:num w:numId="5" w16cid:durableId="1113476408">
    <w:abstractNumId w:val="14"/>
  </w:num>
  <w:num w:numId="6" w16cid:durableId="2142140862">
    <w:abstractNumId w:val="13"/>
  </w:num>
  <w:num w:numId="7" w16cid:durableId="2060398449">
    <w:abstractNumId w:val="1"/>
  </w:num>
  <w:num w:numId="8" w16cid:durableId="1191258451">
    <w:abstractNumId w:val="3"/>
  </w:num>
  <w:num w:numId="9" w16cid:durableId="1457792697">
    <w:abstractNumId w:val="10"/>
  </w:num>
  <w:num w:numId="10" w16cid:durableId="78447588">
    <w:abstractNumId w:val="12"/>
  </w:num>
  <w:num w:numId="11" w16cid:durableId="1342471444">
    <w:abstractNumId w:val="6"/>
  </w:num>
  <w:num w:numId="12" w16cid:durableId="521866661">
    <w:abstractNumId w:val="8"/>
  </w:num>
  <w:num w:numId="13" w16cid:durableId="228422474">
    <w:abstractNumId w:val="5"/>
  </w:num>
  <w:num w:numId="14" w16cid:durableId="523327094">
    <w:abstractNumId w:val="7"/>
  </w:num>
  <w:num w:numId="15" w16cid:durableId="5717398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4199"/>
    <w:rsid w:val="00032EFE"/>
    <w:rsid w:val="00065B25"/>
    <w:rsid w:val="000812B9"/>
    <w:rsid w:val="000B1AFC"/>
    <w:rsid w:val="00114199"/>
    <w:rsid w:val="00115D26"/>
    <w:rsid w:val="00153BDC"/>
    <w:rsid w:val="00186604"/>
    <w:rsid w:val="00195239"/>
    <w:rsid w:val="002D370A"/>
    <w:rsid w:val="002F4606"/>
    <w:rsid w:val="0048229F"/>
    <w:rsid w:val="005C28E8"/>
    <w:rsid w:val="006369B9"/>
    <w:rsid w:val="007472D0"/>
    <w:rsid w:val="007F52B8"/>
    <w:rsid w:val="00804E06"/>
    <w:rsid w:val="008244A1"/>
    <w:rsid w:val="009036FC"/>
    <w:rsid w:val="009F0992"/>
    <w:rsid w:val="00AA6A40"/>
    <w:rsid w:val="00B44499"/>
    <w:rsid w:val="00D46920"/>
    <w:rsid w:val="00E831D8"/>
    <w:rsid w:val="00EB12B1"/>
    <w:rsid w:val="00F242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256403"/>
  <w15:chartTrackingRefBased/>
  <w15:docId w15:val="{0D21DA34-CA0B-5749-8CA9-6912303811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4199"/>
    <w:rPr>
      <w:rFonts w:ascii="Aptos" w:eastAsia="Aptos" w:hAnsi="Aptos" w:cs="Times New Roman"/>
      <w14:ligatures w14:val="none"/>
    </w:rPr>
  </w:style>
  <w:style w:type="paragraph" w:styleId="Heading1">
    <w:name w:val="heading 1"/>
    <w:basedOn w:val="Normal"/>
    <w:next w:val="Normal"/>
    <w:link w:val="Heading1Char"/>
    <w:uiPriority w:val="9"/>
    <w:qFormat/>
    <w:rsid w:val="001141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41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141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41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41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41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41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41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41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41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41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141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41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41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41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41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41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4199"/>
    <w:rPr>
      <w:rFonts w:eastAsiaTheme="majorEastAsia" w:cstheme="majorBidi"/>
      <w:color w:val="272727" w:themeColor="text1" w:themeTint="D8"/>
    </w:rPr>
  </w:style>
  <w:style w:type="paragraph" w:styleId="Title">
    <w:name w:val="Title"/>
    <w:basedOn w:val="Normal"/>
    <w:next w:val="Normal"/>
    <w:link w:val="TitleChar"/>
    <w:uiPriority w:val="10"/>
    <w:qFormat/>
    <w:rsid w:val="001141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41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41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41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4199"/>
    <w:pPr>
      <w:spacing w:before="160"/>
      <w:jc w:val="center"/>
    </w:pPr>
    <w:rPr>
      <w:i/>
      <w:iCs/>
      <w:color w:val="404040" w:themeColor="text1" w:themeTint="BF"/>
    </w:rPr>
  </w:style>
  <w:style w:type="character" w:customStyle="1" w:styleId="QuoteChar">
    <w:name w:val="Quote Char"/>
    <w:basedOn w:val="DefaultParagraphFont"/>
    <w:link w:val="Quote"/>
    <w:uiPriority w:val="29"/>
    <w:rsid w:val="00114199"/>
    <w:rPr>
      <w:i/>
      <w:iCs/>
      <w:color w:val="404040" w:themeColor="text1" w:themeTint="BF"/>
    </w:rPr>
  </w:style>
  <w:style w:type="paragraph" w:styleId="ListParagraph">
    <w:name w:val="List Paragraph"/>
    <w:basedOn w:val="Normal"/>
    <w:uiPriority w:val="34"/>
    <w:qFormat/>
    <w:rsid w:val="00114199"/>
    <w:pPr>
      <w:ind w:left="720"/>
      <w:contextualSpacing/>
    </w:pPr>
  </w:style>
  <w:style w:type="character" w:styleId="IntenseEmphasis">
    <w:name w:val="Intense Emphasis"/>
    <w:basedOn w:val="DefaultParagraphFont"/>
    <w:uiPriority w:val="21"/>
    <w:qFormat/>
    <w:rsid w:val="00114199"/>
    <w:rPr>
      <w:i/>
      <w:iCs/>
      <w:color w:val="0F4761" w:themeColor="accent1" w:themeShade="BF"/>
    </w:rPr>
  </w:style>
  <w:style w:type="paragraph" w:styleId="IntenseQuote">
    <w:name w:val="Intense Quote"/>
    <w:basedOn w:val="Normal"/>
    <w:next w:val="Normal"/>
    <w:link w:val="IntenseQuoteChar"/>
    <w:uiPriority w:val="30"/>
    <w:qFormat/>
    <w:rsid w:val="001141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4199"/>
    <w:rPr>
      <w:i/>
      <w:iCs/>
      <w:color w:val="0F4761" w:themeColor="accent1" w:themeShade="BF"/>
    </w:rPr>
  </w:style>
  <w:style w:type="character" w:styleId="IntenseReference">
    <w:name w:val="Intense Reference"/>
    <w:basedOn w:val="DefaultParagraphFont"/>
    <w:uiPriority w:val="32"/>
    <w:qFormat/>
    <w:rsid w:val="00114199"/>
    <w:rPr>
      <w:b/>
      <w:bCs/>
      <w:smallCaps/>
      <w:color w:val="0F4761" w:themeColor="accent1" w:themeShade="BF"/>
      <w:spacing w:val="5"/>
    </w:rPr>
  </w:style>
  <w:style w:type="table" w:styleId="TableGrid">
    <w:name w:val="Table Grid"/>
    <w:basedOn w:val="TableNormal"/>
    <w:uiPriority w:val="39"/>
    <w:rsid w:val="0011419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14199"/>
    <w:pPr>
      <w:spacing w:after="0" w:line="240" w:lineRule="auto"/>
    </w:pPr>
    <w:rPr>
      <w:rFonts w:ascii="Aptos" w:eastAsia="Aptos" w:hAnsi="Aptos" w:cs="Times New Roman"/>
      <w14:ligatures w14:val="none"/>
    </w:rPr>
  </w:style>
  <w:style w:type="character" w:styleId="Strong">
    <w:name w:val="Strong"/>
    <w:uiPriority w:val="22"/>
    <w:qFormat/>
    <w:rsid w:val="00114199"/>
    <w:rPr>
      <w:b/>
      <w:bCs/>
    </w:rPr>
  </w:style>
  <w:style w:type="paragraph" w:styleId="NormalWeb">
    <w:name w:val="Normal (Web)"/>
    <w:basedOn w:val="Normal"/>
    <w:uiPriority w:val="99"/>
    <w:unhideWhenUsed/>
    <w:rsid w:val="000B1AFC"/>
    <w:pPr>
      <w:spacing w:before="100" w:beforeAutospacing="1" w:after="100" w:afterAutospacing="1" w:line="240" w:lineRule="auto"/>
    </w:pPr>
    <w:rPr>
      <w:rFonts w:ascii="Times New Roman" w:eastAsia="Times New Roman" w:hAnsi="Times New Roman"/>
      <w:kern w:val="0"/>
      <w:lang w:eastAsia="en-GB"/>
    </w:rPr>
  </w:style>
  <w:style w:type="character" w:customStyle="1" w:styleId="apple-converted-space">
    <w:name w:val="apple-converted-space"/>
    <w:basedOn w:val="DefaultParagraphFont"/>
    <w:rsid w:val="000B1AFC"/>
  </w:style>
  <w:style w:type="character" w:styleId="Hyperlink">
    <w:name w:val="Hyperlink"/>
    <w:basedOn w:val="DefaultParagraphFont"/>
    <w:uiPriority w:val="99"/>
    <w:unhideWhenUsed/>
    <w:rsid w:val="002D370A"/>
    <w:rPr>
      <w:color w:val="467886" w:themeColor="hyperlink"/>
      <w:u w:val="single"/>
    </w:rPr>
  </w:style>
  <w:style w:type="character" w:styleId="UnresolvedMention">
    <w:name w:val="Unresolved Mention"/>
    <w:basedOn w:val="DefaultParagraphFont"/>
    <w:uiPriority w:val="99"/>
    <w:semiHidden/>
    <w:unhideWhenUsed/>
    <w:rsid w:val="002D37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E733CE-CF10-4CBB-B41B-43D83679E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1527</Words>
  <Characters>8705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Salami</dc:creator>
  <cp:keywords/>
  <dc:description/>
  <cp:lastModifiedBy>Florin Cristian Cristea (2328061)</cp:lastModifiedBy>
  <cp:revision>7</cp:revision>
  <dcterms:created xsi:type="dcterms:W3CDTF">2026-04-12T14:28:00Z</dcterms:created>
  <dcterms:modified xsi:type="dcterms:W3CDTF">2026-04-22T18:50:00Z</dcterms:modified>
</cp:coreProperties>
</file>