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F6121" w14:textId="77777777" w:rsidR="000253ED" w:rsidRPr="00A85BFE" w:rsidRDefault="000253ED" w:rsidP="000253E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2B37296" wp14:editId="393F91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10DD460" w14:textId="77777777" w:rsidR="000253ED" w:rsidRPr="00A406E5" w:rsidRDefault="000253ED" w:rsidP="000253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253ED" w:rsidRPr="00A406E5" w14:paraId="080073DE" w14:textId="77777777" w:rsidTr="00FF6B04">
        <w:tc>
          <w:tcPr>
            <w:tcW w:w="9922" w:type="dxa"/>
            <w:shd w:val="clear" w:color="auto" w:fill="C0C0C0"/>
          </w:tcPr>
          <w:p w14:paraId="1A995938" w14:textId="77777777" w:rsidR="000253ED" w:rsidRPr="00A406E5" w:rsidRDefault="000253ED" w:rsidP="00FF6B0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469B9CF" w14:textId="77777777" w:rsidR="000253ED" w:rsidRPr="00A406E5" w:rsidRDefault="000253ED" w:rsidP="000253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253ED" w:rsidRPr="00A406E5" w14:paraId="5F00D745" w14:textId="77777777" w:rsidTr="00FF6B04">
        <w:tc>
          <w:tcPr>
            <w:tcW w:w="2093" w:type="dxa"/>
            <w:shd w:val="pct15" w:color="auto" w:fill="auto"/>
          </w:tcPr>
          <w:p w14:paraId="3709E97B"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4EDEC4" w14:textId="563A1D38"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76C4B8D3"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3F37C9F" w14:textId="2C0A095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2315599</w:t>
            </w:r>
          </w:p>
        </w:tc>
      </w:tr>
      <w:tr w:rsidR="000253ED" w:rsidRPr="00A406E5" w14:paraId="7C71A5CA" w14:textId="77777777" w:rsidTr="00FF6B04">
        <w:tc>
          <w:tcPr>
            <w:tcW w:w="2093" w:type="dxa"/>
            <w:shd w:val="pct15" w:color="auto" w:fill="auto"/>
          </w:tcPr>
          <w:p w14:paraId="3E4F677B"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41A55D" w14:textId="7777777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Law and Legal Practice</w:t>
            </w:r>
          </w:p>
        </w:tc>
      </w:tr>
      <w:tr w:rsidR="000253ED" w:rsidRPr="00A406E5" w14:paraId="5B33C85B" w14:textId="77777777" w:rsidTr="00FF6B04">
        <w:tc>
          <w:tcPr>
            <w:tcW w:w="2093" w:type="dxa"/>
            <w:shd w:val="pct15" w:color="auto" w:fill="auto"/>
          </w:tcPr>
          <w:p w14:paraId="2EF241C0"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D136E6" w14:textId="7777777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0253ED" w:rsidRPr="00A406E5" w14:paraId="73C9771F" w14:textId="77777777" w:rsidTr="00FF6B04">
        <w:tc>
          <w:tcPr>
            <w:tcW w:w="2093" w:type="dxa"/>
            <w:shd w:val="pct15" w:color="auto" w:fill="auto"/>
          </w:tcPr>
          <w:p w14:paraId="6C9A2ABD"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669323" w14:textId="7777777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072796EF" w14:textId="2DE6C57D" w:rsidR="000253ED" w:rsidRPr="004D5E9B" w:rsidRDefault="000253ED" w:rsidP="00FF6B04">
            <w:pPr>
              <w:pStyle w:val="Heading2"/>
              <w:rPr>
                <w:rFonts w:ascii="Arial" w:hAnsi="Arial" w:cs="Arial"/>
                <w:sz w:val="22"/>
                <w:szCs w:val="22"/>
              </w:rPr>
            </w:pPr>
          </w:p>
        </w:tc>
        <w:tc>
          <w:tcPr>
            <w:tcW w:w="2268" w:type="dxa"/>
          </w:tcPr>
          <w:p w14:paraId="14D613FC" w14:textId="56FA5645" w:rsidR="000253ED" w:rsidRPr="00A406E5" w:rsidRDefault="00F354B1" w:rsidP="00FF6B04">
            <w:pPr>
              <w:spacing w:before="120" w:after="120"/>
              <w:jc w:val="both"/>
              <w:rPr>
                <w:rFonts w:ascii="Arial" w:hAnsi="Arial" w:cs="Arial"/>
                <w:b/>
                <w:sz w:val="22"/>
                <w:szCs w:val="22"/>
              </w:rPr>
            </w:pPr>
            <w:r>
              <w:rPr>
                <w:rFonts w:ascii="Arial" w:hAnsi="Arial" w:cs="Arial"/>
                <w:b/>
                <w:sz w:val="22"/>
                <w:szCs w:val="22"/>
              </w:rPr>
              <w:t xml:space="preserve">Assignment 1 </w:t>
            </w:r>
          </w:p>
        </w:tc>
      </w:tr>
    </w:tbl>
    <w:p w14:paraId="3308016A" w14:textId="77777777" w:rsidR="000253ED" w:rsidRPr="00A406E5" w:rsidRDefault="000253ED" w:rsidP="000253ED">
      <w:pPr>
        <w:rPr>
          <w:rFonts w:ascii="Arial" w:hAnsi="Arial" w:cs="Arial"/>
          <w:b/>
        </w:rPr>
      </w:pPr>
    </w:p>
    <w:p w14:paraId="4A87A8C8" w14:textId="77777777" w:rsidR="000253ED" w:rsidRPr="00A406E5" w:rsidRDefault="000253ED" w:rsidP="000253ED">
      <w:pPr>
        <w:jc w:val="both"/>
        <w:rPr>
          <w:rFonts w:ascii="Arial" w:hAnsi="Arial" w:cs="Arial"/>
          <w:sz w:val="22"/>
          <w:szCs w:val="22"/>
        </w:rPr>
      </w:pPr>
    </w:p>
    <w:p w14:paraId="563D24A3" w14:textId="77777777" w:rsidR="000253ED" w:rsidRDefault="000253ED" w:rsidP="000253ED">
      <w:pPr>
        <w:jc w:val="both"/>
        <w:rPr>
          <w:rFonts w:ascii="Arial" w:hAnsi="Arial" w:cs="Arial"/>
          <w:color w:val="000000"/>
          <w:sz w:val="27"/>
          <w:szCs w:val="27"/>
        </w:rPr>
      </w:pPr>
    </w:p>
    <w:p w14:paraId="5F61EBB8" w14:textId="05897359" w:rsidR="00503B06" w:rsidRDefault="00503B06">
      <w:pPr>
        <w:spacing w:after="160" w:line="259" w:lineRule="auto"/>
      </w:pPr>
      <w:r>
        <w:br w:type="page"/>
      </w:r>
    </w:p>
    <w:p w14:paraId="051AE1BF" w14:textId="604B331B" w:rsidR="000253ED" w:rsidRDefault="00893776" w:rsidP="00F354B1">
      <w:pPr>
        <w:spacing w:line="480" w:lineRule="auto"/>
        <w:jc w:val="both"/>
        <w:rPr>
          <w:rFonts w:ascii="Arial" w:hAnsi="Arial" w:cs="Arial"/>
          <w:color w:val="111111"/>
          <w:sz w:val="24"/>
          <w:szCs w:val="24"/>
          <w:shd w:val="clear" w:color="auto" w:fill="F9F9F9"/>
        </w:rPr>
      </w:pPr>
      <w:r w:rsidRPr="00893776">
        <w:rPr>
          <w:rStyle w:val="Strong"/>
          <w:rFonts w:ascii="Arial" w:hAnsi="Arial" w:cs="Arial"/>
          <w:b w:val="0"/>
          <w:bCs w:val="0"/>
          <w:color w:val="111111"/>
          <w:sz w:val="24"/>
          <w:szCs w:val="24"/>
          <w:shd w:val="clear" w:color="auto" w:fill="F9F9F9"/>
        </w:rPr>
        <w:lastRenderedPageBreak/>
        <w:t>Equality and diversity</w:t>
      </w:r>
      <w:r w:rsidRPr="00893776">
        <w:rPr>
          <w:rFonts w:ascii="Arial" w:hAnsi="Arial" w:cs="Arial"/>
          <w:color w:val="111111"/>
          <w:sz w:val="24"/>
          <w:szCs w:val="24"/>
          <w:shd w:val="clear" w:color="auto" w:fill="F9F9F9"/>
        </w:rPr>
        <w:t> play </w:t>
      </w:r>
      <w:r w:rsidRPr="00893776">
        <w:rPr>
          <w:rStyle w:val="Strong"/>
          <w:rFonts w:ascii="Arial" w:hAnsi="Arial" w:cs="Arial"/>
          <w:b w:val="0"/>
          <w:bCs w:val="0"/>
          <w:color w:val="111111"/>
          <w:sz w:val="24"/>
          <w:szCs w:val="24"/>
          <w:shd w:val="clear" w:color="auto" w:fill="F9F9F9"/>
        </w:rPr>
        <w:t>critical roles</w:t>
      </w:r>
      <w:r w:rsidRPr="00893776">
        <w:rPr>
          <w:rFonts w:ascii="Arial" w:hAnsi="Arial" w:cs="Arial"/>
          <w:color w:val="111111"/>
          <w:sz w:val="24"/>
          <w:szCs w:val="24"/>
          <w:shd w:val="clear" w:color="auto" w:fill="F9F9F9"/>
        </w:rPr>
        <w:t> within the legal profession, shaping its effectiveness, representation, and impact on society</w:t>
      </w:r>
      <w:r w:rsidR="007A3188">
        <w:rPr>
          <w:rFonts w:ascii="Arial" w:hAnsi="Arial" w:cs="Arial"/>
          <w:color w:val="111111"/>
          <w:sz w:val="24"/>
          <w:szCs w:val="24"/>
          <w:shd w:val="clear" w:color="auto" w:fill="F9F9F9"/>
        </w:rPr>
        <w:t>.</w:t>
      </w:r>
    </w:p>
    <w:p w14:paraId="20E757BC" w14:textId="6BEB9337" w:rsidR="007A3188" w:rsidRDefault="007A3188" w:rsidP="00F354B1">
      <w:pPr>
        <w:spacing w:line="480" w:lineRule="auto"/>
        <w:jc w:val="both"/>
        <w:rPr>
          <w:rFonts w:ascii="Arial" w:hAnsi="Arial" w:cs="Arial"/>
          <w:color w:val="111111"/>
          <w:sz w:val="24"/>
          <w:szCs w:val="24"/>
          <w:shd w:val="clear" w:color="auto" w:fill="F9F9F9"/>
        </w:rPr>
      </w:pPr>
      <w:r>
        <w:rPr>
          <w:rFonts w:ascii="Arial" w:hAnsi="Arial" w:cs="Arial"/>
          <w:color w:val="111111"/>
          <w:sz w:val="24"/>
          <w:szCs w:val="24"/>
          <w:shd w:val="clear" w:color="auto" w:fill="F9F9F9"/>
        </w:rPr>
        <w:t>The SRA Principles</w:t>
      </w:r>
      <w:r w:rsidR="00D925E5">
        <w:rPr>
          <w:rFonts w:ascii="Arial" w:hAnsi="Arial" w:cs="Arial"/>
          <w:color w:val="111111"/>
          <w:sz w:val="24"/>
          <w:szCs w:val="24"/>
          <w:shd w:val="clear" w:color="auto" w:fill="F9F9F9"/>
        </w:rPr>
        <w:t xml:space="preserve"> sets out and regulates the ethical behaviour that </w:t>
      </w:r>
      <w:proofErr w:type="gramStart"/>
      <w:r w:rsidR="00D925E5">
        <w:rPr>
          <w:rFonts w:ascii="Arial" w:hAnsi="Arial" w:cs="Arial"/>
          <w:color w:val="111111"/>
          <w:sz w:val="24"/>
          <w:szCs w:val="24"/>
          <w:shd w:val="clear" w:color="auto" w:fill="F9F9F9"/>
        </w:rPr>
        <w:t>we as a society</w:t>
      </w:r>
      <w:proofErr w:type="gramEnd"/>
      <w:r w:rsidR="00D925E5">
        <w:rPr>
          <w:rFonts w:ascii="Arial" w:hAnsi="Arial" w:cs="Arial"/>
          <w:color w:val="111111"/>
          <w:sz w:val="24"/>
          <w:szCs w:val="24"/>
          <w:shd w:val="clear" w:color="auto" w:fill="F9F9F9"/>
        </w:rPr>
        <w:t xml:space="preserve"> expect </w:t>
      </w:r>
      <w:r w:rsidR="009043FF">
        <w:rPr>
          <w:rFonts w:ascii="Arial" w:hAnsi="Arial" w:cs="Arial"/>
          <w:color w:val="111111"/>
          <w:sz w:val="24"/>
          <w:szCs w:val="24"/>
          <w:shd w:val="clear" w:color="auto" w:fill="F9F9F9"/>
        </w:rPr>
        <w:t>fr</w:t>
      </w:r>
      <w:r w:rsidR="00DC20DE">
        <w:rPr>
          <w:rFonts w:ascii="Arial" w:hAnsi="Arial" w:cs="Arial"/>
          <w:color w:val="111111"/>
          <w:sz w:val="24"/>
          <w:szCs w:val="24"/>
          <w:shd w:val="clear" w:color="auto" w:fill="F9F9F9"/>
        </w:rPr>
        <w:t>om professionals who provide legal services such as solicitors, RELs and RFLs in additional to authorised firms a</w:t>
      </w:r>
      <w:r w:rsidR="00E165E4">
        <w:rPr>
          <w:rFonts w:ascii="Arial" w:hAnsi="Arial" w:cs="Arial"/>
          <w:color w:val="111111"/>
          <w:sz w:val="24"/>
          <w:szCs w:val="24"/>
          <w:shd w:val="clear" w:color="auto" w:fill="F9F9F9"/>
        </w:rPr>
        <w:t xml:space="preserve">nd their employees. </w:t>
      </w:r>
    </w:p>
    <w:p w14:paraId="1A292672" w14:textId="77777777" w:rsidR="002317F9" w:rsidRDefault="009D04CC" w:rsidP="00893776">
      <w:pPr>
        <w:spacing w:line="480" w:lineRule="auto"/>
        <w:rPr>
          <w:rFonts w:ascii="Arial" w:hAnsi="Arial" w:cs="Arial"/>
          <w:color w:val="111111"/>
          <w:sz w:val="24"/>
          <w:szCs w:val="24"/>
          <w:shd w:val="clear" w:color="auto" w:fill="F9F9F9"/>
        </w:rPr>
      </w:pPr>
      <w:r>
        <w:rPr>
          <w:rFonts w:ascii="Arial" w:hAnsi="Arial" w:cs="Arial"/>
          <w:color w:val="111111"/>
          <w:sz w:val="24"/>
          <w:szCs w:val="24"/>
          <w:shd w:val="clear" w:color="auto" w:fill="F9F9F9"/>
        </w:rPr>
        <w:t>As published in the SRA Codes of Conducts and Accounts Rules, 2021, t</w:t>
      </w:r>
      <w:r w:rsidR="001E7CA9">
        <w:rPr>
          <w:rFonts w:ascii="Arial" w:hAnsi="Arial" w:cs="Arial"/>
          <w:color w:val="111111"/>
          <w:sz w:val="24"/>
          <w:szCs w:val="24"/>
          <w:shd w:val="clear" w:color="auto" w:fill="F9F9F9"/>
        </w:rPr>
        <w:t xml:space="preserve">here are 7 </w:t>
      </w:r>
      <w:r w:rsidR="002317F9">
        <w:rPr>
          <w:rFonts w:ascii="Arial" w:hAnsi="Arial" w:cs="Arial"/>
          <w:color w:val="111111"/>
          <w:sz w:val="24"/>
          <w:szCs w:val="24"/>
          <w:shd w:val="clear" w:color="auto" w:fill="F9F9F9"/>
        </w:rPr>
        <w:t xml:space="preserve">Principles. </w:t>
      </w:r>
    </w:p>
    <w:p w14:paraId="6A9CEEED" w14:textId="4013B364" w:rsidR="00E165E4" w:rsidRDefault="002317F9" w:rsidP="00893776">
      <w:pPr>
        <w:spacing w:line="480" w:lineRule="auto"/>
        <w:rPr>
          <w:rFonts w:ascii="Arial" w:hAnsi="Arial" w:cs="Arial"/>
          <w:color w:val="111111"/>
          <w:sz w:val="24"/>
          <w:szCs w:val="24"/>
          <w:shd w:val="clear" w:color="auto" w:fill="F9F9F9"/>
        </w:rPr>
      </w:pPr>
      <w:r>
        <w:rPr>
          <w:rFonts w:ascii="Arial" w:hAnsi="Arial" w:cs="Arial"/>
          <w:color w:val="111111"/>
          <w:sz w:val="24"/>
          <w:szCs w:val="24"/>
          <w:shd w:val="clear" w:color="auto" w:fill="F9F9F9"/>
        </w:rPr>
        <w:t>“The p</w:t>
      </w:r>
      <w:r w:rsidR="001E7CA9">
        <w:rPr>
          <w:rFonts w:ascii="Arial" w:hAnsi="Arial" w:cs="Arial"/>
          <w:color w:val="111111"/>
          <w:sz w:val="24"/>
          <w:szCs w:val="24"/>
          <w:shd w:val="clear" w:color="auto" w:fill="F9F9F9"/>
        </w:rPr>
        <w:t xml:space="preserve">rinciples are as </w:t>
      </w:r>
      <w:proofErr w:type="gramStart"/>
      <w:r w:rsidR="001E7CA9">
        <w:rPr>
          <w:rFonts w:ascii="Arial" w:hAnsi="Arial" w:cs="Arial"/>
          <w:color w:val="111111"/>
          <w:sz w:val="24"/>
          <w:szCs w:val="24"/>
          <w:shd w:val="clear" w:color="auto" w:fill="F9F9F9"/>
        </w:rPr>
        <w:t>follows:-</w:t>
      </w:r>
      <w:proofErr w:type="gramEnd"/>
      <w:r w:rsidR="001E7CA9">
        <w:rPr>
          <w:rFonts w:ascii="Arial" w:hAnsi="Arial" w:cs="Arial"/>
          <w:color w:val="111111"/>
          <w:sz w:val="24"/>
          <w:szCs w:val="24"/>
          <w:shd w:val="clear" w:color="auto" w:fill="F9F9F9"/>
        </w:rPr>
        <w:t xml:space="preserve"> </w:t>
      </w:r>
    </w:p>
    <w:p w14:paraId="41C88D68" w14:textId="2F96F74A" w:rsidR="001E7CA9" w:rsidRDefault="001E7CA9" w:rsidP="00893776">
      <w:pPr>
        <w:spacing w:line="480" w:lineRule="auto"/>
        <w:rPr>
          <w:rFonts w:ascii="Arial" w:hAnsi="Arial" w:cs="Arial"/>
          <w:color w:val="111111"/>
          <w:sz w:val="24"/>
          <w:szCs w:val="24"/>
          <w:shd w:val="clear" w:color="auto" w:fill="F9F9F9"/>
        </w:rPr>
      </w:pPr>
      <w:r>
        <w:rPr>
          <w:rFonts w:ascii="Arial" w:hAnsi="Arial" w:cs="Arial"/>
          <w:color w:val="111111"/>
          <w:sz w:val="24"/>
          <w:szCs w:val="24"/>
          <w:shd w:val="clear" w:color="auto" w:fill="F9F9F9"/>
        </w:rPr>
        <w:t>You</w:t>
      </w:r>
      <w:r w:rsidR="002317F9">
        <w:rPr>
          <w:rFonts w:ascii="Arial" w:hAnsi="Arial" w:cs="Arial"/>
          <w:color w:val="111111"/>
          <w:sz w:val="24"/>
          <w:szCs w:val="24"/>
          <w:shd w:val="clear" w:color="auto" w:fill="F9F9F9"/>
        </w:rPr>
        <w:t xml:space="preserve"> </w:t>
      </w:r>
      <w:proofErr w:type="gramStart"/>
      <w:r w:rsidR="002317F9">
        <w:rPr>
          <w:rFonts w:ascii="Arial" w:hAnsi="Arial" w:cs="Arial"/>
          <w:color w:val="111111"/>
          <w:sz w:val="24"/>
          <w:szCs w:val="24"/>
          <w:shd w:val="clear" w:color="auto" w:fill="F9F9F9"/>
        </w:rPr>
        <w:t>act:-</w:t>
      </w:r>
      <w:proofErr w:type="gramEnd"/>
    </w:p>
    <w:p w14:paraId="330331EC" w14:textId="2706BFEB" w:rsidR="004A2795" w:rsidRPr="00EB351B" w:rsidRDefault="002317F9"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I</w:t>
      </w:r>
      <w:r w:rsidR="004A2795" w:rsidRPr="00EB351B">
        <w:rPr>
          <w:rFonts w:ascii="Arial" w:hAnsi="Arial" w:cs="Arial"/>
          <w:color w:val="111111"/>
          <w:sz w:val="24"/>
          <w:szCs w:val="24"/>
          <w:shd w:val="clear" w:color="auto" w:fill="F9F9F9"/>
        </w:rPr>
        <w:t>n a way that upholds the constitutional principle of the rule of law, and the proper administration of justice.</w:t>
      </w:r>
    </w:p>
    <w:p w14:paraId="39D3E1AB" w14:textId="6A80F5FC"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 xml:space="preserve">In a way that upholds public trust and confidence in the solicitors’ profession and in legal services provided by authorised persons. </w:t>
      </w:r>
    </w:p>
    <w:p w14:paraId="22C80148" w14:textId="1F93BCE1"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With independence.</w:t>
      </w:r>
    </w:p>
    <w:p w14:paraId="006D8158" w14:textId="7C76E4C4"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With honesty.</w:t>
      </w:r>
    </w:p>
    <w:p w14:paraId="5E9B7649" w14:textId="795B05EE"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 xml:space="preserve">With </w:t>
      </w:r>
      <w:r w:rsidR="00EB351B" w:rsidRPr="00EB351B">
        <w:rPr>
          <w:rFonts w:ascii="Arial" w:hAnsi="Arial" w:cs="Arial"/>
          <w:color w:val="111111"/>
          <w:sz w:val="24"/>
          <w:szCs w:val="24"/>
          <w:shd w:val="clear" w:color="auto" w:fill="F9F9F9"/>
        </w:rPr>
        <w:t>integrity.</w:t>
      </w:r>
    </w:p>
    <w:p w14:paraId="7C408420" w14:textId="5CD14CC4" w:rsidR="00EB351B" w:rsidRPr="00EB351B" w:rsidRDefault="00EB351B"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In a way that encourages equality, diversity and inclusion.</w:t>
      </w:r>
    </w:p>
    <w:p w14:paraId="08AC70E9" w14:textId="1987750F" w:rsidR="00EB351B" w:rsidRDefault="00EB351B"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In the best interests of each client</w:t>
      </w:r>
      <w:r>
        <w:rPr>
          <w:rFonts w:ascii="Arial" w:hAnsi="Arial" w:cs="Arial"/>
          <w:color w:val="111111"/>
          <w:sz w:val="24"/>
          <w:szCs w:val="24"/>
          <w:shd w:val="clear" w:color="auto" w:fill="F9F9F9"/>
        </w:rPr>
        <w:t>”.</w:t>
      </w:r>
    </w:p>
    <w:p w14:paraId="07021A38" w14:textId="68A842A2" w:rsidR="00EB351B" w:rsidRDefault="00EB351B" w:rsidP="00EB351B">
      <w:pPr>
        <w:spacing w:line="480" w:lineRule="auto"/>
        <w:jc w:val="both"/>
        <w:rPr>
          <w:rFonts w:ascii="Arial" w:hAnsi="Arial" w:cs="Arial"/>
          <w:color w:val="000000"/>
          <w:sz w:val="24"/>
          <w:szCs w:val="24"/>
        </w:rPr>
      </w:pPr>
      <w:r w:rsidRPr="00EB351B">
        <w:rPr>
          <w:rFonts w:ascii="Arial" w:hAnsi="Arial" w:cs="Arial"/>
          <w:color w:val="111111"/>
          <w:sz w:val="24"/>
          <w:szCs w:val="24"/>
          <w:shd w:val="clear" w:color="auto" w:fill="F9F9F9"/>
        </w:rPr>
        <w:t xml:space="preserve">The purpose of this essay is to </w:t>
      </w:r>
      <w:r w:rsidR="00F07B57">
        <w:rPr>
          <w:rFonts w:ascii="Arial" w:hAnsi="Arial" w:cs="Arial"/>
          <w:color w:val="000000"/>
          <w:sz w:val="24"/>
          <w:szCs w:val="24"/>
        </w:rPr>
        <w:t>e</w:t>
      </w:r>
      <w:r w:rsidRPr="00EB351B">
        <w:rPr>
          <w:rFonts w:ascii="Arial" w:hAnsi="Arial" w:cs="Arial"/>
          <w:color w:val="000000"/>
          <w:sz w:val="24"/>
          <w:szCs w:val="24"/>
        </w:rPr>
        <w:t xml:space="preserve">valuate </w:t>
      </w:r>
      <w:r w:rsidR="00443FF0">
        <w:rPr>
          <w:rFonts w:ascii="Arial" w:hAnsi="Arial" w:cs="Arial"/>
          <w:color w:val="000000"/>
          <w:sz w:val="24"/>
          <w:szCs w:val="24"/>
        </w:rPr>
        <w:t xml:space="preserve">point </w:t>
      </w:r>
      <w:r w:rsidR="00FF47A6">
        <w:rPr>
          <w:rFonts w:ascii="Arial" w:hAnsi="Arial" w:cs="Arial"/>
          <w:color w:val="000000"/>
          <w:sz w:val="24"/>
          <w:szCs w:val="24"/>
        </w:rPr>
        <w:t>6</w:t>
      </w:r>
      <w:r w:rsidR="00443FF0">
        <w:rPr>
          <w:rFonts w:ascii="Arial" w:hAnsi="Arial" w:cs="Arial"/>
          <w:color w:val="000000"/>
          <w:sz w:val="24"/>
          <w:szCs w:val="24"/>
        </w:rPr>
        <w:t xml:space="preserve"> of the principles and </w:t>
      </w:r>
      <w:r w:rsidRPr="00EB351B">
        <w:rPr>
          <w:rFonts w:ascii="Arial" w:hAnsi="Arial" w:cs="Arial"/>
          <w:color w:val="000000"/>
          <w:sz w:val="24"/>
          <w:szCs w:val="24"/>
        </w:rPr>
        <w:t>the importance of equality and diversity within the legal profession.</w:t>
      </w:r>
    </w:p>
    <w:p w14:paraId="74BFB4C9" w14:textId="0382B3BC" w:rsidR="001F6A1E" w:rsidRDefault="00FF47A6" w:rsidP="00EB351B">
      <w:pPr>
        <w:spacing w:line="480" w:lineRule="auto"/>
        <w:jc w:val="both"/>
        <w:rPr>
          <w:rFonts w:ascii="Arial" w:hAnsi="Arial" w:cs="Arial"/>
          <w:color w:val="000000"/>
          <w:sz w:val="24"/>
          <w:szCs w:val="24"/>
        </w:rPr>
      </w:pPr>
      <w:r>
        <w:rPr>
          <w:rFonts w:ascii="Arial" w:hAnsi="Arial" w:cs="Arial"/>
          <w:color w:val="000000"/>
          <w:sz w:val="24"/>
          <w:szCs w:val="24"/>
        </w:rPr>
        <w:t xml:space="preserve">According to Elkington, Holtam, Shield and Verlander, 2021/22, </w:t>
      </w:r>
      <w:r w:rsidR="009060A1">
        <w:rPr>
          <w:rFonts w:ascii="Arial" w:hAnsi="Arial" w:cs="Arial"/>
          <w:color w:val="000000"/>
          <w:sz w:val="24"/>
          <w:szCs w:val="24"/>
        </w:rPr>
        <w:t>“Princ</w:t>
      </w:r>
      <w:r w:rsidR="001F6A1E">
        <w:rPr>
          <w:rFonts w:ascii="Arial" w:hAnsi="Arial" w:cs="Arial"/>
          <w:color w:val="000000"/>
          <w:sz w:val="24"/>
          <w:szCs w:val="24"/>
        </w:rPr>
        <w:t>i</w:t>
      </w:r>
      <w:r w:rsidR="009060A1">
        <w:rPr>
          <w:rFonts w:ascii="Arial" w:hAnsi="Arial" w:cs="Arial"/>
          <w:color w:val="000000"/>
          <w:sz w:val="24"/>
          <w:szCs w:val="24"/>
        </w:rPr>
        <w:t xml:space="preserve">ple 6 of the SRA Principles 2019 requires you to </w:t>
      </w:r>
      <w:r w:rsidR="004126E3">
        <w:rPr>
          <w:rFonts w:ascii="Arial" w:hAnsi="Arial" w:cs="Arial"/>
          <w:color w:val="000000"/>
          <w:sz w:val="24"/>
          <w:szCs w:val="24"/>
        </w:rPr>
        <w:t xml:space="preserve">conduct </w:t>
      </w:r>
      <w:r w:rsidR="009060A1">
        <w:rPr>
          <w:rFonts w:ascii="Arial" w:hAnsi="Arial" w:cs="Arial"/>
          <w:color w:val="000000"/>
          <w:sz w:val="24"/>
          <w:szCs w:val="24"/>
        </w:rPr>
        <w:t xml:space="preserve">business in a manner that encourages equality, diversity </w:t>
      </w:r>
      <w:r w:rsidR="004126E3">
        <w:rPr>
          <w:rFonts w:ascii="Arial" w:hAnsi="Arial" w:cs="Arial"/>
          <w:color w:val="000000"/>
          <w:sz w:val="24"/>
          <w:szCs w:val="24"/>
        </w:rPr>
        <w:t xml:space="preserve">and inclusion. </w:t>
      </w:r>
      <w:r w:rsidR="001F6A1E">
        <w:rPr>
          <w:rFonts w:ascii="Arial" w:hAnsi="Arial" w:cs="Arial"/>
          <w:color w:val="000000"/>
          <w:sz w:val="24"/>
          <w:szCs w:val="24"/>
        </w:rPr>
        <w:t xml:space="preserve">It is important that when you see a client that the interview takes place in an environment which will help the client rather than hinder good effective communication between client and solicitor. The aim of the interview is </w:t>
      </w:r>
      <w:r w:rsidR="001F6A1E">
        <w:rPr>
          <w:rFonts w:ascii="Arial" w:hAnsi="Arial" w:cs="Arial"/>
          <w:color w:val="000000"/>
          <w:sz w:val="24"/>
          <w:szCs w:val="24"/>
        </w:rPr>
        <w:lastRenderedPageBreak/>
        <w:t xml:space="preserve">to create an atmosphere in which the client will feel calm and relaxed and confident in the advice that they are receiving. This in turn will give a favourable impression of the solicitor and the </w:t>
      </w:r>
      <w:proofErr w:type="gramStart"/>
      <w:r w:rsidR="001F6A1E">
        <w:rPr>
          <w:rFonts w:ascii="Arial" w:hAnsi="Arial" w:cs="Arial"/>
          <w:color w:val="000000"/>
          <w:sz w:val="24"/>
          <w:szCs w:val="24"/>
        </w:rPr>
        <w:t>firm as a whole</w:t>
      </w:r>
      <w:proofErr w:type="gramEnd"/>
      <w:r w:rsidR="001F6A1E">
        <w:rPr>
          <w:rFonts w:ascii="Arial" w:hAnsi="Arial" w:cs="Arial"/>
          <w:color w:val="000000"/>
          <w:sz w:val="24"/>
          <w:szCs w:val="24"/>
        </w:rPr>
        <w:t xml:space="preserve">. Often the first point of contact whether in person or by telephone will be the receptionist. It is vital that all employees that work within the legal firm have a good understanding about the SRA principles. Clients who </w:t>
      </w:r>
      <w:proofErr w:type="gramStart"/>
      <w:r w:rsidR="001F6A1E">
        <w:rPr>
          <w:rFonts w:ascii="Arial" w:hAnsi="Arial" w:cs="Arial"/>
          <w:color w:val="000000"/>
          <w:sz w:val="24"/>
          <w:szCs w:val="24"/>
        </w:rPr>
        <w:t>make contact with</w:t>
      </w:r>
      <w:proofErr w:type="gramEnd"/>
      <w:r w:rsidR="001F6A1E">
        <w:rPr>
          <w:rFonts w:ascii="Arial" w:hAnsi="Arial" w:cs="Arial"/>
          <w:color w:val="000000"/>
          <w:sz w:val="24"/>
          <w:szCs w:val="24"/>
        </w:rPr>
        <w:t xml:space="preserve"> a legal firm will form an impression</w:t>
      </w:r>
      <w:r w:rsidR="00263EA6">
        <w:rPr>
          <w:rFonts w:ascii="Arial" w:hAnsi="Arial" w:cs="Arial"/>
          <w:color w:val="000000"/>
          <w:sz w:val="24"/>
          <w:szCs w:val="24"/>
        </w:rPr>
        <w:t xml:space="preserve">. </w:t>
      </w:r>
    </w:p>
    <w:p w14:paraId="752A8866" w14:textId="77777777" w:rsidR="00422CE5" w:rsidRDefault="00422CE5" w:rsidP="00EB351B">
      <w:pPr>
        <w:spacing w:line="480" w:lineRule="auto"/>
        <w:jc w:val="both"/>
        <w:rPr>
          <w:rFonts w:ascii="Arial" w:hAnsi="Arial" w:cs="Arial"/>
          <w:color w:val="000000"/>
          <w:sz w:val="24"/>
          <w:szCs w:val="24"/>
        </w:rPr>
      </w:pPr>
    </w:p>
    <w:p w14:paraId="4CB57731" w14:textId="70C33211" w:rsidR="00263EA6" w:rsidRDefault="00263EA6" w:rsidP="00EB351B">
      <w:pPr>
        <w:spacing w:line="480" w:lineRule="auto"/>
        <w:jc w:val="both"/>
        <w:rPr>
          <w:rFonts w:ascii="Arial" w:hAnsi="Arial" w:cs="Arial"/>
          <w:color w:val="000000"/>
          <w:sz w:val="24"/>
          <w:szCs w:val="24"/>
        </w:rPr>
      </w:pPr>
      <w:r>
        <w:rPr>
          <w:rFonts w:ascii="Arial" w:hAnsi="Arial" w:cs="Arial"/>
          <w:color w:val="000000"/>
          <w:sz w:val="24"/>
          <w:szCs w:val="24"/>
        </w:rPr>
        <w:t xml:space="preserve">According to </w:t>
      </w:r>
      <w:r w:rsidR="00422CE5">
        <w:rPr>
          <w:rFonts w:ascii="Arial" w:hAnsi="Arial" w:cs="Arial"/>
          <w:color w:val="000000"/>
          <w:sz w:val="24"/>
          <w:szCs w:val="24"/>
        </w:rPr>
        <w:t>Mitchell, 2008</w:t>
      </w:r>
      <w:r>
        <w:rPr>
          <w:rFonts w:ascii="Arial" w:hAnsi="Arial" w:cs="Arial"/>
          <w:color w:val="000000"/>
          <w:sz w:val="24"/>
          <w:szCs w:val="24"/>
        </w:rPr>
        <w:t>, “knowing how to respond when you are being introduced is just as important as knowing how to make introductions”. An informal introduction by saying “hello Mr Williams” whereby saying “hi” is simply not good enough or professional.  A proper formal introduction would be “how do you do Mr Williams”. A formal introduction that is suggested by</w:t>
      </w:r>
      <w:r w:rsidR="00422CE5">
        <w:rPr>
          <w:rFonts w:ascii="Arial" w:hAnsi="Arial" w:cs="Arial"/>
          <w:color w:val="000000"/>
          <w:sz w:val="24"/>
          <w:szCs w:val="24"/>
        </w:rPr>
        <w:t xml:space="preserve"> Mithcell, 2008 </w:t>
      </w:r>
      <w:r>
        <w:rPr>
          <w:rFonts w:ascii="Arial" w:hAnsi="Arial" w:cs="Arial"/>
          <w:color w:val="000000"/>
          <w:sz w:val="24"/>
          <w:szCs w:val="24"/>
        </w:rPr>
        <w:t xml:space="preserve">is to introduce yourself using your first and last name and professional title. For example, “I am Lillian Mitchell, a dentist”. This in turn prompts the other person to respond with “Hello Dr Mitchell”. </w:t>
      </w:r>
    </w:p>
    <w:p w14:paraId="00540CF1" w14:textId="24B42BD7" w:rsidR="00422CE5" w:rsidRDefault="00422CE5" w:rsidP="00EB351B">
      <w:pPr>
        <w:spacing w:line="480" w:lineRule="auto"/>
        <w:jc w:val="both"/>
        <w:rPr>
          <w:rFonts w:ascii="Arial" w:hAnsi="Arial" w:cs="Arial"/>
          <w:color w:val="000000"/>
          <w:sz w:val="24"/>
          <w:szCs w:val="24"/>
        </w:rPr>
      </w:pPr>
      <w:r>
        <w:rPr>
          <w:rFonts w:ascii="Arial" w:hAnsi="Arial" w:cs="Arial"/>
          <w:color w:val="000000"/>
          <w:sz w:val="24"/>
          <w:szCs w:val="24"/>
        </w:rPr>
        <w:t>After the initial formalities and introductions</w:t>
      </w:r>
      <w:r w:rsidR="004A32DB">
        <w:rPr>
          <w:rFonts w:ascii="Arial" w:hAnsi="Arial" w:cs="Arial"/>
          <w:color w:val="000000"/>
          <w:sz w:val="24"/>
          <w:szCs w:val="24"/>
        </w:rPr>
        <w:t xml:space="preserve">, the solicitor needs to ensure that the client is physically comfortable ahead of the meeting. The meeting room needs to be clean and tidy and free from interruptions with minimum background noise that is typical of a busy </w:t>
      </w:r>
      <w:r w:rsidR="001A6876">
        <w:rPr>
          <w:rFonts w:ascii="Arial" w:hAnsi="Arial" w:cs="Arial"/>
          <w:color w:val="000000"/>
          <w:sz w:val="24"/>
          <w:szCs w:val="24"/>
        </w:rPr>
        <w:t>workplace</w:t>
      </w:r>
      <w:r w:rsidR="004A32DB">
        <w:rPr>
          <w:rFonts w:ascii="Arial" w:hAnsi="Arial" w:cs="Arial"/>
          <w:color w:val="000000"/>
          <w:sz w:val="24"/>
          <w:szCs w:val="24"/>
        </w:rPr>
        <w:t xml:space="preserve"> for those clients who may be hard of hearing which can be quite typical if dealing with elderly clients discussing Wills and Lasting Power Attorneys (LPOAs). The office in general needs to convey a sense of a professional nature and well organised but needs to be in perfect balance and welcoming </w:t>
      </w:r>
      <w:proofErr w:type="gramStart"/>
      <w:r w:rsidR="004A32DB">
        <w:rPr>
          <w:rFonts w:ascii="Arial" w:hAnsi="Arial" w:cs="Arial"/>
          <w:color w:val="000000"/>
          <w:sz w:val="24"/>
          <w:szCs w:val="24"/>
        </w:rPr>
        <w:t>in order to</w:t>
      </w:r>
      <w:proofErr w:type="gramEnd"/>
      <w:r w:rsidR="004A32DB">
        <w:rPr>
          <w:rFonts w:ascii="Arial" w:hAnsi="Arial" w:cs="Arial"/>
          <w:color w:val="000000"/>
          <w:sz w:val="24"/>
          <w:szCs w:val="24"/>
        </w:rPr>
        <w:t xml:space="preserve"> not create a space that could be seen as impersonal to the client. </w:t>
      </w:r>
    </w:p>
    <w:p w14:paraId="330CE390" w14:textId="67C652D2" w:rsidR="002C0959" w:rsidRDefault="004A32DB" w:rsidP="00EB351B">
      <w:pPr>
        <w:spacing w:line="480" w:lineRule="auto"/>
        <w:jc w:val="both"/>
        <w:rPr>
          <w:rFonts w:ascii="Arial" w:hAnsi="Arial" w:cs="Arial"/>
          <w:color w:val="000000"/>
          <w:sz w:val="24"/>
          <w:szCs w:val="24"/>
        </w:rPr>
      </w:pPr>
      <w:r>
        <w:rPr>
          <w:rFonts w:ascii="Arial" w:hAnsi="Arial" w:cs="Arial"/>
          <w:color w:val="000000"/>
          <w:sz w:val="24"/>
          <w:szCs w:val="24"/>
        </w:rPr>
        <w:t>It is important to bear in mind that seating arrangements</w:t>
      </w:r>
      <w:r w:rsidR="001A6876">
        <w:rPr>
          <w:rFonts w:ascii="Arial" w:hAnsi="Arial" w:cs="Arial"/>
          <w:color w:val="000000"/>
          <w:sz w:val="24"/>
          <w:szCs w:val="24"/>
        </w:rPr>
        <w:t xml:space="preserve"> </w:t>
      </w:r>
      <w:r>
        <w:rPr>
          <w:rFonts w:ascii="Arial" w:hAnsi="Arial" w:cs="Arial"/>
          <w:color w:val="000000"/>
          <w:sz w:val="24"/>
          <w:szCs w:val="24"/>
        </w:rPr>
        <w:t xml:space="preserve">may help or hinder effective communication during the meeting. </w:t>
      </w:r>
      <w:proofErr w:type="gramStart"/>
      <w:r>
        <w:rPr>
          <w:rFonts w:ascii="Arial" w:hAnsi="Arial" w:cs="Arial"/>
          <w:color w:val="000000"/>
          <w:sz w:val="24"/>
          <w:szCs w:val="24"/>
        </w:rPr>
        <w:t>Typically</w:t>
      </w:r>
      <w:proofErr w:type="gramEnd"/>
      <w:r>
        <w:rPr>
          <w:rFonts w:ascii="Arial" w:hAnsi="Arial" w:cs="Arial"/>
          <w:color w:val="000000"/>
          <w:sz w:val="24"/>
          <w:szCs w:val="24"/>
        </w:rPr>
        <w:t xml:space="preserve"> the solicitor and clint face opposite each other from the solicitor’s desk</w:t>
      </w:r>
      <w:r w:rsidR="002C0959">
        <w:rPr>
          <w:rFonts w:ascii="Arial" w:hAnsi="Arial" w:cs="Arial"/>
          <w:color w:val="000000"/>
          <w:sz w:val="24"/>
          <w:szCs w:val="24"/>
        </w:rPr>
        <w:t xml:space="preserve">. In line with GDPR regulations, the desk must be kept </w:t>
      </w:r>
      <w:r w:rsidR="002C0959">
        <w:rPr>
          <w:rFonts w:ascii="Arial" w:hAnsi="Arial" w:cs="Arial"/>
          <w:color w:val="000000"/>
          <w:sz w:val="24"/>
          <w:szCs w:val="24"/>
        </w:rPr>
        <w:lastRenderedPageBreak/>
        <w:t xml:space="preserve">clear and not show any other matters or there will be breach of confidentiality. </w:t>
      </w:r>
      <w:r>
        <w:rPr>
          <w:rFonts w:ascii="Arial" w:hAnsi="Arial" w:cs="Arial"/>
          <w:color w:val="000000"/>
          <w:sz w:val="24"/>
          <w:szCs w:val="24"/>
        </w:rPr>
        <w:t xml:space="preserve"> </w:t>
      </w:r>
      <w:r w:rsidR="002C0959">
        <w:rPr>
          <w:rFonts w:ascii="Arial" w:hAnsi="Arial" w:cs="Arial"/>
          <w:color w:val="000000"/>
          <w:sz w:val="24"/>
          <w:szCs w:val="24"/>
        </w:rPr>
        <w:t xml:space="preserve">This can also be linked to principles 2 of the SRA Codes of Conduct. In its Practice Note of 22 November 2019, The Law Society recommends that “before the initial interview you should obtain information to enable you to carry out necessary background and regulatory checks”. </w:t>
      </w:r>
    </w:p>
    <w:p w14:paraId="0D37462F" w14:textId="56AFE988" w:rsidR="004A32DB" w:rsidRDefault="002C0959" w:rsidP="00EB351B">
      <w:pPr>
        <w:spacing w:line="480" w:lineRule="auto"/>
        <w:jc w:val="both"/>
        <w:rPr>
          <w:rFonts w:ascii="Arial" w:hAnsi="Arial" w:cs="Arial"/>
          <w:color w:val="000000"/>
          <w:sz w:val="24"/>
          <w:szCs w:val="24"/>
        </w:rPr>
      </w:pPr>
      <w:r>
        <w:rPr>
          <w:rFonts w:ascii="Arial" w:hAnsi="Arial" w:cs="Arial"/>
          <w:color w:val="000000"/>
          <w:sz w:val="24"/>
          <w:szCs w:val="24"/>
        </w:rPr>
        <w:t xml:space="preserve">Paragraph 6 of the SRA Code of Conduct for Solicitors states “that generally a solicitor must not act for a client if there is a conflict of interest or a significant risk of a conflict of interest with a current client.” </w:t>
      </w:r>
    </w:p>
    <w:p w14:paraId="2BD9B961" w14:textId="5D2E78DA" w:rsidR="002C0959" w:rsidRDefault="002C0959" w:rsidP="00EB351B">
      <w:pPr>
        <w:spacing w:line="480" w:lineRule="auto"/>
        <w:jc w:val="both"/>
        <w:rPr>
          <w:rFonts w:ascii="Arial" w:hAnsi="Arial" w:cs="Arial"/>
          <w:color w:val="000000"/>
          <w:sz w:val="24"/>
          <w:szCs w:val="24"/>
        </w:rPr>
      </w:pPr>
      <w:r>
        <w:rPr>
          <w:rFonts w:ascii="Arial" w:hAnsi="Arial" w:cs="Arial"/>
          <w:color w:val="000000"/>
          <w:sz w:val="24"/>
          <w:szCs w:val="24"/>
        </w:rPr>
        <w:t>The importance of greeting the client in a warm and friendly manner cannot be over-emphasised enough. Greeting the client by making eye contact and address the client by their name as mentioned previously as well as professional and formally introducing yourself. In most cases before the covid pandemic, a greeting will also involve shaking hands. Solicitors must be mindful of any cultural differences which may prohibit the shaking of hands</w:t>
      </w:r>
      <w:r w:rsidR="00A37E87">
        <w:rPr>
          <w:rFonts w:ascii="Arial" w:hAnsi="Arial" w:cs="Arial"/>
          <w:color w:val="000000"/>
          <w:sz w:val="24"/>
          <w:szCs w:val="24"/>
        </w:rPr>
        <w:t xml:space="preserve">. Understanding diversity and equality it may be relevant to consider explaining to the client that as a firm we are not familiar with their culture and would not wish to cause offence. As stated in Elkington, Hotam, Shield and Verlander, 2021/22, </w:t>
      </w:r>
      <w:r w:rsidR="001A6876">
        <w:rPr>
          <w:rFonts w:ascii="Arial" w:hAnsi="Arial" w:cs="Arial"/>
          <w:color w:val="000000"/>
          <w:sz w:val="24"/>
          <w:szCs w:val="24"/>
        </w:rPr>
        <w:t>“many clients do not regularly consult solicitors. When they do have cause to visit your office, it is likely to be at a time when they are experiencing very difficult situations.”</w:t>
      </w:r>
    </w:p>
    <w:p w14:paraId="3C1377D2" w14:textId="570AFF7D" w:rsidR="001A6876" w:rsidRDefault="001A6876" w:rsidP="00EB351B">
      <w:pPr>
        <w:spacing w:line="480" w:lineRule="auto"/>
        <w:jc w:val="both"/>
        <w:rPr>
          <w:rFonts w:ascii="Arial" w:hAnsi="Arial" w:cs="Arial"/>
          <w:color w:val="000000"/>
          <w:sz w:val="24"/>
          <w:szCs w:val="24"/>
        </w:rPr>
      </w:pPr>
      <w:r>
        <w:rPr>
          <w:rFonts w:ascii="Arial" w:hAnsi="Arial" w:cs="Arial"/>
          <w:color w:val="000000"/>
          <w:sz w:val="24"/>
          <w:szCs w:val="24"/>
        </w:rPr>
        <w:t xml:space="preserve">Paragraph 8.7 of the SRA Codes of Conduct for Solicitors 2019 requires that clients are provided with the best information possible </w:t>
      </w:r>
      <w:proofErr w:type="gramStart"/>
      <w:r>
        <w:rPr>
          <w:rFonts w:ascii="Arial" w:hAnsi="Arial" w:cs="Arial"/>
          <w:color w:val="000000"/>
          <w:sz w:val="24"/>
          <w:szCs w:val="24"/>
        </w:rPr>
        <w:t>both of the time</w:t>
      </w:r>
      <w:proofErr w:type="gramEnd"/>
      <w:r>
        <w:rPr>
          <w:rFonts w:ascii="Arial" w:hAnsi="Arial" w:cs="Arial"/>
          <w:color w:val="000000"/>
          <w:sz w:val="24"/>
          <w:szCs w:val="24"/>
        </w:rPr>
        <w:t xml:space="preserve"> of engagement and as their matter progresses. It also makes sense at the start of the meeting by informing the client how long the meeting is </w:t>
      </w:r>
      <w:proofErr w:type="gramStart"/>
      <w:r>
        <w:rPr>
          <w:rFonts w:ascii="Arial" w:hAnsi="Arial" w:cs="Arial"/>
          <w:color w:val="000000"/>
          <w:sz w:val="24"/>
          <w:szCs w:val="24"/>
        </w:rPr>
        <w:t>for</w:t>
      </w:r>
      <w:proofErr w:type="gramEnd"/>
      <w:r>
        <w:rPr>
          <w:rFonts w:ascii="Arial" w:hAnsi="Arial" w:cs="Arial"/>
          <w:color w:val="000000"/>
          <w:sz w:val="24"/>
          <w:szCs w:val="24"/>
        </w:rPr>
        <w:t xml:space="preserve"> and it may be prudent to enquire if the client themselves are bound by any time constraints. In addition, if an interpreter is required for the </w:t>
      </w:r>
      <w:proofErr w:type="gramStart"/>
      <w:r>
        <w:rPr>
          <w:rFonts w:ascii="Arial" w:hAnsi="Arial" w:cs="Arial"/>
          <w:color w:val="000000"/>
          <w:sz w:val="24"/>
          <w:szCs w:val="24"/>
        </w:rPr>
        <w:t>meting</w:t>
      </w:r>
      <w:proofErr w:type="gramEnd"/>
      <w:r>
        <w:rPr>
          <w:rFonts w:ascii="Arial" w:hAnsi="Arial" w:cs="Arial"/>
          <w:color w:val="000000"/>
          <w:sz w:val="24"/>
          <w:szCs w:val="24"/>
        </w:rPr>
        <w:t xml:space="preserve"> then extra time should be allocated for the interview as everything will </w:t>
      </w:r>
      <w:r>
        <w:rPr>
          <w:rFonts w:ascii="Arial" w:hAnsi="Arial" w:cs="Arial"/>
          <w:color w:val="000000"/>
          <w:sz w:val="24"/>
          <w:szCs w:val="24"/>
        </w:rPr>
        <w:lastRenderedPageBreak/>
        <w:t xml:space="preserve">need to be repeated. </w:t>
      </w:r>
      <w:r w:rsidR="00C4156C">
        <w:rPr>
          <w:rFonts w:ascii="Arial" w:hAnsi="Arial" w:cs="Arial"/>
          <w:color w:val="000000"/>
          <w:sz w:val="24"/>
          <w:szCs w:val="24"/>
        </w:rPr>
        <w:t xml:space="preserve">In cases where there is an interpreter present solicitors should be mindful that their </w:t>
      </w:r>
      <w:proofErr w:type="gramStart"/>
      <w:r w:rsidR="00C4156C">
        <w:rPr>
          <w:rFonts w:ascii="Arial" w:hAnsi="Arial" w:cs="Arial"/>
          <w:color w:val="000000"/>
          <w:sz w:val="24"/>
          <w:szCs w:val="24"/>
        </w:rPr>
        <w:t>main focus</w:t>
      </w:r>
      <w:proofErr w:type="gramEnd"/>
      <w:r w:rsidR="00C4156C">
        <w:rPr>
          <w:rFonts w:ascii="Arial" w:hAnsi="Arial" w:cs="Arial"/>
          <w:color w:val="000000"/>
          <w:sz w:val="24"/>
          <w:szCs w:val="24"/>
        </w:rPr>
        <w:t xml:space="preserve"> is the client and the central focus of attention. The relationship between solicitor and client is central to the meeting and there should be no discussion of the interpreter’s views. A conflict may arise if the interpreter is a friend or relative of the client. In the scenarios side conversations may take place and in these circumstances the solicitor should ask for a translation of any such discussions. For the sake of clarity and transparency, an attendance memo must be produced after the meeting has concluded and thoughts and discussions from the meeting are still fresh in the solicitor’s mind. </w:t>
      </w:r>
    </w:p>
    <w:p w14:paraId="31732EBD" w14:textId="35DB573F" w:rsidR="00C72079" w:rsidRDefault="00C72079" w:rsidP="00EB351B">
      <w:pPr>
        <w:spacing w:line="480" w:lineRule="auto"/>
        <w:jc w:val="both"/>
        <w:rPr>
          <w:rFonts w:ascii="Arial" w:hAnsi="Arial" w:cs="Arial"/>
          <w:color w:val="000000"/>
          <w:sz w:val="24"/>
          <w:szCs w:val="24"/>
        </w:rPr>
      </w:pPr>
      <w:r>
        <w:rPr>
          <w:rFonts w:ascii="Arial" w:hAnsi="Arial" w:cs="Arial"/>
          <w:color w:val="000000"/>
          <w:sz w:val="24"/>
          <w:szCs w:val="24"/>
        </w:rPr>
        <w:t xml:space="preserve">At the closing stage of the meet, the solicitor needs to ensure that the client has a clear understanding of their matter and the cost involved. Providing the client with the time frame of completion, costs of the matter, when the next contact will take place and confirming that the advice provided in the meeting is available in a follow-up letter and an attendance memorandum will be stored on their file both electronically and on the physical file. </w:t>
      </w:r>
    </w:p>
    <w:p w14:paraId="0C8F5D4D" w14:textId="4744549C" w:rsidR="00896758" w:rsidRDefault="00896758" w:rsidP="00EB351B">
      <w:pPr>
        <w:spacing w:line="480" w:lineRule="auto"/>
        <w:jc w:val="both"/>
        <w:rPr>
          <w:rFonts w:ascii="Arial" w:hAnsi="Arial" w:cs="Arial"/>
          <w:color w:val="000000"/>
          <w:sz w:val="24"/>
          <w:szCs w:val="24"/>
        </w:rPr>
      </w:pPr>
      <w:r>
        <w:rPr>
          <w:rFonts w:ascii="Arial" w:hAnsi="Arial" w:cs="Arial"/>
          <w:color w:val="000000"/>
          <w:sz w:val="24"/>
          <w:szCs w:val="24"/>
        </w:rPr>
        <w:t xml:space="preserve">Research </w:t>
      </w:r>
      <w:r w:rsidR="00EA37DC">
        <w:rPr>
          <w:rFonts w:ascii="Arial" w:hAnsi="Arial" w:cs="Arial"/>
          <w:color w:val="000000"/>
          <w:sz w:val="24"/>
          <w:szCs w:val="24"/>
        </w:rPr>
        <w:t>and documented by Clements 2009</w:t>
      </w:r>
      <w:r>
        <w:rPr>
          <w:rFonts w:ascii="Arial" w:hAnsi="Arial" w:cs="Arial"/>
          <w:color w:val="000000"/>
          <w:sz w:val="24"/>
          <w:szCs w:val="24"/>
        </w:rPr>
        <w:t xml:space="preserve"> showed that “many people who share a common apprehension about equal opportunities: they want to be fair and treat people equally but are worried that they might easily do or say the wrong thing (perhaps </w:t>
      </w:r>
      <w:r w:rsidR="00EA37DC">
        <w:rPr>
          <w:rFonts w:ascii="Arial" w:hAnsi="Arial" w:cs="Arial"/>
          <w:color w:val="000000"/>
          <w:sz w:val="24"/>
          <w:szCs w:val="24"/>
        </w:rPr>
        <w:t xml:space="preserve">unconsciously) and upset or offend somebody”. </w:t>
      </w:r>
      <w:r w:rsidR="00F8528E">
        <w:rPr>
          <w:rFonts w:ascii="Arial" w:hAnsi="Arial" w:cs="Arial"/>
          <w:color w:val="000000"/>
          <w:sz w:val="24"/>
          <w:szCs w:val="24"/>
        </w:rPr>
        <w:t xml:space="preserve">Labelling, prejudice and stereotyping are typical traits of ignorance. Lack of knowledge or direct experience in dealing with others who are different to us. Not knowing or understanding the different cultures, dress code, beliefs cultural traditions often people will come up with their own interpretations due to lack of knowledge and understanding by using stereotyped labels. This is unacceptable and goes against the principles of the SRA Codes of Conduct. </w:t>
      </w:r>
    </w:p>
    <w:p w14:paraId="45C9BF8D" w14:textId="43E86D3C" w:rsidR="001A6876" w:rsidRDefault="00660619" w:rsidP="00EB351B">
      <w:pPr>
        <w:spacing w:line="480" w:lineRule="auto"/>
        <w:jc w:val="both"/>
        <w:rPr>
          <w:rFonts w:ascii="Arial" w:hAnsi="Arial" w:cs="Arial"/>
          <w:color w:val="000000"/>
          <w:sz w:val="24"/>
          <w:szCs w:val="24"/>
        </w:rPr>
      </w:pPr>
      <w:r>
        <w:rPr>
          <w:rFonts w:ascii="Arial" w:hAnsi="Arial" w:cs="Arial"/>
          <w:color w:val="000000"/>
          <w:sz w:val="24"/>
          <w:szCs w:val="24"/>
        </w:rPr>
        <w:lastRenderedPageBreak/>
        <w:t xml:space="preserve">In line with principle number 6 of the SRA Codes of Conduct 2019, solicitors must not make judgement of anyone race, colour, religion, sexual orientation, beliefs etc. All clients are to be treated equally, fairly and with integrity. Failure to do so will result in the solicitor being struck off. </w:t>
      </w:r>
    </w:p>
    <w:p w14:paraId="1DCA937F" w14:textId="7E130BFD" w:rsidR="00EB1157" w:rsidRDefault="00C25DED" w:rsidP="00EB1157">
      <w:pPr>
        <w:shd w:val="clear" w:color="auto" w:fill="FFFFFF"/>
        <w:spacing w:before="100" w:beforeAutospacing="1" w:after="100" w:afterAutospacing="1" w:line="480" w:lineRule="auto"/>
        <w:jc w:val="both"/>
        <w:rPr>
          <w:rFonts w:ascii="Arial" w:hAnsi="Arial" w:cs="Arial"/>
          <w:sz w:val="24"/>
          <w:szCs w:val="24"/>
        </w:rPr>
      </w:pPr>
      <w:r>
        <w:rPr>
          <w:rFonts w:ascii="Arial" w:hAnsi="Arial" w:cs="Arial"/>
          <w:sz w:val="24"/>
          <w:szCs w:val="24"/>
        </w:rPr>
        <w:t>All legal professionals must c</w:t>
      </w:r>
      <w:r w:rsidRPr="00C25DED">
        <w:rPr>
          <w:rFonts w:ascii="Arial" w:hAnsi="Arial" w:cs="Arial"/>
          <w:sz w:val="24"/>
          <w:szCs w:val="24"/>
        </w:rPr>
        <w:t>omply with the </w:t>
      </w:r>
      <w:r w:rsidRPr="00C25DED">
        <w:rPr>
          <w:rStyle w:val="Strong"/>
          <w:rFonts w:ascii="Arial" w:hAnsi="Arial" w:cs="Arial"/>
          <w:b w:val="0"/>
          <w:bCs w:val="0"/>
          <w:sz w:val="24"/>
          <w:szCs w:val="24"/>
        </w:rPr>
        <w:t>Equality Act 2010</w:t>
      </w:r>
      <w:r w:rsidRPr="00C25DED">
        <w:rPr>
          <w:rFonts w:ascii="Arial" w:hAnsi="Arial" w:cs="Arial"/>
          <w:sz w:val="24"/>
          <w:szCs w:val="24"/>
        </w:rPr>
        <w:t xml:space="preserve">, which outlines requirements related to protected characteristics </w:t>
      </w:r>
      <w:r>
        <w:rPr>
          <w:rFonts w:ascii="Arial" w:hAnsi="Arial" w:cs="Arial"/>
          <w:sz w:val="24"/>
          <w:szCs w:val="24"/>
        </w:rPr>
        <w:t>“</w:t>
      </w:r>
      <w:r w:rsidRPr="00C25DED">
        <w:rPr>
          <w:rFonts w:ascii="Arial" w:hAnsi="Arial" w:cs="Arial"/>
          <w:sz w:val="24"/>
          <w:szCs w:val="24"/>
        </w:rPr>
        <w:t>such as age, disability, gender reassignment, marriage and civil partnership, pregnancy and maternity, race, religion or belief, and sexual orientation</w:t>
      </w:r>
      <w:r w:rsidR="00EB1157">
        <w:rPr>
          <w:rFonts w:ascii="Arial" w:hAnsi="Arial" w:cs="Arial"/>
          <w:sz w:val="24"/>
          <w:szCs w:val="24"/>
        </w:rPr>
        <w:t>”</w:t>
      </w:r>
      <w:r w:rsidRPr="00C25DED">
        <w:rPr>
          <w:rFonts w:ascii="Arial" w:hAnsi="Arial" w:cs="Arial"/>
          <w:sz w:val="24"/>
          <w:szCs w:val="24"/>
        </w:rPr>
        <w:t>.</w:t>
      </w:r>
      <w:r w:rsidR="00EB1157">
        <w:rPr>
          <w:rFonts w:ascii="Arial" w:hAnsi="Arial" w:cs="Arial"/>
          <w:sz w:val="24"/>
          <w:szCs w:val="24"/>
        </w:rPr>
        <w:t xml:space="preserve"> In </w:t>
      </w:r>
      <w:proofErr w:type="gramStart"/>
      <w:r w:rsidR="00EB1157">
        <w:rPr>
          <w:rFonts w:ascii="Arial" w:hAnsi="Arial" w:cs="Arial"/>
          <w:sz w:val="24"/>
          <w:szCs w:val="24"/>
        </w:rPr>
        <w:t>addition</w:t>
      </w:r>
      <w:proofErr w:type="gramEnd"/>
      <w:r w:rsidR="00EB1157">
        <w:rPr>
          <w:rFonts w:ascii="Arial" w:hAnsi="Arial" w:cs="Arial"/>
          <w:sz w:val="24"/>
          <w:szCs w:val="24"/>
        </w:rPr>
        <w:t xml:space="preserve"> they must provide reasonable adjustments to disabled clients who are attending the offices as well as employee. This is to ensure that disabled clients and employees alike are not at a substantial disadvantage due to their disability. </w:t>
      </w:r>
    </w:p>
    <w:p w14:paraId="689578CB" w14:textId="17F989D9" w:rsidR="00EB1157" w:rsidRDefault="00EB1157" w:rsidP="00EB1157">
      <w:pPr>
        <w:shd w:val="clear" w:color="auto" w:fill="FFFFFF"/>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Equality, diversity and inclusion (EDI) are absolutely within the legal profession. A legal professional must take all necessary steps to encourage equality of opportunity for everyone and the respect for diversity. They must </w:t>
      </w:r>
      <w:proofErr w:type="gramStart"/>
      <w:r>
        <w:rPr>
          <w:rFonts w:ascii="Arial" w:hAnsi="Arial" w:cs="Arial"/>
          <w:sz w:val="24"/>
          <w:szCs w:val="24"/>
        </w:rPr>
        <w:t>be inclusive in all of their actions at all times</w:t>
      </w:r>
      <w:proofErr w:type="gramEnd"/>
      <w:r>
        <w:rPr>
          <w:rFonts w:ascii="Arial" w:hAnsi="Arial" w:cs="Arial"/>
          <w:sz w:val="24"/>
          <w:szCs w:val="24"/>
        </w:rPr>
        <w:t xml:space="preserve">. </w:t>
      </w:r>
    </w:p>
    <w:p w14:paraId="3B7E46A1" w14:textId="193AAB10" w:rsidR="001E6892" w:rsidRDefault="001E6892" w:rsidP="001E6892">
      <w:pPr>
        <w:shd w:val="clear" w:color="auto" w:fill="FFFFFF"/>
        <w:spacing w:before="100" w:beforeAutospacing="1" w:after="100" w:afterAutospacing="1" w:line="480" w:lineRule="auto"/>
        <w:jc w:val="both"/>
        <w:rPr>
          <w:rFonts w:ascii="Arial" w:hAnsi="Arial" w:cs="Arial"/>
          <w:sz w:val="24"/>
          <w:szCs w:val="24"/>
        </w:rPr>
      </w:pPr>
      <w:proofErr w:type="gramStart"/>
      <w:r>
        <w:rPr>
          <w:rFonts w:ascii="Arial" w:hAnsi="Arial" w:cs="Arial"/>
          <w:sz w:val="24"/>
          <w:szCs w:val="24"/>
          <w:shd w:val="clear" w:color="auto" w:fill="FFFFFF"/>
        </w:rPr>
        <w:t>Accordingly</w:t>
      </w:r>
      <w:proofErr w:type="gramEnd"/>
      <w:r>
        <w:rPr>
          <w:rFonts w:ascii="Arial" w:hAnsi="Arial" w:cs="Arial"/>
          <w:sz w:val="24"/>
          <w:szCs w:val="24"/>
          <w:shd w:val="clear" w:color="auto" w:fill="FFFFFF"/>
        </w:rPr>
        <w:t xml:space="preserve"> to legislation, “</w:t>
      </w:r>
      <w:r w:rsidRPr="001E6892">
        <w:rPr>
          <w:rFonts w:ascii="Arial" w:hAnsi="Arial" w:cs="Arial"/>
          <w:sz w:val="24"/>
          <w:szCs w:val="24"/>
          <w:shd w:val="clear" w:color="auto" w:fill="FFFFFF"/>
        </w:rPr>
        <w:t>The </w:t>
      </w:r>
      <w:r w:rsidRPr="001E6892">
        <w:rPr>
          <w:rStyle w:val="Strong"/>
          <w:rFonts w:ascii="Arial" w:hAnsi="Arial" w:cs="Arial"/>
          <w:b w:val="0"/>
          <w:bCs w:val="0"/>
          <w:sz w:val="24"/>
          <w:szCs w:val="24"/>
          <w:shd w:val="clear" w:color="auto" w:fill="FFFFFF"/>
        </w:rPr>
        <w:t>Equality Act 2010</w:t>
      </w:r>
      <w:r w:rsidRPr="001E6892">
        <w:rPr>
          <w:rFonts w:ascii="Arial" w:hAnsi="Arial" w:cs="Arial"/>
          <w:sz w:val="24"/>
          <w:szCs w:val="24"/>
          <w:shd w:val="clear" w:color="auto" w:fill="FFFFFF"/>
        </w:rPr>
        <w:t xml:space="preserve"> is a comprehensive piece of legislation in the United Kingdom that consolidates and simplifies previous equality laws. </w:t>
      </w:r>
      <w:r w:rsidRPr="001E6892">
        <w:rPr>
          <w:rFonts w:ascii="Arial" w:hAnsi="Arial" w:cs="Arial"/>
          <w:sz w:val="24"/>
          <w:szCs w:val="24"/>
        </w:rPr>
        <w:t>The Act applies not only to the workplace but also to wider society.</w:t>
      </w:r>
      <w:r>
        <w:rPr>
          <w:rFonts w:ascii="Arial" w:hAnsi="Arial" w:cs="Arial"/>
          <w:sz w:val="24"/>
          <w:szCs w:val="24"/>
        </w:rPr>
        <w:t xml:space="preserve">” The Act is to ensure that everyone is treated fairly and equally regardless of their background, upbringing or personal characteristics. </w:t>
      </w:r>
    </w:p>
    <w:p w14:paraId="6B8BE6F8" w14:textId="5F074C93" w:rsidR="00D83B92" w:rsidRPr="001E6892" w:rsidRDefault="00D83B92" w:rsidP="001E6892">
      <w:pPr>
        <w:shd w:val="clear" w:color="auto" w:fill="FFFFFF"/>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All legal professionals together with employers and even service providers must actively encourage equality, diversity and inclusion. Upholding these important </w:t>
      </w:r>
      <w:r>
        <w:rPr>
          <w:rFonts w:ascii="Arial" w:hAnsi="Arial" w:cs="Arial"/>
          <w:sz w:val="24"/>
          <w:szCs w:val="24"/>
        </w:rPr>
        <w:lastRenderedPageBreak/>
        <w:t xml:space="preserve">principles contributes to the legal systems and improved access to legal services and public perception and trust of the legal profession. </w:t>
      </w:r>
    </w:p>
    <w:p w14:paraId="5D314CBA" w14:textId="77777777" w:rsidR="00C25DED" w:rsidRDefault="00C25DED" w:rsidP="00EB351B">
      <w:pPr>
        <w:spacing w:line="480" w:lineRule="auto"/>
        <w:jc w:val="both"/>
        <w:rPr>
          <w:rFonts w:ascii="Arial" w:hAnsi="Arial" w:cs="Arial"/>
          <w:color w:val="000000"/>
          <w:sz w:val="24"/>
          <w:szCs w:val="24"/>
        </w:rPr>
      </w:pPr>
    </w:p>
    <w:p w14:paraId="2D574B5F" w14:textId="77777777" w:rsidR="00422CE5" w:rsidRDefault="00422CE5" w:rsidP="00EB351B">
      <w:pPr>
        <w:spacing w:line="480" w:lineRule="auto"/>
        <w:jc w:val="both"/>
        <w:rPr>
          <w:rFonts w:ascii="Arial" w:hAnsi="Arial" w:cs="Arial"/>
          <w:color w:val="000000"/>
          <w:sz w:val="24"/>
          <w:szCs w:val="24"/>
        </w:rPr>
      </w:pPr>
    </w:p>
    <w:p w14:paraId="47AC2692" w14:textId="4CA4430D" w:rsidR="00C25DED" w:rsidRDefault="00C25DED" w:rsidP="00C25DED">
      <w:pPr>
        <w:spacing w:after="160" w:line="259" w:lineRule="auto"/>
        <w:jc w:val="center"/>
        <w:rPr>
          <w:rFonts w:ascii="Arial" w:hAnsi="Arial" w:cs="Arial"/>
          <w:color w:val="000000"/>
          <w:sz w:val="24"/>
          <w:szCs w:val="24"/>
        </w:rPr>
      </w:pPr>
      <w:r>
        <w:rPr>
          <w:noProof/>
        </w:rPr>
        <w:drawing>
          <wp:inline distT="0" distB="0" distL="0" distR="0" wp14:anchorId="0ACBC533" wp14:editId="45C79103">
            <wp:extent cx="5731510" cy="5222240"/>
            <wp:effectExtent l="0" t="0" r="2540" b="0"/>
            <wp:docPr id="462284767" name="Picture 2" descr="Stephanie Thompson on Twitter: &quot;This is an awesome visual on d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phanie Thompson on Twitter: &quot;This is an awesome visual on diversit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222240"/>
                    </a:xfrm>
                    <a:prstGeom prst="rect">
                      <a:avLst/>
                    </a:prstGeom>
                    <a:noFill/>
                    <a:ln>
                      <a:noFill/>
                    </a:ln>
                  </pic:spPr>
                </pic:pic>
              </a:graphicData>
            </a:graphic>
          </wp:inline>
        </w:drawing>
      </w:r>
    </w:p>
    <w:p w14:paraId="67434FBC" w14:textId="347E5864" w:rsidR="001F6A1E" w:rsidRDefault="00C25DED" w:rsidP="00C25DED">
      <w:pPr>
        <w:pStyle w:val="Heading4"/>
      </w:pPr>
      <w:r>
        <w:fldChar w:fldCharType="begin"/>
      </w:r>
      <w:r>
        <w:instrText xml:space="preserve"> TOC \h \z \c "Figure" </w:instrText>
      </w:r>
      <w:r>
        <w:fldChar w:fldCharType="separate"/>
      </w:r>
      <w:r>
        <w:rPr>
          <w:b/>
          <w:bCs/>
          <w:noProof/>
        </w:rPr>
        <w:t>Figure 1.</w:t>
      </w:r>
      <w:r>
        <w:fldChar w:fldCharType="end"/>
      </w:r>
      <w:r w:rsidR="001F6A1E">
        <w:br w:type="page"/>
      </w:r>
    </w:p>
    <w:p w14:paraId="72FEA2DA" w14:textId="7858C8C4" w:rsidR="00443FF0" w:rsidRPr="00EB351B" w:rsidRDefault="001F6A1E" w:rsidP="001F6A1E">
      <w:pPr>
        <w:pStyle w:val="Heading4"/>
        <w:jc w:val="left"/>
      </w:pPr>
      <w:r>
        <w:lastRenderedPageBreak/>
        <w:t xml:space="preserve">References </w:t>
      </w:r>
    </w:p>
    <w:p w14:paraId="0367ED2E" w14:textId="76B49C8C" w:rsidR="00EB351B" w:rsidRDefault="00EB351B" w:rsidP="00EB351B">
      <w:pPr>
        <w:spacing w:line="480" w:lineRule="auto"/>
        <w:rPr>
          <w:rFonts w:ascii="Arial" w:hAnsi="Arial" w:cs="Arial"/>
          <w:color w:val="111111"/>
          <w:sz w:val="24"/>
          <w:szCs w:val="24"/>
          <w:shd w:val="clear" w:color="auto" w:fill="F9F9F9"/>
        </w:rPr>
      </w:pPr>
    </w:p>
    <w:p w14:paraId="66F76C07" w14:textId="77777777" w:rsidR="00B243BB" w:rsidRPr="00B243BB" w:rsidRDefault="00B243BB" w:rsidP="00B243BB">
      <w:pPr>
        <w:rPr>
          <w:rFonts w:ascii="Arial" w:hAnsi="Arial" w:cs="Arial"/>
          <w:sz w:val="24"/>
          <w:szCs w:val="24"/>
          <w:shd w:val="clear" w:color="auto" w:fill="FFFFFF"/>
        </w:rPr>
      </w:pPr>
      <w:r w:rsidRPr="00B243BB">
        <w:rPr>
          <w:rFonts w:ascii="Arial" w:hAnsi="Arial" w:cs="Arial"/>
          <w:sz w:val="24"/>
          <w:szCs w:val="24"/>
          <w:shd w:val="clear" w:color="auto" w:fill="FFFFFF"/>
        </w:rPr>
        <w:t>Clements, P., 2009. </w:t>
      </w:r>
      <w:r w:rsidRPr="00B243BB">
        <w:rPr>
          <w:rFonts w:ascii="Arial" w:hAnsi="Arial" w:cs="Arial"/>
          <w:i/>
          <w:iCs/>
          <w:sz w:val="24"/>
          <w:szCs w:val="24"/>
          <w:shd w:val="clear" w:color="auto" w:fill="FFFFFF"/>
        </w:rPr>
        <w:t>The equal opportunities handbook: how to recognise diversity, encourage fairness and promote anti-discriminatory practice</w:t>
      </w:r>
      <w:r w:rsidRPr="00B243BB">
        <w:rPr>
          <w:rFonts w:ascii="Arial" w:hAnsi="Arial" w:cs="Arial"/>
          <w:sz w:val="24"/>
          <w:szCs w:val="24"/>
          <w:shd w:val="clear" w:color="auto" w:fill="FFFFFF"/>
        </w:rPr>
        <w:t>. Kogan Page Publishers.</w:t>
      </w:r>
    </w:p>
    <w:p w14:paraId="107155DB" w14:textId="77777777" w:rsidR="00B243BB" w:rsidRPr="00B243BB" w:rsidRDefault="00B243BB" w:rsidP="00B243BB">
      <w:pPr>
        <w:spacing w:line="480" w:lineRule="auto"/>
        <w:rPr>
          <w:rFonts w:ascii="Arial" w:hAnsi="Arial" w:cs="Arial"/>
          <w:color w:val="111111"/>
          <w:sz w:val="24"/>
          <w:szCs w:val="24"/>
          <w:shd w:val="clear" w:color="auto" w:fill="F9F9F9"/>
        </w:rPr>
      </w:pPr>
    </w:p>
    <w:p w14:paraId="620C5B7B" w14:textId="77777777" w:rsidR="00B243BB" w:rsidRPr="00B243BB" w:rsidRDefault="00B243BB" w:rsidP="00B243BB">
      <w:pPr>
        <w:pStyle w:val="NormalWeb"/>
        <w:spacing w:before="0" w:beforeAutospacing="0" w:after="0" w:afterAutospacing="0" w:line="360" w:lineRule="atLeast"/>
        <w:rPr>
          <w:rFonts w:ascii="Arial" w:hAnsi="Arial" w:cs="Arial"/>
        </w:rPr>
      </w:pPr>
      <w:r w:rsidRPr="00B243BB">
        <w:rPr>
          <w:rFonts w:ascii="Arial" w:hAnsi="Arial" w:cs="Arial"/>
        </w:rPr>
        <w:t>Elkington, A. (2021). </w:t>
      </w:r>
      <w:r w:rsidRPr="00B243BB">
        <w:rPr>
          <w:rFonts w:ascii="Arial" w:hAnsi="Arial" w:cs="Arial"/>
          <w:i/>
          <w:iCs/>
        </w:rPr>
        <w:t>Skills for Lawyers 2021/2022</w:t>
      </w:r>
      <w:r w:rsidRPr="00B243BB">
        <w:rPr>
          <w:rFonts w:ascii="Arial" w:hAnsi="Arial" w:cs="Arial"/>
        </w:rPr>
        <w:t>. College of Law Publishing.</w:t>
      </w:r>
    </w:p>
    <w:p w14:paraId="2266EFDB" w14:textId="77777777" w:rsidR="00B243BB" w:rsidRPr="00B243BB" w:rsidRDefault="00B243BB" w:rsidP="00B243BB">
      <w:pPr>
        <w:spacing w:line="480" w:lineRule="auto"/>
        <w:rPr>
          <w:rFonts w:ascii="Arial" w:hAnsi="Arial" w:cs="Arial"/>
          <w:color w:val="111111"/>
          <w:sz w:val="24"/>
          <w:szCs w:val="24"/>
          <w:shd w:val="clear" w:color="auto" w:fill="F9F9F9"/>
        </w:rPr>
      </w:pPr>
    </w:p>
    <w:p w14:paraId="4CF9581A" w14:textId="77777777" w:rsidR="00B243BB" w:rsidRPr="00B243BB" w:rsidRDefault="00B243BB" w:rsidP="00B243BB">
      <w:pPr>
        <w:pStyle w:val="NormalWeb"/>
        <w:spacing w:before="0" w:beforeAutospacing="0" w:after="0" w:afterAutospacing="0" w:line="360" w:lineRule="atLeast"/>
        <w:rPr>
          <w:rFonts w:ascii="Arial" w:hAnsi="Arial" w:cs="Arial"/>
        </w:rPr>
      </w:pPr>
      <w:r w:rsidRPr="00B243BB">
        <w:rPr>
          <w:rFonts w:ascii="Arial" w:hAnsi="Arial" w:cs="Arial"/>
        </w:rPr>
        <w:t>Great Britain. Solicitors Regulation Authority (2021). </w:t>
      </w:r>
      <w:r w:rsidRPr="00B243BB">
        <w:rPr>
          <w:rFonts w:ascii="Arial" w:hAnsi="Arial" w:cs="Arial"/>
          <w:i/>
          <w:iCs/>
        </w:rPr>
        <w:t xml:space="preserve">SRA code of conduct and accounts </w:t>
      </w:r>
      <w:proofErr w:type="gramStart"/>
      <w:r w:rsidRPr="00B243BB">
        <w:rPr>
          <w:rFonts w:ascii="Arial" w:hAnsi="Arial" w:cs="Arial"/>
          <w:i/>
          <w:iCs/>
        </w:rPr>
        <w:t>rules :</w:t>
      </w:r>
      <w:proofErr w:type="gramEnd"/>
      <w:r w:rsidRPr="00B243BB">
        <w:rPr>
          <w:rFonts w:ascii="Arial" w:hAnsi="Arial" w:cs="Arial"/>
          <w:i/>
          <w:iCs/>
        </w:rPr>
        <w:t xml:space="preserve"> including the SRA practice framework rules</w:t>
      </w:r>
      <w:r w:rsidRPr="00B243BB">
        <w:rPr>
          <w:rFonts w:ascii="Arial" w:hAnsi="Arial" w:cs="Arial"/>
        </w:rPr>
        <w:t>. London: The Law Society.</w:t>
      </w:r>
    </w:p>
    <w:p w14:paraId="54EE171B" w14:textId="77777777" w:rsidR="00B243BB" w:rsidRPr="00B243BB" w:rsidRDefault="00B243BB" w:rsidP="00B243BB">
      <w:pPr>
        <w:spacing w:line="480" w:lineRule="auto"/>
        <w:rPr>
          <w:rFonts w:ascii="Arial" w:hAnsi="Arial" w:cs="Arial"/>
          <w:color w:val="111111"/>
          <w:sz w:val="24"/>
          <w:szCs w:val="24"/>
          <w:shd w:val="clear" w:color="auto" w:fill="F9F9F9"/>
        </w:rPr>
      </w:pPr>
    </w:p>
    <w:p w14:paraId="45631770" w14:textId="0B8FAF2C" w:rsidR="001F6A1E" w:rsidRPr="00B243BB" w:rsidRDefault="001F6A1E" w:rsidP="00B243BB">
      <w:pPr>
        <w:pStyle w:val="NormalWeb"/>
        <w:spacing w:before="0" w:beforeAutospacing="0" w:after="0" w:afterAutospacing="0" w:line="360" w:lineRule="atLeast"/>
        <w:rPr>
          <w:rFonts w:ascii="Arial" w:hAnsi="Arial" w:cs="Arial"/>
        </w:rPr>
      </w:pPr>
      <w:r w:rsidRPr="00B243BB">
        <w:rPr>
          <w:rFonts w:ascii="Arial" w:hAnsi="Arial" w:cs="Arial"/>
        </w:rPr>
        <w:t>Greenwald, R. (2021). </w:t>
      </w:r>
      <w:r w:rsidRPr="00B243BB">
        <w:rPr>
          <w:rFonts w:ascii="Arial" w:hAnsi="Arial" w:cs="Arial"/>
          <w:i/>
          <w:iCs/>
        </w:rPr>
        <w:t>A Matchmaker’s Advice on How to Make a Great First Impression at Work</w:t>
      </w:r>
      <w:r w:rsidRPr="00B243BB">
        <w:rPr>
          <w:rFonts w:ascii="Arial" w:hAnsi="Arial" w:cs="Arial"/>
        </w:rPr>
        <w:t xml:space="preserve">. [online] Harvard Business Review. Available at: </w:t>
      </w:r>
      <w:hyperlink r:id="rId11" w:history="1">
        <w:r w:rsidR="00263EA6" w:rsidRPr="00B243BB">
          <w:rPr>
            <w:rStyle w:val="Hyperlink"/>
            <w:rFonts w:ascii="Arial" w:hAnsi="Arial" w:cs="Arial"/>
            <w:color w:val="auto"/>
          </w:rPr>
          <w:t>https://hbr.org/2021/01/a-matchmakers-advice-on-how-to-make-a-great-first-impression-at-work</w:t>
        </w:r>
      </w:hyperlink>
      <w:r w:rsidRPr="00B243BB">
        <w:rPr>
          <w:rFonts w:ascii="Arial" w:hAnsi="Arial" w:cs="Arial"/>
        </w:rPr>
        <w:t>.</w:t>
      </w:r>
    </w:p>
    <w:p w14:paraId="2BD784AA" w14:textId="77777777" w:rsidR="00422CE5" w:rsidRPr="00B243BB" w:rsidRDefault="00422CE5" w:rsidP="00B243BB">
      <w:pPr>
        <w:pStyle w:val="NormalWeb"/>
        <w:spacing w:before="0" w:beforeAutospacing="0" w:after="0" w:afterAutospacing="0" w:line="360" w:lineRule="atLeast"/>
        <w:rPr>
          <w:rFonts w:ascii="Arial" w:hAnsi="Arial" w:cs="Arial"/>
        </w:rPr>
      </w:pPr>
    </w:p>
    <w:p w14:paraId="1CA3D9E1" w14:textId="77777777" w:rsidR="00B243BB" w:rsidRPr="00B243BB" w:rsidRDefault="00B243BB" w:rsidP="00B243BB">
      <w:pPr>
        <w:pStyle w:val="NormalWeb"/>
        <w:rPr>
          <w:rFonts w:ascii="Arial" w:hAnsi="Arial" w:cs="Arial"/>
          <w:shd w:val="clear" w:color="auto" w:fill="FFFFFF"/>
        </w:rPr>
      </w:pPr>
      <w:r w:rsidRPr="00B243BB">
        <w:rPr>
          <w:rFonts w:ascii="Arial" w:hAnsi="Arial" w:cs="Arial"/>
          <w:shd w:val="clear" w:color="auto" w:fill="FFFFFF"/>
        </w:rPr>
        <w:t>Kay, F. and Gorman, E., 2008. Women in the legal profession. </w:t>
      </w:r>
      <w:r w:rsidRPr="00B243BB">
        <w:rPr>
          <w:rFonts w:ascii="Arial" w:hAnsi="Arial" w:cs="Arial"/>
          <w:i/>
          <w:iCs/>
          <w:shd w:val="clear" w:color="auto" w:fill="FFFFFF"/>
        </w:rPr>
        <w:t>Annual Review of Law and Social Science</w:t>
      </w:r>
      <w:r w:rsidRPr="00B243BB">
        <w:rPr>
          <w:rFonts w:ascii="Arial" w:hAnsi="Arial" w:cs="Arial"/>
          <w:shd w:val="clear" w:color="auto" w:fill="FFFFFF"/>
        </w:rPr>
        <w:t>, </w:t>
      </w:r>
      <w:r w:rsidRPr="00B243BB">
        <w:rPr>
          <w:rFonts w:ascii="Arial" w:hAnsi="Arial" w:cs="Arial"/>
          <w:i/>
          <w:iCs/>
          <w:shd w:val="clear" w:color="auto" w:fill="FFFFFF"/>
        </w:rPr>
        <w:t>4</w:t>
      </w:r>
      <w:r w:rsidRPr="00B243BB">
        <w:rPr>
          <w:rFonts w:ascii="Arial" w:hAnsi="Arial" w:cs="Arial"/>
          <w:shd w:val="clear" w:color="auto" w:fill="FFFFFF"/>
        </w:rPr>
        <w:t>, pp.299-332.</w:t>
      </w:r>
    </w:p>
    <w:p w14:paraId="01BBCC93" w14:textId="77777777" w:rsidR="00B243BB" w:rsidRPr="00B243BB" w:rsidRDefault="00B243BB" w:rsidP="00B243BB">
      <w:pPr>
        <w:pStyle w:val="NormalWeb"/>
        <w:spacing w:before="0" w:beforeAutospacing="0" w:after="0" w:afterAutospacing="0" w:line="360" w:lineRule="atLeast"/>
        <w:rPr>
          <w:rFonts w:ascii="Arial" w:hAnsi="Arial" w:cs="Arial"/>
        </w:rPr>
      </w:pPr>
    </w:p>
    <w:p w14:paraId="336F20AE" w14:textId="77777777" w:rsidR="00B243BB" w:rsidRPr="00B243BB" w:rsidRDefault="00B243BB" w:rsidP="00B243BB">
      <w:pPr>
        <w:pStyle w:val="NormalWeb"/>
        <w:spacing w:before="0" w:beforeAutospacing="0" w:after="0" w:afterAutospacing="0"/>
        <w:rPr>
          <w:rFonts w:ascii="Arial" w:hAnsi="Arial" w:cs="Arial"/>
        </w:rPr>
      </w:pPr>
      <w:r w:rsidRPr="00B243BB">
        <w:rPr>
          <w:rFonts w:ascii="Arial" w:hAnsi="Arial" w:cs="Arial"/>
          <w:shd w:val="clear" w:color="auto" w:fill="FFFFFF"/>
        </w:rPr>
        <w:t xml:space="preserve">Kay, F.M., </w:t>
      </w:r>
      <w:proofErr w:type="spellStart"/>
      <w:r w:rsidRPr="00B243BB">
        <w:rPr>
          <w:rFonts w:ascii="Arial" w:hAnsi="Arial" w:cs="Arial"/>
          <w:shd w:val="clear" w:color="auto" w:fill="FFFFFF"/>
        </w:rPr>
        <w:t>Masuch</w:t>
      </w:r>
      <w:proofErr w:type="spellEnd"/>
      <w:r w:rsidRPr="00B243BB">
        <w:rPr>
          <w:rFonts w:ascii="Arial" w:hAnsi="Arial" w:cs="Arial"/>
          <w:shd w:val="clear" w:color="auto" w:fill="FFFFFF"/>
        </w:rPr>
        <w:t>, C., Curry, P., Sheehy, E. and McIntyre, S., 2006. Growing diversity and emergent change: gender and ethnicity in the legal profession. </w:t>
      </w:r>
      <w:r w:rsidRPr="00B243BB">
        <w:rPr>
          <w:rFonts w:ascii="Arial" w:hAnsi="Arial" w:cs="Arial"/>
          <w:i/>
          <w:iCs/>
          <w:shd w:val="clear" w:color="auto" w:fill="FFFFFF"/>
        </w:rPr>
        <w:t>Calling for change: women, law and the legal profession</w:t>
      </w:r>
      <w:r w:rsidRPr="00B243BB">
        <w:rPr>
          <w:rFonts w:ascii="Arial" w:hAnsi="Arial" w:cs="Arial"/>
          <w:shd w:val="clear" w:color="auto" w:fill="FFFFFF"/>
        </w:rPr>
        <w:t>, pp.203-36.</w:t>
      </w:r>
    </w:p>
    <w:p w14:paraId="72B8A8EE" w14:textId="77777777" w:rsidR="00263EA6" w:rsidRPr="00B243BB" w:rsidRDefault="00263EA6" w:rsidP="00B243BB">
      <w:pPr>
        <w:pStyle w:val="NormalWeb"/>
        <w:spacing w:before="0" w:beforeAutospacing="0" w:after="0" w:afterAutospacing="0" w:line="360" w:lineRule="atLeast"/>
        <w:rPr>
          <w:rFonts w:ascii="Arial" w:hAnsi="Arial" w:cs="Arial"/>
        </w:rPr>
      </w:pPr>
    </w:p>
    <w:p w14:paraId="1B1FD5DA" w14:textId="77777777" w:rsidR="00B243BB" w:rsidRPr="00B243BB" w:rsidRDefault="00B243BB" w:rsidP="00B243BB">
      <w:pPr>
        <w:pStyle w:val="NormalWeb"/>
        <w:rPr>
          <w:rFonts w:ascii="Arial" w:hAnsi="Arial" w:cs="Arial"/>
        </w:rPr>
      </w:pPr>
      <w:r w:rsidRPr="00B243BB">
        <w:rPr>
          <w:rFonts w:ascii="Arial" w:hAnsi="Arial" w:cs="Arial"/>
          <w:shd w:val="clear" w:color="auto" w:fill="FFFFFF"/>
        </w:rPr>
        <w:t>Kirton, G. and Greene, A.M., 2015. </w:t>
      </w:r>
      <w:r w:rsidRPr="00B243BB">
        <w:rPr>
          <w:rFonts w:ascii="Arial" w:hAnsi="Arial" w:cs="Arial"/>
          <w:i/>
          <w:iCs/>
          <w:shd w:val="clear" w:color="auto" w:fill="FFFFFF"/>
        </w:rPr>
        <w:t>The dynamics of managing diversity: A critical approach</w:t>
      </w:r>
      <w:r w:rsidRPr="00B243BB">
        <w:rPr>
          <w:rFonts w:ascii="Arial" w:hAnsi="Arial" w:cs="Arial"/>
          <w:shd w:val="clear" w:color="auto" w:fill="FFFFFF"/>
        </w:rPr>
        <w:t>. Routledge.</w:t>
      </w:r>
    </w:p>
    <w:p w14:paraId="2543C1D0" w14:textId="77777777" w:rsidR="00B243BB" w:rsidRPr="00B243BB" w:rsidRDefault="00B243BB" w:rsidP="00B243BB">
      <w:pPr>
        <w:pStyle w:val="NormalWeb"/>
        <w:spacing w:before="0" w:beforeAutospacing="0" w:after="0" w:afterAutospacing="0" w:line="360" w:lineRule="atLeast"/>
        <w:rPr>
          <w:rFonts w:ascii="Arial" w:hAnsi="Arial" w:cs="Arial"/>
        </w:rPr>
      </w:pPr>
    </w:p>
    <w:p w14:paraId="0F4E28CE" w14:textId="77777777" w:rsidR="00B243BB" w:rsidRPr="00B243BB" w:rsidRDefault="00B243BB" w:rsidP="00B243BB">
      <w:pPr>
        <w:pStyle w:val="NormalWeb"/>
        <w:spacing w:before="0" w:beforeAutospacing="0" w:after="0" w:afterAutospacing="0" w:line="360" w:lineRule="atLeast"/>
        <w:rPr>
          <w:rFonts w:ascii="Arial" w:hAnsi="Arial" w:cs="Arial"/>
          <w:color w:val="000000"/>
        </w:rPr>
      </w:pPr>
      <w:r w:rsidRPr="00B243BB">
        <w:rPr>
          <w:rFonts w:ascii="Arial" w:hAnsi="Arial" w:cs="Arial"/>
          <w:color w:val="000000"/>
        </w:rPr>
        <w:t>Legislation.gov.uk (2010). </w:t>
      </w:r>
      <w:r w:rsidRPr="00B243BB">
        <w:rPr>
          <w:rFonts w:ascii="Arial" w:hAnsi="Arial" w:cs="Arial"/>
          <w:i/>
          <w:iCs/>
          <w:color w:val="000000"/>
        </w:rPr>
        <w:t>Equality Act 2010</w:t>
      </w:r>
      <w:r w:rsidRPr="00B243BB">
        <w:rPr>
          <w:rFonts w:ascii="Arial" w:hAnsi="Arial" w:cs="Arial"/>
          <w:color w:val="000000"/>
        </w:rPr>
        <w:t>. [online] legislation.gov.uk. Available at: https://www.legislation.gov.uk/ukpga/2010/15/contents.</w:t>
      </w:r>
    </w:p>
    <w:p w14:paraId="47728466" w14:textId="77777777" w:rsidR="00B243BB" w:rsidRPr="00B243BB" w:rsidRDefault="00B243BB" w:rsidP="00B243BB">
      <w:pPr>
        <w:pStyle w:val="NormalWeb"/>
        <w:spacing w:before="0" w:beforeAutospacing="0" w:after="0" w:afterAutospacing="0" w:line="360" w:lineRule="atLeast"/>
        <w:rPr>
          <w:rFonts w:ascii="Arial" w:hAnsi="Arial" w:cs="Arial"/>
        </w:rPr>
      </w:pPr>
    </w:p>
    <w:p w14:paraId="0AA19FE0" w14:textId="7F58A400" w:rsidR="00263EA6" w:rsidRPr="00B243BB" w:rsidRDefault="00263EA6" w:rsidP="00B243BB">
      <w:pPr>
        <w:pStyle w:val="NormalWeb"/>
        <w:spacing w:before="0" w:beforeAutospacing="0" w:after="0" w:afterAutospacing="0"/>
        <w:rPr>
          <w:rFonts w:ascii="Arial" w:hAnsi="Arial" w:cs="Arial"/>
          <w:shd w:val="clear" w:color="auto" w:fill="FFFFFF"/>
        </w:rPr>
      </w:pPr>
      <w:r w:rsidRPr="00B243BB">
        <w:rPr>
          <w:rFonts w:ascii="Arial" w:hAnsi="Arial" w:cs="Arial"/>
          <w:shd w:val="clear" w:color="auto" w:fill="FFFFFF"/>
        </w:rPr>
        <w:t>Mitchell, M., 2008. </w:t>
      </w:r>
      <w:r w:rsidRPr="00B243BB">
        <w:rPr>
          <w:rFonts w:ascii="Arial" w:hAnsi="Arial" w:cs="Arial"/>
          <w:i/>
          <w:iCs/>
          <w:shd w:val="clear" w:color="auto" w:fill="FFFFFF"/>
        </w:rPr>
        <w:t>The first five minutes: How to make a great first impression in any business situation</w:t>
      </w:r>
      <w:r w:rsidRPr="00B243BB">
        <w:rPr>
          <w:rFonts w:ascii="Arial" w:hAnsi="Arial" w:cs="Arial"/>
          <w:shd w:val="clear" w:color="auto" w:fill="FFFFFF"/>
        </w:rPr>
        <w:t>. Turner Publishing Company.</w:t>
      </w:r>
    </w:p>
    <w:p w14:paraId="384FE7E3" w14:textId="77777777" w:rsidR="00422CE5" w:rsidRPr="00B243BB" w:rsidRDefault="00422CE5" w:rsidP="00B243BB">
      <w:pPr>
        <w:pStyle w:val="NormalWeb"/>
        <w:spacing w:before="0" w:beforeAutospacing="0" w:after="0" w:afterAutospacing="0"/>
        <w:rPr>
          <w:rFonts w:ascii="Arial" w:hAnsi="Arial" w:cs="Arial"/>
          <w:shd w:val="clear" w:color="auto" w:fill="FFFFFF"/>
        </w:rPr>
      </w:pPr>
    </w:p>
    <w:p w14:paraId="64D37C4D" w14:textId="77777777" w:rsidR="00B243BB" w:rsidRPr="00B243BB" w:rsidRDefault="00B243BB" w:rsidP="00B243BB">
      <w:pPr>
        <w:pStyle w:val="NormalWeb"/>
        <w:rPr>
          <w:rFonts w:ascii="Arial" w:hAnsi="Arial" w:cs="Arial"/>
          <w:shd w:val="clear" w:color="auto" w:fill="FFFFFF"/>
        </w:rPr>
      </w:pPr>
      <w:r w:rsidRPr="00B243BB">
        <w:rPr>
          <w:rFonts w:ascii="Arial" w:hAnsi="Arial" w:cs="Arial"/>
          <w:shd w:val="clear" w:color="auto" w:fill="FFFFFF"/>
        </w:rPr>
        <w:lastRenderedPageBreak/>
        <w:t xml:space="preserve">Nicolson, D., 2005. Demography, discrimination and diversity: a new dawn for the British legal </w:t>
      </w:r>
      <w:proofErr w:type="gramStart"/>
      <w:r w:rsidRPr="00B243BB">
        <w:rPr>
          <w:rFonts w:ascii="Arial" w:hAnsi="Arial" w:cs="Arial"/>
          <w:shd w:val="clear" w:color="auto" w:fill="FFFFFF"/>
        </w:rPr>
        <w:t>profession?.</w:t>
      </w:r>
      <w:proofErr w:type="gramEnd"/>
      <w:r w:rsidRPr="00B243BB">
        <w:rPr>
          <w:rFonts w:ascii="Arial" w:hAnsi="Arial" w:cs="Arial"/>
          <w:shd w:val="clear" w:color="auto" w:fill="FFFFFF"/>
        </w:rPr>
        <w:t> </w:t>
      </w:r>
      <w:r w:rsidRPr="00B243BB">
        <w:rPr>
          <w:rFonts w:ascii="Arial" w:hAnsi="Arial" w:cs="Arial"/>
          <w:i/>
          <w:iCs/>
          <w:shd w:val="clear" w:color="auto" w:fill="FFFFFF"/>
        </w:rPr>
        <w:t>International Journal of the Legal Profession</w:t>
      </w:r>
      <w:r w:rsidRPr="00B243BB">
        <w:rPr>
          <w:rFonts w:ascii="Arial" w:hAnsi="Arial" w:cs="Arial"/>
          <w:shd w:val="clear" w:color="auto" w:fill="FFFFFF"/>
        </w:rPr>
        <w:t>, </w:t>
      </w:r>
      <w:r w:rsidRPr="00B243BB">
        <w:rPr>
          <w:rFonts w:ascii="Arial" w:hAnsi="Arial" w:cs="Arial"/>
          <w:i/>
          <w:iCs/>
          <w:shd w:val="clear" w:color="auto" w:fill="FFFFFF"/>
        </w:rPr>
        <w:t>12</w:t>
      </w:r>
      <w:r w:rsidRPr="00B243BB">
        <w:rPr>
          <w:rFonts w:ascii="Arial" w:hAnsi="Arial" w:cs="Arial"/>
          <w:shd w:val="clear" w:color="auto" w:fill="FFFFFF"/>
        </w:rPr>
        <w:t>(2), pp.201-228.</w:t>
      </w:r>
    </w:p>
    <w:p w14:paraId="52C240AA" w14:textId="77777777" w:rsidR="00422CE5" w:rsidRPr="00B243BB" w:rsidRDefault="001F6A1E" w:rsidP="00B243BB">
      <w:pPr>
        <w:pStyle w:val="NormalWeb"/>
        <w:rPr>
          <w:rFonts w:ascii="Arial" w:hAnsi="Arial" w:cs="Arial"/>
        </w:rPr>
      </w:pPr>
      <w:r w:rsidRPr="00B243BB">
        <w:rPr>
          <w:rFonts w:ascii="Arial" w:hAnsi="Arial" w:cs="Arial"/>
        </w:rPr>
        <w:t>‌</w:t>
      </w:r>
    </w:p>
    <w:p w14:paraId="058709D2" w14:textId="1EEF05E7" w:rsidR="001F6A1E" w:rsidRPr="00B243BB" w:rsidRDefault="00422CE5" w:rsidP="00B243BB">
      <w:pPr>
        <w:pStyle w:val="NormalWeb"/>
        <w:rPr>
          <w:rFonts w:ascii="Arial" w:hAnsi="Arial" w:cs="Arial"/>
          <w:shd w:val="clear" w:color="auto" w:fill="FFFFFF"/>
        </w:rPr>
      </w:pPr>
      <w:r w:rsidRPr="00B243BB">
        <w:rPr>
          <w:rFonts w:ascii="Arial" w:hAnsi="Arial" w:cs="Arial"/>
          <w:shd w:val="clear" w:color="auto" w:fill="FFFFFF"/>
        </w:rPr>
        <w:t>Rhode, D.L., 2013. Diversity and Gender Equality in Legal Practice. </w:t>
      </w:r>
      <w:r w:rsidRPr="00B243BB">
        <w:rPr>
          <w:rFonts w:ascii="Arial" w:hAnsi="Arial" w:cs="Arial"/>
          <w:i/>
          <w:iCs/>
          <w:shd w:val="clear" w:color="auto" w:fill="FFFFFF"/>
        </w:rPr>
        <w:t>U. Cin. L. Rev.</w:t>
      </w:r>
      <w:r w:rsidRPr="00B243BB">
        <w:rPr>
          <w:rFonts w:ascii="Arial" w:hAnsi="Arial" w:cs="Arial"/>
          <w:shd w:val="clear" w:color="auto" w:fill="FFFFFF"/>
        </w:rPr>
        <w:t>, </w:t>
      </w:r>
      <w:r w:rsidRPr="00B243BB">
        <w:rPr>
          <w:rFonts w:ascii="Arial" w:hAnsi="Arial" w:cs="Arial"/>
          <w:i/>
          <w:iCs/>
          <w:shd w:val="clear" w:color="auto" w:fill="FFFFFF"/>
        </w:rPr>
        <w:t>82</w:t>
      </w:r>
      <w:r w:rsidRPr="00B243BB">
        <w:rPr>
          <w:rFonts w:ascii="Arial" w:hAnsi="Arial" w:cs="Arial"/>
          <w:shd w:val="clear" w:color="auto" w:fill="FFFFFF"/>
        </w:rPr>
        <w:t>, p.871.</w:t>
      </w:r>
    </w:p>
    <w:p w14:paraId="54168701" w14:textId="77777777" w:rsidR="00B243BB" w:rsidRPr="00B243BB" w:rsidRDefault="00B243BB" w:rsidP="00B243BB">
      <w:pPr>
        <w:rPr>
          <w:rFonts w:ascii="Arial" w:hAnsi="Arial" w:cs="Arial"/>
          <w:sz w:val="24"/>
          <w:szCs w:val="24"/>
          <w:shd w:val="clear" w:color="auto" w:fill="FFFFFF"/>
        </w:rPr>
      </w:pPr>
      <w:r w:rsidRPr="00B243BB">
        <w:rPr>
          <w:rFonts w:ascii="Arial" w:hAnsi="Arial" w:cs="Arial"/>
          <w:sz w:val="24"/>
          <w:szCs w:val="24"/>
          <w:shd w:val="clear" w:color="auto" w:fill="FFFFFF"/>
        </w:rPr>
        <w:t>Segall, S., 2013. </w:t>
      </w:r>
      <w:r w:rsidRPr="00B243BB">
        <w:rPr>
          <w:rFonts w:ascii="Arial" w:hAnsi="Arial" w:cs="Arial"/>
          <w:i/>
          <w:iCs/>
          <w:sz w:val="24"/>
          <w:szCs w:val="24"/>
          <w:shd w:val="clear" w:color="auto" w:fill="FFFFFF"/>
        </w:rPr>
        <w:t>Equality and opportunity</w:t>
      </w:r>
      <w:r w:rsidRPr="00B243BB">
        <w:rPr>
          <w:rFonts w:ascii="Arial" w:hAnsi="Arial" w:cs="Arial"/>
          <w:sz w:val="24"/>
          <w:szCs w:val="24"/>
          <w:shd w:val="clear" w:color="auto" w:fill="FFFFFF"/>
        </w:rPr>
        <w:t>. OUP Oxford.</w:t>
      </w:r>
    </w:p>
    <w:p w14:paraId="030988C7" w14:textId="77777777" w:rsidR="001F6A1E" w:rsidRPr="00B243BB" w:rsidRDefault="001F6A1E" w:rsidP="00B243BB">
      <w:pPr>
        <w:spacing w:line="480" w:lineRule="auto"/>
        <w:rPr>
          <w:rFonts w:ascii="Arial" w:hAnsi="Arial" w:cs="Arial"/>
          <w:sz w:val="24"/>
          <w:szCs w:val="24"/>
          <w:shd w:val="clear" w:color="auto" w:fill="F9F9F9"/>
        </w:rPr>
      </w:pPr>
    </w:p>
    <w:p w14:paraId="1A5E0B2F" w14:textId="74D31E4E" w:rsidR="00422CE5" w:rsidRPr="00B243BB" w:rsidRDefault="00422CE5" w:rsidP="00B243BB">
      <w:pPr>
        <w:rPr>
          <w:rFonts w:ascii="Arial" w:hAnsi="Arial" w:cs="Arial"/>
          <w:sz w:val="24"/>
          <w:szCs w:val="24"/>
          <w:shd w:val="clear" w:color="auto" w:fill="FFFFFF"/>
        </w:rPr>
      </w:pPr>
      <w:proofErr w:type="spellStart"/>
      <w:r w:rsidRPr="00B243BB">
        <w:rPr>
          <w:rFonts w:ascii="Arial" w:hAnsi="Arial" w:cs="Arial"/>
          <w:sz w:val="24"/>
          <w:szCs w:val="24"/>
          <w:shd w:val="clear" w:color="auto" w:fill="FFFFFF"/>
        </w:rPr>
        <w:t>Sommerlad</w:t>
      </w:r>
      <w:proofErr w:type="spellEnd"/>
      <w:r w:rsidRPr="00B243BB">
        <w:rPr>
          <w:rFonts w:ascii="Arial" w:hAnsi="Arial" w:cs="Arial"/>
          <w:sz w:val="24"/>
          <w:szCs w:val="24"/>
          <w:shd w:val="clear" w:color="auto" w:fill="FFFFFF"/>
        </w:rPr>
        <w:t>, H., Harris-Short, S., Vaughan, S. and Young, R. eds., 2015. </w:t>
      </w:r>
      <w:r w:rsidRPr="00B243BB">
        <w:rPr>
          <w:rFonts w:ascii="Arial" w:hAnsi="Arial" w:cs="Arial"/>
          <w:i/>
          <w:iCs/>
          <w:sz w:val="24"/>
          <w:szCs w:val="24"/>
          <w:shd w:val="clear" w:color="auto" w:fill="FFFFFF"/>
        </w:rPr>
        <w:t>The futures of legal education and the legal profession</w:t>
      </w:r>
      <w:r w:rsidRPr="00B243BB">
        <w:rPr>
          <w:rFonts w:ascii="Arial" w:hAnsi="Arial" w:cs="Arial"/>
          <w:sz w:val="24"/>
          <w:szCs w:val="24"/>
          <w:shd w:val="clear" w:color="auto" w:fill="FFFFFF"/>
        </w:rPr>
        <w:t>. Bloomsbury Publishing.</w:t>
      </w:r>
    </w:p>
    <w:p w14:paraId="316D69BB" w14:textId="77777777" w:rsidR="00EA37DC" w:rsidRPr="00B243BB" w:rsidRDefault="00EA37DC" w:rsidP="00B243BB">
      <w:pPr>
        <w:rPr>
          <w:rFonts w:ascii="Arial" w:hAnsi="Arial" w:cs="Arial"/>
          <w:sz w:val="24"/>
          <w:szCs w:val="24"/>
          <w:shd w:val="clear" w:color="auto" w:fill="FFFFFF"/>
        </w:rPr>
      </w:pPr>
    </w:p>
    <w:p w14:paraId="11BD345B" w14:textId="77777777" w:rsidR="00C25DED" w:rsidRPr="00B243BB" w:rsidRDefault="00C25DED" w:rsidP="00B243BB">
      <w:pPr>
        <w:pStyle w:val="NormalWeb"/>
        <w:spacing w:before="0" w:beforeAutospacing="0" w:after="0" w:afterAutospacing="0" w:line="360" w:lineRule="atLeast"/>
        <w:rPr>
          <w:rFonts w:ascii="Arial" w:hAnsi="Arial" w:cs="Arial"/>
        </w:rPr>
      </w:pPr>
    </w:p>
    <w:p w14:paraId="17B68261" w14:textId="14CA1A3E" w:rsidR="00C25DED" w:rsidRPr="00B243BB" w:rsidRDefault="00C25DED" w:rsidP="00B243BB">
      <w:pPr>
        <w:pStyle w:val="NormalWeb"/>
        <w:spacing w:before="0" w:beforeAutospacing="0" w:after="0" w:afterAutospacing="0" w:line="360" w:lineRule="atLeast"/>
        <w:rPr>
          <w:rFonts w:ascii="Arial" w:hAnsi="Arial" w:cs="Arial"/>
        </w:rPr>
      </w:pPr>
      <w:r w:rsidRPr="00B243BB">
        <w:rPr>
          <w:rFonts w:ascii="Arial" w:hAnsi="Arial" w:cs="Arial"/>
        </w:rPr>
        <w:t>www.sra.org.uk. (2019). </w:t>
      </w:r>
      <w:r w:rsidRPr="00B243BB">
        <w:rPr>
          <w:rFonts w:ascii="Arial" w:hAnsi="Arial" w:cs="Arial"/>
          <w:i/>
          <w:iCs/>
        </w:rPr>
        <w:t>The SRA’s approach to equality, diversity and inclusion - Guidance</w:t>
      </w:r>
      <w:r w:rsidRPr="00B243BB">
        <w:rPr>
          <w:rFonts w:ascii="Arial" w:hAnsi="Arial" w:cs="Arial"/>
        </w:rPr>
        <w:t xml:space="preserve">. [online] Available at: </w:t>
      </w:r>
      <w:hyperlink r:id="rId12" w:history="1">
        <w:r w:rsidR="00EB1157" w:rsidRPr="00B243BB">
          <w:rPr>
            <w:rStyle w:val="Hyperlink"/>
            <w:rFonts w:ascii="Arial" w:hAnsi="Arial" w:cs="Arial"/>
            <w:color w:val="auto"/>
          </w:rPr>
          <w:t>https://www.sra.org.uk/solicitors/guidance/sra-approach-equality-diversity-inclusion/</w:t>
        </w:r>
      </w:hyperlink>
      <w:r w:rsidRPr="00B243BB">
        <w:rPr>
          <w:rFonts w:ascii="Arial" w:hAnsi="Arial" w:cs="Arial"/>
        </w:rPr>
        <w:t>.</w:t>
      </w:r>
    </w:p>
    <w:p w14:paraId="24C02B4A" w14:textId="77777777" w:rsidR="00EB1157" w:rsidRPr="00B243BB" w:rsidRDefault="00EB1157" w:rsidP="00B243BB">
      <w:pPr>
        <w:pStyle w:val="NormalWeb"/>
        <w:spacing w:before="0" w:beforeAutospacing="0" w:after="0" w:afterAutospacing="0" w:line="360" w:lineRule="atLeast"/>
        <w:rPr>
          <w:rFonts w:ascii="Arial" w:hAnsi="Arial" w:cs="Arial"/>
          <w:color w:val="000000"/>
        </w:rPr>
      </w:pPr>
    </w:p>
    <w:p w14:paraId="3BAB422E" w14:textId="77777777" w:rsidR="00EB1157" w:rsidRPr="00B243BB" w:rsidRDefault="00EB1157" w:rsidP="00B243BB">
      <w:pPr>
        <w:pStyle w:val="NormalWeb"/>
        <w:rPr>
          <w:rFonts w:ascii="Arial" w:hAnsi="Arial" w:cs="Arial"/>
          <w:color w:val="000000"/>
        </w:rPr>
      </w:pPr>
      <w:r w:rsidRPr="00B243BB">
        <w:rPr>
          <w:rFonts w:ascii="Arial" w:hAnsi="Arial" w:cs="Arial"/>
          <w:color w:val="000000"/>
        </w:rPr>
        <w:t>‌</w:t>
      </w:r>
    </w:p>
    <w:p w14:paraId="27057A7D" w14:textId="77777777" w:rsidR="00EB1157" w:rsidRDefault="00EB1157" w:rsidP="00C25DED">
      <w:pPr>
        <w:pStyle w:val="NormalWeb"/>
        <w:spacing w:before="0" w:beforeAutospacing="0" w:after="0" w:afterAutospacing="0" w:line="360" w:lineRule="atLeast"/>
        <w:rPr>
          <w:rFonts w:ascii="Calibri" w:hAnsi="Calibri" w:cs="Calibri"/>
          <w:color w:val="000000"/>
          <w:sz w:val="27"/>
          <w:szCs w:val="27"/>
        </w:rPr>
      </w:pPr>
    </w:p>
    <w:p w14:paraId="4FB491B0" w14:textId="77777777" w:rsidR="00C25DED" w:rsidRDefault="00C25DED" w:rsidP="00C25DED">
      <w:pPr>
        <w:pStyle w:val="NormalWeb"/>
        <w:rPr>
          <w:rFonts w:ascii="Calibri" w:hAnsi="Calibri" w:cs="Calibri"/>
          <w:color w:val="000000"/>
          <w:sz w:val="27"/>
          <w:szCs w:val="27"/>
        </w:rPr>
      </w:pPr>
      <w:r>
        <w:rPr>
          <w:rFonts w:ascii="Calibri" w:hAnsi="Calibri" w:cs="Calibri"/>
          <w:color w:val="000000"/>
          <w:sz w:val="27"/>
          <w:szCs w:val="27"/>
        </w:rPr>
        <w:t>‌</w:t>
      </w:r>
    </w:p>
    <w:p w14:paraId="7EC571F0" w14:textId="5D45ED98" w:rsidR="00EA37DC" w:rsidRPr="00C25DED" w:rsidRDefault="00EA37DC" w:rsidP="00EA37DC">
      <w:pPr>
        <w:pStyle w:val="NormalWeb"/>
        <w:rPr>
          <w:rFonts w:ascii="Calibri" w:hAnsi="Calibri" w:cs="Calibri"/>
          <w:sz w:val="27"/>
          <w:szCs w:val="27"/>
        </w:rPr>
      </w:pPr>
    </w:p>
    <w:p w14:paraId="5A522B04" w14:textId="77777777" w:rsidR="00EA37DC" w:rsidRPr="00C25DED" w:rsidRDefault="00EA37DC" w:rsidP="00EA37DC">
      <w:pPr>
        <w:pStyle w:val="NormalWeb"/>
        <w:spacing w:before="0" w:beforeAutospacing="0" w:after="0" w:afterAutospacing="0" w:line="360" w:lineRule="atLeast"/>
        <w:rPr>
          <w:rFonts w:ascii="Calibri" w:hAnsi="Calibri" w:cs="Calibri"/>
          <w:sz w:val="27"/>
          <w:szCs w:val="27"/>
        </w:rPr>
      </w:pPr>
    </w:p>
    <w:p w14:paraId="64716419" w14:textId="77777777" w:rsidR="00EA37DC" w:rsidRPr="00C25DED" w:rsidRDefault="00EA37DC" w:rsidP="00EA37DC">
      <w:pPr>
        <w:pStyle w:val="NormalWeb"/>
        <w:rPr>
          <w:rFonts w:ascii="Calibri" w:hAnsi="Calibri" w:cs="Calibri"/>
          <w:sz w:val="27"/>
          <w:szCs w:val="27"/>
        </w:rPr>
      </w:pPr>
      <w:r w:rsidRPr="00C25DED">
        <w:rPr>
          <w:rFonts w:ascii="Calibri" w:hAnsi="Calibri" w:cs="Calibri"/>
          <w:sz w:val="27"/>
          <w:szCs w:val="27"/>
        </w:rPr>
        <w:t>‌</w:t>
      </w:r>
    </w:p>
    <w:p w14:paraId="6E8B58C8" w14:textId="77777777" w:rsidR="00EA37DC" w:rsidRPr="00C25DED" w:rsidRDefault="00EA37DC" w:rsidP="00422CE5">
      <w:pPr>
        <w:rPr>
          <w:rFonts w:ascii="Arial" w:hAnsi="Arial" w:cs="Arial"/>
          <w:sz w:val="24"/>
          <w:szCs w:val="24"/>
          <w:shd w:val="clear" w:color="auto" w:fill="FFFFFF"/>
        </w:rPr>
      </w:pPr>
    </w:p>
    <w:sectPr w:rsidR="00EA37DC" w:rsidRPr="00C25DED" w:rsidSect="00156119">
      <w:headerReference w:type="default" r:id="rId1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D64E8" w14:textId="77777777" w:rsidR="00156119" w:rsidRDefault="00156119" w:rsidP="00156119">
      <w:r>
        <w:separator/>
      </w:r>
    </w:p>
  </w:endnote>
  <w:endnote w:type="continuationSeparator" w:id="0">
    <w:p w14:paraId="472A254D" w14:textId="77777777" w:rsidR="00156119" w:rsidRDefault="00156119" w:rsidP="001561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AAEE6" w14:textId="77777777" w:rsidR="00156119" w:rsidRDefault="00156119">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2A642B47" w14:textId="77777777" w:rsidR="00156119" w:rsidRDefault="00156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6311F" w14:textId="77777777" w:rsidR="00156119" w:rsidRDefault="00156119" w:rsidP="00156119">
      <w:r>
        <w:separator/>
      </w:r>
    </w:p>
  </w:footnote>
  <w:footnote w:type="continuationSeparator" w:id="0">
    <w:p w14:paraId="68E27207" w14:textId="77777777" w:rsidR="00156119" w:rsidRDefault="00156119" w:rsidP="001561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88B93" w14:textId="01FDA0D0" w:rsidR="00156119" w:rsidRDefault="00156119">
    <w:pPr>
      <w:pStyle w:val="Header"/>
      <w:jc w:val="center"/>
    </w:pPr>
  </w:p>
  <w:p w14:paraId="501C1337" w14:textId="77777777" w:rsidR="00156119" w:rsidRDefault="001561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2F7"/>
    <w:multiLevelType w:val="multilevel"/>
    <w:tmpl w:val="C802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D5C82"/>
    <w:multiLevelType w:val="multilevel"/>
    <w:tmpl w:val="729438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700C7F"/>
    <w:multiLevelType w:val="multilevel"/>
    <w:tmpl w:val="29B67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7226B"/>
    <w:multiLevelType w:val="multilevel"/>
    <w:tmpl w:val="42646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0626F7"/>
    <w:multiLevelType w:val="multilevel"/>
    <w:tmpl w:val="F398A4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370D2"/>
    <w:multiLevelType w:val="hybridMultilevel"/>
    <w:tmpl w:val="ED184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802126">
    <w:abstractNumId w:val="6"/>
  </w:num>
  <w:num w:numId="2" w16cid:durableId="894394816">
    <w:abstractNumId w:val="5"/>
  </w:num>
  <w:num w:numId="3" w16cid:durableId="322050596">
    <w:abstractNumId w:val="3"/>
  </w:num>
  <w:num w:numId="4" w16cid:durableId="499006351">
    <w:abstractNumId w:val="0"/>
  </w:num>
  <w:num w:numId="5" w16cid:durableId="845436278">
    <w:abstractNumId w:val="4"/>
  </w:num>
  <w:num w:numId="6" w16cid:durableId="952784822">
    <w:abstractNumId w:val="1"/>
  </w:num>
  <w:num w:numId="7" w16cid:durableId="637224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3ED"/>
    <w:rsid w:val="000253ED"/>
    <w:rsid w:val="000E58CA"/>
    <w:rsid w:val="00156119"/>
    <w:rsid w:val="00170B49"/>
    <w:rsid w:val="001A6876"/>
    <w:rsid w:val="001E6892"/>
    <w:rsid w:val="001E7CA9"/>
    <w:rsid w:val="001F6A1E"/>
    <w:rsid w:val="002317F9"/>
    <w:rsid w:val="00263EA6"/>
    <w:rsid w:val="002C0959"/>
    <w:rsid w:val="004126E3"/>
    <w:rsid w:val="00422CE5"/>
    <w:rsid w:val="00443FF0"/>
    <w:rsid w:val="004A2795"/>
    <w:rsid w:val="004A32DB"/>
    <w:rsid w:val="00503B06"/>
    <w:rsid w:val="005750DC"/>
    <w:rsid w:val="00647250"/>
    <w:rsid w:val="00660619"/>
    <w:rsid w:val="007A3188"/>
    <w:rsid w:val="00893776"/>
    <w:rsid w:val="00896758"/>
    <w:rsid w:val="009043FF"/>
    <w:rsid w:val="009060A1"/>
    <w:rsid w:val="009D04CC"/>
    <w:rsid w:val="00A37E87"/>
    <w:rsid w:val="00AD128C"/>
    <w:rsid w:val="00B243BB"/>
    <w:rsid w:val="00B95F1B"/>
    <w:rsid w:val="00C25DED"/>
    <w:rsid w:val="00C4156C"/>
    <w:rsid w:val="00C72079"/>
    <w:rsid w:val="00D83B92"/>
    <w:rsid w:val="00D925E5"/>
    <w:rsid w:val="00D92D88"/>
    <w:rsid w:val="00DC20DE"/>
    <w:rsid w:val="00E165E4"/>
    <w:rsid w:val="00EA37DC"/>
    <w:rsid w:val="00EB1157"/>
    <w:rsid w:val="00EB351B"/>
    <w:rsid w:val="00F07B57"/>
    <w:rsid w:val="00F354B1"/>
    <w:rsid w:val="00F65B49"/>
    <w:rsid w:val="00F67E35"/>
    <w:rsid w:val="00F8528E"/>
    <w:rsid w:val="00FF4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87EE2"/>
  <w15:chartTrackingRefBased/>
  <w15:docId w15:val="{A93B1D1F-2F3C-418E-BA51-CAD3158E9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3E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0253ED"/>
    <w:pPr>
      <w:keepNext/>
      <w:jc w:val="both"/>
      <w:outlineLvl w:val="1"/>
    </w:pPr>
    <w:rPr>
      <w:b/>
      <w:sz w:val="24"/>
    </w:rPr>
  </w:style>
  <w:style w:type="paragraph" w:styleId="Heading4">
    <w:name w:val="heading 4"/>
    <w:basedOn w:val="Normal"/>
    <w:next w:val="Normal"/>
    <w:link w:val="Heading4Char"/>
    <w:qFormat/>
    <w:rsid w:val="000253E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253ED"/>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0253ED"/>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uiPriority w:val="99"/>
    <w:rsid w:val="000253ED"/>
    <w:pPr>
      <w:tabs>
        <w:tab w:val="center" w:pos="4153"/>
        <w:tab w:val="right" w:pos="8306"/>
      </w:tabs>
    </w:pPr>
  </w:style>
  <w:style w:type="character" w:customStyle="1" w:styleId="HeaderChar">
    <w:name w:val="Header Char"/>
    <w:basedOn w:val="DefaultParagraphFont"/>
    <w:link w:val="Header"/>
    <w:uiPriority w:val="99"/>
    <w:rsid w:val="000253ED"/>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link w:val="ListParagraphChar"/>
    <w:qFormat/>
    <w:rsid w:val="000253ED"/>
    <w:pPr>
      <w:ind w:left="720"/>
      <w:contextualSpacing/>
    </w:pPr>
  </w:style>
  <w:style w:type="character" w:customStyle="1" w:styleId="ListParagraphChar">
    <w:name w:val="List Paragraph Char"/>
    <w:link w:val="ListParagraph"/>
    <w:locked/>
    <w:rsid w:val="000253ED"/>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893776"/>
    <w:rPr>
      <w:b/>
      <w:bCs/>
    </w:rPr>
  </w:style>
  <w:style w:type="paragraph" w:styleId="NormalWeb">
    <w:name w:val="Normal (Web)"/>
    <w:basedOn w:val="Normal"/>
    <w:uiPriority w:val="99"/>
    <w:semiHidden/>
    <w:unhideWhenUsed/>
    <w:rsid w:val="001F6A1E"/>
    <w:pPr>
      <w:spacing w:before="100" w:beforeAutospacing="1" w:after="100" w:afterAutospacing="1"/>
    </w:pPr>
    <w:rPr>
      <w:sz w:val="24"/>
      <w:szCs w:val="24"/>
    </w:rPr>
  </w:style>
  <w:style w:type="character" w:styleId="Hyperlink">
    <w:name w:val="Hyperlink"/>
    <w:basedOn w:val="DefaultParagraphFont"/>
    <w:uiPriority w:val="99"/>
    <w:unhideWhenUsed/>
    <w:rsid w:val="00263EA6"/>
    <w:rPr>
      <w:color w:val="0563C1" w:themeColor="hyperlink"/>
      <w:u w:val="single"/>
    </w:rPr>
  </w:style>
  <w:style w:type="character" w:styleId="UnresolvedMention">
    <w:name w:val="Unresolved Mention"/>
    <w:basedOn w:val="DefaultParagraphFont"/>
    <w:uiPriority w:val="99"/>
    <w:semiHidden/>
    <w:unhideWhenUsed/>
    <w:rsid w:val="00263EA6"/>
    <w:rPr>
      <w:color w:val="605E5C"/>
      <w:shd w:val="clear" w:color="auto" w:fill="E1DFDD"/>
    </w:rPr>
  </w:style>
  <w:style w:type="paragraph" w:styleId="TableofFigures">
    <w:name w:val="table of figures"/>
    <w:basedOn w:val="Normal"/>
    <w:next w:val="Normal"/>
    <w:uiPriority w:val="99"/>
    <w:semiHidden/>
    <w:unhideWhenUsed/>
    <w:rsid w:val="00C25DED"/>
  </w:style>
  <w:style w:type="character" w:styleId="FollowedHyperlink">
    <w:name w:val="FollowedHyperlink"/>
    <w:basedOn w:val="DefaultParagraphFont"/>
    <w:uiPriority w:val="99"/>
    <w:semiHidden/>
    <w:unhideWhenUsed/>
    <w:rsid w:val="001E6892"/>
    <w:rPr>
      <w:color w:val="954F72" w:themeColor="followedHyperlink"/>
      <w:u w:val="single"/>
    </w:rPr>
  </w:style>
  <w:style w:type="paragraph" w:styleId="Footer">
    <w:name w:val="footer"/>
    <w:basedOn w:val="Normal"/>
    <w:link w:val="FooterChar"/>
    <w:uiPriority w:val="99"/>
    <w:unhideWhenUsed/>
    <w:rsid w:val="00156119"/>
    <w:pPr>
      <w:tabs>
        <w:tab w:val="center" w:pos="4513"/>
        <w:tab w:val="right" w:pos="9026"/>
      </w:tabs>
    </w:pPr>
  </w:style>
  <w:style w:type="character" w:customStyle="1" w:styleId="FooterChar">
    <w:name w:val="Footer Char"/>
    <w:basedOn w:val="DefaultParagraphFont"/>
    <w:link w:val="Footer"/>
    <w:uiPriority w:val="99"/>
    <w:rsid w:val="00156119"/>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82179">
      <w:bodyDiv w:val="1"/>
      <w:marLeft w:val="0"/>
      <w:marRight w:val="0"/>
      <w:marTop w:val="0"/>
      <w:marBottom w:val="0"/>
      <w:divBdr>
        <w:top w:val="none" w:sz="0" w:space="0" w:color="auto"/>
        <w:left w:val="none" w:sz="0" w:space="0" w:color="auto"/>
        <w:bottom w:val="none" w:sz="0" w:space="0" w:color="auto"/>
        <w:right w:val="none" w:sz="0" w:space="0" w:color="auto"/>
      </w:divBdr>
    </w:div>
    <w:div w:id="268201209">
      <w:bodyDiv w:val="1"/>
      <w:marLeft w:val="0"/>
      <w:marRight w:val="0"/>
      <w:marTop w:val="0"/>
      <w:marBottom w:val="0"/>
      <w:divBdr>
        <w:top w:val="none" w:sz="0" w:space="0" w:color="auto"/>
        <w:left w:val="none" w:sz="0" w:space="0" w:color="auto"/>
        <w:bottom w:val="none" w:sz="0" w:space="0" w:color="auto"/>
        <w:right w:val="none" w:sz="0" w:space="0" w:color="auto"/>
      </w:divBdr>
    </w:div>
    <w:div w:id="378866212">
      <w:bodyDiv w:val="1"/>
      <w:marLeft w:val="0"/>
      <w:marRight w:val="0"/>
      <w:marTop w:val="0"/>
      <w:marBottom w:val="0"/>
      <w:divBdr>
        <w:top w:val="none" w:sz="0" w:space="0" w:color="auto"/>
        <w:left w:val="none" w:sz="0" w:space="0" w:color="auto"/>
        <w:bottom w:val="none" w:sz="0" w:space="0" w:color="auto"/>
        <w:right w:val="none" w:sz="0" w:space="0" w:color="auto"/>
      </w:divBdr>
    </w:div>
    <w:div w:id="709498885">
      <w:bodyDiv w:val="1"/>
      <w:marLeft w:val="0"/>
      <w:marRight w:val="0"/>
      <w:marTop w:val="0"/>
      <w:marBottom w:val="0"/>
      <w:divBdr>
        <w:top w:val="none" w:sz="0" w:space="0" w:color="auto"/>
        <w:left w:val="none" w:sz="0" w:space="0" w:color="auto"/>
        <w:bottom w:val="none" w:sz="0" w:space="0" w:color="auto"/>
        <w:right w:val="none" w:sz="0" w:space="0" w:color="auto"/>
      </w:divBdr>
    </w:div>
    <w:div w:id="766582149">
      <w:bodyDiv w:val="1"/>
      <w:marLeft w:val="0"/>
      <w:marRight w:val="0"/>
      <w:marTop w:val="0"/>
      <w:marBottom w:val="0"/>
      <w:divBdr>
        <w:top w:val="none" w:sz="0" w:space="0" w:color="auto"/>
        <w:left w:val="none" w:sz="0" w:space="0" w:color="auto"/>
        <w:bottom w:val="none" w:sz="0" w:space="0" w:color="auto"/>
        <w:right w:val="none" w:sz="0" w:space="0" w:color="auto"/>
      </w:divBdr>
    </w:div>
    <w:div w:id="787159116">
      <w:bodyDiv w:val="1"/>
      <w:marLeft w:val="0"/>
      <w:marRight w:val="0"/>
      <w:marTop w:val="0"/>
      <w:marBottom w:val="0"/>
      <w:divBdr>
        <w:top w:val="none" w:sz="0" w:space="0" w:color="auto"/>
        <w:left w:val="none" w:sz="0" w:space="0" w:color="auto"/>
        <w:bottom w:val="none" w:sz="0" w:space="0" w:color="auto"/>
        <w:right w:val="none" w:sz="0" w:space="0" w:color="auto"/>
      </w:divBdr>
    </w:div>
    <w:div w:id="976031023">
      <w:bodyDiv w:val="1"/>
      <w:marLeft w:val="0"/>
      <w:marRight w:val="0"/>
      <w:marTop w:val="0"/>
      <w:marBottom w:val="0"/>
      <w:divBdr>
        <w:top w:val="none" w:sz="0" w:space="0" w:color="auto"/>
        <w:left w:val="none" w:sz="0" w:space="0" w:color="auto"/>
        <w:bottom w:val="none" w:sz="0" w:space="0" w:color="auto"/>
        <w:right w:val="none" w:sz="0" w:space="0" w:color="auto"/>
      </w:divBdr>
    </w:div>
    <w:div w:id="1011418681">
      <w:bodyDiv w:val="1"/>
      <w:marLeft w:val="0"/>
      <w:marRight w:val="0"/>
      <w:marTop w:val="0"/>
      <w:marBottom w:val="0"/>
      <w:divBdr>
        <w:top w:val="none" w:sz="0" w:space="0" w:color="auto"/>
        <w:left w:val="none" w:sz="0" w:space="0" w:color="auto"/>
        <w:bottom w:val="none" w:sz="0" w:space="0" w:color="auto"/>
        <w:right w:val="none" w:sz="0" w:space="0" w:color="auto"/>
      </w:divBdr>
    </w:div>
    <w:div w:id="1276713159">
      <w:bodyDiv w:val="1"/>
      <w:marLeft w:val="0"/>
      <w:marRight w:val="0"/>
      <w:marTop w:val="0"/>
      <w:marBottom w:val="0"/>
      <w:divBdr>
        <w:top w:val="none" w:sz="0" w:space="0" w:color="auto"/>
        <w:left w:val="none" w:sz="0" w:space="0" w:color="auto"/>
        <w:bottom w:val="none" w:sz="0" w:space="0" w:color="auto"/>
        <w:right w:val="none" w:sz="0" w:space="0" w:color="auto"/>
      </w:divBdr>
    </w:div>
    <w:div w:id="1381787331">
      <w:bodyDiv w:val="1"/>
      <w:marLeft w:val="0"/>
      <w:marRight w:val="0"/>
      <w:marTop w:val="0"/>
      <w:marBottom w:val="0"/>
      <w:divBdr>
        <w:top w:val="none" w:sz="0" w:space="0" w:color="auto"/>
        <w:left w:val="none" w:sz="0" w:space="0" w:color="auto"/>
        <w:bottom w:val="none" w:sz="0" w:space="0" w:color="auto"/>
        <w:right w:val="none" w:sz="0" w:space="0" w:color="auto"/>
      </w:divBdr>
    </w:div>
    <w:div w:id="1488866117">
      <w:bodyDiv w:val="1"/>
      <w:marLeft w:val="0"/>
      <w:marRight w:val="0"/>
      <w:marTop w:val="0"/>
      <w:marBottom w:val="0"/>
      <w:divBdr>
        <w:top w:val="none" w:sz="0" w:space="0" w:color="auto"/>
        <w:left w:val="none" w:sz="0" w:space="0" w:color="auto"/>
        <w:bottom w:val="none" w:sz="0" w:space="0" w:color="auto"/>
        <w:right w:val="none" w:sz="0" w:space="0" w:color="auto"/>
      </w:divBdr>
    </w:div>
    <w:div w:id="1498688308">
      <w:bodyDiv w:val="1"/>
      <w:marLeft w:val="0"/>
      <w:marRight w:val="0"/>
      <w:marTop w:val="0"/>
      <w:marBottom w:val="0"/>
      <w:divBdr>
        <w:top w:val="none" w:sz="0" w:space="0" w:color="auto"/>
        <w:left w:val="none" w:sz="0" w:space="0" w:color="auto"/>
        <w:bottom w:val="none" w:sz="0" w:space="0" w:color="auto"/>
        <w:right w:val="none" w:sz="0" w:space="0" w:color="auto"/>
      </w:divBdr>
    </w:div>
    <w:div w:id="1885175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ra.org.uk/solicitors/guidance/sra-approach-equality-diversity-inclus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1/01/a-matchmakers-advice-on-how-to-make-a-great-first-impression-at-wor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1E2D6-DD00-4E8B-933B-9FA009394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9</Pages>
  <Words>1752</Words>
  <Characters>9988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21</cp:revision>
  <dcterms:created xsi:type="dcterms:W3CDTF">2024-03-13T10:38:00Z</dcterms:created>
  <dcterms:modified xsi:type="dcterms:W3CDTF">2024-03-13T20:58:00Z</dcterms:modified>
</cp:coreProperties>
</file>