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D58249" w14:textId="77777777" w:rsidR="000042FD" w:rsidRDefault="000042FD" w:rsidP="000042FD">
      <w:pPr>
        <w:spacing w:line="360" w:lineRule="auto"/>
        <w:rPr>
          <w:rFonts w:ascii="Arial" w:hAnsi="Arial" w:cs="Arial"/>
          <w:b/>
          <w:bCs/>
          <w:color w:val="153D63" w:themeColor="text2" w:themeTint="E6"/>
          <w:sz w:val="40"/>
          <w:szCs w:val="40"/>
        </w:rPr>
      </w:pPr>
    </w:p>
    <w:p w14:paraId="5F9777C2" w14:textId="77777777" w:rsidR="000042FD" w:rsidRDefault="000042FD" w:rsidP="000042FD">
      <w:pPr>
        <w:spacing w:line="360" w:lineRule="auto"/>
        <w:rPr>
          <w:rFonts w:ascii="Arial" w:hAnsi="Arial" w:cs="Arial"/>
          <w:b/>
          <w:bCs/>
          <w:color w:val="153D63" w:themeColor="text2" w:themeTint="E6"/>
          <w:sz w:val="40"/>
          <w:szCs w:val="40"/>
        </w:rPr>
      </w:pPr>
    </w:p>
    <w:p w14:paraId="468857D3" w14:textId="44F3FF57" w:rsidR="000042FD" w:rsidRPr="000042FD" w:rsidRDefault="000042FD" w:rsidP="000042FD">
      <w:pPr>
        <w:spacing w:line="360" w:lineRule="auto"/>
        <w:rPr>
          <w:rFonts w:ascii="Arial" w:hAnsi="Arial" w:cs="Arial"/>
          <w:b/>
          <w:bCs/>
          <w:color w:val="153D63" w:themeColor="text2" w:themeTint="E6"/>
          <w:sz w:val="40"/>
          <w:szCs w:val="40"/>
        </w:rPr>
      </w:pPr>
      <w:r w:rsidRPr="000042FD">
        <w:rPr>
          <w:rFonts w:ascii="Arial" w:hAnsi="Arial" w:cs="Arial"/>
          <w:b/>
          <w:bCs/>
          <w:color w:val="153D63" w:themeColor="text2" w:themeTint="E6"/>
          <w:sz w:val="40"/>
          <w:szCs w:val="40"/>
        </w:rPr>
        <w:t>Student Name</w:t>
      </w:r>
      <w:r w:rsidRPr="000042FD">
        <w:rPr>
          <w:rFonts w:ascii="Arial" w:hAnsi="Arial" w:cs="Arial"/>
          <w:b/>
          <w:bCs/>
          <w:color w:val="153D63" w:themeColor="text2" w:themeTint="E6"/>
          <w:sz w:val="40"/>
          <w:szCs w:val="40"/>
        </w:rPr>
        <w:t xml:space="preserve"> </w:t>
      </w:r>
      <w:r w:rsidRPr="000042FD">
        <w:rPr>
          <w:rFonts w:ascii="Arial" w:hAnsi="Arial" w:cs="Arial"/>
          <w:b/>
          <w:bCs/>
          <w:color w:val="153D63" w:themeColor="text2" w:themeTint="E6"/>
          <w:sz w:val="40"/>
          <w:szCs w:val="40"/>
        </w:rPr>
        <w:t>:</w:t>
      </w:r>
      <w:r w:rsidRPr="000042FD">
        <w:rPr>
          <w:rFonts w:ascii="Arial" w:hAnsi="Arial" w:cs="Arial"/>
          <w:b/>
          <w:bCs/>
          <w:color w:val="153D63" w:themeColor="text2" w:themeTint="E6"/>
          <w:sz w:val="40"/>
          <w:szCs w:val="40"/>
        </w:rPr>
        <w:t xml:space="preserve"> Raluca Nicoleta Caruntu</w:t>
      </w:r>
    </w:p>
    <w:p w14:paraId="0EAE0434" w14:textId="2F2EAE66" w:rsidR="000042FD" w:rsidRPr="000042FD" w:rsidRDefault="000042FD" w:rsidP="000042FD">
      <w:pPr>
        <w:spacing w:line="360" w:lineRule="auto"/>
        <w:rPr>
          <w:rFonts w:ascii="Arial" w:hAnsi="Arial" w:cs="Arial"/>
          <w:b/>
          <w:bCs/>
          <w:color w:val="153D63" w:themeColor="text2" w:themeTint="E6"/>
          <w:sz w:val="40"/>
          <w:szCs w:val="40"/>
        </w:rPr>
      </w:pPr>
      <w:r w:rsidRPr="000042FD">
        <w:rPr>
          <w:rFonts w:ascii="Arial" w:hAnsi="Arial" w:cs="Arial"/>
          <w:b/>
          <w:bCs/>
          <w:color w:val="153D63" w:themeColor="text2" w:themeTint="E6"/>
          <w:sz w:val="40"/>
          <w:szCs w:val="40"/>
        </w:rPr>
        <w:t>Student Number :  2410738</w:t>
      </w:r>
    </w:p>
    <w:p w14:paraId="779E10B7" w14:textId="08F7B772" w:rsidR="000042FD" w:rsidRPr="000042FD" w:rsidRDefault="000042FD" w:rsidP="000042FD">
      <w:pPr>
        <w:spacing w:line="360" w:lineRule="auto"/>
        <w:rPr>
          <w:rFonts w:ascii="Arial" w:hAnsi="Arial" w:cs="Arial"/>
          <w:b/>
          <w:bCs/>
          <w:color w:val="153D63" w:themeColor="text2" w:themeTint="E6"/>
          <w:sz w:val="40"/>
          <w:szCs w:val="40"/>
        </w:rPr>
      </w:pPr>
      <w:r w:rsidRPr="000042FD">
        <w:rPr>
          <w:rFonts w:ascii="Arial" w:hAnsi="Arial" w:cs="Arial"/>
          <w:b/>
          <w:bCs/>
          <w:color w:val="153D63" w:themeColor="text2" w:themeTint="E6"/>
          <w:sz w:val="40"/>
          <w:szCs w:val="40"/>
        </w:rPr>
        <w:t>Programme</w:t>
      </w:r>
      <w:r w:rsidRPr="000042FD">
        <w:rPr>
          <w:rFonts w:ascii="Arial" w:hAnsi="Arial" w:cs="Arial"/>
          <w:b/>
          <w:bCs/>
          <w:color w:val="153D63" w:themeColor="text2" w:themeTint="E6"/>
          <w:sz w:val="40"/>
          <w:szCs w:val="40"/>
        </w:rPr>
        <w:t xml:space="preserve"> </w:t>
      </w:r>
      <w:r w:rsidRPr="000042FD">
        <w:rPr>
          <w:rFonts w:ascii="Arial" w:hAnsi="Arial" w:cs="Arial"/>
          <w:b/>
          <w:bCs/>
          <w:color w:val="153D63" w:themeColor="text2" w:themeTint="E6"/>
          <w:sz w:val="40"/>
          <w:szCs w:val="40"/>
        </w:rPr>
        <w:t>:BA (Hons) Leadership and Management Skills for the Workplace</w:t>
      </w:r>
    </w:p>
    <w:p w14:paraId="05F43F3C" w14:textId="4F0019EC" w:rsidR="000042FD" w:rsidRPr="000042FD" w:rsidRDefault="000042FD" w:rsidP="000042FD">
      <w:pPr>
        <w:spacing w:line="360" w:lineRule="auto"/>
        <w:rPr>
          <w:rFonts w:ascii="Arial" w:hAnsi="Arial" w:cs="Arial"/>
          <w:b/>
          <w:bCs/>
          <w:color w:val="153D63" w:themeColor="text2" w:themeTint="E6"/>
          <w:sz w:val="40"/>
          <w:szCs w:val="40"/>
        </w:rPr>
      </w:pPr>
      <w:r w:rsidRPr="000042FD">
        <w:rPr>
          <w:rFonts w:ascii="Arial" w:hAnsi="Arial" w:cs="Arial"/>
          <w:b/>
          <w:bCs/>
          <w:color w:val="153D63" w:themeColor="text2" w:themeTint="E6"/>
          <w:sz w:val="40"/>
          <w:szCs w:val="40"/>
        </w:rPr>
        <w:t>Module</w:t>
      </w:r>
      <w:r w:rsidRPr="000042FD">
        <w:rPr>
          <w:rFonts w:ascii="Arial" w:hAnsi="Arial" w:cs="Arial"/>
          <w:b/>
          <w:bCs/>
          <w:color w:val="153D63" w:themeColor="text2" w:themeTint="E6"/>
          <w:sz w:val="40"/>
          <w:szCs w:val="40"/>
        </w:rPr>
        <w:t xml:space="preserve"> </w:t>
      </w:r>
      <w:r w:rsidRPr="000042FD">
        <w:rPr>
          <w:rFonts w:ascii="Arial" w:hAnsi="Arial" w:cs="Arial"/>
          <w:b/>
          <w:bCs/>
          <w:color w:val="153D63" w:themeColor="text2" w:themeTint="E6"/>
          <w:sz w:val="40"/>
          <w:szCs w:val="40"/>
        </w:rPr>
        <w:t>:</w:t>
      </w:r>
      <w:r w:rsidRPr="000042FD">
        <w:rPr>
          <w:rFonts w:ascii="Arial" w:hAnsi="Arial" w:cs="Arial"/>
          <w:b/>
          <w:bCs/>
          <w:color w:val="153D63" w:themeColor="text2" w:themeTint="E6"/>
          <w:sz w:val="40"/>
          <w:szCs w:val="40"/>
        </w:rPr>
        <w:t xml:space="preserve"> </w:t>
      </w:r>
      <w:r w:rsidRPr="000042FD">
        <w:rPr>
          <w:rFonts w:ascii="Arial" w:hAnsi="Arial" w:cs="Arial"/>
          <w:b/>
          <w:bCs/>
          <w:color w:val="153D63" w:themeColor="text2" w:themeTint="E6"/>
          <w:sz w:val="40"/>
          <w:szCs w:val="40"/>
        </w:rPr>
        <w:t>Organisational Culture</w:t>
      </w:r>
    </w:p>
    <w:p w14:paraId="5A0133CD" w14:textId="2F10AD6A" w:rsidR="000042FD" w:rsidRPr="000042FD" w:rsidRDefault="000042FD" w:rsidP="000042FD">
      <w:pPr>
        <w:spacing w:line="360" w:lineRule="auto"/>
        <w:rPr>
          <w:rFonts w:ascii="Arial" w:hAnsi="Arial" w:cs="Arial"/>
          <w:b/>
          <w:bCs/>
          <w:color w:val="153D63" w:themeColor="text2" w:themeTint="E6"/>
          <w:sz w:val="40"/>
          <w:szCs w:val="40"/>
        </w:rPr>
      </w:pPr>
      <w:r w:rsidRPr="000042FD">
        <w:rPr>
          <w:rFonts w:ascii="Arial" w:hAnsi="Arial" w:cs="Arial"/>
          <w:b/>
          <w:bCs/>
          <w:color w:val="153D63" w:themeColor="text2" w:themeTint="E6"/>
          <w:sz w:val="40"/>
          <w:szCs w:val="40"/>
        </w:rPr>
        <w:t>Module code</w:t>
      </w:r>
      <w:r w:rsidRPr="000042FD">
        <w:rPr>
          <w:rFonts w:ascii="Arial" w:hAnsi="Arial" w:cs="Arial"/>
          <w:b/>
          <w:bCs/>
          <w:color w:val="153D63" w:themeColor="text2" w:themeTint="E6"/>
          <w:sz w:val="40"/>
          <w:szCs w:val="40"/>
        </w:rPr>
        <w:t xml:space="preserve"> </w:t>
      </w:r>
      <w:r w:rsidRPr="000042FD">
        <w:rPr>
          <w:rFonts w:ascii="Arial" w:hAnsi="Arial" w:cs="Arial"/>
          <w:b/>
          <w:bCs/>
          <w:color w:val="153D63" w:themeColor="text2" w:themeTint="E6"/>
          <w:sz w:val="40"/>
          <w:szCs w:val="40"/>
        </w:rPr>
        <w:t>:</w:t>
      </w:r>
      <w:r w:rsidRPr="000042FD">
        <w:rPr>
          <w:rFonts w:ascii="Arial" w:hAnsi="Arial" w:cs="Arial"/>
          <w:b/>
          <w:bCs/>
          <w:color w:val="153D63" w:themeColor="text2" w:themeTint="E6"/>
          <w:sz w:val="40"/>
          <w:szCs w:val="40"/>
        </w:rPr>
        <w:t xml:space="preserve"> </w:t>
      </w:r>
      <w:r w:rsidRPr="000042FD">
        <w:rPr>
          <w:rFonts w:ascii="Arial" w:hAnsi="Arial" w:cs="Arial"/>
          <w:b/>
          <w:bCs/>
          <w:color w:val="153D63" w:themeColor="text2" w:themeTint="E6"/>
          <w:sz w:val="40"/>
          <w:szCs w:val="40"/>
        </w:rPr>
        <w:t>LCLM 5005</w:t>
      </w:r>
    </w:p>
    <w:p w14:paraId="4E0DED91" w14:textId="207359FD" w:rsidR="000042FD" w:rsidRPr="000042FD" w:rsidRDefault="000042FD" w:rsidP="000042FD">
      <w:pPr>
        <w:spacing w:line="360" w:lineRule="auto"/>
        <w:rPr>
          <w:rFonts w:ascii="Arial" w:hAnsi="Arial" w:cs="Arial"/>
          <w:b/>
          <w:bCs/>
          <w:color w:val="153D63" w:themeColor="text2" w:themeTint="E6"/>
          <w:sz w:val="40"/>
          <w:szCs w:val="40"/>
        </w:rPr>
      </w:pPr>
      <w:r w:rsidRPr="000042FD">
        <w:rPr>
          <w:rFonts w:ascii="Arial" w:hAnsi="Arial" w:cs="Arial"/>
          <w:b/>
          <w:bCs/>
          <w:color w:val="153D63" w:themeColor="text2" w:themeTint="E6"/>
          <w:sz w:val="40"/>
          <w:szCs w:val="40"/>
        </w:rPr>
        <w:t>Assignment Title:</w:t>
      </w:r>
      <w:r w:rsidRPr="000042FD">
        <w:rPr>
          <w:rFonts w:ascii="Arial" w:hAnsi="Arial" w:cs="Arial"/>
          <w:b/>
          <w:bCs/>
          <w:color w:val="153D63" w:themeColor="text2" w:themeTint="E6"/>
          <w:sz w:val="40"/>
          <w:szCs w:val="40"/>
        </w:rPr>
        <w:tab/>
        <w:t>Component 1</w:t>
      </w:r>
      <w:r w:rsidRPr="000042FD">
        <w:rPr>
          <w:rFonts w:ascii="Arial" w:hAnsi="Arial" w:cs="Arial"/>
          <w:b/>
          <w:bCs/>
          <w:color w:val="153D63" w:themeColor="text2" w:themeTint="E6"/>
          <w:sz w:val="40"/>
          <w:szCs w:val="40"/>
        </w:rPr>
        <w:t xml:space="preserve"> </w:t>
      </w:r>
      <w:r w:rsidRPr="000042FD">
        <w:rPr>
          <w:rFonts w:ascii="Arial" w:hAnsi="Arial" w:cs="Arial"/>
          <w:b/>
          <w:bCs/>
          <w:color w:val="153D63" w:themeColor="text2" w:themeTint="E6"/>
          <w:sz w:val="40"/>
          <w:szCs w:val="40"/>
        </w:rPr>
        <w:t>Organisational Culture</w:t>
      </w:r>
      <w:r w:rsidRPr="000042FD">
        <w:rPr>
          <w:rFonts w:ascii="Arial" w:hAnsi="Arial" w:cs="Arial"/>
          <w:b/>
          <w:bCs/>
          <w:color w:val="153D63" w:themeColor="text2" w:themeTint="E6"/>
          <w:sz w:val="40"/>
          <w:szCs w:val="40"/>
        </w:rPr>
        <w:t xml:space="preserve"> </w:t>
      </w:r>
      <w:r w:rsidRPr="000042FD">
        <w:rPr>
          <w:rFonts w:ascii="Arial" w:hAnsi="Arial" w:cs="Arial"/>
          <w:b/>
          <w:bCs/>
          <w:color w:val="153D63" w:themeColor="text2" w:themeTint="E6"/>
          <w:sz w:val="40"/>
          <w:szCs w:val="40"/>
        </w:rPr>
        <w:t>:</w:t>
      </w:r>
      <w:r w:rsidRPr="000042FD">
        <w:rPr>
          <w:rFonts w:ascii="Arial" w:hAnsi="Arial" w:cs="Arial"/>
          <w:b/>
          <w:bCs/>
          <w:color w:val="153D63" w:themeColor="text2" w:themeTint="E6"/>
          <w:sz w:val="40"/>
          <w:szCs w:val="40"/>
        </w:rPr>
        <w:t xml:space="preserve"> </w:t>
      </w:r>
      <w:r w:rsidRPr="000042FD">
        <w:rPr>
          <w:rFonts w:ascii="Arial" w:hAnsi="Arial" w:cs="Arial"/>
          <w:b/>
          <w:bCs/>
          <w:color w:val="153D63" w:themeColor="text2" w:themeTint="E6"/>
          <w:sz w:val="40"/>
          <w:szCs w:val="40"/>
        </w:rPr>
        <w:t>Individual Report</w:t>
      </w:r>
    </w:p>
    <w:p w14:paraId="49574410" w14:textId="77777777" w:rsidR="000042FD" w:rsidRDefault="000042FD">
      <w:pPr>
        <w:spacing w:line="360" w:lineRule="auto"/>
        <w:rPr>
          <w:rFonts w:ascii="Arial" w:hAnsi="Arial" w:cs="Arial"/>
          <w:b/>
          <w:bCs/>
          <w:sz w:val="24"/>
          <w:szCs w:val="24"/>
        </w:rPr>
      </w:pPr>
    </w:p>
    <w:p w14:paraId="1D5C3FF6" w14:textId="77777777" w:rsidR="000042FD" w:rsidRDefault="000042FD">
      <w:pPr>
        <w:spacing w:line="360" w:lineRule="auto"/>
        <w:rPr>
          <w:rFonts w:ascii="Arial" w:hAnsi="Arial" w:cs="Arial"/>
          <w:b/>
          <w:bCs/>
          <w:sz w:val="24"/>
          <w:szCs w:val="24"/>
        </w:rPr>
      </w:pPr>
    </w:p>
    <w:p w14:paraId="0093163D" w14:textId="77777777" w:rsidR="000042FD" w:rsidRDefault="000042FD">
      <w:pPr>
        <w:spacing w:line="360" w:lineRule="auto"/>
        <w:rPr>
          <w:rFonts w:ascii="Arial" w:hAnsi="Arial" w:cs="Arial"/>
          <w:b/>
          <w:bCs/>
          <w:sz w:val="24"/>
          <w:szCs w:val="24"/>
        </w:rPr>
      </w:pPr>
    </w:p>
    <w:p w14:paraId="2617501D" w14:textId="77777777" w:rsidR="000042FD" w:rsidRDefault="000042FD">
      <w:pPr>
        <w:spacing w:line="360" w:lineRule="auto"/>
        <w:rPr>
          <w:rFonts w:ascii="Arial" w:hAnsi="Arial" w:cs="Arial"/>
          <w:b/>
          <w:bCs/>
          <w:sz w:val="24"/>
          <w:szCs w:val="24"/>
        </w:rPr>
      </w:pPr>
    </w:p>
    <w:p w14:paraId="477134AB" w14:textId="77777777" w:rsidR="000042FD" w:rsidRDefault="000042FD">
      <w:pPr>
        <w:spacing w:line="360" w:lineRule="auto"/>
        <w:rPr>
          <w:rFonts w:ascii="Arial" w:hAnsi="Arial" w:cs="Arial"/>
          <w:b/>
          <w:bCs/>
          <w:sz w:val="24"/>
          <w:szCs w:val="24"/>
        </w:rPr>
      </w:pPr>
    </w:p>
    <w:p w14:paraId="27F3FAAF" w14:textId="77777777" w:rsidR="000042FD" w:rsidRDefault="000042FD">
      <w:pPr>
        <w:spacing w:line="360" w:lineRule="auto"/>
        <w:rPr>
          <w:rFonts w:ascii="Arial" w:hAnsi="Arial" w:cs="Arial"/>
          <w:b/>
          <w:bCs/>
          <w:sz w:val="24"/>
          <w:szCs w:val="24"/>
        </w:rPr>
      </w:pPr>
    </w:p>
    <w:p w14:paraId="46FA5F6F" w14:textId="77777777" w:rsidR="000042FD" w:rsidRDefault="000042FD">
      <w:pPr>
        <w:spacing w:line="360" w:lineRule="auto"/>
        <w:rPr>
          <w:rFonts w:ascii="Arial" w:hAnsi="Arial" w:cs="Arial"/>
          <w:b/>
          <w:bCs/>
          <w:sz w:val="24"/>
          <w:szCs w:val="24"/>
        </w:rPr>
      </w:pPr>
    </w:p>
    <w:p w14:paraId="47BAED82" w14:textId="77777777" w:rsidR="000042FD" w:rsidRDefault="000042FD">
      <w:pPr>
        <w:spacing w:line="360" w:lineRule="auto"/>
        <w:rPr>
          <w:rFonts w:ascii="Arial" w:hAnsi="Arial" w:cs="Arial"/>
          <w:b/>
          <w:bCs/>
          <w:sz w:val="24"/>
          <w:szCs w:val="24"/>
        </w:rPr>
      </w:pPr>
    </w:p>
    <w:p w14:paraId="69B32221" w14:textId="77777777" w:rsidR="000042FD" w:rsidRDefault="000042FD">
      <w:pPr>
        <w:spacing w:line="360" w:lineRule="auto"/>
        <w:rPr>
          <w:rFonts w:ascii="Arial" w:hAnsi="Arial" w:cs="Arial"/>
          <w:b/>
          <w:bCs/>
          <w:sz w:val="24"/>
          <w:szCs w:val="24"/>
        </w:rPr>
      </w:pPr>
    </w:p>
    <w:p w14:paraId="321495B6" w14:textId="77777777" w:rsidR="000042FD" w:rsidRDefault="000042FD">
      <w:pPr>
        <w:spacing w:line="360" w:lineRule="auto"/>
        <w:rPr>
          <w:rFonts w:ascii="Arial" w:hAnsi="Arial" w:cs="Arial"/>
          <w:b/>
          <w:bCs/>
          <w:sz w:val="24"/>
          <w:szCs w:val="24"/>
        </w:rPr>
      </w:pPr>
    </w:p>
    <w:p w14:paraId="4A4BF3EB" w14:textId="3A755EA5" w:rsidR="00643FEF" w:rsidRPr="000042FD" w:rsidRDefault="00317D2A">
      <w:pPr>
        <w:spacing w:line="360" w:lineRule="auto"/>
        <w:rPr>
          <w:rFonts w:ascii="Arial" w:hAnsi="Arial" w:cs="Arial"/>
          <w:b/>
          <w:bCs/>
          <w:color w:val="153D63" w:themeColor="text2" w:themeTint="E6"/>
          <w:sz w:val="24"/>
          <w:szCs w:val="24"/>
        </w:rPr>
      </w:pPr>
      <w:r w:rsidRPr="000042FD">
        <w:rPr>
          <w:rFonts w:ascii="Arial" w:hAnsi="Arial" w:cs="Arial"/>
          <w:b/>
          <w:bCs/>
          <w:color w:val="153D63" w:themeColor="text2" w:themeTint="E6"/>
          <w:sz w:val="24"/>
          <w:szCs w:val="24"/>
        </w:rPr>
        <w:lastRenderedPageBreak/>
        <w:t>Table of Contents</w:t>
      </w:r>
    </w:p>
    <w:p w14:paraId="4A4BF3EC" w14:textId="77777777" w:rsidR="00643FEF" w:rsidRPr="000042FD" w:rsidRDefault="00317D2A">
      <w:pPr>
        <w:numPr>
          <w:ilvl w:val="0"/>
          <w:numId w:val="1"/>
        </w:numPr>
        <w:spacing w:line="360" w:lineRule="auto"/>
        <w:rPr>
          <w:rFonts w:ascii="Arial" w:hAnsi="Arial" w:cs="Arial"/>
          <w:b/>
          <w:bCs/>
          <w:color w:val="153D63" w:themeColor="text2" w:themeTint="E6"/>
          <w:sz w:val="24"/>
          <w:szCs w:val="24"/>
        </w:rPr>
      </w:pPr>
      <w:r w:rsidRPr="000042FD">
        <w:rPr>
          <w:rFonts w:ascii="Arial" w:hAnsi="Arial" w:cs="Arial"/>
          <w:b/>
          <w:bCs/>
          <w:color w:val="153D63" w:themeColor="text2" w:themeTint="E6"/>
          <w:sz w:val="24"/>
          <w:szCs w:val="24"/>
        </w:rPr>
        <w:t xml:space="preserve">Introduction </w:t>
      </w:r>
    </w:p>
    <w:p w14:paraId="4A4BF3ED" w14:textId="77777777" w:rsidR="00643FEF" w:rsidRPr="000042FD" w:rsidRDefault="00317D2A">
      <w:pPr>
        <w:numPr>
          <w:ilvl w:val="0"/>
          <w:numId w:val="1"/>
        </w:numPr>
        <w:spacing w:line="360" w:lineRule="auto"/>
        <w:rPr>
          <w:rFonts w:ascii="Arial" w:hAnsi="Arial" w:cs="Arial"/>
          <w:b/>
          <w:bCs/>
          <w:color w:val="153D63" w:themeColor="text2" w:themeTint="E6"/>
          <w:sz w:val="24"/>
          <w:szCs w:val="24"/>
        </w:rPr>
      </w:pPr>
      <w:r w:rsidRPr="000042FD">
        <w:rPr>
          <w:rFonts w:ascii="Arial" w:hAnsi="Arial" w:cs="Arial"/>
          <w:b/>
          <w:bCs/>
          <w:color w:val="153D63" w:themeColor="text2" w:themeTint="E6"/>
          <w:sz w:val="24"/>
          <w:szCs w:val="24"/>
        </w:rPr>
        <w:t xml:space="preserve">Company Background </w:t>
      </w:r>
    </w:p>
    <w:p w14:paraId="4A4BF3EE" w14:textId="77777777" w:rsidR="00643FEF" w:rsidRPr="000042FD" w:rsidRDefault="00317D2A">
      <w:pPr>
        <w:numPr>
          <w:ilvl w:val="0"/>
          <w:numId w:val="1"/>
        </w:numPr>
        <w:spacing w:line="360" w:lineRule="auto"/>
        <w:rPr>
          <w:rFonts w:ascii="Arial" w:hAnsi="Arial" w:cs="Arial"/>
          <w:b/>
          <w:bCs/>
          <w:color w:val="153D63" w:themeColor="text2" w:themeTint="E6"/>
          <w:sz w:val="24"/>
          <w:szCs w:val="24"/>
        </w:rPr>
      </w:pPr>
      <w:r w:rsidRPr="000042FD">
        <w:rPr>
          <w:rFonts w:ascii="Arial" w:hAnsi="Arial" w:cs="Arial"/>
          <w:b/>
          <w:bCs/>
          <w:color w:val="153D63" w:themeColor="text2" w:themeTint="E6"/>
          <w:sz w:val="24"/>
          <w:szCs w:val="24"/>
        </w:rPr>
        <w:t xml:space="preserve">Theoretical Foundations of Organisational Culture </w:t>
      </w:r>
      <w:r w:rsidRPr="000042FD">
        <w:rPr>
          <w:rFonts w:ascii="Arial" w:hAnsi="Arial" w:cs="Arial"/>
          <w:b/>
          <w:bCs/>
          <w:color w:val="153D63" w:themeColor="text2" w:themeTint="E6"/>
          <w:sz w:val="24"/>
          <w:szCs w:val="24"/>
        </w:rPr>
        <w:br/>
      </w:r>
      <w:r w:rsidRPr="000042FD">
        <w:rPr>
          <w:rFonts w:ascii="Arial" w:hAnsi="Arial" w:cs="Arial"/>
          <w:b/>
          <w:bCs/>
          <w:color w:val="153D63" w:themeColor="text2" w:themeTint="E6"/>
          <w:sz w:val="24"/>
          <w:szCs w:val="24"/>
        </w:rPr>
        <w:t xml:space="preserve">3.1 Schein's Three Levels of Organisational Culture </w:t>
      </w:r>
      <w:r w:rsidRPr="000042FD">
        <w:rPr>
          <w:rFonts w:ascii="Arial" w:hAnsi="Arial" w:cs="Arial"/>
          <w:b/>
          <w:bCs/>
          <w:color w:val="153D63" w:themeColor="text2" w:themeTint="E6"/>
          <w:sz w:val="24"/>
          <w:szCs w:val="24"/>
        </w:rPr>
        <w:br/>
      </w:r>
      <w:r w:rsidRPr="000042FD">
        <w:rPr>
          <w:rFonts w:ascii="Arial" w:hAnsi="Arial" w:cs="Arial"/>
          <w:b/>
          <w:bCs/>
          <w:color w:val="153D63" w:themeColor="text2" w:themeTint="E6"/>
          <w:sz w:val="24"/>
          <w:szCs w:val="24"/>
        </w:rPr>
        <w:t xml:space="preserve">3.2 Hofstede's Cultural Dimensions Theory </w:t>
      </w:r>
      <w:r w:rsidRPr="000042FD">
        <w:rPr>
          <w:rFonts w:ascii="Arial" w:hAnsi="Arial" w:cs="Arial"/>
          <w:b/>
          <w:bCs/>
          <w:color w:val="153D63" w:themeColor="text2" w:themeTint="E6"/>
          <w:sz w:val="24"/>
          <w:szCs w:val="24"/>
        </w:rPr>
        <w:br/>
      </w:r>
      <w:r w:rsidRPr="000042FD">
        <w:rPr>
          <w:rFonts w:ascii="Arial" w:hAnsi="Arial" w:cs="Arial"/>
          <w:b/>
          <w:bCs/>
          <w:color w:val="153D63" w:themeColor="text2" w:themeTint="E6"/>
          <w:sz w:val="24"/>
          <w:szCs w:val="24"/>
        </w:rPr>
        <w:t xml:space="preserve">3.3 Handy's Cultural Types </w:t>
      </w:r>
      <w:r w:rsidRPr="000042FD">
        <w:rPr>
          <w:rFonts w:ascii="Arial" w:hAnsi="Arial" w:cs="Arial"/>
          <w:b/>
          <w:bCs/>
          <w:color w:val="153D63" w:themeColor="text2" w:themeTint="E6"/>
          <w:sz w:val="24"/>
          <w:szCs w:val="24"/>
        </w:rPr>
        <w:br/>
      </w:r>
      <w:r w:rsidRPr="000042FD">
        <w:rPr>
          <w:rFonts w:ascii="Arial" w:hAnsi="Arial" w:cs="Arial"/>
          <w:b/>
          <w:bCs/>
          <w:color w:val="153D63" w:themeColor="text2" w:themeTint="E6"/>
          <w:sz w:val="24"/>
          <w:szCs w:val="24"/>
        </w:rPr>
        <w:t xml:space="preserve">3.4 Cameron and Quinn's Competing Values Framework </w:t>
      </w:r>
      <w:r w:rsidRPr="000042FD">
        <w:rPr>
          <w:rFonts w:ascii="Arial" w:hAnsi="Arial" w:cs="Arial"/>
          <w:b/>
          <w:bCs/>
          <w:color w:val="153D63" w:themeColor="text2" w:themeTint="E6"/>
          <w:sz w:val="24"/>
          <w:szCs w:val="24"/>
        </w:rPr>
        <w:br/>
      </w:r>
      <w:r w:rsidRPr="000042FD">
        <w:rPr>
          <w:rFonts w:ascii="Arial" w:hAnsi="Arial" w:cs="Arial"/>
          <w:b/>
          <w:bCs/>
          <w:color w:val="153D63" w:themeColor="text2" w:themeTint="E6"/>
          <w:sz w:val="24"/>
          <w:szCs w:val="24"/>
        </w:rPr>
        <w:t xml:space="preserve">3.5 Comparison of Theoretical Perspectives </w:t>
      </w:r>
    </w:p>
    <w:p w14:paraId="4A4BF3EF" w14:textId="77777777" w:rsidR="00643FEF" w:rsidRPr="000042FD" w:rsidRDefault="00317D2A">
      <w:pPr>
        <w:numPr>
          <w:ilvl w:val="0"/>
          <w:numId w:val="1"/>
        </w:numPr>
        <w:spacing w:line="360" w:lineRule="auto"/>
        <w:rPr>
          <w:rFonts w:ascii="Arial" w:hAnsi="Arial" w:cs="Arial"/>
          <w:b/>
          <w:bCs/>
          <w:color w:val="153D63" w:themeColor="text2" w:themeTint="E6"/>
          <w:sz w:val="24"/>
          <w:szCs w:val="24"/>
        </w:rPr>
      </w:pPr>
      <w:r w:rsidRPr="000042FD">
        <w:rPr>
          <w:rFonts w:ascii="Arial" w:hAnsi="Arial" w:cs="Arial"/>
          <w:b/>
          <w:bCs/>
          <w:color w:val="153D63" w:themeColor="text2" w:themeTint="E6"/>
          <w:sz w:val="24"/>
          <w:szCs w:val="24"/>
        </w:rPr>
        <w:t xml:space="preserve">Critical Analysis of Toyota's Organisational Culture </w:t>
      </w:r>
      <w:r w:rsidRPr="000042FD">
        <w:rPr>
          <w:rFonts w:ascii="Arial" w:hAnsi="Arial" w:cs="Arial"/>
          <w:b/>
          <w:bCs/>
          <w:color w:val="153D63" w:themeColor="text2" w:themeTint="E6"/>
          <w:sz w:val="24"/>
          <w:szCs w:val="24"/>
        </w:rPr>
        <w:br/>
      </w:r>
      <w:r w:rsidRPr="000042FD">
        <w:rPr>
          <w:rFonts w:ascii="Arial" w:hAnsi="Arial" w:cs="Arial"/>
          <w:b/>
          <w:bCs/>
          <w:color w:val="153D63" w:themeColor="text2" w:themeTint="E6"/>
          <w:sz w:val="24"/>
          <w:szCs w:val="24"/>
        </w:rPr>
        <w:t xml:space="preserve">4.1 Organisational Culture and Organisational Structure </w:t>
      </w:r>
      <w:r w:rsidRPr="000042FD">
        <w:rPr>
          <w:rFonts w:ascii="Arial" w:hAnsi="Arial" w:cs="Arial"/>
          <w:b/>
          <w:bCs/>
          <w:color w:val="153D63" w:themeColor="text2" w:themeTint="E6"/>
          <w:sz w:val="24"/>
          <w:szCs w:val="24"/>
        </w:rPr>
        <w:br/>
      </w:r>
      <w:r w:rsidRPr="000042FD">
        <w:rPr>
          <w:rFonts w:ascii="Arial" w:hAnsi="Arial" w:cs="Arial"/>
          <w:b/>
          <w:bCs/>
          <w:color w:val="153D63" w:themeColor="text2" w:themeTint="E6"/>
          <w:sz w:val="24"/>
          <w:szCs w:val="24"/>
        </w:rPr>
        <w:t xml:space="preserve">4.2 Organisational Culture and Decision-Making </w:t>
      </w:r>
      <w:r w:rsidRPr="000042FD">
        <w:rPr>
          <w:rFonts w:ascii="Arial" w:hAnsi="Arial" w:cs="Arial"/>
          <w:b/>
          <w:bCs/>
          <w:color w:val="153D63" w:themeColor="text2" w:themeTint="E6"/>
          <w:sz w:val="24"/>
          <w:szCs w:val="24"/>
        </w:rPr>
        <w:br/>
      </w:r>
      <w:r w:rsidRPr="000042FD">
        <w:rPr>
          <w:rFonts w:ascii="Arial" w:hAnsi="Arial" w:cs="Arial"/>
          <w:b/>
          <w:bCs/>
          <w:color w:val="153D63" w:themeColor="text2" w:themeTint="E6"/>
          <w:sz w:val="24"/>
          <w:szCs w:val="24"/>
        </w:rPr>
        <w:t xml:space="preserve">4.3 Identifying Toyota's </w:t>
      </w:r>
      <w:r w:rsidRPr="000042FD">
        <w:rPr>
          <w:rFonts w:ascii="Arial" w:hAnsi="Arial" w:cs="Arial"/>
          <w:b/>
          <w:bCs/>
          <w:color w:val="153D63" w:themeColor="text2" w:themeTint="E6"/>
          <w:sz w:val="24"/>
          <w:szCs w:val="24"/>
        </w:rPr>
        <w:t xml:space="preserve">Organisational Culture </w:t>
      </w:r>
      <w:r w:rsidRPr="000042FD">
        <w:rPr>
          <w:rFonts w:ascii="Arial" w:hAnsi="Arial" w:cs="Arial"/>
          <w:b/>
          <w:bCs/>
          <w:color w:val="153D63" w:themeColor="text2" w:themeTint="E6"/>
          <w:sz w:val="24"/>
          <w:szCs w:val="24"/>
        </w:rPr>
        <w:br/>
      </w:r>
      <w:r w:rsidRPr="000042FD">
        <w:rPr>
          <w:rFonts w:ascii="Arial" w:hAnsi="Arial" w:cs="Arial"/>
          <w:b/>
          <w:bCs/>
          <w:color w:val="153D63" w:themeColor="text2" w:themeTint="E6"/>
          <w:sz w:val="24"/>
          <w:szCs w:val="24"/>
        </w:rPr>
        <w:t xml:space="preserve">4.4 Adapting to the External Environment </w:t>
      </w:r>
      <w:r w:rsidRPr="000042FD">
        <w:rPr>
          <w:rFonts w:ascii="Arial" w:hAnsi="Arial" w:cs="Arial"/>
          <w:b/>
          <w:bCs/>
          <w:color w:val="153D63" w:themeColor="text2" w:themeTint="E6"/>
          <w:sz w:val="24"/>
          <w:szCs w:val="24"/>
        </w:rPr>
        <w:br/>
      </w:r>
      <w:r w:rsidRPr="000042FD">
        <w:rPr>
          <w:rFonts w:ascii="Arial" w:hAnsi="Arial" w:cs="Arial"/>
          <w:b/>
          <w:bCs/>
          <w:color w:val="153D63" w:themeColor="text2" w:themeTint="E6"/>
          <w:sz w:val="24"/>
          <w:szCs w:val="24"/>
        </w:rPr>
        <w:t xml:space="preserve">4.5 Organisational Culture as an Enabler or Barrier </w:t>
      </w:r>
    </w:p>
    <w:p w14:paraId="4A4BF3F0" w14:textId="77777777" w:rsidR="00643FEF" w:rsidRPr="000042FD" w:rsidRDefault="00317D2A">
      <w:pPr>
        <w:numPr>
          <w:ilvl w:val="0"/>
          <w:numId w:val="1"/>
        </w:numPr>
        <w:spacing w:line="360" w:lineRule="auto"/>
        <w:rPr>
          <w:rFonts w:ascii="Arial" w:hAnsi="Arial" w:cs="Arial"/>
          <w:b/>
          <w:bCs/>
          <w:color w:val="153D63" w:themeColor="text2" w:themeTint="E6"/>
          <w:sz w:val="24"/>
          <w:szCs w:val="24"/>
        </w:rPr>
      </w:pPr>
      <w:r w:rsidRPr="000042FD">
        <w:rPr>
          <w:rFonts w:ascii="Arial" w:hAnsi="Arial" w:cs="Arial"/>
          <w:b/>
          <w:bCs/>
          <w:color w:val="153D63" w:themeColor="text2" w:themeTint="E6"/>
          <w:sz w:val="24"/>
          <w:szCs w:val="24"/>
        </w:rPr>
        <w:t xml:space="preserve">Evaluation of the Impact of Organisational Culture on Organisational Performance </w:t>
      </w:r>
    </w:p>
    <w:p w14:paraId="4A4BF3F1" w14:textId="7CCDA885" w:rsidR="00643FEF" w:rsidRPr="000042FD" w:rsidRDefault="00317D2A">
      <w:pPr>
        <w:numPr>
          <w:ilvl w:val="0"/>
          <w:numId w:val="1"/>
        </w:numPr>
        <w:spacing w:line="360" w:lineRule="auto"/>
        <w:rPr>
          <w:rFonts w:ascii="Arial" w:hAnsi="Arial" w:cs="Arial"/>
          <w:b/>
          <w:bCs/>
          <w:color w:val="153D63" w:themeColor="text2" w:themeTint="E6"/>
          <w:sz w:val="24"/>
          <w:szCs w:val="24"/>
        </w:rPr>
      </w:pPr>
      <w:r w:rsidRPr="000042FD">
        <w:rPr>
          <w:rFonts w:ascii="Arial" w:hAnsi="Arial" w:cs="Arial"/>
          <w:b/>
          <w:bCs/>
          <w:color w:val="153D63" w:themeColor="text2" w:themeTint="E6"/>
          <w:sz w:val="24"/>
          <w:szCs w:val="24"/>
        </w:rPr>
        <w:t xml:space="preserve">Recommendations </w:t>
      </w:r>
      <w:r w:rsidRPr="000042FD">
        <w:rPr>
          <w:rFonts w:ascii="Arial" w:hAnsi="Arial" w:cs="Arial"/>
          <w:b/>
          <w:bCs/>
          <w:color w:val="153D63" w:themeColor="text2" w:themeTint="E6"/>
          <w:sz w:val="24"/>
          <w:szCs w:val="24"/>
        </w:rPr>
        <w:br/>
      </w:r>
      <w:r w:rsidRPr="000042FD">
        <w:rPr>
          <w:rFonts w:ascii="Arial" w:hAnsi="Arial" w:cs="Arial"/>
          <w:b/>
          <w:bCs/>
          <w:color w:val="153D63" w:themeColor="text2" w:themeTint="E6"/>
          <w:sz w:val="24"/>
          <w:szCs w:val="24"/>
        </w:rPr>
        <w:t xml:space="preserve">6.1 Strengthen Constructive Challenge in Decision-Making </w:t>
      </w:r>
      <w:r w:rsidRPr="000042FD">
        <w:rPr>
          <w:rFonts w:ascii="Arial" w:hAnsi="Arial" w:cs="Arial"/>
          <w:b/>
          <w:bCs/>
          <w:color w:val="153D63" w:themeColor="text2" w:themeTint="E6"/>
          <w:sz w:val="24"/>
          <w:szCs w:val="24"/>
        </w:rPr>
        <w:br/>
      </w:r>
      <w:r w:rsidRPr="000042FD">
        <w:rPr>
          <w:rFonts w:ascii="Arial" w:hAnsi="Arial" w:cs="Arial"/>
          <w:b/>
          <w:bCs/>
          <w:color w:val="153D63" w:themeColor="text2" w:themeTint="E6"/>
          <w:sz w:val="24"/>
          <w:szCs w:val="24"/>
        </w:rPr>
        <w:t xml:space="preserve">6.2 Extend Kaizen into Digital Innovation </w:t>
      </w:r>
      <w:r w:rsidRPr="000042FD">
        <w:rPr>
          <w:rFonts w:ascii="Arial" w:hAnsi="Arial" w:cs="Arial"/>
          <w:b/>
          <w:bCs/>
          <w:color w:val="153D63" w:themeColor="text2" w:themeTint="E6"/>
          <w:sz w:val="24"/>
          <w:szCs w:val="24"/>
        </w:rPr>
        <w:br/>
      </w:r>
      <w:r w:rsidRPr="000042FD">
        <w:rPr>
          <w:rFonts w:ascii="Arial" w:hAnsi="Arial" w:cs="Arial"/>
          <w:b/>
          <w:bCs/>
          <w:color w:val="153D63" w:themeColor="text2" w:themeTint="E6"/>
          <w:sz w:val="24"/>
          <w:szCs w:val="24"/>
        </w:rPr>
        <w:t xml:space="preserve">6.3 Balance Global Consistency with Local Flexibility </w:t>
      </w:r>
      <w:r w:rsidRPr="000042FD">
        <w:rPr>
          <w:rFonts w:ascii="Arial" w:hAnsi="Arial" w:cs="Arial"/>
          <w:b/>
          <w:bCs/>
          <w:color w:val="153D63" w:themeColor="text2" w:themeTint="E6"/>
          <w:sz w:val="24"/>
          <w:szCs w:val="24"/>
        </w:rPr>
        <w:br/>
      </w:r>
      <w:r w:rsidRPr="000042FD">
        <w:rPr>
          <w:rFonts w:ascii="Arial" w:hAnsi="Arial" w:cs="Arial"/>
          <w:b/>
          <w:bCs/>
          <w:color w:val="153D63" w:themeColor="text2" w:themeTint="E6"/>
          <w:sz w:val="24"/>
          <w:szCs w:val="24"/>
        </w:rPr>
        <w:t xml:space="preserve">6.4 Continue Strengthening Quality Governance </w:t>
      </w:r>
    </w:p>
    <w:p w14:paraId="4A4BF3F2" w14:textId="77777777" w:rsidR="00643FEF" w:rsidRPr="000042FD" w:rsidRDefault="00317D2A">
      <w:pPr>
        <w:numPr>
          <w:ilvl w:val="0"/>
          <w:numId w:val="1"/>
        </w:numPr>
        <w:spacing w:line="360" w:lineRule="auto"/>
        <w:rPr>
          <w:rFonts w:ascii="Arial" w:hAnsi="Arial" w:cs="Arial"/>
          <w:b/>
          <w:bCs/>
          <w:color w:val="153D63" w:themeColor="text2" w:themeTint="E6"/>
          <w:sz w:val="24"/>
          <w:szCs w:val="24"/>
        </w:rPr>
      </w:pPr>
      <w:r w:rsidRPr="000042FD">
        <w:rPr>
          <w:rFonts w:ascii="Arial" w:hAnsi="Arial" w:cs="Arial"/>
          <w:b/>
          <w:bCs/>
          <w:color w:val="153D63" w:themeColor="text2" w:themeTint="E6"/>
          <w:sz w:val="24"/>
          <w:szCs w:val="24"/>
        </w:rPr>
        <w:t xml:space="preserve">Conclusion </w:t>
      </w:r>
    </w:p>
    <w:p w14:paraId="4A4BF3F3" w14:textId="77777777" w:rsidR="00643FEF" w:rsidRPr="000042FD" w:rsidRDefault="00317D2A">
      <w:pPr>
        <w:spacing w:line="360" w:lineRule="auto"/>
        <w:rPr>
          <w:rFonts w:ascii="Arial" w:hAnsi="Arial" w:cs="Arial"/>
          <w:b/>
          <w:bCs/>
          <w:color w:val="153D63" w:themeColor="text2" w:themeTint="E6"/>
          <w:sz w:val="24"/>
          <w:szCs w:val="24"/>
        </w:rPr>
      </w:pPr>
      <w:r w:rsidRPr="000042FD">
        <w:rPr>
          <w:rFonts w:ascii="Arial" w:hAnsi="Arial" w:cs="Arial"/>
          <w:b/>
          <w:bCs/>
          <w:color w:val="153D63" w:themeColor="text2" w:themeTint="E6"/>
          <w:sz w:val="24"/>
          <w:szCs w:val="24"/>
        </w:rPr>
        <w:t xml:space="preserve">References </w:t>
      </w:r>
    </w:p>
    <w:p w14:paraId="4A4BF3F4" w14:textId="77777777" w:rsidR="00643FEF" w:rsidRDefault="00643FEF">
      <w:pPr>
        <w:spacing w:line="360" w:lineRule="auto"/>
        <w:rPr>
          <w:rFonts w:ascii="Arial" w:hAnsi="Arial" w:cs="Arial"/>
          <w:b/>
          <w:bCs/>
        </w:rPr>
      </w:pPr>
    </w:p>
    <w:p w14:paraId="4A4BF3F5" w14:textId="77777777" w:rsidR="00643FEF" w:rsidRDefault="00643FEF">
      <w:pPr>
        <w:spacing w:line="360" w:lineRule="auto"/>
        <w:rPr>
          <w:rFonts w:ascii="Arial" w:hAnsi="Arial" w:cs="Arial"/>
          <w:b/>
          <w:bCs/>
        </w:rPr>
      </w:pPr>
    </w:p>
    <w:p w14:paraId="4A4BF3F6" w14:textId="77777777" w:rsidR="00643FEF" w:rsidRDefault="00643FEF">
      <w:pPr>
        <w:spacing w:line="360" w:lineRule="auto"/>
        <w:rPr>
          <w:rFonts w:ascii="Arial" w:hAnsi="Arial" w:cs="Arial"/>
          <w:b/>
          <w:bCs/>
        </w:rPr>
      </w:pPr>
    </w:p>
    <w:p w14:paraId="4A4BF3F7" w14:textId="77777777" w:rsidR="00643FEF" w:rsidRDefault="00643FEF">
      <w:pPr>
        <w:spacing w:line="360" w:lineRule="auto"/>
        <w:rPr>
          <w:rFonts w:ascii="Arial" w:hAnsi="Arial" w:cs="Arial"/>
          <w:b/>
          <w:bCs/>
        </w:rPr>
      </w:pPr>
    </w:p>
    <w:p w14:paraId="4A4BF3F8" w14:textId="77777777" w:rsidR="00643FEF" w:rsidRDefault="00643FEF">
      <w:pPr>
        <w:spacing w:line="360" w:lineRule="auto"/>
        <w:rPr>
          <w:rFonts w:ascii="Arial" w:hAnsi="Arial" w:cs="Arial"/>
          <w:b/>
          <w:bCs/>
        </w:rPr>
      </w:pPr>
    </w:p>
    <w:p w14:paraId="4A4BF3F9" w14:textId="77777777" w:rsidR="00643FEF" w:rsidRDefault="00317D2A">
      <w:pPr>
        <w:numPr>
          <w:ilvl w:val="0"/>
          <w:numId w:val="2"/>
        </w:numPr>
        <w:spacing w:line="360" w:lineRule="auto"/>
        <w:rPr>
          <w:rFonts w:ascii="Arial" w:hAnsi="Arial" w:cs="Arial"/>
          <w:b/>
          <w:bCs/>
          <w:sz w:val="28"/>
          <w:szCs w:val="28"/>
        </w:rPr>
      </w:pPr>
      <w:r>
        <w:rPr>
          <w:rFonts w:ascii="Arial" w:hAnsi="Arial" w:cs="Arial"/>
          <w:b/>
          <w:bCs/>
          <w:sz w:val="28"/>
          <w:szCs w:val="28"/>
        </w:rPr>
        <w:lastRenderedPageBreak/>
        <w:t xml:space="preserve">Introduction </w:t>
      </w:r>
    </w:p>
    <w:p w14:paraId="4A4BF3FA" w14:textId="77777777" w:rsidR="00643FEF" w:rsidRDefault="00317D2A">
      <w:pPr>
        <w:spacing w:line="360" w:lineRule="auto"/>
        <w:rPr>
          <w:rFonts w:ascii="Arial" w:hAnsi="Arial" w:cs="Arial"/>
        </w:rPr>
      </w:pPr>
      <w:r>
        <w:rPr>
          <w:rFonts w:ascii="Arial" w:hAnsi="Arial" w:cs="Arial"/>
        </w:rPr>
        <w:t xml:space="preserve">Organisational culture is a key factor influencing organisational success because it shapes employee behaviour, leadership, decision-making and organisational performance. Rather than existing only through formal policies, culture reflects the shared values, beliefs and assumptions that determine "how things are done around here" (Mullins and Christy, 2016). In today's rapidly changing global business environment, organisations with strong and adaptable cultures are better positioned to achieve sustainable </w:t>
      </w:r>
      <w:r>
        <w:rPr>
          <w:rFonts w:ascii="Arial" w:hAnsi="Arial" w:cs="Arial"/>
        </w:rPr>
        <w:t>competitive advantage than those relying solely on technological or financial resources (Schein and Schein, 2021).</w:t>
      </w:r>
    </w:p>
    <w:p w14:paraId="4A4BF3FB" w14:textId="77777777" w:rsidR="00643FEF" w:rsidRDefault="00317D2A">
      <w:pPr>
        <w:spacing w:line="360" w:lineRule="auto"/>
        <w:rPr>
          <w:rFonts w:ascii="Arial" w:hAnsi="Arial" w:cs="Arial"/>
        </w:rPr>
      </w:pPr>
      <w:r>
        <w:rPr>
          <w:rFonts w:ascii="Arial" w:hAnsi="Arial" w:cs="Arial"/>
        </w:rPr>
        <w:t xml:space="preserve">This report critically analyses the organisational culture of Toyota Motor Corporation, whose long-term success has been closely linked to the Toyota Way and its principles of Continuous Improvement (Kaizen) and Respect for People. These principles have supported operational excellence, employee engagement and continuous learning (Liker, 2021). However, challenges such as the 2009–2011 global </w:t>
      </w:r>
      <w:r>
        <w:rPr>
          <w:rFonts w:ascii="Arial" w:hAnsi="Arial" w:cs="Arial"/>
        </w:rPr>
        <w:t>vehicle recalls and increasing pressure to accelerate innovation in electric vehicles and digital mobility highlight the need to evaluate both the strengths and limitations of Toyota's culture.</w:t>
      </w:r>
    </w:p>
    <w:p w14:paraId="4A4BF3FC" w14:textId="77777777" w:rsidR="00643FEF" w:rsidRDefault="00317D2A">
      <w:pPr>
        <w:spacing w:line="360" w:lineRule="auto"/>
        <w:rPr>
          <w:rFonts w:ascii="Arial" w:hAnsi="Arial" w:cs="Arial"/>
        </w:rPr>
      </w:pPr>
      <w:r>
        <w:rPr>
          <w:rFonts w:ascii="Arial" w:hAnsi="Arial" w:cs="Arial"/>
        </w:rPr>
        <w:t xml:space="preserve">The report examines Mullins and Christy's (2016) argument that organisational culture influences organisational structure, decision-making, motivation and management control. The analysis applies established theories, including Schein's Three Levels of Organisational Culture (Schein and Schein, 2021), Hofstede's </w:t>
      </w:r>
      <w:r>
        <w:rPr>
          <w:rFonts w:ascii="Arial" w:hAnsi="Arial" w:cs="Arial"/>
        </w:rPr>
        <w:t>Cultural Dimensions (Hofstede, Hofstede and Minkov, 2010), Handy's Cultural Types (Handy, 1993) and Cameron and Quinn's Competing Values Framework (Cameron and Quinn, 2011), to provide a balanced evaluation of Toyota's organisational culture.</w:t>
      </w:r>
    </w:p>
    <w:p w14:paraId="4A4BF3FD" w14:textId="77777777" w:rsidR="00643FEF" w:rsidRDefault="00317D2A">
      <w:pPr>
        <w:spacing w:line="360" w:lineRule="auto"/>
        <w:rPr>
          <w:rFonts w:ascii="Arial" w:hAnsi="Arial" w:cs="Arial"/>
        </w:rPr>
      </w:pPr>
      <w:r>
        <w:rPr>
          <w:rFonts w:ascii="Arial" w:hAnsi="Arial" w:cs="Arial"/>
        </w:rPr>
        <w:t xml:space="preserve">Finally, the report evaluates how Toyota's culture affects organisational performance, adaptability and long-term competitiveness before presenting theory-informed recommendations for improvement. It argues that although Toyota's culture remains a major strategic </w:t>
      </w:r>
      <w:r>
        <w:rPr>
          <w:rFonts w:ascii="Arial" w:hAnsi="Arial" w:cs="Arial"/>
        </w:rPr>
        <w:t>strength, maintaining competitive advantage will require balancing its traditional values with greater organisational agility and innovation.</w:t>
      </w:r>
    </w:p>
    <w:p w14:paraId="4A4BF3FE" w14:textId="77777777" w:rsidR="00643FEF" w:rsidRDefault="00643FEF"/>
    <w:p w14:paraId="4A4BF3FF" w14:textId="77777777" w:rsidR="00643FEF" w:rsidRDefault="00643FEF"/>
    <w:p w14:paraId="4A4BF400" w14:textId="77777777" w:rsidR="00643FEF" w:rsidRDefault="00643FEF">
      <w:pPr>
        <w:spacing w:line="360" w:lineRule="auto"/>
        <w:rPr>
          <w:rFonts w:ascii="Arial" w:hAnsi="Arial" w:cs="Arial"/>
          <w:b/>
          <w:bCs/>
        </w:rPr>
      </w:pPr>
    </w:p>
    <w:p w14:paraId="4A4BF401" w14:textId="77777777" w:rsidR="00643FEF" w:rsidRDefault="00643FEF">
      <w:pPr>
        <w:spacing w:line="360" w:lineRule="auto"/>
        <w:rPr>
          <w:rFonts w:ascii="Arial" w:hAnsi="Arial" w:cs="Arial"/>
          <w:b/>
          <w:bCs/>
        </w:rPr>
      </w:pPr>
    </w:p>
    <w:p w14:paraId="4A4BF402" w14:textId="77777777" w:rsidR="00643FEF" w:rsidRDefault="00643FEF">
      <w:pPr>
        <w:spacing w:line="360" w:lineRule="auto"/>
        <w:rPr>
          <w:rFonts w:ascii="Arial" w:hAnsi="Arial" w:cs="Arial"/>
          <w:b/>
          <w:bCs/>
        </w:rPr>
      </w:pPr>
    </w:p>
    <w:p w14:paraId="4A4BF403" w14:textId="77777777" w:rsidR="00643FEF" w:rsidRDefault="00643FEF">
      <w:pPr>
        <w:spacing w:line="360" w:lineRule="auto"/>
        <w:rPr>
          <w:rFonts w:ascii="Arial" w:hAnsi="Arial" w:cs="Arial"/>
          <w:b/>
          <w:bCs/>
        </w:rPr>
      </w:pPr>
    </w:p>
    <w:p w14:paraId="4A4BF404" w14:textId="77777777" w:rsidR="00643FEF" w:rsidRDefault="00317D2A">
      <w:pPr>
        <w:spacing w:line="360" w:lineRule="auto"/>
        <w:ind w:left="720"/>
        <w:rPr>
          <w:rFonts w:ascii="Arial" w:hAnsi="Arial" w:cs="Arial"/>
          <w:b/>
          <w:bCs/>
          <w:sz w:val="28"/>
          <w:szCs w:val="28"/>
        </w:rPr>
      </w:pPr>
      <w:r>
        <w:rPr>
          <w:rFonts w:ascii="Arial" w:hAnsi="Arial" w:cs="Arial"/>
          <w:b/>
          <w:bCs/>
          <w:sz w:val="28"/>
          <w:szCs w:val="28"/>
        </w:rPr>
        <w:lastRenderedPageBreak/>
        <w:t>2.Company Background</w:t>
      </w:r>
    </w:p>
    <w:p w14:paraId="4A4BF405" w14:textId="77777777" w:rsidR="00643FEF" w:rsidRDefault="00317D2A">
      <w:pPr>
        <w:spacing w:line="360" w:lineRule="auto"/>
        <w:rPr>
          <w:rFonts w:ascii="Arial" w:hAnsi="Arial" w:cs="Arial"/>
        </w:rPr>
      </w:pPr>
      <w:r>
        <w:rPr>
          <w:rFonts w:ascii="Arial" w:hAnsi="Arial" w:cs="Arial"/>
        </w:rPr>
        <w:t xml:space="preserve">Toyota Motor Corporation is a Japanese multinational automotive manufacturer founded in 1937 by Kiichiro Toyoda. Headquartered in Toyota City, Japan, the company has grown into one of the world's largest vehicle manufacturers, employing over 380,000 people and selling more than 10 million vehicles annually (Toyota Motor Corporation, 2024). </w:t>
      </w:r>
      <w:r>
        <w:rPr>
          <w:rFonts w:ascii="Arial" w:hAnsi="Arial" w:cs="Arial"/>
        </w:rPr>
        <w:t>With operations spanning Asia, Europe, North America, South America, Africa and Oceania, Toyota provides a valuable case study for examining how a strong organisational culture can be maintained across diverse international environments.</w:t>
      </w:r>
    </w:p>
    <w:p w14:paraId="4A4BF406" w14:textId="77777777" w:rsidR="00643FEF" w:rsidRDefault="00317D2A">
      <w:pPr>
        <w:spacing w:line="360" w:lineRule="auto"/>
        <w:rPr>
          <w:rFonts w:ascii="Arial" w:hAnsi="Arial" w:cs="Arial"/>
        </w:rPr>
      </w:pPr>
      <w:r>
        <w:rPr>
          <w:rFonts w:ascii="Arial" w:hAnsi="Arial" w:cs="Arial"/>
        </w:rPr>
        <w:t>Toyota's competitive advantage is built not only on manufacturing excellence but also on the Toyota Way, which forms the foundation of its organisational culture. This philosophy is based on two core principles: Continuous Improvement (Kaizen) and Respect for People (Toyota</w:t>
      </w:r>
      <w:r>
        <w:rPr>
          <w:rFonts w:ascii="Arial" w:hAnsi="Arial" w:cs="Arial"/>
        </w:rPr>
        <w:t xml:space="preserve"> Motor Corporation, 2024). Kaizen encourages employees to improve processes and eliminate waste, while Respect for People promotes teamwork, trust and employee development. These principles are embedded in recruitment, leadership, performance management and daily operations, creating shared behavioural expectations across the organisation (Liker, 2021).</w:t>
      </w:r>
    </w:p>
    <w:p w14:paraId="6AC100CC" w14:textId="77777777" w:rsidR="00025CBD" w:rsidRDefault="00025CBD">
      <w:pPr>
        <w:spacing w:line="360" w:lineRule="auto"/>
        <w:rPr>
          <w:rFonts w:ascii="Arial" w:hAnsi="Arial" w:cs="Arial"/>
        </w:rPr>
      </w:pPr>
    </w:p>
    <w:p w14:paraId="4824BF0D" w14:textId="77777777" w:rsidR="00025CBD" w:rsidRDefault="00025CBD">
      <w:pPr>
        <w:spacing w:line="360" w:lineRule="auto"/>
        <w:rPr>
          <w:rFonts w:ascii="Arial" w:hAnsi="Arial" w:cs="Arial"/>
        </w:rPr>
      </w:pPr>
    </w:p>
    <w:p w14:paraId="679DA145" w14:textId="40DC59F1" w:rsidR="002D0C79" w:rsidRPr="002D0C79" w:rsidRDefault="002D0C79" w:rsidP="002D0C79">
      <w:pPr>
        <w:spacing w:line="360" w:lineRule="auto"/>
        <w:rPr>
          <w:rFonts w:ascii="Arial" w:hAnsi="Arial" w:cs="Arial"/>
        </w:rPr>
      </w:pPr>
      <w:r w:rsidRPr="002D0C79">
        <w:rPr>
          <w:rFonts w:ascii="Arial" w:hAnsi="Arial" w:cs="Arial"/>
        </w:rPr>
        <w:drawing>
          <wp:inline distT="0" distB="0" distL="0" distR="0" wp14:anchorId="3AFF1A38" wp14:editId="2487A6C6">
            <wp:extent cx="5731510" cy="3820795"/>
            <wp:effectExtent l="0" t="0" r="2540" b="8255"/>
            <wp:docPr id="1521465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6EA53F55" w14:textId="77777777" w:rsidR="002D0C79" w:rsidRDefault="002D0C79">
      <w:pPr>
        <w:spacing w:line="360" w:lineRule="auto"/>
        <w:rPr>
          <w:rFonts w:ascii="Arial" w:hAnsi="Arial" w:cs="Arial"/>
        </w:rPr>
      </w:pPr>
    </w:p>
    <w:p w14:paraId="4A4BF407" w14:textId="77777777" w:rsidR="00643FEF" w:rsidRDefault="00317D2A">
      <w:pPr>
        <w:spacing w:line="360" w:lineRule="auto"/>
        <w:rPr>
          <w:rFonts w:ascii="Arial" w:hAnsi="Arial" w:cs="Arial"/>
        </w:rPr>
      </w:pPr>
      <w:r>
        <w:rPr>
          <w:rFonts w:ascii="Arial" w:hAnsi="Arial" w:cs="Arial"/>
        </w:rPr>
        <w:t xml:space="preserve">Toyota's culture is closely integrated with the Toyota Production System (TPS), which is based on Just-in-Time (JIT) production and </w:t>
      </w:r>
      <w:proofErr w:type="spellStart"/>
      <w:r>
        <w:rPr>
          <w:rFonts w:ascii="Arial" w:hAnsi="Arial" w:cs="Arial"/>
        </w:rPr>
        <w:t>Jidoka</w:t>
      </w:r>
      <w:proofErr w:type="spellEnd"/>
      <w:r>
        <w:rPr>
          <w:rFonts w:ascii="Arial" w:hAnsi="Arial" w:cs="Arial"/>
        </w:rPr>
        <w:t xml:space="preserve"> (automation with </w:t>
      </w:r>
      <w:r>
        <w:rPr>
          <w:rFonts w:ascii="Arial" w:hAnsi="Arial" w:cs="Arial"/>
        </w:rPr>
        <w:t>a human touch) (Ohno, 1988; Liker, 2021). Employees are empowered to identify inefficiencies, stop production when quality issues occur and contribute to continuous improvement. The Andon system, which allows workers to halt production to address defects, demonstrates Toyota's commitment to quality, accountability and employee involvement.</w:t>
      </w:r>
    </w:p>
    <w:p w14:paraId="4A4BF408" w14:textId="77777777" w:rsidR="00643FEF" w:rsidRDefault="00317D2A">
      <w:pPr>
        <w:spacing w:line="360" w:lineRule="auto"/>
      </w:pPr>
      <w:r>
        <w:rPr>
          <w:rFonts w:ascii="Arial" w:hAnsi="Arial" w:cs="Arial"/>
        </w:rPr>
        <w:t xml:space="preserve">Although Toyota operates within a hierarchical structure, decision-making emphasises employee participation and organisational learning. Practices such as </w:t>
      </w:r>
      <w:proofErr w:type="spellStart"/>
      <w:r>
        <w:rPr>
          <w:rFonts w:ascii="Arial" w:hAnsi="Arial" w:cs="Arial"/>
          <w:i/>
          <w:iCs/>
        </w:rPr>
        <w:t>Nemawashi</w:t>
      </w:r>
      <w:proofErr w:type="spellEnd"/>
      <w:r>
        <w:rPr>
          <w:rFonts w:ascii="Arial" w:hAnsi="Arial" w:cs="Arial"/>
        </w:rPr>
        <w:t xml:space="preserve">, </w:t>
      </w:r>
      <w:r>
        <w:rPr>
          <w:rFonts w:ascii="Arial" w:hAnsi="Arial" w:cs="Arial"/>
        </w:rPr>
        <w:t xml:space="preserve">which encourages stakeholder consultation before decisions, and </w:t>
      </w:r>
      <w:proofErr w:type="spellStart"/>
      <w:r>
        <w:rPr>
          <w:rFonts w:ascii="Arial" w:hAnsi="Arial" w:cs="Arial"/>
          <w:i/>
          <w:iCs/>
        </w:rPr>
        <w:t>Hansei</w:t>
      </w:r>
      <w:proofErr w:type="spellEnd"/>
      <w:r>
        <w:rPr>
          <w:rFonts w:ascii="Arial" w:hAnsi="Arial" w:cs="Arial"/>
        </w:rPr>
        <w:t>, which promotes reflection and continuous learning, reinforce communication, consensus and long-term thinking (Liker, 2021).</w:t>
      </w:r>
    </w:p>
    <w:p w14:paraId="4A4BF409" w14:textId="77777777" w:rsidR="00643FEF" w:rsidRDefault="00317D2A">
      <w:pPr>
        <w:spacing w:line="360" w:lineRule="auto"/>
        <w:rPr>
          <w:rFonts w:ascii="Arial" w:hAnsi="Arial" w:cs="Arial"/>
        </w:rPr>
      </w:pPr>
      <w:r>
        <w:rPr>
          <w:rFonts w:ascii="Arial" w:hAnsi="Arial" w:cs="Arial"/>
        </w:rPr>
        <w:t xml:space="preserve">Toyota's culture has also been tested by significant challenges. The 2009–2011 global vehicle recall crisis raised concerns about quality control and the impact of rapid international expansion (Cole, 2011). Rather than abandoning its cultural principles, Toyota strengthened quality assurance, leadership </w:t>
      </w:r>
      <w:r>
        <w:rPr>
          <w:rFonts w:ascii="Arial" w:hAnsi="Arial" w:cs="Arial"/>
        </w:rPr>
        <w:t>accountability and employee training, demonstrating organisational resilience while preserving its core values.</w:t>
      </w:r>
    </w:p>
    <w:p w14:paraId="4A4BF40A" w14:textId="77777777" w:rsidR="00643FEF" w:rsidRDefault="00317D2A">
      <w:pPr>
        <w:spacing w:line="360" w:lineRule="auto"/>
        <w:rPr>
          <w:rFonts w:ascii="Arial" w:hAnsi="Arial" w:cs="Arial"/>
        </w:rPr>
      </w:pPr>
      <w:r>
        <w:rPr>
          <w:rFonts w:ascii="Arial" w:hAnsi="Arial" w:cs="Arial"/>
        </w:rPr>
        <w:t xml:space="preserve">More recently, the company has responded to digital transformation, environmental regulation, supply chain disruption and the shift towards battery electric vehicles (BEVs). While competitors accelerated electric vehicle production, Toyota adopted a more cautious strategy by continuing to invest in hybrid and hydrogen technologies alongside BEVs, reflecting its culture of evidence-based </w:t>
      </w:r>
      <w:r>
        <w:rPr>
          <w:rFonts w:ascii="Arial" w:hAnsi="Arial" w:cs="Arial"/>
        </w:rPr>
        <w:t>decision-making and long-term risk management (Toyota Motor Corporation, 2024).</w:t>
      </w:r>
    </w:p>
    <w:p w14:paraId="4A4BF40B" w14:textId="77777777" w:rsidR="00643FEF" w:rsidRDefault="00317D2A">
      <w:pPr>
        <w:spacing w:line="360" w:lineRule="auto"/>
        <w:rPr>
          <w:rFonts w:ascii="Arial" w:hAnsi="Arial" w:cs="Arial"/>
        </w:rPr>
      </w:pPr>
      <w:r>
        <w:rPr>
          <w:rFonts w:ascii="Arial" w:hAnsi="Arial" w:cs="Arial"/>
        </w:rPr>
        <w:t>Toyota has also expanded its vision beyond vehicle manufacturing by investing in connected technologies, autonomous driving and sustainable mobility. Projects such as Woven City illustrate how the company combines its established culture of continuous improvement with digital innovation (Toyota Motor Corporation, 2024). Overall, Toyota demonstrates how organisational culture can support organisational performance, resilience and</w:t>
      </w:r>
      <w:r>
        <w:rPr>
          <w:rFonts w:ascii="Arial" w:hAnsi="Arial" w:cs="Arial"/>
        </w:rPr>
        <w:t xml:space="preserve"> strategic adaptation while highlighting the ongoing challenge of balancing deeply rooted cultural values with the need for greater innovation and agility.</w:t>
      </w:r>
    </w:p>
    <w:p w14:paraId="3F8F3F55" w14:textId="77777777" w:rsidR="00025CBD" w:rsidRDefault="00025CBD">
      <w:pPr>
        <w:spacing w:line="360" w:lineRule="auto"/>
        <w:rPr>
          <w:rFonts w:ascii="Arial" w:hAnsi="Arial" w:cs="Arial"/>
          <w:b/>
          <w:bCs/>
          <w:sz w:val="28"/>
          <w:szCs w:val="28"/>
        </w:rPr>
      </w:pPr>
    </w:p>
    <w:p w14:paraId="66A29CD2" w14:textId="77777777" w:rsidR="00025CBD" w:rsidRDefault="00025CBD">
      <w:pPr>
        <w:spacing w:line="360" w:lineRule="auto"/>
        <w:rPr>
          <w:rFonts w:ascii="Arial" w:hAnsi="Arial" w:cs="Arial"/>
          <w:b/>
          <w:bCs/>
          <w:sz w:val="28"/>
          <w:szCs w:val="28"/>
        </w:rPr>
      </w:pPr>
    </w:p>
    <w:p w14:paraId="1701B4B6" w14:textId="77777777" w:rsidR="00025CBD" w:rsidRDefault="00025CBD">
      <w:pPr>
        <w:spacing w:line="360" w:lineRule="auto"/>
        <w:rPr>
          <w:rFonts w:ascii="Arial" w:hAnsi="Arial" w:cs="Arial"/>
          <w:b/>
          <w:bCs/>
          <w:sz w:val="28"/>
          <w:szCs w:val="28"/>
        </w:rPr>
      </w:pPr>
    </w:p>
    <w:p w14:paraId="4A4BF40C" w14:textId="07670A45" w:rsidR="00643FEF" w:rsidRDefault="00317D2A">
      <w:pPr>
        <w:spacing w:line="360" w:lineRule="auto"/>
        <w:rPr>
          <w:rFonts w:ascii="Arial" w:hAnsi="Arial" w:cs="Arial"/>
          <w:b/>
          <w:bCs/>
          <w:sz w:val="28"/>
          <w:szCs w:val="28"/>
        </w:rPr>
      </w:pPr>
      <w:r>
        <w:rPr>
          <w:rFonts w:ascii="Arial" w:hAnsi="Arial" w:cs="Arial"/>
          <w:b/>
          <w:bCs/>
          <w:sz w:val="28"/>
          <w:szCs w:val="28"/>
        </w:rPr>
        <w:lastRenderedPageBreak/>
        <w:t xml:space="preserve">3.Theoretical Foundations of Organisational Culture </w:t>
      </w:r>
    </w:p>
    <w:p w14:paraId="4A4BF40D" w14:textId="77777777" w:rsidR="00643FEF" w:rsidRDefault="00317D2A">
      <w:pPr>
        <w:spacing w:line="360" w:lineRule="auto"/>
        <w:rPr>
          <w:rFonts w:ascii="Arial" w:hAnsi="Arial" w:cs="Arial"/>
        </w:rPr>
      </w:pPr>
      <w:r>
        <w:rPr>
          <w:rFonts w:ascii="Arial" w:hAnsi="Arial" w:cs="Arial"/>
        </w:rPr>
        <w:t xml:space="preserve">Organisational culture is a central concept in organisational behaviour because it explains why organisations with similar resources often achieve different levels of performance. Rather than consisting only of formal policies, culture reflects the shared values, beliefs and assumptions that shape </w:t>
      </w:r>
      <w:r>
        <w:rPr>
          <w:rFonts w:ascii="Arial" w:hAnsi="Arial" w:cs="Arial"/>
        </w:rPr>
        <w:t>employee behaviour, leadership, communication and decision-making (Mullins and Christy, 2016). As a result, culture is increasingly viewed as a strategic resource that supports organisational effectiveness and long-term competitiveness (CIPD, 2023).</w:t>
      </w:r>
    </w:p>
    <w:p w14:paraId="4A4BF40E" w14:textId="77777777" w:rsidR="00643FEF" w:rsidRDefault="00317D2A">
      <w:pPr>
        <w:spacing w:line="360" w:lineRule="auto"/>
        <w:rPr>
          <w:rFonts w:ascii="Arial" w:hAnsi="Arial" w:cs="Arial"/>
        </w:rPr>
      </w:pPr>
      <w:r>
        <w:rPr>
          <w:rFonts w:ascii="Arial" w:hAnsi="Arial" w:cs="Arial"/>
        </w:rPr>
        <w:t xml:space="preserve">Mullins and Christy (2016) argue that organisational culture influences organisational structure, management control, work organisation and employee motivation. Toyota strongly reflects this argument, as its long-term success is attributed not only to </w:t>
      </w:r>
      <w:r>
        <w:rPr>
          <w:rFonts w:ascii="Arial" w:hAnsi="Arial" w:cs="Arial"/>
        </w:rPr>
        <w:t>manufacturing excellence but also to the Toyota Way, which shapes employee behaviour throughout the organisation. This also supports the Resource-Based View (RBV), which identifies valuable and difficult-to-imitate resources, such as organisational culture, as sources of sustained competitive advantage (Barney, 1991).</w:t>
      </w:r>
    </w:p>
    <w:p w14:paraId="0937BB19" w14:textId="77777777" w:rsidR="00025CBD" w:rsidRDefault="00025CBD">
      <w:pPr>
        <w:spacing w:line="360" w:lineRule="auto"/>
        <w:rPr>
          <w:rFonts w:ascii="Arial" w:hAnsi="Arial" w:cs="Arial"/>
        </w:rPr>
      </w:pPr>
    </w:p>
    <w:p w14:paraId="4679CC66" w14:textId="77777777" w:rsidR="00025CBD" w:rsidRDefault="00025CBD">
      <w:pPr>
        <w:spacing w:line="360" w:lineRule="auto"/>
        <w:rPr>
          <w:rFonts w:ascii="Arial" w:hAnsi="Arial" w:cs="Arial"/>
        </w:rPr>
      </w:pPr>
    </w:p>
    <w:p w14:paraId="4A4BF40F" w14:textId="77777777" w:rsidR="00643FEF" w:rsidRDefault="00317D2A">
      <w:pPr>
        <w:spacing w:line="360" w:lineRule="auto"/>
      </w:pPr>
      <w:r>
        <w:rPr>
          <w:rFonts w:ascii="Arial" w:hAnsi="Arial" w:cs="Arial"/>
          <w:b/>
          <w:bCs/>
          <w:sz w:val="24"/>
          <w:szCs w:val="24"/>
        </w:rPr>
        <w:t>3.1 Schein's Three Levels of Organisational Culture</w:t>
      </w:r>
    </w:p>
    <w:p w14:paraId="4A4BF410" w14:textId="77777777" w:rsidR="00643FEF" w:rsidRDefault="00317D2A">
      <w:pPr>
        <w:spacing w:line="360" w:lineRule="auto"/>
        <w:rPr>
          <w:rFonts w:ascii="Arial" w:hAnsi="Arial" w:cs="Arial"/>
        </w:rPr>
      </w:pPr>
      <w:r>
        <w:rPr>
          <w:rFonts w:ascii="Arial" w:hAnsi="Arial" w:cs="Arial"/>
        </w:rPr>
        <w:t xml:space="preserve">Among the major theories, Schein's Three Levels of Organisational Culture provides the most comprehensive framework (Schein and Schein, </w:t>
      </w:r>
      <w:r>
        <w:rPr>
          <w:rFonts w:ascii="Arial" w:hAnsi="Arial" w:cs="Arial"/>
        </w:rPr>
        <w:t>2021). Schein identifies three interconnected levels: artefacts, espoused values and basic underlying assumptions. Artefacts are the visible aspects of culture, such as organisational structures, symbols and behaviours. Espoused values represent the organisation's stated principles and priorities, while basic assumptions are the deeply embedded beliefs that unconsciously guide employee behaviour.</w:t>
      </w:r>
    </w:p>
    <w:p w14:paraId="4871666F" w14:textId="6CAEA92B" w:rsidR="002D0C79" w:rsidRPr="002D0C79" w:rsidRDefault="002D0C79" w:rsidP="002D0C79">
      <w:pPr>
        <w:spacing w:line="360" w:lineRule="auto"/>
        <w:rPr>
          <w:rFonts w:ascii="Arial" w:hAnsi="Arial" w:cs="Arial"/>
        </w:rPr>
      </w:pPr>
      <w:r w:rsidRPr="002D0C79">
        <w:rPr>
          <w:rFonts w:ascii="Arial" w:hAnsi="Arial" w:cs="Arial"/>
        </w:rPr>
        <w:lastRenderedPageBreak/>
        <w:drawing>
          <wp:inline distT="0" distB="0" distL="0" distR="0" wp14:anchorId="77BDD3C0" wp14:editId="42D9470D">
            <wp:extent cx="5731510" cy="3820795"/>
            <wp:effectExtent l="0" t="0" r="2540" b="8255"/>
            <wp:docPr id="21168752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1322CD23" w14:textId="77777777" w:rsidR="002D0C79" w:rsidRDefault="002D0C79">
      <w:pPr>
        <w:spacing w:line="360" w:lineRule="auto"/>
        <w:rPr>
          <w:rFonts w:ascii="Arial" w:hAnsi="Arial" w:cs="Arial"/>
        </w:rPr>
      </w:pPr>
    </w:p>
    <w:p w14:paraId="4A4BF411" w14:textId="77777777" w:rsidR="00643FEF" w:rsidRDefault="00317D2A">
      <w:pPr>
        <w:spacing w:line="360" w:lineRule="auto"/>
        <w:rPr>
          <w:rFonts w:ascii="Arial" w:hAnsi="Arial" w:cs="Arial"/>
        </w:rPr>
      </w:pPr>
      <w:r>
        <w:rPr>
          <w:rFonts w:ascii="Arial" w:hAnsi="Arial" w:cs="Arial"/>
        </w:rPr>
        <w:t>Toyota demonstrates all three levels clearly. Artefacts include standardised work procedures, visual management,</w:t>
      </w:r>
      <w:r>
        <w:rPr>
          <w:rFonts w:ascii="Arial" w:hAnsi="Arial" w:cs="Arial"/>
        </w:rPr>
        <w:t xml:space="preserve"> quality circles, Kaizen workshops and the Andon cord, which empowers employees to stop production when quality issues occur. Its espoused values are expressed through the Toyota Way, emphasising Continuous Improvement, Respect for People, teamwork and customer focus. At the deepest level, employees share assumptions that quality is everyone's responsibility, learning should be continuous and problems should be addressed rather than hidden. These underlying beliefs explain why Toyota has maintained a </w:t>
      </w:r>
      <w:r>
        <w:rPr>
          <w:rFonts w:ascii="Arial" w:hAnsi="Arial" w:cs="Arial"/>
        </w:rPr>
        <w:t>consistent organisational culture across its global operations.</w:t>
      </w:r>
    </w:p>
    <w:p w14:paraId="4A4BF412" w14:textId="41B29A89" w:rsidR="00643FEF" w:rsidRDefault="00317D2A">
      <w:pPr>
        <w:spacing w:line="360" w:lineRule="auto"/>
      </w:pPr>
      <w:r>
        <w:rPr>
          <w:rFonts w:ascii="Arial" w:hAnsi="Arial" w:cs="Arial"/>
          <w:b/>
          <w:bCs/>
          <w:sz w:val="24"/>
          <w:szCs w:val="24"/>
        </w:rPr>
        <w:t>3.2 Hofstede's Cultural Dimensions Theory</w:t>
      </w:r>
    </w:p>
    <w:p w14:paraId="4A4BF413" w14:textId="77777777" w:rsidR="00643FEF" w:rsidRDefault="00317D2A">
      <w:pPr>
        <w:spacing w:line="360" w:lineRule="auto"/>
        <w:rPr>
          <w:rFonts w:ascii="Arial" w:hAnsi="Arial" w:cs="Arial"/>
        </w:rPr>
      </w:pPr>
      <w:r>
        <w:rPr>
          <w:rFonts w:ascii="Arial" w:hAnsi="Arial" w:cs="Arial"/>
        </w:rPr>
        <w:t>Hofstede's Cultural Dimensions Theory provides a complementary perspective by explaining the influence of national culture on organisational behaviour (Hofstede, Hofstede and Minkov, 2010). Toyota reflects several characteristics of Japanese culture, including collectivism, long-term orientation and relatively high uncertainty avoidance, which are evident in teamwork, consensus-based decision-making and</w:t>
      </w:r>
      <w:r>
        <w:rPr>
          <w:rFonts w:ascii="Arial" w:hAnsi="Arial" w:cs="Arial"/>
        </w:rPr>
        <w:t xml:space="preserve"> long-term strategic planning. However, Hofstede's framework focuses primarily on national culture and cannot fully explain how Toyota has successfully embedded a common organisational culture across a diverse global workforce. In addition, critics argue that the model overgeneralises national characteristics (McSweeney, 2002).</w:t>
      </w:r>
    </w:p>
    <w:p w14:paraId="4A4BF414" w14:textId="77777777" w:rsidR="00643FEF" w:rsidRDefault="00317D2A">
      <w:pPr>
        <w:spacing w:line="360" w:lineRule="auto"/>
      </w:pPr>
      <w:r>
        <w:rPr>
          <w:rFonts w:ascii="Arial" w:hAnsi="Arial" w:cs="Arial"/>
          <w:b/>
          <w:bCs/>
          <w:sz w:val="24"/>
          <w:szCs w:val="24"/>
        </w:rPr>
        <w:lastRenderedPageBreak/>
        <w:t>3.3 Handy's Cultural Types</w:t>
      </w:r>
    </w:p>
    <w:p w14:paraId="4A4BF415" w14:textId="77777777" w:rsidR="00643FEF" w:rsidRDefault="00317D2A">
      <w:pPr>
        <w:spacing w:line="360" w:lineRule="auto"/>
        <w:rPr>
          <w:rFonts w:ascii="Arial" w:hAnsi="Arial" w:cs="Arial"/>
        </w:rPr>
      </w:pPr>
      <w:r>
        <w:rPr>
          <w:rFonts w:ascii="Arial" w:hAnsi="Arial" w:cs="Arial"/>
        </w:rPr>
        <w:t xml:space="preserve">Handy's Cultural Types (Handy, 1993) classify organisations as Power, Role, Task or Person cultures. Toyota combines Role Culture through standardised </w:t>
      </w:r>
      <w:r>
        <w:rPr>
          <w:rFonts w:ascii="Arial" w:hAnsi="Arial" w:cs="Arial"/>
        </w:rPr>
        <w:t>procedures and quality systems with Task Culture through cross-functional collaboration and employee empowerment. Although useful for describing organisational characteristics, Handy's framework provides limited explanation of how culture develops or changes over time.</w:t>
      </w:r>
    </w:p>
    <w:p w14:paraId="4A4BF416" w14:textId="77777777" w:rsidR="00643FEF" w:rsidRDefault="00317D2A">
      <w:pPr>
        <w:spacing w:line="360" w:lineRule="auto"/>
      </w:pPr>
      <w:r>
        <w:rPr>
          <w:rFonts w:ascii="Arial" w:hAnsi="Arial" w:cs="Arial"/>
          <w:b/>
          <w:bCs/>
          <w:sz w:val="24"/>
          <w:szCs w:val="24"/>
        </w:rPr>
        <w:t>3.4 Cameron and Quinn's Competing Values Framework</w:t>
      </w:r>
    </w:p>
    <w:p w14:paraId="4A4BF417" w14:textId="77777777" w:rsidR="00643FEF" w:rsidRDefault="00317D2A">
      <w:pPr>
        <w:spacing w:line="360" w:lineRule="auto"/>
        <w:rPr>
          <w:rFonts w:ascii="Arial" w:hAnsi="Arial" w:cs="Arial"/>
        </w:rPr>
      </w:pPr>
      <w:r>
        <w:rPr>
          <w:rFonts w:ascii="Arial" w:hAnsi="Arial" w:cs="Arial"/>
        </w:rPr>
        <w:t xml:space="preserve">Similarly, Cameron and Quinn's Competing Values Framework (2011) identifies four cultural types: Clan, Adhocracy, Market and Hierarchy. Toyota combines Clan characteristics, including </w:t>
      </w:r>
      <w:r>
        <w:rPr>
          <w:rFonts w:ascii="Arial" w:hAnsi="Arial" w:cs="Arial"/>
        </w:rPr>
        <w:t>teamwork and employee development, with Hierarchy through process discipline and quality control. More recently, investments in artificial intelligence, autonomous driving and Woven City demonstrate increasing elements of Adhocracy. However, like Handy's model, the framework classifies organisational characteristics rather than explaining the deeper assumptions that shape behaviour.</w:t>
      </w:r>
    </w:p>
    <w:p w14:paraId="4A4BF418" w14:textId="77777777" w:rsidR="00643FEF" w:rsidRDefault="00643FEF">
      <w:pPr>
        <w:spacing w:line="360" w:lineRule="auto"/>
        <w:rPr>
          <w:rFonts w:ascii="Arial" w:hAnsi="Arial" w:cs="Arial"/>
        </w:rPr>
      </w:pPr>
    </w:p>
    <w:p w14:paraId="4A4BF419" w14:textId="77777777" w:rsidR="00643FEF" w:rsidRDefault="00317D2A">
      <w:pPr>
        <w:spacing w:line="360" w:lineRule="auto"/>
        <w:rPr>
          <w:rFonts w:ascii="Arial" w:hAnsi="Arial" w:cs="Arial"/>
          <w:b/>
          <w:bCs/>
          <w:sz w:val="24"/>
          <w:szCs w:val="24"/>
        </w:rPr>
      </w:pPr>
      <w:r>
        <w:rPr>
          <w:rFonts w:ascii="Arial" w:hAnsi="Arial" w:cs="Arial"/>
          <w:b/>
          <w:bCs/>
          <w:sz w:val="24"/>
          <w:szCs w:val="24"/>
        </w:rPr>
        <w:t>3.5 Comparison of Theoretical Perspectives</w:t>
      </w:r>
    </w:p>
    <w:p w14:paraId="461B7B1F" w14:textId="379A087E" w:rsidR="00025CBD" w:rsidRPr="00025CBD" w:rsidRDefault="00025CBD" w:rsidP="00025CBD">
      <w:pPr>
        <w:spacing w:line="360" w:lineRule="auto"/>
      </w:pPr>
      <w:r w:rsidRPr="00025CBD">
        <w:drawing>
          <wp:inline distT="0" distB="0" distL="0" distR="0" wp14:anchorId="48A391C1" wp14:editId="4EF82A7A">
            <wp:extent cx="5731510" cy="3820795"/>
            <wp:effectExtent l="0" t="0" r="2540" b="8255"/>
            <wp:docPr id="7543213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58A6CBF9" w14:textId="77777777" w:rsidR="00025CBD" w:rsidRDefault="00025CBD">
      <w:pPr>
        <w:spacing w:line="360" w:lineRule="auto"/>
      </w:pPr>
    </w:p>
    <w:p w14:paraId="4A4BF41A" w14:textId="77777777" w:rsidR="00643FEF" w:rsidRDefault="00317D2A">
      <w:pPr>
        <w:spacing w:line="360" w:lineRule="auto"/>
        <w:rPr>
          <w:rFonts w:ascii="Arial" w:hAnsi="Arial" w:cs="Arial"/>
        </w:rPr>
      </w:pPr>
      <w:r>
        <w:rPr>
          <w:rFonts w:ascii="Arial" w:hAnsi="Arial" w:cs="Arial"/>
        </w:rPr>
        <w:lastRenderedPageBreak/>
        <w:t xml:space="preserve">Overall, each theory contributes a different perspective. Hofstede explains </w:t>
      </w:r>
      <w:r>
        <w:rPr>
          <w:rFonts w:ascii="Arial" w:hAnsi="Arial" w:cs="Arial"/>
        </w:rPr>
        <w:t xml:space="preserve">national cultural influences, Handy and Cameron and Quinn classify organisational characteristics, and the Resource-Based View highlights culture as a source of competitive advantage. However, Schein's Three Levels of Organisational Culture provides the most comprehensive explanation because it links observable behaviours with organisational values and deeply embedded assumptions. For this reason, Schein's framework forms the primary basis for analysing Toyota's organisational culture throughout this </w:t>
      </w:r>
      <w:r>
        <w:rPr>
          <w:rFonts w:ascii="Arial" w:hAnsi="Arial" w:cs="Arial"/>
        </w:rPr>
        <w:t>report.</w:t>
      </w:r>
    </w:p>
    <w:p w14:paraId="4A4BF41B" w14:textId="77777777" w:rsidR="00643FEF" w:rsidRDefault="00643FEF">
      <w:pPr>
        <w:spacing w:line="360" w:lineRule="auto"/>
        <w:rPr>
          <w:rFonts w:ascii="Arial" w:hAnsi="Arial" w:cs="Arial"/>
        </w:rPr>
      </w:pPr>
    </w:p>
    <w:p w14:paraId="4A4BF41C" w14:textId="77777777" w:rsidR="00643FEF" w:rsidRDefault="00317D2A">
      <w:pPr>
        <w:rPr>
          <w:rFonts w:ascii="Arial" w:hAnsi="Arial" w:cs="Arial"/>
          <w:b/>
          <w:bCs/>
          <w:sz w:val="28"/>
          <w:szCs w:val="28"/>
        </w:rPr>
      </w:pPr>
      <w:r>
        <w:rPr>
          <w:rFonts w:ascii="Arial" w:hAnsi="Arial" w:cs="Arial"/>
          <w:b/>
          <w:bCs/>
          <w:sz w:val="28"/>
          <w:szCs w:val="28"/>
        </w:rPr>
        <w:t>4.Critical Analysis of Toyota's Organisational Culture</w:t>
      </w:r>
    </w:p>
    <w:p w14:paraId="5E9B179F" w14:textId="3426E386" w:rsidR="002D0C79" w:rsidRPr="002D0C79" w:rsidRDefault="002D0C79" w:rsidP="002D0C79">
      <w:r w:rsidRPr="002D0C79">
        <w:drawing>
          <wp:inline distT="0" distB="0" distL="0" distR="0" wp14:anchorId="39F3F216" wp14:editId="6A7FC5EF">
            <wp:extent cx="5731510" cy="3820795"/>
            <wp:effectExtent l="0" t="0" r="2540" b="8255"/>
            <wp:docPr id="10341103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4067B73A" w14:textId="77777777" w:rsidR="002D0C79" w:rsidRDefault="002D0C79"/>
    <w:p w14:paraId="3D345E07" w14:textId="77777777" w:rsidR="002D0C79" w:rsidRDefault="002D0C79"/>
    <w:p w14:paraId="173AA2A9" w14:textId="77777777" w:rsidR="00025CBD" w:rsidRDefault="00025CBD">
      <w:pPr>
        <w:spacing w:line="360" w:lineRule="auto"/>
      </w:pPr>
    </w:p>
    <w:p w14:paraId="008E67CF" w14:textId="77777777" w:rsidR="00025CBD" w:rsidRDefault="00025CBD">
      <w:pPr>
        <w:spacing w:line="360" w:lineRule="auto"/>
        <w:rPr>
          <w:rFonts w:ascii="Arial" w:hAnsi="Arial" w:cs="Arial"/>
          <w:b/>
          <w:bCs/>
          <w:sz w:val="24"/>
          <w:szCs w:val="24"/>
        </w:rPr>
      </w:pPr>
    </w:p>
    <w:p w14:paraId="637FE684" w14:textId="77777777" w:rsidR="00025CBD" w:rsidRDefault="00025CBD">
      <w:pPr>
        <w:spacing w:line="360" w:lineRule="auto"/>
        <w:rPr>
          <w:rFonts w:ascii="Arial" w:hAnsi="Arial" w:cs="Arial"/>
          <w:b/>
          <w:bCs/>
          <w:sz w:val="24"/>
          <w:szCs w:val="24"/>
        </w:rPr>
      </w:pPr>
    </w:p>
    <w:p w14:paraId="78E81995" w14:textId="77777777" w:rsidR="00025CBD" w:rsidRDefault="00025CBD">
      <w:pPr>
        <w:spacing w:line="360" w:lineRule="auto"/>
        <w:rPr>
          <w:rFonts w:ascii="Arial" w:hAnsi="Arial" w:cs="Arial"/>
          <w:b/>
          <w:bCs/>
          <w:sz w:val="24"/>
          <w:szCs w:val="24"/>
        </w:rPr>
      </w:pPr>
    </w:p>
    <w:p w14:paraId="21E1989D" w14:textId="77777777" w:rsidR="00025CBD" w:rsidRDefault="00025CBD">
      <w:pPr>
        <w:spacing w:line="360" w:lineRule="auto"/>
        <w:rPr>
          <w:rFonts w:ascii="Arial" w:hAnsi="Arial" w:cs="Arial"/>
          <w:b/>
          <w:bCs/>
          <w:sz w:val="24"/>
          <w:szCs w:val="24"/>
        </w:rPr>
      </w:pPr>
    </w:p>
    <w:p w14:paraId="0BD9716C" w14:textId="77777777" w:rsidR="00025CBD" w:rsidRDefault="00025CBD">
      <w:pPr>
        <w:spacing w:line="360" w:lineRule="auto"/>
        <w:rPr>
          <w:rFonts w:ascii="Arial" w:hAnsi="Arial" w:cs="Arial"/>
          <w:b/>
          <w:bCs/>
          <w:sz w:val="24"/>
          <w:szCs w:val="24"/>
        </w:rPr>
      </w:pPr>
    </w:p>
    <w:p w14:paraId="6621CAB7" w14:textId="77777777" w:rsidR="00025CBD" w:rsidRDefault="00025CBD">
      <w:pPr>
        <w:spacing w:line="360" w:lineRule="auto"/>
        <w:rPr>
          <w:rFonts w:ascii="Arial" w:hAnsi="Arial" w:cs="Arial"/>
          <w:b/>
          <w:bCs/>
          <w:sz w:val="24"/>
          <w:szCs w:val="24"/>
        </w:rPr>
      </w:pPr>
    </w:p>
    <w:p w14:paraId="4A4BF41D" w14:textId="2FE1024B" w:rsidR="00643FEF" w:rsidRDefault="00317D2A">
      <w:pPr>
        <w:spacing w:line="360" w:lineRule="auto"/>
      </w:pPr>
      <w:r>
        <w:rPr>
          <w:rFonts w:ascii="Arial" w:hAnsi="Arial" w:cs="Arial"/>
          <w:b/>
          <w:bCs/>
          <w:sz w:val="24"/>
          <w:szCs w:val="24"/>
        </w:rPr>
        <w:t xml:space="preserve">4.1 Organisational Culture and Organisational Structure </w:t>
      </w:r>
    </w:p>
    <w:p w14:paraId="4A4BF41E" w14:textId="77777777" w:rsidR="00643FEF" w:rsidRDefault="00317D2A">
      <w:pPr>
        <w:spacing w:line="360" w:lineRule="auto"/>
        <w:rPr>
          <w:rFonts w:ascii="Arial" w:hAnsi="Arial" w:cs="Arial"/>
        </w:rPr>
      </w:pPr>
      <w:r>
        <w:rPr>
          <w:rFonts w:ascii="Arial" w:hAnsi="Arial" w:cs="Arial"/>
        </w:rPr>
        <w:t>Toyota's organisational structure is strongly shaped by its organisational culture. Although the company uses a formal hierarchical structure to coordinate its global operations, authority is balanced with employee involvement and decentralised problem-solving. This enables Toyota to maintain operational control while encouraging continuous improvement.</w:t>
      </w:r>
    </w:p>
    <w:p w14:paraId="4A4BF41F" w14:textId="77777777" w:rsidR="00643FEF" w:rsidRDefault="00317D2A">
      <w:pPr>
        <w:spacing w:line="360" w:lineRule="auto"/>
        <w:rPr>
          <w:rFonts w:ascii="Arial" w:hAnsi="Arial" w:cs="Arial"/>
        </w:rPr>
      </w:pPr>
      <w:r>
        <w:rPr>
          <w:rFonts w:ascii="Arial" w:hAnsi="Arial" w:cs="Arial"/>
        </w:rPr>
        <w:t xml:space="preserve">The Toyota Production System (TPS) </w:t>
      </w:r>
      <w:r>
        <w:rPr>
          <w:rFonts w:ascii="Arial" w:hAnsi="Arial" w:cs="Arial"/>
        </w:rPr>
        <w:t xml:space="preserve">demonstrates this relationship by expecting employees not only to perform their roles but also to identify inefficiencies, suggest improvements and contribute to quality management through quality circles, Kaizen workshops and cross-functional teams (Liker, 2021). This supports Schein's view that deeply embedded assumptions influence behaviour more effectively than formal rules (Schein and Schein, 2021). At Toyota, employees share the belief that improving organisational performance is everyone's </w:t>
      </w:r>
      <w:r>
        <w:rPr>
          <w:rFonts w:ascii="Arial" w:hAnsi="Arial" w:cs="Arial"/>
        </w:rPr>
        <w:t>responsibility, regardless of position.</w:t>
      </w:r>
    </w:p>
    <w:p w14:paraId="4A4BF420" w14:textId="77777777" w:rsidR="00643FEF" w:rsidRDefault="00317D2A">
      <w:pPr>
        <w:spacing w:line="360" w:lineRule="auto"/>
        <w:rPr>
          <w:rFonts w:ascii="Arial" w:hAnsi="Arial" w:cs="Arial"/>
        </w:rPr>
      </w:pPr>
      <w:r>
        <w:rPr>
          <w:rFonts w:ascii="Arial" w:hAnsi="Arial" w:cs="Arial"/>
        </w:rPr>
        <w:t>This approach also reflects Cameron and Quinn's (2011) Competing Values Framework. Toyota combines the collaboration and employee development associated with Clan Culture with the discipline and consistency of Hierarchy Culture. This balance allows the organisation to encourage innovation while maintaining high operational standards, contributing to its reputation for quality and reliability.</w:t>
      </w:r>
    </w:p>
    <w:p w14:paraId="4A4BF421" w14:textId="77777777" w:rsidR="00643FEF" w:rsidRDefault="00317D2A">
      <w:pPr>
        <w:spacing w:line="360" w:lineRule="auto"/>
        <w:rPr>
          <w:rFonts w:ascii="Arial" w:hAnsi="Arial" w:cs="Arial"/>
        </w:rPr>
      </w:pPr>
      <w:r>
        <w:rPr>
          <w:rFonts w:ascii="Arial" w:hAnsi="Arial" w:cs="Arial"/>
        </w:rPr>
        <w:t xml:space="preserve">However, sustaining this balance across a multinational organisation is </w:t>
      </w:r>
      <w:r>
        <w:rPr>
          <w:rFonts w:ascii="Arial" w:hAnsi="Arial" w:cs="Arial"/>
        </w:rPr>
        <w:t>increasingly challenging. As Toyota has expanded globally, maintaining consistent organisational values while adapting to different national cultures has required continuous investment in leadership development, employee training and organisational socialisation. This demonstrates that organisational culture must be actively managed to remain effective across diverse international operations.</w:t>
      </w:r>
    </w:p>
    <w:p w14:paraId="6C626207" w14:textId="77777777" w:rsidR="00025CBD" w:rsidRDefault="00025CBD">
      <w:pPr>
        <w:spacing w:line="360" w:lineRule="auto"/>
        <w:rPr>
          <w:rFonts w:ascii="Arial" w:hAnsi="Arial" w:cs="Arial"/>
          <w:b/>
          <w:bCs/>
          <w:sz w:val="24"/>
          <w:szCs w:val="24"/>
        </w:rPr>
      </w:pPr>
    </w:p>
    <w:p w14:paraId="5D6E4D19" w14:textId="77777777" w:rsidR="00025CBD" w:rsidRDefault="00025CBD">
      <w:pPr>
        <w:spacing w:line="360" w:lineRule="auto"/>
        <w:rPr>
          <w:rFonts w:ascii="Arial" w:hAnsi="Arial" w:cs="Arial"/>
          <w:b/>
          <w:bCs/>
          <w:sz w:val="24"/>
          <w:szCs w:val="24"/>
        </w:rPr>
      </w:pPr>
    </w:p>
    <w:p w14:paraId="28AA4953" w14:textId="77777777" w:rsidR="00025CBD" w:rsidRDefault="00025CBD">
      <w:pPr>
        <w:spacing w:line="360" w:lineRule="auto"/>
        <w:rPr>
          <w:rFonts w:ascii="Arial" w:hAnsi="Arial" w:cs="Arial"/>
          <w:b/>
          <w:bCs/>
          <w:sz w:val="24"/>
          <w:szCs w:val="24"/>
        </w:rPr>
      </w:pPr>
    </w:p>
    <w:p w14:paraId="4E47152C" w14:textId="77777777" w:rsidR="00025CBD" w:rsidRDefault="00025CBD">
      <w:pPr>
        <w:spacing w:line="360" w:lineRule="auto"/>
        <w:rPr>
          <w:rFonts w:ascii="Arial" w:hAnsi="Arial" w:cs="Arial"/>
          <w:b/>
          <w:bCs/>
          <w:sz w:val="24"/>
          <w:szCs w:val="24"/>
        </w:rPr>
      </w:pPr>
    </w:p>
    <w:p w14:paraId="70D9E8BC" w14:textId="77777777" w:rsidR="00025CBD" w:rsidRDefault="00025CBD">
      <w:pPr>
        <w:spacing w:line="360" w:lineRule="auto"/>
        <w:rPr>
          <w:rFonts w:ascii="Arial" w:hAnsi="Arial" w:cs="Arial"/>
          <w:b/>
          <w:bCs/>
          <w:sz w:val="24"/>
          <w:szCs w:val="24"/>
        </w:rPr>
      </w:pPr>
    </w:p>
    <w:p w14:paraId="256A0D60" w14:textId="77777777" w:rsidR="00025CBD" w:rsidRDefault="00025CBD">
      <w:pPr>
        <w:spacing w:line="360" w:lineRule="auto"/>
        <w:rPr>
          <w:rFonts w:ascii="Arial" w:hAnsi="Arial" w:cs="Arial"/>
          <w:b/>
          <w:bCs/>
          <w:sz w:val="24"/>
          <w:szCs w:val="24"/>
        </w:rPr>
      </w:pPr>
    </w:p>
    <w:p w14:paraId="59FB2B61" w14:textId="77777777" w:rsidR="00025CBD" w:rsidRDefault="00025CBD">
      <w:pPr>
        <w:spacing w:line="360" w:lineRule="auto"/>
        <w:rPr>
          <w:rFonts w:ascii="Arial" w:hAnsi="Arial" w:cs="Arial"/>
          <w:b/>
          <w:bCs/>
          <w:sz w:val="24"/>
          <w:szCs w:val="24"/>
        </w:rPr>
      </w:pPr>
    </w:p>
    <w:p w14:paraId="32D5DAD4" w14:textId="77777777" w:rsidR="00025CBD" w:rsidRDefault="00025CBD">
      <w:pPr>
        <w:spacing w:line="360" w:lineRule="auto"/>
        <w:rPr>
          <w:rFonts w:ascii="Arial" w:hAnsi="Arial" w:cs="Arial"/>
          <w:b/>
          <w:bCs/>
          <w:sz w:val="24"/>
          <w:szCs w:val="24"/>
        </w:rPr>
      </w:pPr>
    </w:p>
    <w:p w14:paraId="4A4BF423" w14:textId="13BC1DF4" w:rsidR="00643FEF" w:rsidRDefault="00317D2A">
      <w:pPr>
        <w:spacing w:line="360" w:lineRule="auto"/>
        <w:rPr>
          <w:rFonts w:ascii="Arial" w:hAnsi="Arial" w:cs="Arial"/>
          <w:b/>
          <w:bCs/>
          <w:sz w:val="24"/>
          <w:szCs w:val="24"/>
        </w:rPr>
      </w:pPr>
      <w:r>
        <w:rPr>
          <w:rFonts w:ascii="Arial" w:hAnsi="Arial" w:cs="Arial"/>
          <w:b/>
          <w:bCs/>
          <w:sz w:val="24"/>
          <w:szCs w:val="24"/>
        </w:rPr>
        <w:t xml:space="preserve">4.2 Organisational Culture and Decision-Making </w:t>
      </w:r>
    </w:p>
    <w:p w14:paraId="4A4BF424" w14:textId="77777777" w:rsidR="00643FEF" w:rsidRDefault="00317D2A">
      <w:pPr>
        <w:spacing w:line="360" w:lineRule="auto"/>
      </w:pPr>
      <w:r>
        <w:rPr>
          <w:rFonts w:ascii="Arial" w:hAnsi="Arial" w:cs="Arial"/>
        </w:rPr>
        <w:t xml:space="preserve">Toyota's organisational culture strongly shapes managerial </w:t>
      </w:r>
      <w:r>
        <w:rPr>
          <w:rFonts w:ascii="Arial" w:hAnsi="Arial" w:cs="Arial"/>
        </w:rPr>
        <w:t xml:space="preserve">decision-making through collaboration, long-term thinking and consensus building. Rather than relying on top-down decisions, the company uses </w:t>
      </w:r>
      <w:proofErr w:type="spellStart"/>
      <w:r>
        <w:rPr>
          <w:rFonts w:ascii="Arial" w:hAnsi="Arial" w:cs="Arial"/>
          <w:i/>
          <w:iCs/>
        </w:rPr>
        <w:t>Nemawashi</w:t>
      </w:r>
      <w:proofErr w:type="spellEnd"/>
      <w:r>
        <w:rPr>
          <w:rFonts w:ascii="Arial" w:hAnsi="Arial" w:cs="Arial"/>
        </w:rPr>
        <w:t>, an informal consultation process that involves stakeholders before formal decisions are made. This encourages knowledge sharing, reduces resistance to change and increases employee commitment through participation.</w:t>
      </w:r>
    </w:p>
    <w:p w14:paraId="4A4BF425" w14:textId="77777777" w:rsidR="00643FEF" w:rsidRDefault="00317D2A">
      <w:pPr>
        <w:spacing w:line="360" w:lineRule="auto"/>
      </w:pPr>
      <w:r>
        <w:rPr>
          <w:rFonts w:ascii="Arial" w:hAnsi="Arial" w:cs="Arial"/>
        </w:rPr>
        <w:t xml:space="preserve">From a theoretical perspective, </w:t>
      </w:r>
      <w:proofErr w:type="spellStart"/>
      <w:r>
        <w:rPr>
          <w:rFonts w:ascii="Arial" w:hAnsi="Arial" w:cs="Arial"/>
          <w:i/>
          <w:iCs/>
        </w:rPr>
        <w:t>Nemawashi</w:t>
      </w:r>
      <w:proofErr w:type="spellEnd"/>
      <w:r>
        <w:rPr>
          <w:rFonts w:ascii="Arial" w:hAnsi="Arial" w:cs="Arial"/>
        </w:rPr>
        <w:t xml:space="preserve"> reflects Hofstede's (Hofstede, Hofstede and Minkov, 2010) view that Japanese organisations emphasise </w:t>
      </w:r>
      <w:r>
        <w:rPr>
          <w:rFonts w:ascii="Arial" w:hAnsi="Arial" w:cs="Arial"/>
        </w:rPr>
        <w:t>collectivism and long-term orientation. Toyota evaluates decisions according to their long-term organisational impact rather than short-term financial outcomes, contributing to its reputation for quality, reliability and sustainable growth.</w:t>
      </w:r>
    </w:p>
    <w:p w14:paraId="4A4BF426" w14:textId="77777777" w:rsidR="00643FEF" w:rsidRDefault="00317D2A">
      <w:pPr>
        <w:spacing w:line="360" w:lineRule="auto"/>
        <w:rPr>
          <w:rFonts w:ascii="Arial" w:hAnsi="Arial" w:cs="Arial"/>
        </w:rPr>
      </w:pPr>
      <w:r>
        <w:rPr>
          <w:rFonts w:ascii="Arial" w:hAnsi="Arial" w:cs="Arial"/>
        </w:rPr>
        <w:t xml:space="preserve">However, consensus-based decision-making also has limitations. While consultation improves decision quality, it can reduce responsiveness during periods of rapid change. Toyota's cautious approach to battery electric vehicles (BEVs), compared with competitors such as </w:t>
      </w:r>
      <w:r>
        <w:rPr>
          <w:rFonts w:ascii="Arial" w:hAnsi="Arial" w:cs="Arial"/>
        </w:rPr>
        <w:t>Tesla, illustrates how risk-averse decision-making may delay strategic transformation. Although Toyota has since increased investment in BEVs, this demonstrates that deeply embedded cultural values can sometimes restrict organisational agility.</w:t>
      </w:r>
    </w:p>
    <w:p w14:paraId="4A4BF427" w14:textId="77777777" w:rsidR="00643FEF" w:rsidRDefault="00317D2A">
      <w:pPr>
        <w:spacing w:line="360" w:lineRule="auto"/>
        <w:rPr>
          <w:rFonts w:ascii="Arial" w:hAnsi="Arial" w:cs="Arial"/>
        </w:rPr>
      </w:pPr>
      <w:r>
        <w:rPr>
          <w:rFonts w:ascii="Arial" w:hAnsi="Arial" w:cs="Arial"/>
        </w:rPr>
        <w:t xml:space="preserve">The 2009–2011 global vehicle recall crisis also exposed weaknesses in Toyota's decision-making during rapid international expansion. Increasingly complex communication between regional operations and headquarters delayed responses to quality concerns (Cole, 2011). </w:t>
      </w:r>
      <w:r>
        <w:rPr>
          <w:rFonts w:ascii="Arial" w:hAnsi="Arial" w:cs="Arial"/>
        </w:rPr>
        <w:t>Rather than reflecting cultural failure, the crisis showed that strong organisational cultures must be supported by effective governance. Toyota responded by strengthening quality management, leadership accountability and global communication, demonstrating organisational learning and resilience.</w:t>
      </w:r>
    </w:p>
    <w:p w14:paraId="4DC7CC71" w14:textId="77777777" w:rsidR="00025CBD" w:rsidRDefault="00025CBD">
      <w:pPr>
        <w:spacing w:line="360" w:lineRule="auto"/>
        <w:rPr>
          <w:rFonts w:ascii="Arial" w:hAnsi="Arial" w:cs="Arial"/>
          <w:b/>
          <w:bCs/>
          <w:sz w:val="24"/>
          <w:szCs w:val="24"/>
        </w:rPr>
      </w:pPr>
    </w:p>
    <w:p w14:paraId="2768594C" w14:textId="77777777" w:rsidR="00025CBD" w:rsidRDefault="00025CBD">
      <w:pPr>
        <w:spacing w:line="360" w:lineRule="auto"/>
        <w:rPr>
          <w:rFonts w:ascii="Arial" w:hAnsi="Arial" w:cs="Arial"/>
          <w:b/>
          <w:bCs/>
          <w:sz w:val="24"/>
          <w:szCs w:val="24"/>
        </w:rPr>
      </w:pPr>
    </w:p>
    <w:p w14:paraId="698C8643" w14:textId="77777777" w:rsidR="00025CBD" w:rsidRDefault="00025CBD">
      <w:pPr>
        <w:spacing w:line="360" w:lineRule="auto"/>
        <w:rPr>
          <w:rFonts w:ascii="Arial" w:hAnsi="Arial" w:cs="Arial"/>
          <w:b/>
          <w:bCs/>
          <w:sz w:val="24"/>
          <w:szCs w:val="24"/>
        </w:rPr>
      </w:pPr>
    </w:p>
    <w:p w14:paraId="75878671" w14:textId="77777777" w:rsidR="00025CBD" w:rsidRDefault="00025CBD">
      <w:pPr>
        <w:spacing w:line="360" w:lineRule="auto"/>
        <w:rPr>
          <w:rFonts w:ascii="Arial" w:hAnsi="Arial" w:cs="Arial"/>
          <w:b/>
          <w:bCs/>
          <w:sz w:val="24"/>
          <w:szCs w:val="24"/>
        </w:rPr>
      </w:pPr>
    </w:p>
    <w:p w14:paraId="34FD616A" w14:textId="77777777" w:rsidR="00025CBD" w:rsidRDefault="00025CBD">
      <w:pPr>
        <w:spacing w:line="360" w:lineRule="auto"/>
        <w:rPr>
          <w:rFonts w:ascii="Arial" w:hAnsi="Arial" w:cs="Arial"/>
          <w:b/>
          <w:bCs/>
          <w:sz w:val="24"/>
          <w:szCs w:val="24"/>
        </w:rPr>
      </w:pPr>
    </w:p>
    <w:p w14:paraId="4A4BF428" w14:textId="6B3D9801" w:rsidR="00643FEF" w:rsidRDefault="00317D2A">
      <w:pPr>
        <w:spacing w:line="360" w:lineRule="auto"/>
        <w:rPr>
          <w:rFonts w:ascii="Arial" w:hAnsi="Arial" w:cs="Arial"/>
          <w:b/>
          <w:bCs/>
          <w:sz w:val="24"/>
          <w:szCs w:val="24"/>
        </w:rPr>
      </w:pPr>
      <w:r>
        <w:rPr>
          <w:rFonts w:ascii="Arial" w:hAnsi="Arial" w:cs="Arial"/>
          <w:b/>
          <w:bCs/>
          <w:sz w:val="24"/>
          <w:szCs w:val="24"/>
        </w:rPr>
        <w:lastRenderedPageBreak/>
        <w:t>4.3 Identifying Toyota's Organisational Culture</w:t>
      </w:r>
    </w:p>
    <w:p w14:paraId="77D8B9F1" w14:textId="77777777" w:rsidR="002D0C79" w:rsidRDefault="00317D2A">
      <w:pPr>
        <w:spacing w:line="360" w:lineRule="auto"/>
        <w:rPr>
          <w:rFonts w:ascii="Arial" w:hAnsi="Arial" w:cs="Arial"/>
        </w:rPr>
      </w:pPr>
      <w:r>
        <w:rPr>
          <w:rFonts w:ascii="Arial" w:hAnsi="Arial" w:cs="Arial"/>
        </w:rPr>
        <w:t>Schein's Three Levels of Organisational Culture provide the most effective framework for identifying Toyota's organisational culture.</w:t>
      </w:r>
    </w:p>
    <w:p w14:paraId="5953C59F" w14:textId="77777777" w:rsidR="00025CBD" w:rsidRDefault="00025CBD">
      <w:pPr>
        <w:spacing w:line="360" w:lineRule="auto"/>
        <w:rPr>
          <w:rFonts w:ascii="Arial" w:hAnsi="Arial" w:cs="Arial"/>
        </w:rPr>
      </w:pPr>
    </w:p>
    <w:p w14:paraId="3B1ED1B8" w14:textId="09F2EC3D" w:rsidR="002D0C79" w:rsidRPr="002D0C79" w:rsidRDefault="002D0C79" w:rsidP="002D0C79">
      <w:pPr>
        <w:spacing w:line="360" w:lineRule="auto"/>
        <w:rPr>
          <w:rFonts w:ascii="Arial" w:hAnsi="Arial" w:cs="Arial"/>
        </w:rPr>
      </w:pPr>
      <w:r w:rsidRPr="002D0C79">
        <w:rPr>
          <w:rFonts w:ascii="Arial" w:hAnsi="Arial" w:cs="Arial"/>
        </w:rPr>
        <w:drawing>
          <wp:inline distT="0" distB="0" distL="0" distR="0" wp14:anchorId="40814AC9" wp14:editId="61A74E9D">
            <wp:extent cx="5731510" cy="3820795"/>
            <wp:effectExtent l="0" t="0" r="2540" b="8255"/>
            <wp:docPr id="836634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6808FF56" w14:textId="77777777" w:rsidR="00025CBD" w:rsidRDefault="00025CBD">
      <w:pPr>
        <w:spacing w:line="360" w:lineRule="auto"/>
        <w:rPr>
          <w:rFonts w:ascii="Arial" w:hAnsi="Arial" w:cs="Arial"/>
        </w:rPr>
      </w:pPr>
    </w:p>
    <w:p w14:paraId="5AF8A9B8" w14:textId="77777777" w:rsidR="00025CBD" w:rsidRDefault="00025CBD">
      <w:pPr>
        <w:spacing w:line="360" w:lineRule="auto"/>
        <w:rPr>
          <w:rFonts w:ascii="Arial" w:hAnsi="Arial" w:cs="Arial"/>
        </w:rPr>
      </w:pPr>
    </w:p>
    <w:p w14:paraId="4A4BF429" w14:textId="3C3867F3" w:rsidR="00643FEF" w:rsidRDefault="00317D2A">
      <w:pPr>
        <w:spacing w:line="360" w:lineRule="auto"/>
        <w:rPr>
          <w:rFonts w:ascii="Arial" w:hAnsi="Arial" w:cs="Arial"/>
        </w:rPr>
      </w:pPr>
      <w:r>
        <w:rPr>
          <w:rFonts w:ascii="Arial" w:hAnsi="Arial" w:cs="Arial"/>
        </w:rPr>
        <w:t xml:space="preserve"> At the artefact level, Toyota's </w:t>
      </w:r>
      <w:r>
        <w:rPr>
          <w:rFonts w:ascii="Arial" w:hAnsi="Arial" w:cs="Arial"/>
        </w:rPr>
        <w:t>culture is reflected through standardised work procedures, visual management systems, Kaizen events, Andon systems and employee suggestion schemes, all of which reinforce quality and continuous improvement.</w:t>
      </w:r>
    </w:p>
    <w:p w14:paraId="15F3694E" w14:textId="77777777" w:rsidR="00025CBD" w:rsidRDefault="00025CBD">
      <w:pPr>
        <w:spacing w:line="360" w:lineRule="auto"/>
        <w:rPr>
          <w:rFonts w:ascii="Arial" w:hAnsi="Arial" w:cs="Arial"/>
        </w:rPr>
      </w:pPr>
    </w:p>
    <w:p w14:paraId="703C9CEC" w14:textId="7DD14A83" w:rsidR="00025CBD" w:rsidRDefault="00317D2A">
      <w:pPr>
        <w:spacing w:line="360" w:lineRule="auto"/>
        <w:rPr>
          <w:rFonts w:ascii="Arial" w:hAnsi="Arial" w:cs="Arial"/>
        </w:rPr>
      </w:pPr>
      <w:r>
        <w:rPr>
          <w:rFonts w:ascii="Arial" w:hAnsi="Arial" w:cs="Arial"/>
        </w:rPr>
        <w:t xml:space="preserve">At the level of espoused values, the Toyota Way promotes Continuous Improvement (Kaizen) and Respect for People, guiding leadership, employee development and operational decision-making. At the deepest level, employees share assumptions that quality is everyone's responsibility, problems should be </w:t>
      </w:r>
      <w:r>
        <w:rPr>
          <w:rFonts w:ascii="Arial" w:hAnsi="Arial" w:cs="Arial"/>
        </w:rPr>
        <w:t>addressed rather than hidden, and long-term organisational success is more important than short-term financial performance. These deeply embedded beliefs explain why Toyota has maintained a consistent culture across its global operations (Schein and Schein, 2021).</w:t>
      </w:r>
    </w:p>
    <w:p w14:paraId="4A4BF42B" w14:textId="5ABBC335" w:rsidR="00643FEF" w:rsidRDefault="00317D2A">
      <w:pPr>
        <w:spacing w:line="360" w:lineRule="auto"/>
        <w:rPr>
          <w:rFonts w:ascii="Arial" w:hAnsi="Arial" w:cs="Arial"/>
        </w:rPr>
      </w:pPr>
      <w:r>
        <w:rPr>
          <w:rFonts w:ascii="Arial" w:hAnsi="Arial" w:cs="Arial"/>
        </w:rPr>
        <w:lastRenderedPageBreak/>
        <w:t xml:space="preserve">Handy's (1993) Cultural Types further demonstrate that Toyota combines Role Culture through formal procedures and quality systems with Task Culture through teamwork, employee empowerment and collaborative problem-solving. While Handy's framework </w:t>
      </w:r>
      <w:r>
        <w:rPr>
          <w:rFonts w:ascii="Arial" w:hAnsi="Arial" w:cs="Arial"/>
        </w:rPr>
        <w:t>effectively classifies Toyota's culture, Schein's model provides a deeper explanation by linking observable behaviours with the underlying assumptions that shape organisational performance.</w:t>
      </w:r>
    </w:p>
    <w:p w14:paraId="4A4BF42C" w14:textId="77777777" w:rsidR="00643FEF" w:rsidRDefault="00317D2A">
      <w:pPr>
        <w:spacing w:line="360" w:lineRule="auto"/>
        <w:rPr>
          <w:rFonts w:ascii="Arial" w:hAnsi="Arial" w:cs="Arial"/>
          <w:b/>
          <w:bCs/>
          <w:sz w:val="24"/>
          <w:szCs w:val="24"/>
        </w:rPr>
      </w:pPr>
      <w:r>
        <w:rPr>
          <w:rFonts w:ascii="Arial" w:hAnsi="Arial" w:cs="Arial"/>
          <w:b/>
          <w:bCs/>
          <w:sz w:val="24"/>
          <w:szCs w:val="24"/>
        </w:rPr>
        <w:t>4.4 Adapting to the External Environment</w:t>
      </w:r>
    </w:p>
    <w:p w14:paraId="4A4BF42D" w14:textId="77777777" w:rsidR="00643FEF" w:rsidRDefault="00317D2A">
      <w:pPr>
        <w:spacing w:line="360" w:lineRule="auto"/>
        <w:rPr>
          <w:rFonts w:ascii="Arial" w:hAnsi="Arial" w:cs="Arial"/>
        </w:rPr>
      </w:pPr>
      <w:r>
        <w:rPr>
          <w:rFonts w:ascii="Arial" w:hAnsi="Arial" w:cs="Arial"/>
        </w:rPr>
        <w:t>Toyota's organisational culture has enabled the company to respond to changing external conditions while preserving its core values. Rather than abandoning the Toyota Way, the organisation applies Continuous Improvement (Kaizen) to new challenges, demonstrating that organisational</w:t>
      </w:r>
      <w:r>
        <w:rPr>
          <w:rFonts w:ascii="Arial" w:hAnsi="Arial" w:cs="Arial"/>
        </w:rPr>
        <w:t xml:space="preserve"> culture can support resilience as well as change.</w:t>
      </w:r>
    </w:p>
    <w:p w14:paraId="4A4BF42E" w14:textId="77777777" w:rsidR="00643FEF" w:rsidRDefault="00317D2A">
      <w:pPr>
        <w:spacing w:line="360" w:lineRule="auto"/>
        <w:rPr>
          <w:rFonts w:ascii="Arial" w:hAnsi="Arial" w:cs="Arial"/>
        </w:rPr>
      </w:pPr>
      <w:r>
        <w:rPr>
          <w:rFonts w:ascii="Arial" w:hAnsi="Arial" w:cs="Arial"/>
        </w:rPr>
        <w:t>The automotive industry is undergoing rapid transformation driven by electrification, artificial intelligence, digitalisation and stricter environmental regulations. Toyota has responded by investing in battery electric vehicles, hydrogen technology, autonomous driving and Woven City, illustrating its commitment to combining continuous improvement with technological innovation (Toyota Motor Corporation, 2024).</w:t>
      </w:r>
    </w:p>
    <w:p w14:paraId="4A4BF42F" w14:textId="77777777" w:rsidR="00643FEF" w:rsidRDefault="00317D2A">
      <w:pPr>
        <w:spacing w:line="360" w:lineRule="auto"/>
        <w:rPr>
          <w:rFonts w:ascii="Arial" w:hAnsi="Arial" w:cs="Arial"/>
        </w:rPr>
      </w:pPr>
      <w:r>
        <w:rPr>
          <w:rFonts w:ascii="Arial" w:hAnsi="Arial" w:cs="Arial"/>
        </w:rPr>
        <w:t xml:space="preserve">However, adapting to these changes requires </w:t>
      </w:r>
      <w:r>
        <w:rPr>
          <w:rFonts w:ascii="Arial" w:hAnsi="Arial" w:cs="Arial"/>
        </w:rPr>
        <w:t xml:space="preserve">balancing operational discipline with greater flexibility. While Toyota's emphasis on standardisation has supported quality and efficiency, it may also slow experimentation and disruptive innovation. Nevertheless, the company's resilience during the COVID-19 pandemic and global semiconductor shortage demonstrates how its culture of long-term planning, supplier collaboration and proactive risk management can strengthen organisational adaptability. Overall, Toyota's culture continues to provide a competitive </w:t>
      </w:r>
      <w:r>
        <w:rPr>
          <w:rFonts w:ascii="Arial" w:hAnsi="Arial" w:cs="Arial"/>
        </w:rPr>
        <w:t>advantage, provided it evolves alongside the rapidly changing business environment.</w:t>
      </w:r>
    </w:p>
    <w:p w14:paraId="737C313F" w14:textId="77777777" w:rsidR="004D4552" w:rsidRDefault="004D4552">
      <w:pPr>
        <w:spacing w:line="360" w:lineRule="auto"/>
        <w:rPr>
          <w:rFonts w:ascii="Arial" w:hAnsi="Arial" w:cs="Arial"/>
        </w:rPr>
      </w:pPr>
    </w:p>
    <w:p w14:paraId="332B446A" w14:textId="77777777" w:rsidR="004D4552" w:rsidRDefault="004D4552">
      <w:pPr>
        <w:spacing w:line="360" w:lineRule="auto"/>
        <w:rPr>
          <w:rFonts w:ascii="Arial" w:hAnsi="Arial" w:cs="Arial"/>
        </w:rPr>
      </w:pPr>
    </w:p>
    <w:p w14:paraId="0F6E7CBC" w14:textId="77777777" w:rsidR="004D4552" w:rsidRDefault="004D4552">
      <w:pPr>
        <w:spacing w:line="360" w:lineRule="auto"/>
        <w:rPr>
          <w:rFonts w:ascii="Arial" w:hAnsi="Arial" w:cs="Arial"/>
        </w:rPr>
      </w:pPr>
    </w:p>
    <w:p w14:paraId="4A4BF434" w14:textId="77777777" w:rsidR="00643FEF" w:rsidRDefault="00317D2A">
      <w:pPr>
        <w:spacing w:line="360" w:lineRule="auto"/>
      </w:pPr>
      <w:r>
        <w:rPr>
          <w:rFonts w:ascii="Arial" w:hAnsi="Arial" w:cs="Arial"/>
          <w:b/>
          <w:bCs/>
          <w:sz w:val="24"/>
          <w:szCs w:val="24"/>
        </w:rPr>
        <w:t xml:space="preserve">4.5 Organisational Culture as an Enabler or Barrier </w:t>
      </w:r>
    </w:p>
    <w:p w14:paraId="4A4BF435" w14:textId="77777777" w:rsidR="00643FEF" w:rsidRDefault="00317D2A">
      <w:pPr>
        <w:spacing w:line="360" w:lineRule="auto"/>
        <w:rPr>
          <w:rFonts w:ascii="Arial" w:hAnsi="Arial" w:cs="Arial"/>
        </w:rPr>
      </w:pPr>
      <w:r>
        <w:rPr>
          <w:rFonts w:ascii="Arial" w:hAnsi="Arial" w:cs="Arial"/>
        </w:rPr>
        <w:t>Overall, Toyota's organisational culture functions primarily as an enabler of organisational effectiveness. It promotes employee engagement, continuous improvement, operational discipline and collaborative problem-solving, contributing significantly to the company's long-term competitiveness and global reputation for quality.</w:t>
      </w:r>
    </w:p>
    <w:p w14:paraId="4A4BF436" w14:textId="77777777" w:rsidR="00643FEF" w:rsidRDefault="00317D2A">
      <w:pPr>
        <w:spacing w:line="360" w:lineRule="auto"/>
        <w:rPr>
          <w:rFonts w:ascii="Arial" w:hAnsi="Arial" w:cs="Arial"/>
        </w:rPr>
      </w:pPr>
      <w:r>
        <w:rPr>
          <w:rFonts w:ascii="Arial" w:hAnsi="Arial" w:cs="Arial"/>
        </w:rPr>
        <w:lastRenderedPageBreak/>
        <w:t xml:space="preserve">However, the culture also has limitations. </w:t>
      </w:r>
      <w:r>
        <w:rPr>
          <w:rFonts w:ascii="Arial" w:hAnsi="Arial" w:cs="Arial"/>
        </w:rPr>
        <w:t>The same values that support operational excellence may reduce flexibility by discouraging radical innovation and slowing strategic decision-making. Schein and Schein (2021) argue that deeply embedded assumptions provide stability but can become barriers when organisations face rapid environmental change. This is particularly relevant as Toyota responds to electrification, artificial intelligence and connected mobility.</w:t>
      </w:r>
    </w:p>
    <w:p w14:paraId="4A4BF437" w14:textId="77777777" w:rsidR="00643FEF" w:rsidRDefault="00317D2A">
      <w:pPr>
        <w:spacing w:line="360" w:lineRule="auto"/>
        <w:rPr>
          <w:rFonts w:ascii="Arial" w:hAnsi="Arial" w:cs="Arial"/>
        </w:rPr>
      </w:pPr>
      <w:r>
        <w:rPr>
          <w:rFonts w:ascii="Arial" w:hAnsi="Arial" w:cs="Arial"/>
        </w:rPr>
        <w:t>Consequently, Toyota's culture should be viewed as a dynamic strategic capability rather</w:t>
      </w:r>
      <w:r>
        <w:rPr>
          <w:rFonts w:ascii="Arial" w:hAnsi="Arial" w:cs="Arial"/>
        </w:rPr>
        <w:t xml:space="preserve"> than a fixed organisational characteristic. Sustaining competitive advantage will require preserving the discipline and collaboration of the Toyota Way while encouraging greater organisational agility, digital innovation and strategic experimentation.</w:t>
      </w:r>
    </w:p>
    <w:p w14:paraId="4A4BF438" w14:textId="77777777" w:rsidR="00643FEF" w:rsidRDefault="00317D2A">
      <w:pPr>
        <w:spacing w:line="360" w:lineRule="auto"/>
        <w:rPr>
          <w:rFonts w:ascii="Arial" w:hAnsi="Arial" w:cs="Arial"/>
          <w:b/>
          <w:bCs/>
          <w:sz w:val="28"/>
          <w:szCs w:val="28"/>
        </w:rPr>
      </w:pPr>
      <w:r>
        <w:rPr>
          <w:rFonts w:ascii="Arial" w:hAnsi="Arial" w:cs="Arial"/>
          <w:b/>
          <w:bCs/>
          <w:sz w:val="28"/>
          <w:szCs w:val="28"/>
        </w:rPr>
        <w:t xml:space="preserve">5.Evaluation of the Impact of Organisational Culture on Organisational Performance </w:t>
      </w:r>
    </w:p>
    <w:p w14:paraId="4A4BF439" w14:textId="77777777" w:rsidR="00643FEF" w:rsidRDefault="00317D2A">
      <w:pPr>
        <w:spacing w:line="360" w:lineRule="auto"/>
        <w:rPr>
          <w:rFonts w:ascii="Arial" w:hAnsi="Arial" w:cs="Arial"/>
        </w:rPr>
      </w:pPr>
      <w:r>
        <w:rPr>
          <w:rFonts w:ascii="Arial" w:hAnsi="Arial" w:cs="Arial"/>
        </w:rPr>
        <w:t xml:space="preserve">Toyota's organisational culture has significantly influenced organisational performance by shaping employee behaviour, operational efficiency, innovation and long-term </w:t>
      </w:r>
      <w:r>
        <w:rPr>
          <w:rFonts w:ascii="Arial" w:hAnsi="Arial" w:cs="Arial"/>
        </w:rPr>
        <w:t>success. Through the Toyota Way, shared values are embedded into everyday activities, supporting Mullins and Christy's (2016) argument that culture strongly influences organisational effectiveness.</w:t>
      </w:r>
    </w:p>
    <w:p w14:paraId="4A4BF43A" w14:textId="77777777" w:rsidR="00643FEF" w:rsidRDefault="00317D2A">
      <w:pPr>
        <w:spacing w:line="360" w:lineRule="auto"/>
        <w:rPr>
          <w:rFonts w:ascii="Arial" w:hAnsi="Arial" w:cs="Arial"/>
        </w:rPr>
      </w:pPr>
      <w:r>
        <w:rPr>
          <w:rFonts w:ascii="Arial" w:hAnsi="Arial" w:cs="Arial"/>
        </w:rPr>
        <w:t xml:space="preserve">Continuous Improvement (Kaizen) has enabled Toyota to improve productivity, quality and customer satisfaction by encouraging employees to identify problems, eliminate waste and contribute to organisational learning (Liker, 2021). Combined with the Toyota Production System, this culture has created one of the </w:t>
      </w:r>
      <w:r>
        <w:rPr>
          <w:rFonts w:ascii="Arial" w:hAnsi="Arial" w:cs="Arial"/>
        </w:rPr>
        <w:t>world's most efficient manufacturing systems.</w:t>
      </w:r>
    </w:p>
    <w:p w14:paraId="4A4BF43B" w14:textId="77777777" w:rsidR="00643FEF" w:rsidRDefault="00317D2A">
      <w:pPr>
        <w:spacing w:line="360" w:lineRule="auto"/>
        <w:rPr>
          <w:rFonts w:ascii="Arial" w:hAnsi="Arial" w:cs="Arial"/>
        </w:rPr>
      </w:pPr>
      <w:r>
        <w:rPr>
          <w:rFonts w:ascii="Arial" w:hAnsi="Arial" w:cs="Arial"/>
        </w:rPr>
        <w:t xml:space="preserve">Toyota also benefits from employee empowerment and collaborative problem-solving. Employees are encouraged to identify defects, stop production through the Andon system and contribute improvement ideas, reinforcing learning, shared responsibility and long-term organisational effectiveness (Schein and Schein, 2021). Its culture has further strengthened resilience by supporting supplier collaboration, proactive planning and organisational learning during events </w:t>
      </w:r>
      <w:r>
        <w:rPr>
          <w:rFonts w:ascii="Arial" w:hAnsi="Arial" w:cs="Arial"/>
        </w:rPr>
        <w:t>such as the COVID-19 pandemic.</w:t>
      </w:r>
    </w:p>
    <w:p w14:paraId="4A4BF43C" w14:textId="77777777" w:rsidR="00643FEF" w:rsidRDefault="00317D2A">
      <w:pPr>
        <w:spacing w:line="360" w:lineRule="auto"/>
        <w:rPr>
          <w:rFonts w:ascii="Arial" w:hAnsi="Arial" w:cs="Arial"/>
        </w:rPr>
      </w:pPr>
      <w:r>
        <w:rPr>
          <w:rFonts w:ascii="Arial" w:hAnsi="Arial" w:cs="Arial"/>
        </w:rPr>
        <w:t>Despite these strengths, Toyota's culture can also limit performance. Consensus-based decision-making may delay responses to rapidly changing markets, as seen in the company's cautious approach to battery electric vehicles. Similarly, the 2009–2011 recall crisis demonstrated that strong organisational culture must be supported by effective governance and communication systems (Cole, 2011). Toyota responded by improving quality management, leadership accountability and employee</w:t>
      </w:r>
      <w:r>
        <w:rPr>
          <w:rFonts w:ascii="Arial" w:hAnsi="Arial" w:cs="Arial"/>
        </w:rPr>
        <w:t xml:space="preserve"> development, demonstrating organisational learning rather than cultural failure.</w:t>
      </w:r>
    </w:p>
    <w:p w14:paraId="6742E997" w14:textId="0949ABBE" w:rsidR="00025CBD" w:rsidRPr="00025CBD" w:rsidRDefault="00025CBD" w:rsidP="00025CBD">
      <w:pPr>
        <w:spacing w:line="360" w:lineRule="auto"/>
        <w:rPr>
          <w:rFonts w:ascii="Arial" w:hAnsi="Arial" w:cs="Arial"/>
        </w:rPr>
      </w:pPr>
      <w:r w:rsidRPr="00025CBD">
        <w:rPr>
          <w:rFonts w:ascii="Arial" w:hAnsi="Arial" w:cs="Arial"/>
        </w:rPr>
        <w:lastRenderedPageBreak/>
        <w:drawing>
          <wp:inline distT="0" distB="0" distL="0" distR="0" wp14:anchorId="6E059570" wp14:editId="6124770D">
            <wp:extent cx="5731510" cy="3820795"/>
            <wp:effectExtent l="0" t="0" r="2540" b="8255"/>
            <wp:docPr id="67610960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66A8B5C0" w14:textId="77777777" w:rsidR="00025CBD" w:rsidRDefault="00025CBD">
      <w:pPr>
        <w:spacing w:line="360" w:lineRule="auto"/>
        <w:rPr>
          <w:rFonts w:ascii="Arial" w:hAnsi="Arial" w:cs="Arial"/>
        </w:rPr>
      </w:pPr>
    </w:p>
    <w:p w14:paraId="4A4BF43D" w14:textId="77777777" w:rsidR="00643FEF" w:rsidRDefault="00317D2A">
      <w:pPr>
        <w:spacing w:line="360" w:lineRule="auto"/>
        <w:rPr>
          <w:rFonts w:ascii="Arial" w:hAnsi="Arial" w:cs="Arial"/>
        </w:rPr>
      </w:pPr>
      <w:r>
        <w:rPr>
          <w:rFonts w:ascii="Arial" w:hAnsi="Arial" w:cs="Arial"/>
        </w:rPr>
        <w:t>Overall, the evidence shows that Toyota's organisational culture remains a major source of competitive advantage. From the Resource-Based View, it represents a valuable, rare and difficult-to-imitate capability (Barney, 1991). However, maintaining this advantage will require balancing traditional cultural strengths with greater organisational agility, calculated risk-taking and digital innovation.</w:t>
      </w:r>
    </w:p>
    <w:p w14:paraId="73F3A4F1" w14:textId="77777777" w:rsidR="004D4552" w:rsidRDefault="004D4552">
      <w:pPr>
        <w:spacing w:line="360" w:lineRule="auto"/>
        <w:rPr>
          <w:rFonts w:ascii="Arial" w:hAnsi="Arial" w:cs="Arial"/>
          <w:b/>
          <w:bCs/>
          <w:sz w:val="28"/>
          <w:szCs w:val="28"/>
        </w:rPr>
      </w:pPr>
    </w:p>
    <w:p w14:paraId="4A4BF43E" w14:textId="72DF19F4" w:rsidR="00643FEF" w:rsidRDefault="00317D2A">
      <w:pPr>
        <w:spacing w:line="360" w:lineRule="auto"/>
        <w:rPr>
          <w:rFonts w:ascii="Arial" w:hAnsi="Arial" w:cs="Arial"/>
          <w:b/>
          <w:bCs/>
          <w:sz w:val="28"/>
          <w:szCs w:val="28"/>
        </w:rPr>
      </w:pPr>
      <w:r>
        <w:rPr>
          <w:rFonts w:ascii="Arial" w:hAnsi="Arial" w:cs="Arial"/>
          <w:b/>
          <w:bCs/>
          <w:sz w:val="28"/>
          <w:szCs w:val="28"/>
        </w:rPr>
        <w:t>6.</w:t>
      </w:r>
      <w:r>
        <w:rPr>
          <w:rFonts w:ascii="Arial" w:hAnsi="Arial" w:cs="Arial"/>
          <w:b/>
          <w:bCs/>
          <w:sz w:val="28"/>
          <w:szCs w:val="28"/>
        </w:rPr>
        <w:t xml:space="preserve"> Recommendations </w:t>
      </w:r>
    </w:p>
    <w:p w14:paraId="4A4BF43F" w14:textId="77777777" w:rsidR="00643FEF" w:rsidRDefault="00317D2A">
      <w:pPr>
        <w:spacing w:line="360" w:lineRule="auto"/>
        <w:rPr>
          <w:rFonts w:ascii="Arial" w:hAnsi="Arial" w:cs="Arial"/>
        </w:rPr>
      </w:pPr>
      <w:r>
        <w:rPr>
          <w:rFonts w:ascii="Arial" w:hAnsi="Arial" w:cs="Arial"/>
        </w:rPr>
        <w:t>The evaluation indicates that Toyota's culture remains one of its greatest strategic assets, but continued success depends on adapting to emerging challenges.</w:t>
      </w:r>
    </w:p>
    <w:p w14:paraId="74D38D42" w14:textId="77777777" w:rsidR="004D4552" w:rsidRDefault="004D4552">
      <w:pPr>
        <w:spacing w:line="360" w:lineRule="auto"/>
        <w:rPr>
          <w:rFonts w:ascii="Arial" w:hAnsi="Arial" w:cs="Arial"/>
        </w:rPr>
      </w:pPr>
    </w:p>
    <w:p w14:paraId="31B01D41" w14:textId="650BA2C4" w:rsidR="004D4552" w:rsidRPr="004D4552" w:rsidRDefault="00317D2A">
      <w:pPr>
        <w:spacing w:line="360" w:lineRule="auto"/>
      </w:pPr>
      <w:r>
        <w:rPr>
          <w:rFonts w:ascii="Arial" w:hAnsi="Arial" w:cs="Arial"/>
          <w:b/>
          <w:bCs/>
          <w:sz w:val="24"/>
          <w:szCs w:val="24"/>
        </w:rPr>
        <w:t>Recommendation 1: Strengthen constructive challenge in decision-making.</w:t>
      </w:r>
      <w:r>
        <w:rPr>
          <w:rFonts w:ascii="Arial" w:hAnsi="Arial" w:cs="Arial"/>
          <w:sz w:val="24"/>
          <w:szCs w:val="24"/>
        </w:rPr>
        <w:br/>
      </w:r>
      <w:r>
        <w:rPr>
          <w:rFonts w:ascii="Arial" w:hAnsi="Arial" w:cs="Arial"/>
        </w:rPr>
        <w:t xml:space="preserve">Toyota should preserve the benefits of consensus while encouraging greater constructive debate. Schein and Schein (2021) argue that organisations should question deeply embedded assumptions to avoid limiting innovation. Leadership should </w:t>
      </w:r>
      <w:r>
        <w:rPr>
          <w:rFonts w:ascii="Arial" w:hAnsi="Arial" w:cs="Arial"/>
        </w:rPr>
        <w:t>promote psychological safety so employees can confidently challenge existing practices.</w:t>
      </w:r>
    </w:p>
    <w:p w14:paraId="4A4BF441" w14:textId="16CF81B8" w:rsidR="00643FEF" w:rsidRDefault="00317D2A">
      <w:pPr>
        <w:spacing w:line="360" w:lineRule="auto"/>
      </w:pPr>
      <w:r>
        <w:rPr>
          <w:rFonts w:ascii="Arial" w:hAnsi="Arial" w:cs="Arial"/>
          <w:b/>
          <w:bCs/>
          <w:sz w:val="24"/>
          <w:szCs w:val="24"/>
        </w:rPr>
        <w:lastRenderedPageBreak/>
        <w:t>Recommendation 2: Extend Kaizen into digital innovation.</w:t>
      </w:r>
      <w:r>
        <w:rPr>
          <w:rFonts w:ascii="Arial" w:hAnsi="Arial" w:cs="Arial"/>
          <w:sz w:val="24"/>
          <w:szCs w:val="24"/>
        </w:rPr>
        <w:br/>
      </w:r>
      <w:r>
        <w:rPr>
          <w:rFonts w:ascii="Arial" w:hAnsi="Arial" w:cs="Arial"/>
        </w:rPr>
        <w:t>Toyota should apply Continuous Improvement beyond manufacturing by embedding Kaizen within software development, artificial intelligence, connected mobility and battery electric vehicle programmes. This would strengthen responsiveness while preserving the company's cultural identity (Mullins and Christy, 2016).</w:t>
      </w:r>
    </w:p>
    <w:p w14:paraId="4A4BF442" w14:textId="77777777" w:rsidR="00643FEF" w:rsidRDefault="00317D2A">
      <w:pPr>
        <w:spacing w:line="360" w:lineRule="auto"/>
      </w:pPr>
      <w:r>
        <w:rPr>
          <w:rFonts w:ascii="Arial" w:hAnsi="Arial" w:cs="Arial"/>
          <w:b/>
          <w:bCs/>
          <w:sz w:val="24"/>
          <w:szCs w:val="24"/>
        </w:rPr>
        <w:t xml:space="preserve">Recommendation 3: Balance global consistency with </w:t>
      </w:r>
      <w:r>
        <w:rPr>
          <w:rFonts w:ascii="Arial" w:hAnsi="Arial" w:cs="Arial"/>
          <w:b/>
          <w:bCs/>
          <w:sz w:val="24"/>
          <w:szCs w:val="24"/>
        </w:rPr>
        <w:t>local flexibility.</w:t>
      </w:r>
      <w:r>
        <w:rPr>
          <w:rFonts w:ascii="Arial" w:hAnsi="Arial" w:cs="Arial"/>
        </w:rPr>
        <w:br/>
      </w:r>
      <w:r>
        <w:rPr>
          <w:rFonts w:ascii="Arial" w:hAnsi="Arial" w:cs="Arial"/>
        </w:rPr>
        <w:t>Toyota should maintain the core principles of the Toyota Way while giving regional operations greater autonomy to respond to local markets and regulations. This reflects Hofstede, Hofstede and Minkov's (2010) view that management practices should consider national cultural differences.</w:t>
      </w:r>
    </w:p>
    <w:p w14:paraId="4A4BF443" w14:textId="77777777" w:rsidR="00643FEF" w:rsidRDefault="00317D2A">
      <w:pPr>
        <w:spacing w:line="360" w:lineRule="auto"/>
      </w:pPr>
      <w:r>
        <w:rPr>
          <w:rFonts w:ascii="Arial" w:hAnsi="Arial" w:cs="Arial"/>
          <w:b/>
          <w:bCs/>
          <w:sz w:val="24"/>
          <w:szCs w:val="24"/>
        </w:rPr>
        <w:t>Recommendation 4: Continue strengthening quality governance.</w:t>
      </w:r>
      <w:r>
        <w:rPr>
          <w:rFonts w:ascii="Arial" w:hAnsi="Arial" w:cs="Arial"/>
          <w:sz w:val="24"/>
          <w:szCs w:val="24"/>
        </w:rPr>
        <w:br/>
      </w:r>
      <w:r>
        <w:rPr>
          <w:rFonts w:ascii="Arial" w:hAnsi="Arial" w:cs="Arial"/>
        </w:rPr>
        <w:t xml:space="preserve">Building on lessons from the recall crisis, Toyota should further invest in digital quality monitoring, global knowledge sharing and proactive </w:t>
      </w:r>
      <w:r>
        <w:rPr>
          <w:rFonts w:ascii="Arial" w:hAnsi="Arial" w:cs="Arial"/>
        </w:rPr>
        <w:t xml:space="preserve">risk management. Integrating Kaizen and </w:t>
      </w:r>
      <w:proofErr w:type="spellStart"/>
      <w:r>
        <w:rPr>
          <w:rFonts w:ascii="Arial" w:hAnsi="Arial" w:cs="Arial"/>
        </w:rPr>
        <w:t>Hansei</w:t>
      </w:r>
      <w:proofErr w:type="spellEnd"/>
      <w:r>
        <w:rPr>
          <w:rFonts w:ascii="Arial" w:hAnsi="Arial" w:cs="Arial"/>
        </w:rPr>
        <w:t xml:space="preserve"> into governance systems will strengthen organisational learning, resilience and long-term quality performance.</w:t>
      </w:r>
    </w:p>
    <w:p w14:paraId="4A4BF444" w14:textId="77777777" w:rsidR="00643FEF" w:rsidRDefault="00643FEF">
      <w:pPr>
        <w:spacing w:line="360" w:lineRule="auto"/>
        <w:rPr>
          <w:rFonts w:ascii="Arial" w:hAnsi="Arial" w:cs="Arial"/>
          <w:sz w:val="24"/>
          <w:szCs w:val="24"/>
        </w:rPr>
      </w:pPr>
    </w:p>
    <w:p w14:paraId="4A4BF445" w14:textId="77777777" w:rsidR="00643FEF" w:rsidRDefault="00317D2A">
      <w:pPr>
        <w:spacing w:line="360" w:lineRule="auto"/>
        <w:rPr>
          <w:rFonts w:ascii="Arial" w:hAnsi="Arial" w:cs="Arial"/>
          <w:b/>
          <w:bCs/>
          <w:sz w:val="28"/>
          <w:szCs w:val="28"/>
        </w:rPr>
      </w:pPr>
      <w:r>
        <w:rPr>
          <w:rFonts w:ascii="Arial" w:hAnsi="Arial" w:cs="Arial"/>
          <w:b/>
          <w:bCs/>
          <w:sz w:val="28"/>
          <w:szCs w:val="28"/>
        </w:rPr>
        <w:t>7.Conclusion</w:t>
      </w:r>
    </w:p>
    <w:p w14:paraId="4A4BF446" w14:textId="77777777" w:rsidR="00643FEF" w:rsidRDefault="00317D2A">
      <w:pPr>
        <w:spacing w:line="360" w:lineRule="auto"/>
        <w:rPr>
          <w:rFonts w:ascii="Arial" w:hAnsi="Arial" w:cs="Arial"/>
        </w:rPr>
      </w:pPr>
      <w:r>
        <w:rPr>
          <w:rFonts w:ascii="Arial" w:hAnsi="Arial" w:cs="Arial"/>
        </w:rPr>
        <w:t xml:space="preserve">This report has critically evaluated Toyota's organisational culture using the perspectives of Mullins and Christy (2016), Schein and Schein (2021), Hofstede, Hofstede and Minkov (2010), Handy (1993), Cameron and Quinn (2011) and the Resource-Based View of the firm (Barney, 1991). The analysis demonstrates that organisational culture has </w:t>
      </w:r>
      <w:r>
        <w:rPr>
          <w:rFonts w:ascii="Arial" w:hAnsi="Arial" w:cs="Arial"/>
        </w:rPr>
        <w:t>a significant influence on organisational structure, leadership, decision-making, employee behaviour and organisational performance. Toyota's culture, embodied within the Toyota Way, has enabled the organisation to develop exceptional operational capability through Continuous Improvement, Respect for People, employee empowerment and long-term strategic thinking.</w:t>
      </w:r>
    </w:p>
    <w:p w14:paraId="4A4BF447" w14:textId="77777777" w:rsidR="00643FEF" w:rsidRDefault="00317D2A">
      <w:pPr>
        <w:spacing w:line="360" w:lineRule="auto"/>
        <w:rPr>
          <w:rFonts w:ascii="Arial" w:hAnsi="Arial" w:cs="Arial"/>
        </w:rPr>
      </w:pPr>
      <w:r>
        <w:rPr>
          <w:rFonts w:ascii="Arial" w:hAnsi="Arial" w:cs="Arial"/>
        </w:rPr>
        <w:t xml:space="preserve">Applying Schein's Three Levels of Organisational Culture showed that Toyota's success is sustained not only by visible practices such as Kaizen, </w:t>
      </w:r>
      <w:r>
        <w:rPr>
          <w:rFonts w:ascii="Arial" w:hAnsi="Arial" w:cs="Arial"/>
        </w:rPr>
        <w:t>the Toyota Production System and quality management systems, but also by deeply embedded assumptions that encourage organisational learning, collaboration and collective responsibility. Although Hofstede, Handy, and Cameron and Quinn provide valuable complementary perspectives, Schein's framework offers the most comprehensive explanation of how Toyota's organisational culture influences behaviour and organisational effectiveness.</w:t>
      </w:r>
    </w:p>
    <w:p w14:paraId="4A4BF448" w14:textId="77777777" w:rsidR="00643FEF" w:rsidRDefault="00317D2A">
      <w:pPr>
        <w:spacing w:line="360" w:lineRule="auto"/>
        <w:rPr>
          <w:rFonts w:ascii="Arial" w:hAnsi="Arial" w:cs="Arial"/>
        </w:rPr>
      </w:pPr>
      <w:r>
        <w:rPr>
          <w:rFonts w:ascii="Arial" w:hAnsi="Arial" w:cs="Arial"/>
        </w:rPr>
        <w:lastRenderedPageBreak/>
        <w:t xml:space="preserve">The report also concludes that Toyota's organisational culture functions </w:t>
      </w:r>
      <w:r>
        <w:rPr>
          <w:rFonts w:ascii="Arial" w:hAnsi="Arial" w:cs="Arial"/>
        </w:rPr>
        <w:t xml:space="preserve">predominantly as an enabler rather than a barrier to organisational success. While consensus-based decision-making and highly standardised processes may occasionally reduce organisational agility, these limitations are outweighed by the substantial benefits of operational excellence, employee engagement, innovation through continuous improvement and organisational resilience. Toyota's ability to learn from challenges, including the global recall crisis and ongoing technological disruption, demonstrates the </w:t>
      </w:r>
      <w:r>
        <w:rPr>
          <w:rFonts w:ascii="Arial" w:hAnsi="Arial" w:cs="Arial"/>
        </w:rPr>
        <w:t>adaptability of its culture rather than its rigidity.</w:t>
      </w:r>
    </w:p>
    <w:p w14:paraId="4A4BF449" w14:textId="77777777" w:rsidR="00643FEF" w:rsidRDefault="00317D2A">
      <w:pPr>
        <w:spacing w:line="360" w:lineRule="auto"/>
        <w:rPr>
          <w:rFonts w:ascii="Arial" w:hAnsi="Arial" w:cs="Arial"/>
        </w:rPr>
      </w:pPr>
      <w:r>
        <w:rPr>
          <w:rFonts w:ascii="Arial" w:hAnsi="Arial" w:cs="Arial"/>
        </w:rPr>
        <w:t xml:space="preserve">Ultimately, Toyota's organisational culture remains one of its most valuable strategic resources and continues to provide sustainable competitive advantage. However, maintaining this position within an increasingly digital, environmentally conscious and technologically disruptive automotive industry will require Toyota to preserve its core cultural values while simultaneously encouraging greater organisational agility, experimentation and innovation. </w:t>
      </w:r>
      <w:r>
        <w:rPr>
          <w:rFonts w:ascii="Arial" w:hAnsi="Arial" w:cs="Arial"/>
        </w:rPr>
        <w:t>Organisations that successfully balance cultural stability with strategic adaptability will be best positioned to achieve long-term success in an increasingly complex global business environment.</w:t>
      </w:r>
    </w:p>
    <w:p w14:paraId="4A4BF44A" w14:textId="77777777" w:rsidR="00643FEF" w:rsidRDefault="00317D2A">
      <w:pPr>
        <w:spacing w:line="360" w:lineRule="auto"/>
        <w:rPr>
          <w:rFonts w:ascii="Arial" w:hAnsi="Arial" w:cs="Arial"/>
        </w:rPr>
      </w:pPr>
      <w:r>
        <w:rPr>
          <w:rFonts w:ascii="Arial" w:hAnsi="Arial" w:cs="Arial"/>
        </w:rPr>
        <w:t xml:space="preserve">Overall, Toyota demonstrates that organisational culture can be a significant source of sustainable competitive advantage when deeply embedded organisational values are aligned with strategic objectives. Nevertheless, maintaining long-term competitiveness within an increasingly digital and environmentally complex </w:t>
      </w:r>
      <w:r>
        <w:rPr>
          <w:rFonts w:ascii="Arial" w:hAnsi="Arial" w:cs="Arial"/>
        </w:rPr>
        <w:t>business environment requires balancing cultural stability with organisational agility, innovation and continuous learning. Consequently, Toyota's future success will depend not only on preserving the principles of the Toyota Way but also on adapting those principles to meet the demands of an evolving global automotive industry.</w:t>
      </w:r>
    </w:p>
    <w:p w14:paraId="4A4BF44B" w14:textId="77777777" w:rsidR="00643FEF" w:rsidRDefault="00643FEF">
      <w:pPr>
        <w:spacing w:line="360" w:lineRule="auto"/>
        <w:rPr>
          <w:rFonts w:ascii="Arial" w:hAnsi="Arial" w:cs="Arial"/>
        </w:rPr>
      </w:pPr>
    </w:p>
    <w:p w14:paraId="4A4BF44C" w14:textId="77777777" w:rsidR="00643FEF" w:rsidRDefault="00643FEF">
      <w:pPr>
        <w:spacing w:line="360" w:lineRule="auto"/>
        <w:rPr>
          <w:rFonts w:ascii="Arial" w:hAnsi="Arial" w:cs="Arial"/>
        </w:rPr>
      </w:pPr>
    </w:p>
    <w:p w14:paraId="4A4BF44D" w14:textId="77777777" w:rsidR="00643FEF" w:rsidRDefault="00643FEF">
      <w:pPr>
        <w:spacing w:line="360" w:lineRule="auto"/>
        <w:rPr>
          <w:rFonts w:ascii="Arial" w:hAnsi="Arial" w:cs="Arial"/>
        </w:rPr>
      </w:pPr>
    </w:p>
    <w:p w14:paraId="4A4BF44E" w14:textId="77777777" w:rsidR="00643FEF" w:rsidRDefault="00643FEF">
      <w:pPr>
        <w:spacing w:line="360" w:lineRule="auto"/>
        <w:rPr>
          <w:rFonts w:ascii="Arial" w:hAnsi="Arial" w:cs="Arial"/>
        </w:rPr>
      </w:pPr>
    </w:p>
    <w:p w14:paraId="4A4BF44F" w14:textId="77777777" w:rsidR="00643FEF" w:rsidRDefault="00643FEF">
      <w:pPr>
        <w:spacing w:line="360" w:lineRule="auto"/>
        <w:rPr>
          <w:rFonts w:ascii="Arial" w:hAnsi="Arial" w:cs="Arial"/>
        </w:rPr>
      </w:pPr>
    </w:p>
    <w:p w14:paraId="4A4BF450" w14:textId="77777777" w:rsidR="00643FEF" w:rsidRDefault="00643FEF">
      <w:pPr>
        <w:spacing w:line="360" w:lineRule="auto"/>
        <w:rPr>
          <w:rFonts w:ascii="Arial" w:hAnsi="Arial" w:cs="Arial"/>
        </w:rPr>
      </w:pPr>
    </w:p>
    <w:p w14:paraId="4A4BF451" w14:textId="77777777" w:rsidR="00643FEF" w:rsidRDefault="00643FEF">
      <w:pPr>
        <w:spacing w:line="360" w:lineRule="auto"/>
        <w:rPr>
          <w:rFonts w:ascii="Arial" w:hAnsi="Arial" w:cs="Arial"/>
        </w:rPr>
      </w:pPr>
    </w:p>
    <w:p w14:paraId="4A4BF45C" w14:textId="77777777" w:rsidR="00643FEF" w:rsidRDefault="00643FEF">
      <w:pPr>
        <w:spacing w:line="360" w:lineRule="auto"/>
        <w:rPr>
          <w:rFonts w:ascii="Arial" w:hAnsi="Arial" w:cs="Arial"/>
        </w:rPr>
      </w:pPr>
    </w:p>
    <w:p w14:paraId="4A4BF45D" w14:textId="77777777" w:rsidR="00643FEF" w:rsidRDefault="00317D2A">
      <w:pPr>
        <w:spacing w:line="360" w:lineRule="auto"/>
        <w:rPr>
          <w:rFonts w:ascii="Arial" w:hAnsi="Arial" w:cs="Arial"/>
          <w:b/>
          <w:bCs/>
          <w:sz w:val="28"/>
          <w:szCs w:val="28"/>
        </w:rPr>
      </w:pPr>
      <w:r>
        <w:rPr>
          <w:rFonts w:ascii="Arial" w:hAnsi="Arial" w:cs="Arial"/>
          <w:b/>
          <w:bCs/>
          <w:sz w:val="28"/>
          <w:szCs w:val="28"/>
        </w:rPr>
        <w:lastRenderedPageBreak/>
        <w:t xml:space="preserve">Reference List </w:t>
      </w:r>
    </w:p>
    <w:p w14:paraId="4A4BF45E" w14:textId="77777777" w:rsidR="00643FEF" w:rsidRDefault="00317D2A">
      <w:pPr>
        <w:spacing w:line="360" w:lineRule="auto"/>
      </w:pPr>
      <w:r>
        <w:rPr>
          <w:rFonts w:ascii="Arial" w:hAnsi="Arial" w:cs="Arial"/>
        </w:rPr>
        <w:t xml:space="preserve">Barney, J. (1991) 'Firm resources and sustained competitive advantage', </w:t>
      </w:r>
      <w:r>
        <w:rPr>
          <w:rFonts w:ascii="Arial" w:hAnsi="Arial" w:cs="Arial"/>
          <w:i/>
          <w:iCs/>
        </w:rPr>
        <w:t>Journal of Management</w:t>
      </w:r>
      <w:r>
        <w:rPr>
          <w:rFonts w:ascii="Arial" w:hAnsi="Arial" w:cs="Arial"/>
        </w:rPr>
        <w:t>, 17(1), pp. 99–120.</w:t>
      </w:r>
    </w:p>
    <w:p w14:paraId="4A4BF45F" w14:textId="77777777" w:rsidR="00643FEF" w:rsidRDefault="00317D2A">
      <w:pPr>
        <w:spacing w:line="360" w:lineRule="auto"/>
      </w:pPr>
      <w:r>
        <w:rPr>
          <w:rFonts w:ascii="Arial" w:hAnsi="Arial" w:cs="Arial"/>
        </w:rPr>
        <w:t xml:space="preserve">Cameron, K.S. and Quinn, R.E. </w:t>
      </w:r>
      <w:r>
        <w:rPr>
          <w:rFonts w:ascii="Arial" w:hAnsi="Arial" w:cs="Arial"/>
        </w:rPr>
        <w:t xml:space="preserve">(2011) </w:t>
      </w:r>
      <w:r>
        <w:rPr>
          <w:rFonts w:ascii="Arial" w:hAnsi="Arial" w:cs="Arial"/>
          <w:i/>
          <w:iCs/>
        </w:rPr>
        <w:t>Diagnosing and Changing Organizational Culture</w:t>
      </w:r>
      <w:r>
        <w:rPr>
          <w:rFonts w:ascii="Arial" w:hAnsi="Arial" w:cs="Arial"/>
        </w:rPr>
        <w:t xml:space="preserve">. 3rd </w:t>
      </w:r>
      <w:proofErr w:type="spellStart"/>
      <w:r>
        <w:rPr>
          <w:rFonts w:ascii="Arial" w:hAnsi="Arial" w:cs="Arial"/>
        </w:rPr>
        <w:t>edn</w:t>
      </w:r>
      <w:proofErr w:type="spellEnd"/>
      <w:r>
        <w:rPr>
          <w:rFonts w:ascii="Arial" w:hAnsi="Arial" w:cs="Arial"/>
        </w:rPr>
        <w:t>. San Francisco: Jossey-Bass.</w:t>
      </w:r>
    </w:p>
    <w:p w14:paraId="4A4BF460" w14:textId="77777777" w:rsidR="00643FEF" w:rsidRDefault="00317D2A">
      <w:pPr>
        <w:spacing w:line="360" w:lineRule="auto"/>
      </w:pPr>
      <w:r>
        <w:rPr>
          <w:rFonts w:ascii="Arial" w:hAnsi="Arial" w:cs="Arial"/>
        </w:rPr>
        <w:t xml:space="preserve">CIPD (2023) </w:t>
      </w:r>
      <w:r>
        <w:rPr>
          <w:rFonts w:ascii="Arial" w:hAnsi="Arial" w:cs="Arial"/>
          <w:i/>
          <w:iCs/>
        </w:rPr>
        <w:t>Organisational Culture and Wellbeing</w:t>
      </w:r>
      <w:r>
        <w:rPr>
          <w:rFonts w:ascii="Arial" w:hAnsi="Arial" w:cs="Arial"/>
        </w:rPr>
        <w:t>. London: Chartered Institute of Personnel and Development.</w:t>
      </w:r>
    </w:p>
    <w:p w14:paraId="4A4BF461" w14:textId="77777777" w:rsidR="00643FEF" w:rsidRDefault="00317D2A">
      <w:pPr>
        <w:spacing w:line="360" w:lineRule="auto"/>
      </w:pPr>
      <w:r>
        <w:rPr>
          <w:rFonts w:ascii="Arial" w:hAnsi="Arial" w:cs="Arial"/>
        </w:rPr>
        <w:t xml:space="preserve">Cole, R.E. (2011) </w:t>
      </w:r>
      <w:r>
        <w:rPr>
          <w:rFonts w:ascii="Arial" w:hAnsi="Arial" w:cs="Arial"/>
          <w:i/>
          <w:iCs/>
        </w:rPr>
        <w:t>What Really Happened to Toyota?</w:t>
      </w:r>
      <w:r>
        <w:rPr>
          <w:rFonts w:ascii="Arial" w:hAnsi="Arial" w:cs="Arial"/>
        </w:rPr>
        <w:t xml:space="preserve"> MIT Sloan Management Review, 52(4), pp. 29–35.</w:t>
      </w:r>
    </w:p>
    <w:p w14:paraId="4A4BF462" w14:textId="77777777" w:rsidR="00643FEF" w:rsidRDefault="00317D2A">
      <w:pPr>
        <w:spacing w:line="360" w:lineRule="auto"/>
      </w:pPr>
      <w:r>
        <w:rPr>
          <w:rFonts w:ascii="Arial" w:hAnsi="Arial" w:cs="Arial"/>
        </w:rPr>
        <w:t xml:space="preserve">Handy, C. (1993) </w:t>
      </w:r>
      <w:r>
        <w:rPr>
          <w:rFonts w:ascii="Arial" w:hAnsi="Arial" w:cs="Arial"/>
          <w:i/>
          <w:iCs/>
        </w:rPr>
        <w:t>Understanding Organizations</w:t>
      </w:r>
      <w:r>
        <w:rPr>
          <w:rFonts w:ascii="Arial" w:hAnsi="Arial" w:cs="Arial"/>
        </w:rPr>
        <w:t xml:space="preserve">. 4th </w:t>
      </w:r>
      <w:proofErr w:type="spellStart"/>
      <w:r>
        <w:rPr>
          <w:rFonts w:ascii="Arial" w:hAnsi="Arial" w:cs="Arial"/>
        </w:rPr>
        <w:t>edn</w:t>
      </w:r>
      <w:proofErr w:type="spellEnd"/>
      <w:r>
        <w:rPr>
          <w:rFonts w:ascii="Arial" w:hAnsi="Arial" w:cs="Arial"/>
        </w:rPr>
        <w:t>. London: Penguin Books.</w:t>
      </w:r>
    </w:p>
    <w:p w14:paraId="4A4BF463" w14:textId="77777777" w:rsidR="00643FEF" w:rsidRDefault="00317D2A">
      <w:pPr>
        <w:spacing w:line="360" w:lineRule="auto"/>
      </w:pPr>
      <w:r>
        <w:rPr>
          <w:rFonts w:ascii="Arial" w:hAnsi="Arial" w:cs="Arial"/>
        </w:rPr>
        <w:t xml:space="preserve">Hofstede, G., Hofstede, G.J. and Minkov, M. (2010) </w:t>
      </w:r>
      <w:r>
        <w:rPr>
          <w:rFonts w:ascii="Arial" w:hAnsi="Arial" w:cs="Arial"/>
          <w:i/>
          <w:iCs/>
        </w:rPr>
        <w:t>Cultures and Organizations: Software of the Mind</w:t>
      </w:r>
      <w:r>
        <w:rPr>
          <w:rFonts w:ascii="Arial" w:hAnsi="Arial" w:cs="Arial"/>
        </w:rPr>
        <w:t xml:space="preserve">. 3rd </w:t>
      </w:r>
      <w:proofErr w:type="spellStart"/>
      <w:r>
        <w:rPr>
          <w:rFonts w:ascii="Arial" w:hAnsi="Arial" w:cs="Arial"/>
        </w:rPr>
        <w:t>edn</w:t>
      </w:r>
      <w:proofErr w:type="spellEnd"/>
      <w:r>
        <w:rPr>
          <w:rFonts w:ascii="Arial" w:hAnsi="Arial" w:cs="Arial"/>
        </w:rPr>
        <w:t>. New York: McGraw-Hill.</w:t>
      </w:r>
    </w:p>
    <w:p w14:paraId="4A4BF464" w14:textId="77777777" w:rsidR="00643FEF" w:rsidRDefault="00317D2A">
      <w:pPr>
        <w:spacing w:line="360" w:lineRule="auto"/>
      </w:pPr>
      <w:r>
        <w:rPr>
          <w:rFonts w:ascii="Arial" w:hAnsi="Arial" w:cs="Arial"/>
        </w:rPr>
        <w:t xml:space="preserve">Liker, J.K. (2021) </w:t>
      </w:r>
      <w:r>
        <w:rPr>
          <w:rFonts w:ascii="Arial" w:hAnsi="Arial" w:cs="Arial"/>
          <w:i/>
          <w:iCs/>
        </w:rPr>
        <w:t>The Toyota Way: 14 Management Principles from the World's Greatest Manufacturer</w:t>
      </w:r>
      <w:r>
        <w:rPr>
          <w:rFonts w:ascii="Arial" w:hAnsi="Arial" w:cs="Arial"/>
        </w:rPr>
        <w:t>. Revised and Updated Edition. New York: McGraw-Hill.</w:t>
      </w:r>
    </w:p>
    <w:p w14:paraId="4A4BF465" w14:textId="77777777" w:rsidR="00643FEF" w:rsidRDefault="00317D2A">
      <w:pPr>
        <w:spacing w:line="360" w:lineRule="auto"/>
      </w:pPr>
      <w:r>
        <w:rPr>
          <w:rFonts w:ascii="Arial" w:hAnsi="Arial" w:cs="Arial"/>
        </w:rPr>
        <w:t xml:space="preserve">Mullins, L.J. and Christy, G. (2016) </w:t>
      </w:r>
      <w:r>
        <w:rPr>
          <w:rFonts w:ascii="Arial" w:hAnsi="Arial" w:cs="Arial"/>
          <w:i/>
          <w:iCs/>
        </w:rPr>
        <w:t>Management and Organisational Behaviour</w:t>
      </w:r>
      <w:r>
        <w:rPr>
          <w:rFonts w:ascii="Arial" w:hAnsi="Arial" w:cs="Arial"/>
        </w:rPr>
        <w:t xml:space="preserve">. 11th </w:t>
      </w:r>
      <w:proofErr w:type="spellStart"/>
      <w:r>
        <w:rPr>
          <w:rFonts w:ascii="Arial" w:hAnsi="Arial" w:cs="Arial"/>
        </w:rPr>
        <w:t>edn</w:t>
      </w:r>
      <w:proofErr w:type="spellEnd"/>
      <w:r>
        <w:rPr>
          <w:rFonts w:ascii="Arial" w:hAnsi="Arial" w:cs="Arial"/>
        </w:rPr>
        <w:t>. Harlow: Pearson.</w:t>
      </w:r>
    </w:p>
    <w:p w14:paraId="4A4BF466" w14:textId="77777777" w:rsidR="00643FEF" w:rsidRDefault="00317D2A">
      <w:pPr>
        <w:spacing w:line="360" w:lineRule="auto"/>
      </w:pPr>
      <w:r>
        <w:rPr>
          <w:rFonts w:ascii="Arial" w:hAnsi="Arial" w:cs="Arial"/>
        </w:rPr>
        <w:t xml:space="preserve">Ohno, T. (1988) </w:t>
      </w:r>
      <w:r>
        <w:rPr>
          <w:rFonts w:ascii="Arial" w:hAnsi="Arial" w:cs="Arial"/>
          <w:i/>
          <w:iCs/>
        </w:rPr>
        <w:t>Toyota Production System: Beyond Large-Scale Production</w:t>
      </w:r>
      <w:r>
        <w:rPr>
          <w:rFonts w:ascii="Arial" w:hAnsi="Arial" w:cs="Arial"/>
        </w:rPr>
        <w:t>. Portland: Productivity Press.</w:t>
      </w:r>
    </w:p>
    <w:p w14:paraId="4A4BF467" w14:textId="77777777" w:rsidR="00643FEF" w:rsidRDefault="00317D2A">
      <w:pPr>
        <w:spacing w:line="360" w:lineRule="auto"/>
      </w:pPr>
      <w:r>
        <w:rPr>
          <w:rFonts w:ascii="Arial" w:hAnsi="Arial" w:cs="Arial"/>
        </w:rPr>
        <w:t xml:space="preserve">Schein, E.H. and Schein, P.A. (2021) </w:t>
      </w:r>
      <w:r>
        <w:rPr>
          <w:rFonts w:ascii="Arial" w:hAnsi="Arial" w:cs="Arial"/>
          <w:i/>
          <w:iCs/>
        </w:rPr>
        <w:t>Organizational Culture and Leadership</w:t>
      </w:r>
      <w:r>
        <w:rPr>
          <w:rFonts w:ascii="Arial" w:hAnsi="Arial" w:cs="Arial"/>
        </w:rPr>
        <w:t xml:space="preserve">. 6th </w:t>
      </w:r>
      <w:proofErr w:type="spellStart"/>
      <w:r>
        <w:rPr>
          <w:rFonts w:ascii="Arial" w:hAnsi="Arial" w:cs="Arial"/>
        </w:rPr>
        <w:t>edn</w:t>
      </w:r>
      <w:proofErr w:type="spellEnd"/>
      <w:r>
        <w:rPr>
          <w:rFonts w:ascii="Arial" w:hAnsi="Arial" w:cs="Arial"/>
        </w:rPr>
        <w:t>. Hoboken: Wiley.</w:t>
      </w:r>
    </w:p>
    <w:p w14:paraId="4A4BF468" w14:textId="77777777" w:rsidR="00643FEF" w:rsidRDefault="00317D2A">
      <w:pPr>
        <w:spacing w:line="360" w:lineRule="auto"/>
      </w:pPr>
      <w:r>
        <w:rPr>
          <w:rFonts w:ascii="Arial" w:hAnsi="Arial" w:cs="Arial"/>
        </w:rPr>
        <w:t xml:space="preserve">Toyota Motor Corporation (2024) </w:t>
      </w:r>
      <w:r>
        <w:rPr>
          <w:rFonts w:ascii="Arial" w:hAnsi="Arial" w:cs="Arial"/>
          <w:i/>
          <w:iCs/>
        </w:rPr>
        <w:t xml:space="preserve">Integrated Report </w:t>
      </w:r>
      <w:r>
        <w:rPr>
          <w:rFonts w:ascii="Arial" w:hAnsi="Arial" w:cs="Arial"/>
          <w:i/>
          <w:iCs/>
        </w:rPr>
        <w:t>2024</w:t>
      </w:r>
      <w:r>
        <w:rPr>
          <w:rFonts w:ascii="Arial" w:hAnsi="Arial" w:cs="Arial"/>
        </w:rPr>
        <w:t>. Toyota City: Toyota Motor Corporation.</w:t>
      </w:r>
    </w:p>
    <w:p w14:paraId="4A4BF469" w14:textId="77777777" w:rsidR="00643FEF" w:rsidRDefault="00317D2A">
      <w:pPr>
        <w:spacing w:line="360" w:lineRule="auto"/>
      </w:pPr>
      <w:r>
        <w:rPr>
          <w:rFonts w:ascii="Arial" w:hAnsi="Arial" w:cs="Arial"/>
        </w:rPr>
        <w:t xml:space="preserve">Womack, J.P., Jones, D.T. and </w:t>
      </w:r>
      <w:proofErr w:type="spellStart"/>
      <w:r>
        <w:rPr>
          <w:rFonts w:ascii="Arial" w:hAnsi="Arial" w:cs="Arial"/>
        </w:rPr>
        <w:t>Roos</w:t>
      </w:r>
      <w:proofErr w:type="spellEnd"/>
      <w:r>
        <w:rPr>
          <w:rFonts w:ascii="Arial" w:hAnsi="Arial" w:cs="Arial"/>
        </w:rPr>
        <w:t xml:space="preserve">, D. (2007) </w:t>
      </w:r>
      <w:r>
        <w:rPr>
          <w:rFonts w:ascii="Arial" w:hAnsi="Arial" w:cs="Arial"/>
          <w:i/>
          <w:iCs/>
        </w:rPr>
        <w:t>The Machine That Changed the World</w:t>
      </w:r>
      <w:r>
        <w:rPr>
          <w:rFonts w:ascii="Arial" w:hAnsi="Arial" w:cs="Arial"/>
        </w:rPr>
        <w:t xml:space="preserve">. Revised </w:t>
      </w:r>
      <w:proofErr w:type="spellStart"/>
      <w:r>
        <w:rPr>
          <w:rFonts w:ascii="Arial" w:hAnsi="Arial" w:cs="Arial"/>
        </w:rPr>
        <w:t>edn</w:t>
      </w:r>
      <w:proofErr w:type="spellEnd"/>
      <w:r>
        <w:rPr>
          <w:rFonts w:ascii="Arial" w:hAnsi="Arial" w:cs="Arial"/>
        </w:rPr>
        <w:t>. New York: Free Press.</w:t>
      </w:r>
    </w:p>
    <w:p w14:paraId="4A4BF46A" w14:textId="77777777" w:rsidR="00643FEF" w:rsidRDefault="00317D2A">
      <w:pPr>
        <w:spacing w:line="360" w:lineRule="auto"/>
      </w:pPr>
      <w:r>
        <w:rPr>
          <w:rFonts w:ascii="Arial" w:hAnsi="Arial" w:cs="Arial"/>
        </w:rPr>
        <w:t xml:space="preserve">Deloitte (2024) </w:t>
      </w:r>
      <w:r>
        <w:rPr>
          <w:rFonts w:ascii="Arial" w:hAnsi="Arial" w:cs="Arial"/>
          <w:i/>
          <w:iCs/>
        </w:rPr>
        <w:t>2024 Global Automotive Consumer Study</w:t>
      </w:r>
      <w:r>
        <w:rPr>
          <w:rFonts w:ascii="Arial" w:hAnsi="Arial" w:cs="Arial"/>
        </w:rPr>
        <w:t>. London: Deloitte.</w:t>
      </w:r>
    </w:p>
    <w:p w14:paraId="4A4BF46B" w14:textId="77777777" w:rsidR="00643FEF" w:rsidRDefault="00643FEF">
      <w:pPr>
        <w:spacing w:line="360" w:lineRule="auto"/>
        <w:rPr>
          <w:rFonts w:ascii="Arial" w:hAnsi="Arial" w:cs="Arial"/>
        </w:rPr>
      </w:pPr>
    </w:p>
    <w:sectPr w:rsidR="00643FE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796CD3" w14:textId="77777777" w:rsidR="00317D2A" w:rsidRDefault="00317D2A">
      <w:pPr>
        <w:spacing w:after="0" w:line="240" w:lineRule="auto"/>
      </w:pPr>
      <w:r>
        <w:separator/>
      </w:r>
    </w:p>
  </w:endnote>
  <w:endnote w:type="continuationSeparator" w:id="0">
    <w:p w14:paraId="44A4B1E2" w14:textId="77777777" w:rsidR="00317D2A" w:rsidRDefault="00317D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02B93" w14:textId="77777777" w:rsidR="00317D2A" w:rsidRDefault="00317D2A">
      <w:pPr>
        <w:spacing w:after="0" w:line="240" w:lineRule="auto"/>
      </w:pPr>
      <w:r>
        <w:rPr>
          <w:color w:val="000000"/>
        </w:rPr>
        <w:separator/>
      </w:r>
    </w:p>
  </w:footnote>
  <w:footnote w:type="continuationSeparator" w:id="0">
    <w:p w14:paraId="78BB656F" w14:textId="77777777" w:rsidR="00317D2A" w:rsidRDefault="00317D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FB4FA7"/>
    <w:multiLevelType w:val="multilevel"/>
    <w:tmpl w:val="D9E6FEA6"/>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 w15:restartNumberingAfterBreak="0">
    <w:nsid w:val="7186636A"/>
    <w:multiLevelType w:val="multilevel"/>
    <w:tmpl w:val="5A142D92"/>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num w:numId="1" w16cid:durableId="1482770965">
    <w:abstractNumId w:val="0"/>
  </w:num>
  <w:num w:numId="2" w16cid:durableId="11770413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643FEF"/>
    <w:rsid w:val="000042FD"/>
    <w:rsid w:val="00025CBD"/>
    <w:rsid w:val="002D0C79"/>
    <w:rsid w:val="00317D2A"/>
    <w:rsid w:val="004D4552"/>
    <w:rsid w:val="00643FEF"/>
    <w:rsid w:val="00882C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BF3EB"/>
  <w15:docId w15:val="{BDBC4118-3E23-4574-A928-04A8E2EE0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4246</Words>
  <Characters>24205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Caruntu</dc:creator>
  <dc:description/>
  <cp:lastModifiedBy>Raluca Caruntu</cp:lastModifiedBy>
  <cp:revision>2</cp:revision>
  <dcterms:created xsi:type="dcterms:W3CDTF">2026-07-08T10:46:00Z</dcterms:created>
  <dcterms:modified xsi:type="dcterms:W3CDTF">2026-07-08T10:46:00Z</dcterms:modified>
</cp:coreProperties>
</file>