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40FE8" w14:textId="102378A6" w:rsidR="0086566B" w:rsidRPr="00307D08" w:rsidRDefault="0086566B" w:rsidP="0086566B">
      <w:pPr>
        <w:rPr>
          <w:rFonts w:asciiTheme="minorHAnsi" w:hAnsiTheme="minorHAnsi" w:cstheme="minorHAnsi"/>
          <w:b/>
          <w:bCs/>
        </w:rPr>
      </w:pPr>
      <w:r w:rsidRPr="00307D08">
        <w:rPr>
          <w:rFonts w:asciiTheme="minorHAnsi" w:hAnsiTheme="minorHAnsi" w:cstheme="minorHAnsi"/>
          <w:b/>
          <w:bCs/>
        </w:rPr>
        <w:t xml:space="preserve">                                             Student number: 2234498</w:t>
      </w:r>
    </w:p>
    <w:p w14:paraId="5873322A" w14:textId="41926762" w:rsidR="0086566B" w:rsidRPr="00307D08" w:rsidRDefault="0086566B" w:rsidP="0086566B">
      <w:pPr>
        <w:rPr>
          <w:rFonts w:asciiTheme="minorHAnsi" w:hAnsiTheme="minorHAnsi" w:cstheme="minorHAnsi"/>
          <w:b/>
          <w:bCs/>
        </w:rPr>
      </w:pPr>
      <w:r w:rsidRPr="00307D08">
        <w:rPr>
          <w:rFonts w:asciiTheme="minorHAnsi" w:hAnsiTheme="minorHAnsi" w:cstheme="minorHAnsi"/>
          <w:b/>
          <w:bCs/>
        </w:rPr>
        <w:t xml:space="preserve">                             Module: Principles of Professional Legal Practice </w:t>
      </w:r>
    </w:p>
    <w:p w14:paraId="56584AE6" w14:textId="748C6F11" w:rsidR="0086566B" w:rsidRPr="00307D08" w:rsidRDefault="0086566B" w:rsidP="0086566B">
      <w:pPr>
        <w:rPr>
          <w:rFonts w:asciiTheme="minorHAnsi" w:eastAsia="Arial" w:hAnsiTheme="minorHAnsi" w:cstheme="minorHAnsi"/>
          <w:b/>
        </w:rPr>
      </w:pPr>
      <w:r w:rsidRPr="00307D08">
        <w:rPr>
          <w:rFonts w:asciiTheme="minorHAnsi" w:hAnsiTheme="minorHAnsi" w:cstheme="minorHAnsi"/>
          <w:b/>
          <w:bCs/>
        </w:rPr>
        <w:t xml:space="preserve">                                             Module Code: </w:t>
      </w:r>
      <w:r w:rsidRPr="00307D08">
        <w:rPr>
          <w:rFonts w:asciiTheme="minorHAnsi" w:eastAsia="Arial" w:hAnsiTheme="minorHAnsi" w:cstheme="minorHAnsi"/>
          <w:b/>
        </w:rPr>
        <w:t>BMLW4001</w:t>
      </w:r>
    </w:p>
    <w:p w14:paraId="3D5839A9" w14:textId="77777777" w:rsidR="0086566B" w:rsidRPr="00307D08" w:rsidRDefault="0086566B" w:rsidP="0086566B">
      <w:pPr>
        <w:rPr>
          <w:rFonts w:asciiTheme="minorHAnsi" w:eastAsia="Arial" w:hAnsiTheme="minorHAnsi" w:cstheme="minorHAnsi"/>
          <w:b/>
        </w:rPr>
      </w:pPr>
    </w:p>
    <w:p w14:paraId="085FA189" w14:textId="4623A3DF" w:rsidR="0086566B" w:rsidRPr="00307D08" w:rsidRDefault="0086566B" w:rsidP="0086566B">
      <w:pPr>
        <w:pStyle w:val="Heading1"/>
        <w:rPr>
          <w:rFonts w:asciiTheme="minorHAnsi" w:hAnsiTheme="minorHAnsi" w:cstheme="minorHAnsi"/>
          <w:sz w:val="24"/>
          <w:szCs w:val="24"/>
        </w:rPr>
      </w:pPr>
    </w:p>
    <w:p w14:paraId="57C4CB47" w14:textId="77777777" w:rsidR="0086566B" w:rsidRPr="00307D08" w:rsidRDefault="0086566B" w:rsidP="0086566B">
      <w:pPr>
        <w:spacing w:line="360" w:lineRule="auto"/>
        <w:jc w:val="both"/>
        <w:rPr>
          <w:rFonts w:asciiTheme="minorHAnsi" w:hAnsiTheme="minorHAnsi" w:cstheme="minorHAnsi"/>
        </w:rPr>
      </w:pPr>
      <w:r w:rsidRPr="00307D08">
        <w:rPr>
          <w:rFonts w:asciiTheme="minorHAnsi" w:hAnsiTheme="minorHAnsi" w:cstheme="minorHAnsi"/>
        </w:rPr>
        <w:t>In a democratic society, diversity and equality are very essential but in the case of the legal profession, these rules and principles are of more significance. Legal society is comprised of laws and legal practitioners to uphold justice, protect the rights of common people, and strive to make the law common in society. The prime aim of this report is to recognize and investigate the reason for the importance of diversity and equality in the legal profession with a focus on the Equality Act 2010 and the SRA Code of Conduct.</w:t>
      </w:r>
    </w:p>
    <w:p w14:paraId="55C83E7D" w14:textId="77777777" w:rsidR="0086566B" w:rsidRPr="00307D08" w:rsidRDefault="0086566B" w:rsidP="0086566B">
      <w:pPr>
        <w:spacing w:line="360" w:lineRule="auto"/>
        <w:jc w:val="both"/>
        <w:rPr>
          <w:rFonts w:asciiTheme="minorHAnsi" w:hAnsiTheme="minorHAnsi" w:cstheme="minorHAnsi"/>
          <w:lang w:val="en-US"/>
        </w:rPr>
      </w:pPr>
    </w:p>
    <w:p w14:paraId="529AA055" w14:textId="4CE5ABB9"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To shape a fair and just society, diversity and equality are important, especially within the legal profession. All the principles and rules are important to be abode as a legal practitioner are held accountable for the responsibility to make sure of rights, to make sure of laws and rules applicable and </w:t>
      </w:r>
      <w:proofErr w:type="spellStart"/>
      <w:r w:rsidRPr="00307D08">
        <w:rPr>
          <w:rFonts w:asciiTheme="minorHAnsi" w:hAnsiTheme="minorHAnsi" w:cstheme="minorHAnsi"/>
          <w:lang w:val="en-US"/>
        </w:rPr>
        <w:t>instil</w:t>
      </w:r>
      <w:proofErr w:type="spellEnd"/>
      <w:r w:rsidRPr="00307D08">
        <w:rPr>
          <w:rFonts w:asciiTheme="minorHAnsi" w:hAnsiTheme="minorHAnsi" w:cstheme="minorHAnsi"/>
          <w:lang w:val="en-US"/>
        </w:rPr>
        <w:t xml:space="preserve"> in the groups and on individuals of the society equally. The Equality Act 2010 and SRA Code of Conduct 2019 include and introduce a legal framework to guide professionals to promote diversity and equality in society with inclusion and discrimination included (Wakefield, William and Le </w:t>
      </w:r>
      <w:proofErr w:type="spellStart"/>
      <w:r w:rsidRPr="00307D08">
        <w:rPr>
          <w:rFonts w:asciiTheme="minorHAnsi" w:hAnsiTheme="minorHAnsi" w:cstheme="minorHAnsi"/>
          <w:lang w:val="en-US"/>
        </w:rPr>
        <w:t>Menestrel</w:t>
      </w:r>
      <w:proofErr w:type="spellEnd"/>
      <w:r w:rsidRPr="00307D08">
        <w:rPr>
          <w:rFonts w:asciiTheme="minorHAnsi" w:hAnsiTheme="minorHAnsi" w:cstheme="minorHAnsi"/>
          <w:lang w:val="en-US"/>
        </w:rPr>
        <w:t xml:space="preserve">, 2021). </w:t>
      </w:r>
    </w:p>
    <w:p w14:paraId="1105C2DC" w14:textId="77095157"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The equality concept is the heart and soul of the equality of the principles in society. Individuals and groups in society must be treated fairly without any discrimination of background, gender, age, race, and other characteristics of a particular individual or group of people in society. </w:t>
      </w:r>
    </w:p>
    <w:p w14:paraId="1A4CD9AA" w14:textId="77777777" w:rsidR="0086566B" w:rsidRPr="00307D08" w:rsidRDefault="0086566B" w:rsidP="0086566B">
      <w:pPr>
        <w:spacing w:line="360" w:lineRule="auto"/>
        <w:jc w:val="both"/>
        <w:rPr>
          <w:rFonts w:asciiTheme="minorHAnsi" w:hAnsiTheme="minorHAnsi" w:cstheme="minorHAnsi"/>
          <w:lang w:val="en-US"/>
        </w:rPr>
      </w:pPr>
    </w:p>
    <w:p w14:paraId="1F0DDDA2" w14:textId="32E13DF9"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The Equality Act 2010 is a very important part of society legislation in the UK to address and highlight the issue of discrimination and promotes equality concerning different sectors of life as education, employment, provision of services, and goods. It also strengthens the previous laws of equality by making it easier for people in society to understand and abide by all the rules. There are nine characteristics to be protected based on age, gender, marriage, pregnancy, race, religion, belief, sex, and sexual orientation (</w:t>
      </w:r>
      <w:proofErr w:type="spellStart"/>
      <w:r w:rsidRPr="00307D08">
        <w:rPr>
          <w:rFonts w:asciiTheme="minorHAnsi" w:hAnsiTheme="minorHAnsi" w:cstheme="minorHAnsi"/>
          <w:lang w:val="en-US"/>
        </w:rPr>
        <w:t>McGininis</w:t>
      </w:r>
      <w:proofErr w:type="spellEnd"/>
      <w:r w:rsidRPr="00307D08">
        <w:rPr>
          <w:rFonts w:asciiTheme="minorHAnsi" w:hAnsiTheme="minorHAnsi" w:cstheme="minorHAnsi"/>
          <w:lang w:val="en-US"/>
        </w:rPr>
        <w:t xml:space="preserve"> and Pearce, 2019). </w:t>
      </w:r>
    </w:p>
    <w:p w14:paraId="774ACCB1" w14:textId="7276ADEE"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The SRA Code of Conduct (2019) also administrates the solicitors and law </w:t>
      </w:r>
      <w:proofErr w:type="spellStart"/>
      <w:r w:rsidRPr="00307D08">
        <w:rPr>
          <w:rFonts w:asciiTheme="minorHAnsi" w:hAnsiTheme="minorHAnsi" w:cstheme="minorHAnsi"/>
          <w:lang w:val="en-US"/>
        </w:rPr>
        <w:t>behaviours</w:t>
      </w:r>
      <w:proofErr w:type="spellEnd"/>
      <w:r w:rsidRPr="00307D08">
        <w:rPr>
          <w:rFonts w:asciiTheme="minorHAnsi" w:hAnsiTheme="minorHAnsi" w:cstheme="minorHAnsi"/>
          <w:lang w:val="en-US"/>
        </w:rPr>
        <w:t xml:space="preserve"> to be regulated by the Solicitors Regulation Authority in England and Wales. A </w:t>
      </w:r>
      <w:r w:rsidRPr="00307D08">
        <w:rPr>
          <w:rFonts w:asciiTheme="minorHAnsi" w:hAnsiTheme="minorHAnsi" w:cstheme="minorHAnsi"/>
          <w:lang w:val="en-US"/>
        </w:rPr>
        <w:lastRenderedPageBreak/>
        <w:t xml:space="preserve">standard and principle are expected of legal professionals to include the basic and essential requirements with respect to diversity and equality in society (Hurd, 2020). This code of conduct also emphasized the promotion of a diverse workforce and establish an environment of inclusion for both employees and customers. The legal representatives in society are motivated and responsible to demonstrate and promote diversity and equality by taking specific steps and policy implementations to avoid discrimination and promote inclusivity in society. The professionals of legal representatives are the entities to uphold justice and fairness to make equality and diversity distinct in society (Akbar, </w:t>
      </w:r>
      <w:proofErr w:type="spellStart"/>
      <w:r w:rsidRPr="00307D08">
        <w:rPr>
          <w:rFonts w:asciiTheme="minorHAnsi" w:hAnsiTheme="minorHAnsi" w:cstheme="minorHAnsi"/>
          <w:lang w:val="en-US"/>
        </w:rPr>
        <w:t>Ashar</w:t>
      </w:r>
      <w:proofErr w:type="spellEnd"/>
      <w:r w:rsidRPr="00307D08">
        <w:rPr>
          <w:rFonts w:asciiTheme="minorHAnsi" w:hAnsiTheme="minorHAnsi" w:cstheme="minorHAnsi"/>
          <w:lang w:val="en-US"/>
        </w:rPr>
        <w:t xml:space="preserve"> and Simonson, 2021). </w:t>
      </w:r>
    </w:p>
    <w:p w14:paraId="0B9B9445" w14:textId="3B827682"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Discrimination and prejudice can also combat the promotion of diversity and equality in society. There are many forms of discrimination practices with both in ranking and interactions with the public and clients. Identifying and addressing these discriminating practices while interacting with the public and clients are essential to limit them and improve legal firm activities to be based on equality and fairness (England, Levine and </w:t>
      </w:r>
      <w:proofErr w:type="spellStart"/>
      <w:r w:rsidRPr="00307D08">
        <w:rPr>
          <w:rFonts w:asciiTheme="minorHAnsi" w:hAnsiTheme="minorHAnsi" w:cstheme="minorHAnsi"/>
          <w:lang w:val="en-US"/>
        </w:rPr>
        <w:t>Mmishel</w:t>
      </w:r>
      <w:proofErr w:type="spellEnd"/>
      <w:r w:rsidRPr="00307D08">
        <w:rPr>
          <w:rFonts w:asciiTheme="minorHAnsi" w:hAnsiTheme="minorHAnsi" w:cstheme="minorHAnsi"/>
          <w:lang w:val="en-US"/>
        </w:rPr>
        <w:t xml:space="preserve">, 2020). </w:t>
      </w:r>
    </w:p>
    <w:p w14:paraId="6A93D92E" w14:textId="77777777"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Additionally, it is very important for legal professionals to reflect the diversity of the serving society. A broader range of experiences, insights, perspectives, and visions lead to more visionary and innovative legal solutions. Clients feel more comfortable while seeking legal advice and representation in front of other legal professionals with more experience (Schonberger, 2019). </w:t>
      </w:r>
    </w:p>
    <w:p w14:paraId="6E28AE75" w14:textId="77777777" w:rsidR="0086566B" w:rsidRPr="00307D08" w:rsidRDefault="0086566B" w:rsidP="0086566B">
      <w:pPr>
        <w:spacing w:line="360" w:lineRule="auto"/>
        <w:jc w:val="both"/>
        <w:rPr>
          <w:rFonts w:asciiTheme="minorHAnsi" w:hAnsiTheme="minorHAnsi" w:cstheme="minorHAnsi"/>
          <w:lang w:val="en-US"/>
        </w:rPr>
      </w:pPr>
    </w:p>
    <w:p w14:paraId="1F22137D" w14:textId="77777777"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In the legal profession, diversity and equality holds immense significance and shape the legal services to make them trustworthy and legitimate of the legal system. In this section of the report, a greater and deep insight will be explored in terms of equality and diversity with respect to justice in society, reflecting and enhancing legal services to bring rights to society and combat discrimination in society (Bush, Chambers and Walpole, 2023). </w:t>
      </w:r>
    </w:p>
    <w:p w14:paraId="53E4ADF3" w14:textId="77777777" w:rsidR="0086566B" w:rsidRPr="00307D08" w:rsidRDefault="0086566B" w:rsidP="0086566B">
      <w:pPr>
        <w:spacing w:line="360" w:lineRule="auto"/>
        <w:jc w:val="both"/>
        <w:rPr>
          <w:rFonts w:asciiTheme="minorHAnsi" w:hAnsiTheme="minorHAnsi" w:cstheme="minorHAnsi"/>
          <w:lang w:val="en-US"/>
        </w:rPr>
      </w:pPr>
    </w:p>
    <w:p w14:paraId="67315193" w14:textId="17093577"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To uphold the legal profession is the prime and core rule and fairness for all the society’s individuals irrespective of their characteristics and background in the society. It makes sure of equality and treatment without any discrimination. Every client they serve in society with a similar level of respect and consideration to offer them equal access to legal representation and protect the rights of the people they serve (Alcaraz </w:t>
      </w:r>
      <w:r w:rsidRPr="00307D08">
        <w:rPr>
          <w:rFonts w:asciiTheme="minorHAnsi" w:hAnsiTheme="minorHAnsi" w:cstheme="minorHAnsi"/>
          <w:i/>
          <w:lang w:val="en-US"/>
        </w:rPr>
        <w:t>et al</w:t>
      </w:r>
      <w:r w:rsidRPr="00307D08">
        <w:rPr>
          <w:rFonts w:asciiTheme="minorHAnsi" w:hAnsiTheme="minorHAnsi" w:cstheme="minorHAnsi"/>
          <w:lang w:val="en-US"/>
        </w:rPr>
        <w:t xml:space="preserve">., 2020). A pivotal role is also played by equality and diversity in the promotion of </w:t>
      </w:r>
      <w:r w:rsidRPr="00307D08">
        <w:rPr>
          <w:rFonts w:asciiTheme="minorHAnsi" w:hAnsiTheme="minorHAnsi" w:cstheme="minorHAnsi"/>
          <w:lang w:val="en-US"/>
        </w:rPr>
        <w:lastRenderedPageBreak/>
        <w:t xml:space="preserve">justice to understand the unique challenges and appreciate people from different backgrounds and sectors in society to provide the best justice-related services to them (Ainscow, 2020). </w:t>
      </w:r>
    </w:p>
    <w:p w14:paraId="10F4FDD7" w14:textId="77777777" w:rsidR="0086566B" w:rsidRPr="00307D08" w:rsidRDefault="0086566B" w:rsidP="0086566B">
      <w:pPr>
        <w:spacing w:line="360" w:lineRule="auto"/>
        <w:jc w:val="both"/>
        <w:rPr>
          <w:rFonts w:asciiTheme="minorHAnsi" w:hAnsiTheme="minorHAnsi" w:cstheme="minorHAnsi"/>
          <w:lang w:val="en-US"/>
        </w:rPr>
      </w:pPr>
    </w:p>
    <w:p w14:paraId="03CF99A1" w14:textId="7AF93B63"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In an equitable society, discrimination still occurs even with the anticipation of no placement of discrimination in the legal system of society. According to the Equality Act 2010 and the SRA Code of Conduct, legal representatives are instructed and obliged to avoid and mitigate discrimination in all sectors of prejudice in their practice. Legal practitioners are also obliged to refrain from any discriminated activity and performance while serving clients and protect their rights of diversity and inclusion based on race, background, gender, sexual orientation, or </w:t>
      </w:r>
      <w:r w:rsidR="00A2766D" w:rsidRPr="00307D08">
        <w:rPr>
          <w:rFonts w:asciiTheme="minorHAnsi" w:hAnsiTheme="minorHAnsi" w:cstheme="minorHAnsi"/>
          <w:lang w:val="en-US"/>
        </w:rPr>
        <w:t>disability. (</w:t>
      </w:r>
      <w:proofErr w:type="spellStart"/>
      <w:r w:rsidRPr="00307D08">
        <w:rPr>
          <w:rFonts w:asciiTheme="minorHAnsi" w:hAnsiTheme="minorHAnsi" w:cstheme="minorHAnsi"/>
          <w:lang w:val="en-US"/>
        </w:rPr>
        <w:t>Boniol</w:t>
      </w:r>
      <w:proofErr w:type="spellEnd"/>
      <w:r w:rsidRPr="00307D08">
        <w:rPr>
          <w:rFonts w:asciiTheme="minorHAnsi" w:hAnsiTheme="minorHAnsi" w:cstheme="minorHAnsi"/>
          <w:lang w:val="en-US"/>
        </w:rPr>
        <w:t xml:space="preserve"> </w:t>
      </w:r>
      <w:r w:rsidRPr="00307D08">
        <w:rPr>
          <w:rFonts w:asciiTheme="minorHAnsi" w:hAnsiTheme="minorHAnsi" w:cstheme="minorHAnsi"/>
          <w:i/>
          <w:lang w:val="en-US"/>
        </w:rPr>
        <w:t>et al</w:t>
      </w:r>
      <w:r w:rsidRPr="00307D08">
        <w:rPr>
          <w:rFonts w:asciiTheme="minorHAnsi" w:hAnsiTheme="minorHAnsi" w:cstheme="minorHAnsi"/>
          <w:lang w:val="en-US"/>
        </w:rPr>
        <w:t xml:space="preserve">., 2019). </w:t>
      </w:r>
    </w:p>
    <w:p w14:paraId="3C097B14" w14:textId="77777777" w:rsidR="0086566B" w:rsidRPr="00307D08" w:rsidRDefault="0086566B" w:rsidP="0086566B">
      <w:pPr>
        <w:spacing w:line="360" w:lineRule="auto"/>
        <w:jc w:val="both"/>
        <w:rPr>
          <w:rFonts w:asciiTheme="minorHAnsi" w:hAnsiTheme="minorHAnsi" w:cstheme="minorHAnsi"/>
          <w:lang w:val="en-US"/>
        </w:rPr>
      </w:pPr>
    </w:p>
    <w:p w14:paraId="556BB956" w14:textId="2C1851DE"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Diversity must be reflected in the legal practices to present within society to bring justice while serving clients. The legal clients belong to different cultures, backgrounds, and societies, and the legal workforce in the legal representative company can understand and gain insight into the client’s needs and requirements (</w:t>
      </w:r>
      <w:proofErr w:type="spellStart"/>
      <w:r w:rsidRPr="00307D08">
        <w:rPr>
          <w:rFonts w:asciiTheme="minorHAnsi" w:hAnsiTheme="minorHAnsi" w:cstheme="minorHAnsi"/>
          <w:lang w:val="en-US"/>
        </w:rPr>
        <w:t>Erez</w:t>
      </w:r>
      <w:proofErr w:type="spellEnd"/>
      <w:r w:rsidRPr="00307D08">
        <w:rPr>
          <w:rFonts w:asciiTheme="minorHAnsi" w:hAnsiTheme="minorHAnsi" w:cstheme="minorHAnsi"/>
          <w:lang w:val="en-US"/>
        </w:rPr>
        <w:t xml:space="preserve">, 2019). </w:t>
      </w:r>
    </w:p>
    <w:p w14:paraId="20B1F96D" w14:textId="52C38867"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A legal profession can also serve as a role model for different other industries and motivate them to bring and foster equality and inclusivity in the working culture to get sustainable success. A broader societal shift is promoted by promoting equality and justice from different backgrounds to get success in legal firms (Epstein, 2022). </w:t>
      </w:r>
    </w:p>
    <w:p w14:paraId="791500A2" w14:textId="77777777" w:rsidR="0086566B" w:rsidRPr="00307D08" w:rsidRDefault="0086566B" w:rsidP="0086566B">
      <w:pPr>
        <w:spacing w:line="360" w:lineRule="auto"/>
        <w:jc w:val="both"/>
        <w:rPr>
          <w:rFonts w:asciiTheme="minorHAnsi" w:hAnsiTheme="minorHAnsi" w:cstheme="minorHAnsi"/>
          <w:lang w:val="en-US"/>
        </w:rPr>
      </w:pPr>
    </w:p>
    <w:p w14:paraId="1EE4A9A6" w14:textId="05B714C1"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The quality of the services of the legal system can be improved as with the diverse and inclusive legal representatives, </w:t>
      </w:r>
      <w:r w:rsidR="00307D08" w:rsidRPr="00307D08">
        <w:rPr>
          <w:rFonts w:asciiTheme="minorHAnsi" w:hAnsiTheme="minorHAnsi" w:cstheme="minorHAnsi"/>
          <w:lang w:val="en-US"/>
        </w:rPr>
        <w:t xml:space="preserve">clients' </w:t>
      </w:r>
      <w:r w:rsidRPr="00307D08">
        <w:rPr>
          <w:rFonts w:asciiTheme="minorHAnsi" w:hAnsiTheme="minorHAnsi" w:cstheme="minorHAnsi"/>
          <w:lang w:val="en-US"/>
        </w:rPr>
        <w:t xml:space="preserve">experiences and perspectives can better understand and increase the chances of getting success. Increased level of understanding of client’s needs Additionally, in the legal system of justice and fairness, a stronger client-attorney relationship can be fostered. (Haley and </w:t>
      </w:r>
      <w:proofErr w:type="spellStart"/>
      <w:r w:rsidRPr="00307D08">
        <w:rPr>
          <w:rFonts w:asciiTheme="minorHAnsi" w:hAnsiTheme="minorHAnsi" w:cstheme="minorHAnsi"/>
          <w:lang w:val="en-US"/>
        </w:rPr>
        <w:t>McMurty</w:t>
      </w:r>
      <w:proofErr w:type="spellEnd"/>
      <w:r w:rsidRPr="00307D08">
        <w:rPr>
          <w:rFonts w:asciiTheme="minorHAnsi" w:hAnsiTheme="minorHAnsi" w:cstheme="minorHAnsi"/>
          <w:lang w:val="en-US"/>
        </w:rPr>
        <w:t xml:space="preserve">, 2020). </w:t>
      </w:r>
    </w:p>
    <w:p w14:paraId="664C1B46" w14:textId="31A9ACC6"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There are certain challenges that persist in society within the legal system to implement these justice-based principles despite the supporting system of a legal framework to implement equality and diversity in society. It is very important and crucial to establish a diverse and inclusive legal profession to bring success and equality to the people in society (</w:t>
      </w:r>
      <w:proofErr w:type="spellStart"/>
      <w:r w:rsidRPr="00307D08">
        <w:rPr>
          <w:rFonts w:asciiTheme="minorHAnsi" w:hAnsiTheme="minorHAnsi" w:cstheme="minorHAnsi"/>
          <w:lang w:val="en-US"/>
        </w:rPr>
        <w:t>Mckinsey</w:t>
      </w:r>
      <w:proofErr w:type="spellEnd"/>
      <w:r w:rsidRPr="00307D08">
        <w:rPr>
          <w:rFonts w:asciiTheme="minorHAnsi" w:hAnsiTheme="minorHAnsi" w:cstheme="minorHAnsi"/>
          <w:lang w:val="en-US"/>
        </w:rPr>
        <w:t xml:space="preserve"> </w:t>
      </w:r>
      <w:r w:rsidRPr="00307D08">
        <w:rPr>
          <w:rFonts w:asciiTheme="minorHAnsi" w:hAnsiTheme="minorHAnsi" w:cstheme="minorHAnsi"/>
          <w:i/>
          <w:lang w:val="en-US"/>
        </w:rPr>
        <w:t>et al</w:t>
      </w:r>
      <w:r w:rsidRPr="00307D08">
        <w:rPr>
          <w:rFonts w:asciiTheme="minorHAnsi" w:hAnsiTheme="minorHAnsi" w:cstheme="minorHAnsi"/>
          <w:lang w:val="en-US"/>
        </w:rPr>
        <w:t xml:space="preserve">., 2019). </w:t>
      </w:r>
    </w:p>
    <w:p w14:paraId="2A12B3D2" w14:textId="6043CC17"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lastRenderedPageBreak/>
        <w:t xml:space="preserve">Unconscious bias is a common yet crucial challenge to address the unintentional attitude and </w:t>
      </w:r>
      <w:proofErr w:type="spellStart"/>
      <w:r w:rsidRPr="00307D08">
        <w:rPr>
          <w:rFonts w:asciiTheme="minorHAnsi" w:hAnsiTheme="minorHAnsi" w:cstheme="minorHAnsi"/>
          <w:lang w:val="en-US"/>
        </w:rPr>
        <w:t>behaviour</w:t>
      </w:r>
      <w:proofErr w:type="spellEnd"/>
      <w:r w:rsidRPr="00307D08">
        <w:rPr>
          <w:rFonts w:asciiTheme="minorHAnsi" w:hAnsiTheme="minorHAnsi" w:cstheme="minorHAnsi"/>
          <w:lang w:val="en-US"/>
        </w:rPr>
        <w:t xml:space="preserve"> of people to influence overall decision-making. Legal representatives somehow hold discrimination even without intention against clients and colleagues and leading to unequal treatment in the working place. In the legal profession, stereotypes depending on race, religion, sex, and gender affect people’s perception and treatment of other people in the legal profession. It leads to the underrepresentation of the limited groups and opportunities are also limited in terms of professional development and success in professional career (Wakefield, William and Le </w:t>
      </w:r>
      <w:proofErr w:type="spellStart"/>
      <w:r w:rsidRPr="00307D08">
        <w:rPr>
          <w:rFonts w:asciiTheme="minorHAnsi" w:hAnsiTheme="minorHAnsi" w:cstheme="minorHAnsi"/>
          <w:lang w:val="en-US"/>
        </w:rPr>
        <w:t>Menestrel</w:t>
      </w:r>
      <w:proofErr w:type="spellEnd"/>
      <w:r w:rsidRPr="00307D08">
        <w:rPr>
          <w:rFonts w:asciiTheme="minorHAnsi" w:hAnsiTheme="minorHAnsi" w:cstheme="minorHAnsi"/>
          <w:lang w:val="en-US"/>
        </w:rPr>
        <w:t xml:space="preserve">, 2021). There are also systemic barriers that also affect the underrepresented groups in the legal system. Biased hiring, lack of leadership and diversity in the working place, and lack of inclusivity in the working culture of legal firms are all examples and in return consequences (Bush, Chambers and Walpole, 2023). </w:t>
      </w:r>
    </w:p>
    <w:p w14:paraId="111CA738" w14:textId="77777777" w:rsidR="0086566B" w:rsidRPr="00307D08" w:rsidRDefault="0086566B" w:rsidP="0086566B">
      <w:pPr>
        <w:spacing w:line="360" w:lineRule="auto"/>
        <w:jc w:val="both"/>
        <w:rPr>
          <w:rFonts w:asciiTheme="minorHAnsi" w:hAnsiTheme="minorHAnsi" w:cstheme="minorHAnsi"/>
          <w:lang w:val="en-US"/>
        </w:rPr>
      </w:pPr>
    </w:p>
    <w:p w14:paraId="0C74B07B" w14:textId="0BE36419"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In the legal profession, bringing and promoting equality and diversity is very complex, and challenging. To implement a range of certain strategies with the universal goal to cater to and foster an inclusive and diverse working culture in the legal firm, there are certain strategies are discussed in this section of the report (</w:t>
      </w:r>
      <w:proofErr w:type="spellStart"/>
      <w:r w:rsidRPr="00307D08">
        <w:rPr>
          <w:rFonts w:asciiTheme="minorHAnsi" w:hAnsiTheme="minorHAnsi" w:cstheme="minorHAnsi"/>
          <w:lang w:val="en-US"/>
        </w:rPr>
        <w:t>McGininis</w:t>
      </w:r>
      <w:proofErr w:type="spellEnd"/>
      <w:r w:rsidRPr="00307D08">
        <w:rPr>
          <w:rFonts w:asciiTheme="minorHAnsi" w:hAnsiTheme="minorHAnsi" w:cstheme="minorHAnsi"/>
          <w:lang w:val="en-US"/>
        </w:rPr>
        <w:t xml:space="preserve"> and Pearce, 2019).  The workforce must be provided with training and education classes to recognize and mitigate unconscious bias in the legal firm. It helps lawyers and solicitors to better gain insight into understanding the diverse needs and perspectives of the clients to provide justice to them (Shadmi </w:t>
      </w:r>
      <w:r w:rsidRPr="00307D08">
        <w:rPr>
          <w:rFonts w:asciiTheme="minorHAnsi" w:hAnsiTheme="minorHAnsi" w:cstheme="minorHAnsi"/>
          <w:i/>
          <w:lang w:val="en-US"/>
        </w:rPr>
        <w:t>et al</w:t>
      </w:r>
      <w:r w:rsidRPr="00307D08">
        <w:rPr>
          <w:rFonts w:asciiTheme="minorHAnsi" w:hAnsiTheme="minorHAnsi" w:cstheme="minorHAnsi"/>
          <w:lang w:val="en-US"/>
        </w:rPr>
        <w:t xml:space="preserve">., 2020). </w:t>
      </w:r>
    </w:p>
    <w:p w14:paraId="73A321BE" w14:textId="3363E939"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Measurable targets of inclusion and justice can be established in the legal firm to encompass a broader range of representatives and motivate them to bring more diversity and inclusion to the working culture (Schonberger, 2019). </w:t>
      </w:r>
    </w:p>
    <w:p w14:paraId="78131D78" w14:textId="627AAB48"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The firm must also include and implement some policies to balance work and life to bring more diversity and success by incorporating the respected duties at work with a clear and tension-free mind (Hurd, 2020). </w:t>
      </w:r>
    </w:p>
    <w:p w14:paraId="15A071DB" w14:textId="1158BB7E"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In the legal profession, regular assessment and inclusion efforts also get help in recognizing areas of improvement and tracking progress. This diversity and inclusion can also be promoted to highlight any disparity in recruiting and advancement to target interventions in the legal firm (Akbar, </w:t>
      </w:r>
      <w:proofErr w:type="spellStart"/>
      <w:r w:rsidRPr="00307D08">
        <w:rPr>
          <w:rFonts w:asciiTheme="minorHAnsi" w:hAnsiTheme="minorHAnsi" w:cstheme="minorHAnsi"/>
          <w:lang w:val="en-US"/>
        </w:rPr>
        <w:t>Ashar</w:t>
      </w:r>
      <w:proofErr w:type="spellEnd"/>
      <w:r w:rsidRPr="00307D08">
        <w:rPr>
          <w:rFonts w:asciiTheme="minorHAnsi" w:hAnsiTheme="minorHAnsi" w:cstheme="minorHAnsi"/>
          <w:lang w:val="en-US"/>
        </w:rPr>
        <w:t xml:space="preserve"> and Simonson, 2021). </w:t>
      </w:r>
    </w:p>
    <w:p w14:paraId="473C9DA6" w14:textId="4E6DC621" w:rsidR="0086566B" w:rsidRPr="00307D08" w:rsidRDefault="0086566B" w:rsidP="0086566B">
      <w:pPr>
        <w:spacing w:line="360" w:lineRule="auto"/>
        <w:jc w:val="both"/>
        <w:rPr>
          <w:rFonts w:asciiTheme="minorHAnsi" w:hAnsiTheme="minorHAnsi" w:cstheme="minorHAnsi"/>
          <w:lang w:val="en-US"/>
        </w:rPr>
      </w:pPr>
      <w:r w:rsidRPr="00307D08">
        <w:rPr>
          <w:rFonts w:asciiTheme="minorHAnsi" w:hAnsiTheme="minorHAnsi" w:cstheme="minorHAnsi"/>
          <w:lang w:val="en-US"/>
        </w:rPr>
        <w:t xml:space="preserve">The law firm also must promote and encourage allyship and leadership in the working culture to impact the employees to advocate for colleagues who belong to different </w:t>
      </w:r>
      <w:r w:rsidRPr="00307D08">
        <w:rPr>
          <w:rFonts w:asciiTheme="minorHAnsi" w:hAnsiTheme="minorHAnsi" w:cstheme="minorHAnsi"/>
          <w:lang w:val="en-US"/>
        </w:rPr>
        <w:lastRenderedPageBreak/>
        <w:t>representative groups of society to set a positive example and bring diversity to the firm’s inclusive practices in the legal system (</w:t>
      </w:r>
      <w:proofErr w:type="spellStart"/>
      <w:r w:rsidRPr="00307D08">
        <w:rPr>
          <w:rFonts w:asciiTheme="minorHAnsi" w:hAnsiTheme="minorHAnsi" w:cstheme="minorHAnsi"/>
          <w:lang w:val="en-US"/>
        </w:rPr>
        <w:t>Erez</w:t>
      </w:r>
      <w:proofErr w:type="spellEnd"/>
      <w:r w:rsidRPr="00307D08">
        <w:rPr>
          <w:rFonts w:asciiTheme="minorHAnsi" w:hAnsiTheme="minorHAnsi" w:cstheme="minorHAnsi"/>
          <w:lang w:val="en-US"/>
        </w:rPr>
        <w:t>, 2019).</w:t>
      </w:r>
    </w:p>
    <w:p w14:paraId="4A2D407D" w14:textId="77777777" w:rsidR="0086566B" w:rsidRPr="00307D08" w:rsidRDefault="0086566B" w:rsidP="0086566B">
      <w:pPr>
        <w:spacing w:line="360" w:lineRule="auto"/>
        <w:jc w:val="both"/>
        <w:rPr>
          <w:rFonts w:asciiTheme="minorHAnsi" w:hAnsiTheme="minorHAnsi" w:cstheme="minorHAnsi"/>
        </w:rPr>
      </w:pPr>
    </w:p>
    <w:p w14:paraId="628CF7FE" w14:textId="7265E5C9" w:rsidR="0086566B" w:rsidRPr="00307D08" w:rsidRDefault="0086566B" w:rsidP="0086566B">
      <w:pPr>
        <w:spacing w:line="360" w:lineRule="auto"/>
        <w:jc w:val="both"/>
        <w:rPr>
          <w:rFonts w:asciiTheme="minorHAnsi" w:hAnsiTheme="minorHAnsi" w:cstheme="minorHAnsi"/>
        </w:rPr>
      </w:pPr>
      <w:r w:rsidRPr="00307D08">
        <w:rPr>
          <w:rFonts w:asciiTheme="minorHAnsi" w:hAnsiTheme="minorHAnsi" w:cstheme="minorHAnsi"/>
        </w:rPr>
        <w:t xml:space="preserve">In interference, diversity and equality principles in the legal sector are very critical to embrace justice and equality without any discrimination and biases and foster a positive and fair working culture to provide required services to the potential clients irrespective of their background, race, gender, sexual orientation, and religion, etc. Different Acts and principles are followed to serve the legal frameworks to guide legal professionals in creating a fair and inclusive environment to bring justice to society. The legal profession can contribute significantly to the striving efforts to promote equality and inclusion in society to bring prosperity and justice. </w:t>
      </w:r>
    </w:p>
    <w:p w14:paraId="5512AD34" w14:textId="77777777" w:rsidR="0086566B" w:rsidRPr="00307D08" w:rsidRDefault="0086566B" w:rsidP="0086566B">
      <w:pPr>
        <w:rPr>
          <w:rFonts w:asciiTheme="minorHAnsi" w:hAnsiTheme="minorHAnsi" w:cstheme="minorHAnsi"/>
        </w:rPr>
      </w:pPr>
      <w:r w:rsidRPr="00307D08">
        <w:rPr>
          <w:rFonts w:asciiTheme="minorHAnsi" w:hAnsiTheme="minorHAnsi" w:cstheme="minorHAnsi"/>
        </w:rPr>
        <w:br w:type="page"/>
      </w:r>
    </w:p>
    <w:p w14:paraId="13069D5A" w14:textId="77777777" w:rsidR="00307D08" w:rsidRPr="00307D08" w:rsidRDefault="00307D08"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lastRenderedPageBreak/>
        <w:t>Reference list:</w:t>
      </w:r>
    </w:p>
    <w:p w14:paraId="4B3025E6" w14:textId="77777777" w:rsidR="00307D08" w:rsidRPr="00307D08" w:rsidRDefault="00307D08" w:rsidP="0086566B">
      <w:pPr>
        <w:spacing w:line="360" w:lineRule="auto"/>
        <w:ind w:left="720" w:hanging="720"/>
        <w:jc w:val="both"/>
        <w:rPr>
          <w:rFonts w:asciiTheme="minorHAnsi" w:hAnsiTheme="minorHAnsi" w:cstheme="minorHAnsi"/>
          <w:color w:val="222222"/>
          <w:shd w:val="clear" w:color="auto" w:fill="FFFFFF"/>
        </w:rPr>
      </w:pPr>
    </w:p>
    <w:p w14:paraId="2CB645D6" w14:textId="7FCF34F9"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Ainscow, M., 2020. Promoting inclusion and equity in education: lessons from international experiences. </w:t>
      </w:r>
      <w:r w:rsidRPr="00307D08">
        <w:rPr>
          <w:rFonts w:asciiTheme="minorHAnsi" w:hAnsiTheme="minorHAnsi" w:cstheme="minorHAnsi"/>
          <w:i/>
          <w:iCs/>
          <w:color w:val="222222"/>
          <w:shd w:val="clear" w:color="auto" w:fill="FFFFFF"/>
        </w:rPr>
        <w:t>Nordic Journal of Studies in Educational Policy</w:t>
      </w:r>
      <w:r w:rsidRPr="00307D08">
        <w:rPr>
          <w:rFonts w:asciiTheme="minorHAnsi" w:hAnsiTheme="minorHAnsi" w:cstheme="minorHAnsi"/>
          <w:color w:val="222222"/>
          <w:shd w:val="clear" w:color="auto" w:fill="FFFFFF"/>
        </w:rPr>
        <w:t>, </w:t>
      </w:r>
      <w:r w:rsidRPr="00307D08">
        <w:rPr>
          <w:rFonts w:asciiTheme="minorHAnsi" w:hAnsiTheme="minorHAnsi" w:cstheme="minorHAnsi"/>
          <w:i/>
          <w:iCs/>
          <w:color w:val="222222"/>
          <w:shd w:val="clear" w:color="auto" w:fill="FFFFFF"/>
        </w:rPr>
        <w:t>6</w:t>
      </w:r>
      <w:r w:rsidRPr="00307D08">
        <w:rPr>
          <w:rFonts w:asciiTheme="minorHAnsi" w:hAnsiTheme="minorHAnsi" w:cstheme="minorHAnsi"/>
          <w:color w:val="222222"/>
          <w:shd w:val="clear" w:color="auto" w:fill="FFFFFF"/>
        </w:rPr>
        <w:t>(1), pp.7-16.</w:t>
      </w:r>
    </w:p>
    <w:p w14:paraId="67A1F310"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 xml:space="preserve">Akbar, A.A., </w:t>
      </w:r>
      <w:proofErr w:type="spellStart"/>
      <w:r w:rsidRPr="00307D08">
        <w:rPr>
          <w:rFonts w:asciiTheme="minorHAnsi" w:hAnsiTheme="minorHAnsi" w:cstheme="minorHAnsi"/>
          <w:color w:val="222222"/>
          <w:shd w:val="clear" w:color="auto" w:fill="FFFFFF"/>
        </w:rPr>
        <w:t>Ashar</w:t>
      </w:r>
      <w:proofErr w:type="spellEnd"/>
      <w:r w:rsidRPr="00307D08">
        <w:rPr>
          <w:rFonts w:asciiTheme="minorHAnsi" w:hAnsiTheme="minorHAnsi" w:cstheme="minorHAnsi"/>
          <w:color w:val="222222"/>
          <w:shd w:val="clear" w:color="auto" w:fill="FFFFFF"/>
        </w:rPr>
        <w:t>, S.M. and Simonson, J., 2021. Movement law. </w:t>
      </w:r>
      <w:r w:rsidRPr="00307D08">
        <w:rPr>
          <w:rFonts w:asciiTheme="minorHAnsi" w:hAnsiTheme="minorHAnsi" w:cstheme="minorHAnsi"/>
          <w:i/>
          <w:iCs/>
          <w:color w:val="222222"/>
          <w:shd w:val="clear" w:color="auto" w:fill="FFFFFF"/>
        </w:rPr>
        <w:t>Stan. L. Rev.</w:t>
      </w:r>
      <w:r w:rsidRPr="00307D08">
        <w:rPr>
          <w:rFonts w:asciiTheme="minorHAnsi" w:hAnsiTheme="minorHAnsi" w:cstheme="minorHAnsi"/>
          <w:color w:val="222222"/>
          <w:shd w:val="clear" w:color="auto" w:fill="FFFFFF"/>
        </w:rPr>
        <w:t>, </w:t>
      </w:r>
      <w:r w:rsidRPr="00307D08">
        <w:rPr>
          <w:rFonts w:asciiTheme="minorHAnsi" w:hAnsiTheme="minorHAnsi" w:cstheme="minorHAnsi"/>
          <w:i/>
          <w:iCs/>
          <w:color w:val="222222"/>
          <w:shd w:val="clear" w:color="auto" w:fill="FFFFFF"/>
        </w:rPr>
        <w:t>73</w:t>
      </w:r>
      <w:r w:rsidRPr="00307D08">
        <w:rPr>
          <w:rFonts w:asciiTheme="minorHAnsi" w:hAnsiTheme="minorHAnsi" w:cstheme="minorHAnsi"/>
          <w:color w:val="222222"/>
          <w:shd w:val="clear" w:color="auto" w:fill="FFFFFF"/>
        </w:rPr>
        <w:t>, p.821.</w:t>
      </w:r>
    </w:p>
    <w:p w14:paraId="4AF6A23A"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 xml:space="preserve">Alcaraz, K.I., </w:t>
      </w:r>
      <w:proofErr w:type="spellStart"/>
      <w:r w:rsidRPr="00307D08">
        <w:rPr>
          <w:rFonts w:asciiTheme="minorHAnsi" w:hAnsiTheme="minorHAnsi" w:cstheme="minorHAnsi"/>
          <w:color w:val="222222"/>
          <w:shd w:val="clear" w:color="auto" w:fill="FFFFFF"/>
        </w:rPr>
        <w:t>Wiedt</w:t>
      </w:r>
      <w:proofErr w:type="spellEnd"/>
      <w:r w:rsidRPr="00307D08">
        <w:rPr>
          <w:rFonts w:asciiTheme="minorHAnsi" w:hAnsiTheme="minorHAnsi" w:cstheme="minorHAnsi"/>
          <w:color w:val="222222"/>
          <w:shd w:val="clear" w:color="auto" w:fill="FFFFFF"/>
        </w:rPr>
        <w:t xml:space="preserve">, T.L., Daniels, E.C., </w:t>
      </w:r>
      <w:proofErr w:type="spellStart"/>
      <w:r w:rsidRPr="00307D08">
        <w:rPr>
          <w:rFonts w:asciiTheme="minorHAnsi" w:hAnsiTheme="minorHAnsi" w:cstheme="minorHAnsi"/>
          <w:color w:val="222222"/>
          <w:shd w:val="clear" w:color="auto" w:fill="FFFFFF"/>
        </w:rPr>
        <w:t>Yabroff</w:t>
      </w:r>
      <w:proofErr w:type="spellEnd"/>
      <w:r w:rsidRPr="00307D08">
        <w:rPr>
          <w:rFonts w:asciiTheme="minorHAnsi" w:hAnsiTheme="minorHAnsi" w:cstheme="minorHAnsi"/>
          <w:color w:val="222222"/>
          <w:shd w:val="clear" w:color="auto" w:fill="FFFFFF"/>
        </w:rPr>
        <w:t xml:space="preserve">, K.R., Guerra, C.E. and </w:t>
      </w:r>
      <w:proofErr w:type="spellStart"/>
      <w:r w:rsidRPr="00307D08">
        <w:rPr>
          <w:rFonts w:asciiTheme="minorHAnsi" w:hAnsiTheme="minorHAnsi" w:cstheme="minorHAnsi"/>
          <w:color w:val="222222"/>
          <w:shd w:val="clear" w:color="auto" w:fill="FFFFFF"/>
        </w:rPr>
        <w:t>Wender</w:t>
      </w:r>
      <w:proofErr w:type="spellEnd"/>
      <w:r w:rsidRPr="00307D08">
        <w:rPr>
          <w:rFonts w:asciiTheme="minorHAnsi" w:hAnsiTheme="minorHAnsi" w:cstheme="minorHAnsi"/>
          <w:color w:val="222222"/>
          <w:shd w:val="clear" w:color="auto" w:fill="FFFFFF"/>
        </w:rPr>
        <w:t>, R.C., 2020. Understanding and addressing social determinants to advance cancer health equity in the United States: a blueprint for practice, research, and policy. </w:t>
      </w:r>
      <w:r w:rsidRPr="00307D08">
        <w:rPr>
          <w:rFonts w:asciiTheme="minorHAnsi" w:hAnsiTheme="minorHAnsi" w:cstheme="minorHAnsi"/>
          <w:i/>
          <w:iCs/>
          <w:color w:val="222222"/>
          <w:shd w:val="clear" w:color="auto" w:fill="FFFFFF"/>
        </w:rPr>
        <w:t>CA: a cancer journal for clinicians</w:t>
      </w:r>
      <w:r w:rsidRPr="00307D08">
        <w:rPr>
          <w:rFonts w:asciiTheme="minorHAnsi" w:hAnsiTheme="minorHAnsi" w:cstheme="minorHAnsi"/>
          <w:color w:val="222222"/>
          <w:shd w:val="clear" w:color="auto" w:fill="FFFFFF"/>
        </w:rPr>
        <w:t>, </w:t>
      </w:r>
      <w:r w:rsidRPr="00307D08">
        <w:rPr>
          <w:rFonts w:asciiTheme="minorHAnsi" w:hAnsiTheme="minorHAnsi" w:cstheme="minorHAnsi"/>
          <w:i/>
          <w:iCs/>
          <w:color w:val="222222"/>
          <w:shd w:val="clear" w:color="auto" w:fill="FFFFFF"/>
        </w:rPr>
        <w:t>70</w:t>
      </w:r>
      <w:r w:rsidRPr="00307D08">
        <w:rPr>
          <w:rFonts w:asciiTheme="minorHAnsi" w:hAnsiTheme="minorHAnsi" w:cstheme="minorHAnsi"/>
          <w:color w:val="222222"/>
          <w:shd w:val="clear" w:color="auto" w:fill="FFFFFF"/>
        </w:rPr>
        <w:t>(1), pp.31-46.</w:t>
      </w:r>
    </w:p>
    <w:p w14:paraId="72BA56BF"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proofErr w:type="spellStart"/>
      <w:r w:rsidRPr="00307D08">
        <w:rPr>
          <w:rFonts w:asciiTheme="minorHAnsi" w:hAnsiTheme="minorHAnsi" w:cstheme="minorHAnsi"/>
          <w:color w:val="222222"/>
          <w:shd w:val="clear" w:color="auto" w:fill="FFFFFF"/>
        </w:rPr>
        <w:t>Boniol</w:t>
      </w:r>
      <w:proofErr w:type="spellEnd"/>
      <w:r w:rsidRPr="00307D08">
        <w:rPr>
          <w:rFonts w:asciiTheme="minorHAnsi" w:hAnsiTheme="minorHAnsi" w:cstheme="minorHAnsi"/>
          <w:color w:val="222222"/>
          <w:shd w:val="clear" w:color="auto" w:fill="FFFFFF"/>
        </w:rPr>
        <w:t xml:space="preserve">, M., McIsaac, M., Xu, L., </w:t>
      </w:r>
      <w:proofErr w:type="spellStart"/>
      <w:r w:rsidRPr="00307D08">
        <w:rPr>
          <w:rFonts w:asciiTheme="minorHAnsi" w:hAnsiTheme="minorHAnsi" w:cstheme="minorHAnsi"/>
          <w:color w:val="222222"/>
          <w:shd w:val="clear" w:color="auto" w:fill="FFFFFF"/>
        </w:rPr>
        <w:t>Wuliji</w:t>
      </w:r>
      <w:proofErr w:type="spellEnd"/>
      <w:r w:rsidRPr="00307D08">
        <w:rPr>
          <w:rFonts w:asciiTheme="minorHAnsi" w:hAnsiTheme="minorHAnsi" w:cstheme="minorHAnsi"/>
          <w:color w:val="222222"/>
          <w:shd w:val="clear" w:color="auto" w:fill="FFFFFF"/>
        </w:rPr>
        <w:t>, T., Diallo, K. and Campbell, J., 2019. </w:t>
      </w:r>
      <w:r w:rsidRPr="00307D08">
        <w:rPr>
          <w:rFonts w:asciiTheme="minorHAnsi" w:hAnsiTheme="minorHAnsi" w:cstheme="minorHAnsi"/>
          <w:i/>
          <w:iCs/>
          <w:color w:val="222222"/>
          <w:shd w:val="clear" w:color="auto" w:fill="FFFFFF"/>
        </w:rPr>
        <w:t>Gender equity in the health workforce: analysis of 104 countries</w:t>
      </w:r>
      <w:r w:rsidRPr="00307D08">
        <w:rPr>
          <w:rFonts w:asciiTheme="minorHAnsi" w:hAnsiTheme="minorHAnsi" w:cstheme="minorHAnsi"/>
          <w:color w:val="222222"/>
          <w:shd w:val="clear" w:color="auto" w:fill="FFFFFF"/>
        </w:rPr>
        <w:t> (No. WHO/HIS/HWF/Gender/WP1/2019.1). World Health Organization.</w:t>
      </w:r>
    </w:p>
    <w:p w14:paraId="719EC8C2"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 xml:space="preserve">Bush, V.B., Chambers, </w:t>
      </w:r>
      <w:proofErr w:type="gramStart"/>
      <w:r w:rsidRPr="00307D08">
        <w:rPr>
          <w:rFonts w:asciiTheme="minorHAnsi" w:hAnsiTheme="minorHAnsi" w:cstheme="minorHAnsi"/>
          <w:color w:val="222222"/>
          <w:shd w:val="clear" w:color="auto" w:fill="FFFFFF"/>
        </w:rPr>
        <w:t>C.R.</w:t>
      </w:r>
      <w:proofErr w:type="gramEnd"/>
      <w:r w:rsidRPr="00307D08">
        <w:rPr>
          <w:rFonts w:asciiTheme="minorHAnsi" w:hAnsiTheme="minorHAnsi" w:cstheme="minorHAnsi"/>
          <w:color w:val="222222"/>
          <w:shd w:val="clear" w:color="auto" w:fill="FFFFFF"/>
        </w:rPr>
        <w:t xml:space="preserve"> and Walpole, M.B. eds., 2023. </w:t>
      </w:r>
      <w:r w:rsidRPr="00307D08">
        <w:rPr>
          <w:rFonts w:asciiTheme="minorHAnsi" w:hAnsiTheme="minorHAnsi" w:cstheme="minorHAnsi"/>
          <w:i/>
          <w:iCs/>
          <w:color w:val="222222"/>
          <w:shd w:val="clear" w:color="auto" w:fill="FFFFFF"/>
        </w:rPr>
        <w:t>From diplomas to doctorates: The success of Black women in higher education and its implications for equal educational opportunities for all</w:t>
      </w:r>
      <w:r w:rsidRPr="00307D08">
        <w:rPr>
          <w:rFonts w:asciiTheme="minorHAnsi" w:hAnsiTheme="minorHAnsi" w:cstheme="minorHAnsi"/>
          <w:color w:val="222222"/>
          <w:shd w:val="clear" w:color="auto" w:fill="FFFFFF"/>
        </w:rPr>
        <w:t>. Taylor &amp; Francis.</w:t>
      </w:r>
    </w:p>
    <w:p w14:paraId="73889F8D"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England, P., Levine, A. and Mishel, E., 2020. Progress toward gender equality in the United States has slowed or stalled. </w:t>
      </w:r>
      <w:r w:rsidRPr="00307D08">
        <w:rPr>
          <w:rFonts w:asciiTheme="minorHAnsi" w:hAnsiTheme="minorHAnsi" w:cstheme="minorHAnsi"/>
          <w:i/>
          <w:iCs/>
          <w:color w:val="222222"/>
          <w:shd w:val="clear" w:color="auto" w:fill="FFFFFF"/>
        </w:rPr>
        <w:t>Proceedings of the National Academy of Sciences</w:t>
      </w:r>
      <w:r w:rsidRPr="00307D08">
        <w:rPr>
          <w:rFonts w:asciiTheme="minorHAnsi" w:hAnsiTheme="minorHAnsi" w:cstheme="minorHAnsi"/>
          <w:color w:val="222222"/>
          <w:shd w:val="clear" w:color="auto" w:fill="FFFFFF"/>
        </w:rPr>
        <w:t>, </w:t>
      </w:r>
      <w:r w:rsidRPr="00307D08">
        <w:rPr>
          <w:rFonts w:asciiTheme="minorHAnsi" w:hAnsiTheme="minorHAnsi" w:cstheme="minorHAnsi"/>
          <w:i/>
          <w:iCs/>
          <w:color w:val="222222"/>
          <w:shd w:val="clear" w:color="auto" w:fill="FFFFFF"/>
        </w:rPr>
        <w:t>117</w:t>
      </w:r>
      <w:r w:rsidRPr="00307D08">
        <w:rPr>
          <w:rFonts w:asciiTheme="minorHAnsi" w:hAnsiTheme="minorHAnsi" w:cstheme="minorHAnsi"/>
          <w:color w:val="222222"/>
          <w:shd w:val="clear" w:color="auto" w:fill="FFFFFF"/>
        </w:rPr>
        <w:t>(13), pp.6990-6997.</w:t>
      </w:r>
    </w:p>
    <w:p w14:paraId="5B5DE5C6"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Epstein, C.F., 2022. </w:t>
      </w:r>
      <w:r w:rsidRPr="00307D08">
        <w:rPr>
          <w:rFonts w:asciiTheme="minorHAnsi" w:hAnsiTheme="minorHAnsi" w:cstheme="minorHAnsi"/>
          <w:i/>
          <w:iCs/>
          <w:color w:val="222222"/>
          <w:shd w:val="clear" w:color="auto" w:fill="FFFFFF"/>
        </w:rPr>
        <w:t>Woman's place: Options and limits in professional careers</w:t>
      </w:r>
      <w:r w:rsidRPr="00307D08">
        <w:rPr>
          <w:rFonts w:asciiTheme="minorHAnsi" w:hAnsiTheme="minorHAnsi" w:cstheme="minorHAnsi"/>
          <w:color w:val="222222"/>
          <w:shd w:val="clear" w:color="auto" w:fill="FFFFFF"/>
        </w:rPr>
        <w:t xml:space="preserve">. </w:t>
      </w:r>
      <w:proofErr w:type="spellStart"/>
      <w:r w:rsidRPr="00307D08">
        <w:rPr>
          <w:rFonts w:asciiTheme="minorHAnsi" w:hAnsiTheme="minorHAnsi" w:cstheme="minorHAnsi"/>
          <w:color w:val="222222"/>
          <w:shd w:val="clear" w:color="auto" w:fill="FFFFFF"/>
        </w:rPr>
        <w:t>Univ</w:t>
      </w:r>
      <w:proofErr w:type="spellEnd"/>
      <w:r w:rsidRPr="00307D08">
        <w:rPr>
          <w:rFonts w:asciiTheme="minorHAnsi" w:hAnsiTheme="minorHAnsi" w:cstheme="minorHAnsi"/>
          <w:color w:val="222222"/>
          <w:shd w:val="clear" w:color="auto" w:fill="FFFFFF"/>
        </w:rPr>
        <w:t xml:space="preserve"> of California Press.</w:t>
      </w:r>
    </w:p>
    <w:p w14:paraId="3C44B904"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proofErr w:type="spellStart"/>
      <w:r w:rsidRPr="00307D08">
        <w:rPr>
          <w:rFonts w:asciiTheme="minorHAnsi" w:hAnsiTheme="minorHAnsi" w:cstheme="minorHAnsi"/>
          <w:color w:val="222222"/>
          <w:shd w:val="clear" w:color="auto" w:fill="FFFFFF"/>
        </w:rPr>
        <w:t>Erez</w:t>
      </w:r>
      <w:proofErr w:type="spellEnd"/>
      <w:r w:rsidRPr="00307D08">
        <w:rPr>
          <w:rFonts w:asciiTheme="minorHAnsi" w:hAnsiTheme="minorHAnsi" w:cstheme="minorHAnsi"/>
          <w:color w:val="222222"/>
          <w:shd w:val="clear" w:color="auto" w:fill="FFFFFF"/>
        </w:rPr>
        <w:t>, E., 2019. Integrating a victim perspective in criminal justice through victim impact statements. In </w:t>
      </w:r>
      <w:r w:rsidRPr="00307D08">
        <w:rPr>
          <w:rFonts w:asciiTheme="minorHAnsi" w:hAnsiTheme="minorHAnsi" w:cstheme="minorHAnsi"/>
          <w:i/>
          <w:iCs/>
          <w:color w:val="222222"/>
          <w:shd w:val="clear" w:color="auto" w:fill="FFFFFF"/>
        </w:rPr>
        <w:t>Integrating a victim perspective within criminal justice</w:t>
      </w:r>
      <w:r w:rsidRPr="00307D08">
        <w:rPr>
          <w:rFonts w:asciiTheme="minorHAnsi" w:hAnsiTheme="minorHAnsi" w:cstheme="minorHAnsi"/>
          <w:color w:val="222222"/>
          <w:shd w:val="clear" w:color="auto" w:fill="FFFFFF"/>
        </w:rPr>
        <w:t> (pp. 165-184). Routledge.</w:t>
      </w:r>
    </w:p>
    <w:p w14:paraId="337AB15C"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 xml:space="preserve">Haley, M. and </w:t>
      </w:r>
      <w:proofErr w:type="spellStart"/>
      <w:r w:rsidRPr="00307D08">
        <w:rPr>
          <w:rFonts w:asciiTheme="minorHAnsi" w:hAnsiTheme="minorHAnsi" w:cstheme="minorHAnsi"/>
          <w:color w:val="222222"/>
          <w:shd w:val="clear" w:color="auto" w:fill="FFFFFF"/>
        </w:rPr>
        <w:t>McMurty</w:t>
      </w:r>
      <w:proofErr w:type="spellEnd"/>
      <w:r w:rsidRPr="00307D08">
        <w:rPr>
          <w:rFonts w:asciiTheme="minorHAnsi" w:hAnsiTheme="minorHAnsi" w:cstheme="minorHAnsi"/>
          <w:color w:val="222222"/>
          <w:shd w:val="clear" w:color="auto" w:fill="FFFFFF"/>
        </w:rPr>
        <w:t>, L., 2020. </w:t>
      </w:r>
      <w:r w:rsidRPr="00307D08">
        <w:rPr>
          <w:rFonts w:asciiTheme="minorHAnsi" w:hAnsiTheme="minorHAnsi" w:cstheme="minorHAnsi"/>
          <w:i/>
          <w:iCs/>
          <w:color w:val="222222"/>
          <w:shd w:val="clear" w:color="auto" w:fill="FFFFFF"/>
        </w:rPr>
        <w:t>Equity &amp; trusts</w:t>
      </w:r>
      <w:r w:rsidRPr="00307D08">
        <w:rPr>
          <w:rFonts w:asciiTheme="minorHAnsi" w:hAnsiTheme="minorHAnsi" w:cstheme="minorHAnsi"/>
          <w:color w:val="222222"/>
          <w:shd w:val="clear" w:color="auto" w:fill="FFFFFF"/>
        </w:rPr>
        <w:t>.</w:t>
      </w:r>
    </w:p>
    <w:p w14:paraId="04F2E746"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Hurd, I., 2020. </w:t>
      </w:r>
      <w:r w:rsidRPr="00307D08">
        <w:rPr>
          <w:rFonts w:asciiTheme="minorHAnsi" w:hAnsiTheme="minorHAnsi" w:cstheme="minorHAnsi"/>
          <w:i/>
          <w:iCs/>
          <w:color w:val="222222"/>
          <w:shd w:val="clear" w:color="auto" w:fill="FFFFFF"/>
        </w:rPr>
        <w:t>International organizations: politics, law, practice</w:t>
      </w:r>
      <w:r w:rsidRPr="00307D08">
        <w:rPr>
          <w:rFonts w:asciiTheme="minorHAnsi" w:hAnsiTheme="minorHAnsi" w:cstheme="minorHAnsi"/>
          <w:color w:val="222222"/>
          <w:shd w:val="clear" w:color="auto" w:fill="FFFFFF"/>
        </w:rPr>
        <w:t>. Cambridge University Press.</w:t>
      </w:r>
    </w:p>
    <w:p w14:paraId="759F1B87"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McGinnis, J.O. and Pearce, R.G., 2019. The great disruption: How machine intelligence will transform the role of lawyers in the delivery of legal services. </w:t>
      </w:r>
      <w:r w:rsidRPr="00307D08">
        <w:rPr>
          <w:rFonts w:asciiTheme="minorHAnsi" w:hAnsiTheme="minorHAnsi" w:cstheme="minorHAnsi"/>
          <w:i/>
          <w:iCs/>
          <w:color w:val="222222"/>
          <w:shd w:val="clear" w:color="auto" w:fill="FFFFFF"/>
        </w:rPr>
        <w:t>Actual Probs. Econ. &amp; L.</w:t>
      </w:r>
      <w:r w:rsidRPr="00307D08">
        <w:rPr>
          <w:rFonts w:asciiTheme="minorHAnsi" w:hAnsiTheme="minorHAnsi" w:cstheme="minorHAnsi"/>
          <w:color w:val="222222"/>
          <w:shd w:val="clear" w:color="auto" w:fill="FFFFFF"/>
        </w:rPr>
        <w:t>, p.1230.</w:t>
      </w:r>
    </w:p>
    <w:p w14:paraId="73F00599"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proofErr w:type="spellStart"/>
      <w:r w:rsidRPr="00307D08">
        <w:rPr>
          <w:rFonts w:asciiTheme="minorHAnsi" w:hAnsiTheme="minorHAnsi" w:cstheme="minorHAnsi"/>
          <w:color w:val="222222"/>
          <w:shd w:val="clear" w:color="auto" w:fill="FFFFFF"/>
        </w:rPr>
        <w:t>Mckinsey</w:t>
      </w:r>
      <w:proofErr w:type="spellEnd"/>
      <w:r w:rsidRPr="00307D08">
        <w:rPr>
          <w:rFonts w:asciiTheme="minorHAnsi" w:hAnsiTheme="minorHAnsi" w:cstheme="minorHAnsi"/>
          <w:color w:val="222222"/>
          <w:shd w:val="clear" w:color="auto" w:fill="FFFFFF"/>
        </w:rPr>
        <w:t xml:space="preserve"> &amp; Company, </w:t>
      </w:r>
      <w:proofErr w:type="spellStart"/>
      <w:r w:rsidRPr="00307D08">
        <w:rPr>
          <w:rFonts w:asciiTheme="minorHAnsi" w:hAnsiTheme="minorHAnsi" w:cstheme="minorHAnsi"/>
          <w:color w:val="222222"/>
          <w:shd w:val="clear" w:color="auto" w:fill="FFFFFF"/>
        </w:rPr>
        <w:t>Madgavkar</w:t>
      </w:r>
      <w:proofErr w:type="spellEnd"/>
      <w:r w:rsidRPr="00307D08">
        <w:rPr>
          <w:rFonts w:asciiTheme="minorHAnsi" w:hAnsiTheme="minorHAnsi" w:cstheme="minorHAnsi"/>
          <w:color w:val="222222"/>
          <w:shd w:val="clear" w:color="auto" w:fill="FFFFFF"/>
        </w:rPr>
        <w:t xml:space="preserve">, A., White, O., Krishnan, M., </w:t>
      </w:r>
      <w:proofErr w:type="spellStart"/>
      <w:r w:rsidRPr="00307D08">
        <w:rPr>
          <w:rFonts w:asciiTheme="minorHAnsi" w:hAnsiTheme="minorHAnsi" w:cstheme="minorHAnsi"/>
          <w:color w:val="222222"/>
          <w:shd w:val="clear" w:color="auto" w:fill="FFFFFF"/>
        </w:rPr>
        <w:t>Azcue</w:t>
      </w:r>
      <w:proofErr w:type="spellEnd"/>
      <w:r w:rsidRPr="00307D08">
        <w:rPr>
          <w:rFonts w:asciiTheme="minorHAnsi" w:hAnsiTheme="minorHAnsi" w:cstheme="minorHAnsi"/>
          <w:color w:val="222222"/>
          <w:shd w:val="clear" w:color="auto" w:fill="FFFFFF"/>
        </w:rPr>
        <w:t>, X. and Mahajan, D., 2020. COVID-19 and gender equality: Countering the regressive effects.</w:t>
      </w:r>
    </w:p>
    <w:p w14:paraId="5A13ACA7"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proofErr w:type="spellStart"/>
      <w:r w:rsidRPr="00307D08">
        <w:rPr>
          <w:rFonts w:asciiTheme="minorHAnsi" w:hAnsiTheme="minorHAnsi" w:cstheme="minorHAnsi"/>
          <w:color w:val="222222"/>
          <w:shd w:val="clear" w:color="auto" w:fill="FFFFFF"/>
        </w:rPr>
        <w:lastRenderedPageBreak/>
        <w:t>Schönberger</w:t>
      </w:r>
      <w:proofErr w:type="spellEnd"/>
      <w:r w:rsidRPr="00307D08">
        <w:rPr>
          <w:rFonts w:asciiTheme="minorHAnsi" w:hAnsiTheme="minorHAnsi" w:cstheme="minorHAnsi"/>
          <w:color w:val="222222"/>
          <w:shd w:val="clear" w:color="auto" w:fill="FFFFFF"/>
        </w:rPr>
        <w:t>, D., 2019. Artificial intelligence in healthcare: a critical analysis of the legal and ethical implications. </w:t>
      </w:r>
      <w:r w:rsidRPr="00307D08">
        <w:rPr>
          <w:rFonts w:asciiTheme="minorHAnsi" w:hAnsiTheme="minorHAnsi" w:cstheme="minorHAnsi"/>
          <w:i/>
          <w:iCs/>
          <w:color w:val="222222"/>
          <w:shd w:val="clear" w:color="auto" w:fill="FFFFFF"/>
        </w:rPr>
        <w:t>International Journal of Law and Information Technology</w:t>
      </w:r>
      <w:r w:rsidRPr="00307D08">
        <w:rPr>
          <w:rFonts w:asciiTheme="minorHAnsi" w:hAnsiTheme="minorHAnsi" w:cstheme="minorHAnsi"/>
          <w:color w:val="222222"/>
          <w:shd w:val="clear" w:color="auto" w:fill="FFFFFF"/>
        </w:rPr>
        <w:t>, </w:t>
      </w:r>
      <w:r w:rsidRPr="00307D08">
        <w:rPr>
          <w:rFonts w:asciiTheme="minorHAnsi" w:hAnsiTheme="minorHAnsi" w:cstheme="minorHAnsi"/>
          <w:i/>
          <w:iCs/>
          <w:color w:val="222222"/>
          <w:shd w:val="clear" w:color="auto" w:fill="FFFFFF"/>
        </w:rPr>
        <w:t>27</w:t>
      </w:r>
      <w:r w:rsidRPr="00307D08">
        <w:rPr>
          <w:rFonts w:asciiTheme="minorHAnsi" w:hAnsiTheme="minorHAnsi" w:cstheme="minorHAnsi"/>
          <w:color w:val="222222"/>
          <w:shd w:val="clear" w:color="auto" w:fill="FFFFFF"/>
        </w:rPr>
        <w:t>(2), pp.171-203.</w:t>
      </w:r>
    </w:p>
    <w:p w14:paraId="29998406" w14:textId="77777777" w:rsidR="0086566B" w:rsidRPr="00307D08" w:rsidRDefault="0086566B" w:rsidP="0086566B">
      <w:pPr>
        <w:spacing w:line="360" w:lineRule="auto"/>
        <w:ind w:left="720" w:hanging="720"/>
        <w:jc w:val="both"/>
        <w:rPr>
          <w:rFonts w:asciiTheme="minorHAnsi" w:hAnsiTheme="minorHAnsi" w:cstheme="minorHAnsi"/>
        </w:rPr>
      </w:pPr>
      <w:r w:rsidRPr="00307D08">
        <w:rPr>
          <w:rFonts w:asciiTheme="minorHAnsi" w:hAnsiTheme="minorHAnsi" w:cstheme="minorHAnsi"/>
          <w:color w:val="222222"/>
          <w:shd w:val="clear" w:color="auto" w:fill="FFFFFF"/>
        </w:rPr>
        <w:t xml:space="preserve">Wakefield, M., Williams, D.R. and Le </w:t>
      </w:r>
      <w:proofErr w:type="spellStart"/>
      <w:r w:rsidRPr="00307D08">
        <w:rPr>
          <w:rFonts w:asciiTheme="minorHAnsi" w:hAnsiTheme="minorHAnsi" w:cstheme="minorHAnsi"/>
          <w:color w:val="222222"/>
          <w:shd w:val="clear" w:color="auto" w:fill="FFFFFF"/>
        </w:rPr>
        <w:t>Menestrel</w:t>
      </w:r>
      <w:proofErr w:type="spellEnd"/>
      <w:r w:rsidRPr="00307D08">
        <w:rPr>
          <w:rFonts w:asciiTheme="minorHAnsi" w:hAnsiTheme="minorHAnsi" w:cstheme="minorHAnsi"/>
          <w:color w:val="222222"/>
          <w:shd w:val="clear" w:color="auto" w:fill="FFFFFF"/>
        </w:rPr>
        <w:t>, S., 2021. </w:t>
      </w:r>
      <w:r w:rsidRPr="00307D08">
        <w:rPr>
          <w:rFonts w:asciiTheme="minorHAnsi" w:hAnsiTheme="minorHAnsi" w:cstheme="minorHAnsi"/>
          <w:i/>
          <w:iCs/>
          <w:color w:val="222222"/>
          <w:shd w:val="clear" w:color="auto" w:fill="FFFFFF"/>
        </w:rPr>
        <w:t>The future of nursing 2020-2030: Charting a path to achieve health equity</w:t>
      </w:r>
      <w:r w:rsidRPr="00307D08">
        <w:rPr>
          <w:rFonts w:asciiTheme="minorHAnsi" w:hAnsiTheme="minorHAnsi" w:cstheme="minorHAnsi"/>
          <w:color w:val="222222"/>
          <w:shd w:val="clear" w:color="auto" w:fill="FFFFFF"/>
        </w:rPr>
        <w:t>. National Academy of Sciences.</w:t>
      </w:r>
    </w:p>
    <w:p w14:paraId="016A965A" w14:textId="77777777" w:rsidR="0086566B" w:rsidRPr="00307D08" w:rsidRDefault="0086566B" w:rsidP="0086566B">
      <w:pPr>
        <w:spacing w:line="360" w:lineRule="auto"/>
        <w:ind w:left="720" w:hanging="720"/>
        <w:jc w:val="both"/>
        <w:rPr>
          <w:rFonts w:asciiTheme="minorHAnsi" w:hAnsiTheme="minorHAnsi" w:cstheme="minorHAnsi"/>
          <w:color w:val="222222"/>
          <w:shd w:val="clear" w:color="auto" w:fill="FFFFFF"/>
        </w:rPr>
      </w:pPr>
      <w:r w:rsidRPr="00307D08">
        <w:rPr>
          <w:rFonts w:asciiTheme="minorHAnsi" w:hAnsiTheme="minorHAnsi" w:cstheme="minorHAnsi"/>
          <w:color w:val="222222"/>
          <w:shd w:val="clear" w:color="auto" w:fill="FFFFFF"/>
        </w:rPr>
        <w:t>World Health Organization, 2019. Delivered by women, led by men: A gender and equity analysis of the global health and social workforce.</w:t>
      </w:r>
    </w:p>
    <w:p w14:paraId="268F5C12" w14:textId="77777777" w:rsidR="0086566B" w:rsidRPr="00307D08" w:rsidRDefault="0086566B" w:rsidP="0086566B">
      <w:pPr>
        <w:rPr>
          <w:rFonts w:asciiTheme="minorHAnsi" w:eastAsia="Arial" w:hAnsiTheme="minorHAnsi" w:cstheme="minorHAnsi"/>
          <w:b/>
        </w:rPr>
      </w:pPr>
    </w:p>
    <w:p w14:paraId="1BD20A6E" w14:textId="77777777" w:rsidR="008960A4" w:rsidRPr="00307D08" w:rsidRDefault="008960A4">
      <w:pPr>
        <w:rPr>
          <w:rFonts w:asciiTheme="minorHAnsi" w:hAnsiTheme="minorHAnsi" w:cstheme="minorHAnsi"/>
        </w:rPr>
      </w:pPr>
    </w:p>
    <w:sectPr w:rsidR="008960A4" w:rsidRPr="00307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66EEC"/>
    <w:multiLevelType w:val="hybridMultilevel"/>
    <w:tmpl w:val="332EE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7205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66B"/>
    <w:rsid w:val="00307D08"/>
    <w:rsid w:val="00601963"/>
    <w:rsid w:val="0086566B"/>
    <w:rsid w:val="008960A4"/>
    <w:rsid w:val="00A2766D"/>
    <w:rsid w:val="00C27C9B"/>
    <w:rsid w:val="00ED6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A391D2"/>
  <w15:chartTrackingRefBased/>
  <w15:docId w15:val="{E5F80307-3593-4245-9C67-B51155BB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66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6566B"/>
    <w:pPr>
      <w:keepNext/>
      <w:keepLines/>
      <w:spacing w:before="240" w:line="259" w:lineRule="auto"/>
      <w:outlineLvl w:val="0"/>
    </w:pPr>
    <w:rPr>
      <w:rFonts w:asciiTheme="majorHAnsi" w:eastAsiaTheme="majorEastAsia" w:hAnsiTheme="majorHAnsi" w:cstheme="majorBidi"/>
      <w:i/>
      <w:color w:val="2F5496" w:themeColor="accent1" w:themeShade="BF"/>
      <w:kern w:val="2"/>
      <w:sz w:val="28"/>
      <w:szCs w:val="32"/>
      <w:lang w:eastAsia="en-US"/>
      <w14:ligatures w14:val="standardContextual"/>
    </w:rPr>
  </w:style>
  <w:style w:type="paragraph" w:styleId="Heading2">
    <w:name w:val="heading 2"/>
    <w:basedOn w:val="Normal"/>
    <w:next w:val="Normal"/>
    <w:link w:val="Heading2Char"/>
    <w:uiPriority w:val="9"/>
    <w:unhideWhenUsed/>
    <w:qFormat/>
    <w:rsid w:val="0086566B"/>
    <w:pPr>
      <w:keepNext/>
      <w:keepLines/>
      <w:spacing w:before="40" w:line="259" w:lineRule="auto"/>
      <w:outlineLvl w:val="1"/>
    </w:pPr>
    <w:rPr>
      <w:rFonts w:asciiTheme="majorHAnsi" w:eastAsiaTheme="majorEastAsia" w:hAnsiTheme="majorHAnsi" w:cstheme="majorBidi"/>
      <w:b/>
      <w:color w:val="2F5496" w:themeColor="accent1" w:themeShade="BF"/>
      <w:kern w:val="2"/>
      <w:szCs w:val="26"/>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66B"/>
    <w:rPr>
      <w:rFonts w:asciiTheme="majorHAnsi" w:eastAsiaTheme="majorEastAsia" w:hAnsiTheme="majorHAnsi" w:cstheme="majorBidi"/>
      <w:i/>
      <w:color w:val="2F5496" w:themeColor="accent1" w:themeShade="BF"/>
      <w:sz w:val="28"/>
      <w:szCs w:val="32"/>
    </w:rPr>
  </w:style>
  <w:style w:type="character" w:customStyle="1" w:styleId="Heading2Char">
    <w:name w:val="Heading 2 Char"/>
    <w:basedOn w:val="DefaultParagraphFont"/>
    <w:link w:val="Heading2"/>
    <w:uiPriority w:val="9"/>
    <w:rsid w:val="0086566B"/>
    <w:rPr>
      <w:rFonts w:asciiTheme="majorHAnsi" w:eastAsiaTheme="majorEastAsia" w:hAnsiTheme="majorHAnsi" w:cstheme="majorBidi"/>
      <w:b/>
      <w:color w:val="2F5496" w:themeColor="accent1" w:themeShade="BF"/>
      <w:szCs w:val="26"/>
    </w:rPr>
  </w:style>
  <w:style w:type="paragraph" w:styleId="ListParagraph">
    <w:name w:val="List Paragraph"/>
    <w:basedOn w:val="Normal"/>
    <w:uiPriority w:val="34"/>
    <w:qFormat/>
    <w:rsid w:val="0086566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Man (2234498)</dc:creator>
  <cp:keywords/>
  <dc:description/>
  <cp:lastModifiedBy>Diana Man (2234498)</cp:lastModifiedBy>
  <cp:revision>2</cp:revision>
  <dcterms:created xsi:type="dcterms:W3CDTF">2023-07-31T20:09:00Z</dcterms:created>
  <dcterms:modified xsi:type="dcterms:W3CDTF">2023-07-31T20:36:00Z</dcterms:modified>
</cp:coreProperties>
</file>