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3166" w:rsidRDefault="003C3166">
      <w:pPr>
        <w:widowControl w:val="0"/>
        <w:pBdr>
          <w:top w:val="nil"/>
          <w:left w:val="nil"/>
          <w:bottom w:val="nil"/>
          <w:right w:val="nil"/>
          <w:between w:val="nil"/>
        </w:pBdr>
        <w:spacing w:after="0" w:line="276" w:lineRule="auto"/>
        <w:jc w:val="both"/>
        <w:rPr>
          <w:rFonts w:ascii="Arial" w:eastAsia="Arial" w:hAnsi="Arial" w:cs="Arial"/>
        </w:rPr>
      </w:pPr>
    </w:p>
    <w:p w:rsidR="003C3166" w:rsidRDefault="003C3166">
      <w:pPr>
        <w:widowControl w:val="0"/>
        <w:pBdr>
          <w:top w:val="nil"/>
          <w:left w:val="nil"/>
          <w:bottom w:val="nil"/>
          <w:right w:val="nil"/>
          <w:between w:val="nil"/>
        </w:pBdr>
        <w:spacing w:after="0" w:line="276" w:lineRule="auto"/>
        <w:jc w:val="both"/>
        <w:rPr>
          <w:rFonts w:ascii="Arial" w:eastAsia="Arial" w:hAnsi="Arial" w:cs="Arial"/>
        </w:rPr>
      </w:pPr>
    </w:p>
    <w:p w:rsidR="003C3166" w:rsidRDefault="00C857E6">
      <w:pPr>
        <w:jc w:val="center"/>
        <w:rPr>
          <w:rFonts w:ascii="Arial" w:eastAsia="Arial" w:hAnsi="Arial" w:cs="Arial"/>
        </w:rPr>
      </w:pPr>
      <w:r>
        <w:rPr>
          <w:rFonts w:ascii="Arial" w:eastAsia="Arial" w:hAnsi="Arial" w:cs="Arial"/>
          <w:noProof/>
        </w:rPr>
        <w:drawing>
          <wp:inline distT="114300" distB="114300" distL="114300" distR="114300">
            <wp:extent cx="3918712" cy="187742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3918712" cy="1877425"/>
                    </a:xfrm>
                    <a:prstGeom prst="rect">
                      <a:avLst/>
                    </a:prstGeom>
                    <a:ln/>
                  </pic:spPr>
                </pic:pic>
              </a:graphicData>
            </a:graphic>
          </wp:inline>
        </w:drawing>
      </w:r>
    </w:p>
    <w:p w:rsidR="003C3166" w:rsidRDefault="003C3166">
      <w:pPr>
        <w:widowControl w:val="0"/>
        <w:spacing w:after="0" w:line="360" w:lineRule="auto"/>
        <w:jc w:val="center"/>
        <w:rPr>
          <w:rFonts w:ascii="Arial" w:eastAsia="Arial" w:hAnsi="Arial" w:cs="Arial"/>
          <w:b/>
          <w:bCs/>
          <w:sz w:val="28"/>
          <w:szCs w:val="28"/>
        </w:rPr>
      </w:pPr>
    </w:p>
    <w:p w:rsidR="003C3166" w:rsidRDefault="003C3166">
      <w:pPr>
        <w:widowControl w:val="0"/>
        <w:spacing w:after="0" w:line="360" w:lineRule="auto"/>
        <w:rPr>
          <w:rFonts w:ascii="Arial" w:eastAsia="Arial" w:hAnsi="Arial" w:cs="Arial"/>
          <w:b/>
          <w:bCs/>
          <w:sz w:val="28"/>
          <w:szCs w:val="28"/>
        </w:rPr>
      </w:pPr>
    </w:p>
    <w:p w:rsidR="003C3166" w:rsidRDefault="00C857E6">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Programme: Master of Business Administration</w:t>
      </w:r>
    </w:p>
    <w:p w:rsidR="003C3166" w:rsidRDefault="00C857E6">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Module Name &amp; Code: International Business Concepts</w:t>
      </w:r>
      <w:r>
        <w:rPr>
          <w:rFonts w:ascii="Arial" w:eastAsia="Arial" w:hAnsi="Arial" w:cs="Arial"/>
          <w:b/>
          <w:bCs/>
          <w:sz w:val="36"/>
          <w:szCs w:val="36"/>
        </w:rPr>
        <w:t xml:space="preserve"> </w:t>
      </w:r>
      <w:r>
        <w:rPr>
          <w:rFonts w:ascii="Arial" w:eastAsia="Arial" w:hAnsi="Arial" w:cs="Arial"/>
          <w:b/>
          <w:bCs/>
          <w:sz w:val="28"/>
          <w:szCs w:val="28"/>
        </w:rPr>
        <w:t>(LCMB7034)</w:t>
      </w:r>
    </w:p>
    <w:p w:rsidR="003C3166" w:rsidRDefault="00C857E6">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Assignment Title: Report</w:t>
      </w:r>
    </w:p>
    <w:p w:rsidR="003C3166" w:rsidRDefault="00C857E6">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 xml:space="preserve">Lecturer: </w:t>
      </w:r>
      <w:r w:rsidR="004A144C" w:rsidRPr="004A144C">
        <w:rPr>
          <w:rFonts w:ascii="Arial" w:eastAsia="Arial" w:hAnsi="Arial" w:cs="Arial"/>
          <w:b/>
          <w:bCs/>
          <w:sz w:val="28"/>
          <w:szCs w:val="28"/>
        </w:rPr>
        <w:t>S Mansoob Murshed</w:t>
      </w:r>
      <w:bookmarkStart w:id="0" w:name="_GoBack"/>
      <w:bookmarkEnd w:id="0"/>
    </w:p>
    <w:p w:rsidR="003C3166" w:rsidRDefault="00C857E6">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Student Name: Mahabub Islam</w:t>
      </w:r>
    </w:p>
    <w:p w:rsidR="003C3166" w:rsidRDefault="00C857E6">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Student ID: 2407067</w:t>
      </w:r>
    </w:p>
    <w:p w:rsidR="003C3166" w:rsidRDefault="00C857E6">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Word Count: 5500</w:t>
      </w:r>
    </w:p>
    <w:p w:rsidR="003C3166" w:rsidRDefault="00C857E6">
      <w:pPr>
        <w:widowControl w:val="0"/>
        <w:spacing w:after="0" w:line="360" w:lineRule="auto"/>
        <w:jc w:val="center"/>
        <w:rPr>
          <w:rFonts w:ascii="Arial" w:eastAsia="Arial" w:hAnsi="Arial" w:cs="Arial"/>
          <w:b/>
          <w:bCs/>
          <w:sz w:val="28"/>
          <w:szCs w:val="28"/>
        </w:rPr>
      </w:pPr>
      <w:r>
        <w:rPr>
          <w:rFonts w:ascii="Arial" w:eastAsia="Arial" w:hAnsi="Arial" w:cs="Arial"/>
          <w:b/>
          <w:bCs/>
          <w:sz w:val="28"/>
          <w:szCs w:val="28"/>
        </w:rPr>
        <w:t>Submission Date:</w:t>
      </w:r>
    </w:p>
    <w:p w:rsidR="003C3166" w:rsidRDefault="003C3166">
      <w:pPr>
        <w:widowControl w:val="0"/>
        <w:spacing w:after="0" w:line="360" w:lineRule="auto"/>
        <w:jc w:val="center"/>
        <w:rPr>
          <w:rFonts w:ascii="Arial" w:eastAsia="Arial" w:hAnsi="Arial" w:cs="Arial"/>
          <w:b/>
          <w:bCs/>
          <w:sz w:val="24"/>
          <w:szCs w:val="24"/>
        </w:rPr>
      </w:pPr>
    </w:p>
    <w:p w:rsidR="003C3166" w:rsidRDefault="003C3166">
      <w:pPr>
        <w:widowControl w:val="0"/>
        <w:spacing w:after="0" w:line="360" w:lineRule="auto"/>
        <w:jc w:val="center"/>
        <w:rPr>
          <w:rFonts w:ascii="Arial" w:eastAsia="Arial" w:hAnsi="Arial" w:cs="Arial"/>
          <w:b/>
          <w:bCs/>
          <w:sz w:val="24"/>
          <w:szCs w:val="24"/>
        </w:rPr>
      </w:pPr>
    </w:p>
    <w:p w:rsidR="003C3166" w:rsidRDefault="003C3166">
      <w:pPr>
        <w:widowControl w:val="0"/>
        <w:spacing w:after="0" w:line="360" w:lineRule="auto"/>
        <w:jc w:val="center"/>
        <w:rPr>
          <w:rFonts w:ascii="Arial" w:eastAsia="Arial" w:hAnsi="Arial" w:cs="Arial"/>
          <w:b/>
          <w:bCs/>
          <w:sz w:val="28"/>
          <w:szCs w:val="28"/>
        </w:rPr>
      </w:pPr>
    </w:p>
    <w:p w:rsidR="003C3166" w:rsidRDefault="003C3166">
      <w:pPr>
        <w:widowControl w:val="0"/>
        <w:spacing w:after="0" w:line="360" w:lineRule="auto"/>
        <w:jc w:val="center"/>
        <w:rPr>
          <w:rFonts w:ascii="Arial" w:eastAsia="Arial" w:hAnsi="Arial" w:cs="Arial"/>
          <w:b/>
          <w:bCs/>
          <w:sz w:val="28"/>
          <w:szCs w:val="28"/>
        </w:rPr>
      </w:pPr>
    </w:p>
    <w:p w:rsidR="003C3166" w:rsidRDefault="003C3166">
      <w:pPr>
        <w:rPr>
          <w:rFonts w:ascii="Arial" w:eastAsia="Arial" w:hAnsi="Arial" w:cs="Arial"/>
          <w:b/>
          <w:bCs/>
        </w:rPr>
      </w:pPr>
    </w:p>
    <w:p w:rsidR="003C3166" w:rsidRDefault="003C3166">
      <w:pPr>
        <w:rPr>
          <w:rFonts w:ascii="Arial" w:eastAsia="Arial" w:hAnsi="Arial" w:cs="Arial"/>
          <w:b/>
          <w:bCs/>
        </w:rPr>
      </w:pPr>
    </w:p>
    <w:p w:rsidR="003C3166" w:rsidRDefault="003C3166">
      <w:pPr>
        <w:jc w:val="center"/>
        <w:rPr>
          <w:rFonts w:ascii="Arial" w:eastAsia="Arial" w:hAnsi="Arial" w:cs="Arial"/>
          <w:b/>
          <w:bCs/>
        </w:rPr>
      </w:pPr>
    </w:p>
    <w:p w:rsidR="003C3166" w:rsidRDefault="003C3166">
      <w:pPr>
        <w:spacing w:line="360" w:lineRule="auto"/>
        <w:jc w:val="both"/>
        <w:rPr>
          <w:rFonts w:ascii="Arial" w:eastAsia="Arial" w:hAnsi="Arial" w:cs="Arial"/>
          <w:sz w:val="24"/>
          <w:szCs w:val="24"/>
        </w:rPr>
      </w:pPr>
    </w:p>
    <w:p w:rsidR="003C3166" w:rsidRDefault="00C857E6">
      <w:pPr>
        <w:keepNext/>
        <w:keepLines/>
        <w:pBdr>
          <w:top w:val="nil"/>
          <w:left w:val="nil"/>
          <w:bottom w:val="nil"/>
          <w:right w:val="nil"/>
          <w:between w:val="nil"/>
        </w:pBdr>
        <w:spacing w:before="240" w:after="0"/>
        <w:jc w:val="center"/>
        <w:rPr>
          <w:rFonts w:ascii="Arial" w:eastAsia="Arial" w:hAnsi="Arial" w:cs="Arial"/>
          <w:color w:val="000000"/>
          <w:sz w:val="32"/>
          <w:szCs w:val="32"/>
        </w:rPr>
      </w:pPr>
      <w:r>
        <w:rPr>
          <w:rFonts w:ascii="Arial" w:eastAsia="Arial" w:hAnsi="Arial" w:cs="Arial"/>
          <w:b/>
          <w:bCs/>
          <w:color w:val="000000"/>
          <w:sz w:val="32"/>
          <w:szCs w:val="32"/>
        </w:rPr>
        <w:lastRenderedPageBreak/>
        <w:t>Contents</w:t>
      </w:r>
    </w:p>
    <w:sdt>
      <w:sdtPr>
        <w:id w:val="-1328119038"/>
        <w:docPartObj>
          <w:docPartGallery w:val="Table of Contents"/>
          <w:docPartUnique/>
        </w:docPartObj>
      </w:sdtPr>
      <w:sdtEndPr/>
      <w:sdtContent>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r>
            <w:fldChar w:fldCharType="begin"/>
          </w:r>
          <w:r>
            <w:instrText xml:space="preserve"> TOC \h \u \z \t "Heading 1,1,Heading 2,2,Heading 3,3,"</w:instrText>
          </w:r>
          <w:r>
            <w:fldChar w:fldCharType="separate"/>
          </w:r>
          <w:hyperlink w:anchor="_73c950jmr3ju">
            <w:r>
              <w:rPr>
                <w:rFonts w:ascii="Arial" w:eastAsia="Arial" w:hAnsi="Arial" w:cs="Arial"/>
                <w:color w:val="000000"/>
                <w:sz w:val="24"/>
                <w:szCs w:val="24"/>
              </w:rPr>
              <w:t>Section 1</w:t>
            </w:r>
            <w:r>
              <w:rPr>
                <w:rFonts w:ascii="Arial" w:eastAsia="Arial" w:hAnsi="Arial" w:cs="Arial"/>
                <w:color w:val="000000"/>
                <w:sz w:val="24"/>
                <w:szCs w:val="24"/>
              </w:rPr>
              <w:tab/>
              <w:t>1</w:t>
            </w:r>
          </w:hyperlink>
        </w:p>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hyperlink w:anchor="_v7knw5bcl6jt">
            <w:r>
              <w:rPr>
                <w:rFonts w:ascii="Arial" w:eastAsia="Arial" w:hAnsi="Arial" w:cs="Arial"/>
                <w:color w:val="000000"/>
                <w:sz w:val="24"/>
                <w:szCs w:val="24"/>
              </w:rPr>
              <w:t>1. Introduction</w:t>
            </w:r>
            <w:r>
              <w:rPr>
                <w:rFonts w:ascii="Arial" w:eastAsia="Arial" w:hAnsi="Arial" w:cs="Arial"/>
                <w:color w:val="000000"/>
                <w:sz w:val="24"/>
                <w:szCs w:val="24"/>
              </w:rPr>
              <w:tab/>
              <w:t>1</w:t>
            </w:r>
          </w:hyperlink>
        </w:p>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hyperlink w:anchor="_mp5co55kvgg">
            <w:r>
              <w:rPr>
                <w:rFonts w:ascii="Arial" w:eastAsia="Arial" w:hAnsi="Arial" w:cs="Arial"/>
                <w:color w:val="000000"/>
                <w:sz w:val="24"/>
                <w:szCs w:val="24"/>
              </w:rPr>
              <w:t>2. Industry and Country Overview</w:t>
            </w:r>
            <w:r>
              <w:rPr>
                <w:rFonts w:ascii="Arial" w:eastAsia="Arial" w:hAnsi="Arial" w:cs="Arial"/>
                <w:color w:val="000000"/>
                <w:sz w:val="24"/>
                <w:szCs w:val="24"/>
              </w:rPr>
              <w:tab/>
              <w:t>2</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dt7pryqb8qcp">
            <w:r>
              <w:rPr>
                <w:rFonts w:ascii="Arial" w:eastAsia="Arial" w:hAnsi="Arial" w:cs="Arial"/>
                <w:color w:val="000000"/>
                <w:sz w:val="24"/>
                <w:szCs w:val="24"/>
              </w:rPr>
              <w:t>a. Industry Context in Germany</w:t>
            </w:r>
            <w:r>
              <w:rPr>
                <w:rFonts w:ascii="Arial" w:eastAsia="Arial" w:hAnsi="Arial" w:cs="Arial"/>
                <w:color w:val="000000"/>
                <w:sz w:val="24"/>
                <w:szCs w:val="24"/>
              </w:rPr>
              <w:tab/>
              <w:t>2</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d4o7rhgm5y8p">
            <w:r>
              <w:rPr>
                <w:rFonts w:ascii="Arial" w:eastAsia="Arial" w:hAnsi="Arial" w:cs="Arial"/>
                <w:color w:val="000000"/>
                <w:sz w:val="24"/>
                <w:szCs w:val="24"/>
              </w:rPr>
              <w:t>b. Economic Importance, Size, and Scope.</w:t>
            </w:r>
            <w:r>
              <w:rPr>
                <w:rFonts w:ascii="Arial" w:eastAsia="Arial" w:hAnsi="Arial" w:cs="Arial"/>
                <w:color w:val="000000"/>
                <w:sz w:val="24"/>
                <w:szCs w:val="24"/>
              </w:rPr>
              <w:tab/>
              <w:t>3</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8af1aongw88i">
            <w:r>
              <w:rPr>
                <w:rFonts w:ascii="Arial" w:eastAsia="Arial" w:hAnsi="Arial" w:cs="Arial"/>
                <w:color w:val="000000"/>
                <w:sz w:val="24"/>
                <w:szCs w:val="24"/>
              </w:rPr>
              <w:t>c. Large local and Multinationals and Competitive Positioning.</w:t>
            </w:r>
            <w:r>
              <w:rPr>
                <w:rFonts w:ascii="Arial" w:eastAsia="Arial" w:hAnsi="Arial" w:cs="Arial"/>
                <w:color w:val="000000"/>
                <w:sz w:val="24"/>
                <w:szCs w:val="24"/>
              </w:rPr>
              <w:tab/>
              <w:t>4</w:t>
            </w:r>
          </w:hyperlink>
        </w:p>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hyperlink w:anchor="_k4lvy04s9bdc">
            <w:r>
              <w:rPr>
                <w:rFonts w:ascii="Arial" w:eastAsia="Arial" w:hAnsi="Arial" w:cs="Arial"/>
                <w:color w:val="000000"/>
                <w:sz w:val="24"/>
                <w:szCs w:val="24"/>
              </w:rPr>
              <w:t>3. Porter’s Diamond Model – National Advantage Analysis</w:t>
            </w:r>
            <w:r>
              <w:rPr>
                <w:rFonts w:ascii="Arial" w:eastAsia="Arial" w:hAnsi="Arial" w:cs="Arial"/>
                <w:color w:val="000000"/>
                <w:sz w:val="24"/>
                <w:szCs w:val="24"/>
              </w:rPr>
              <w:tab/>
              <w:t>6</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rvddum9vbgew">
            <w:r>
              <w:rPr>
                <w:rFonts w:ascii="Arial" w:eastAsia="Arial" w:hAnsi="Arial" w:cs="Arial"/>
                <w:color w:val="000000"/>
                <w:sz w:val="24"/>
                <w:szCs w:val="24"/>
              </w:rPr>
              <w:t>3.1 Factor Conditions</w:t>
            </w:r>
            <w:r>
              <w:rPr>
                <w:rFonts w:ascii="Arial" w:eastAsia="Arial" w:hAnsi="Arial" w:cs="Arial"/>
                <w:color w:val="000000"/>
                <w:sz w:val="24"/>
                <w:szCs w:val="24"/>
              </w:rPr>
              <w:tab/>
              <w:t>6</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j5u03tsdnmgf">
            <w:r>
              <w:rPr>
                <w:rFonts w:ascii="Arial" w:eastAsia="Arial" w:hAnsi="Arial" w:cs="Arial"/>
                <w:color w:val="000000"/>
                <w:sz w:val="24"/>
                <w:szCs w:val="24"/>
              </w:rPr>
              <w:t>3.2 Demand Conditions</w:t>
            </w:r>
            <w:r>
              <w:rPr>
                <w:rFonts w:ascii="Arial" w:eastAsia="Arial" w:hAnsi="Arial" w:cs="Arial"/>
                <w:color w:val="000000"/>
                <w:sz w:val="24"/>
                <w:szCs w:val="24"/>
              </w:rPr>
              <w:tab/>
              <w:t>7</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svxc3nx2x6f5">
            <w:r>
              <w:rPr>
                <w:rFonts w:ascii="Arial" w:eastAsia="Arial" w:hAnsi="Arial" w:cs="Arial"/>
                <w:color w:val="000000"/>
                <w:sz w:val="24"/>
                <w:szCs w:val="24"/>
              </w:rPr>
              <w:t>3.3 The Supporting and Relate Industries.</w:t>
            </w:r>
            <w:r>
              <w:rPr>
                <w:rFonts w:ascii="Arial" w:eastAsia="Arial" w:hAnsi="Arial" w:cs="Arial"/>
                <w:color w:val="000000"/>
                <w:sz w:val="24"/>
                <w:szCs w:val="24"/>
              </w:rPr>
              <w:tab/>
              <w:t>7</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b4q39nin5t8l">
            <w:r>
              <w:rPr>
                <w:rFonts w:ascii="Arial" w:eastAsia="Arial" w:hAnsi="Arial" w:cs="Arial"/>
                <w:color w:val="000000"/>
                <w:sz w:val="24"/>
                <w:szCs w:val="24"/>
              </w:rPr>
              <w:t>3.4 Strong Strategy, Structure, and Competition.</w:t>
            </w:r>
            <w:r>
              <w:rPr>
                <w:rFonts w:ascii="Arial" w:eastAsia="Arial" w:hAnsi="Arial" w:cs="Arial"/>
                <w:color w:val="000000"/>
                <w:sz w:val="24"/>
                <w:szCs w:val="24"/>
              </w:rPr>
              <w:tab/>
              <w:t>8</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rrerwwbulgzb">
            <w:r>
              <w:rPr>
                <w:rFonts w:ascii="Arial" w:eastAsia="Arial" w:hAnsi="Arial" w:cs="Arial"/>
                <w:color w:val="000000"/>
                <w:sz w:val="24"/>
                <w:szCs w:val="24"/>
              </w:rPr>
              <w:t>3.5 Government Role</w:t>
            </w:r>
            <w:r>
              <w:rPr>
                <w:rFonts w:ascii="Arial" w:eastAsia="Arial" w:hAnsi="Arial" w:cs="Arial"/>
                <w:color w:val="000000"/>
                <w:sz w:val="24"/>
                <w:szCs w:val="24"/>
              </w:rPr>
              <w:tab/>
              <w:t>8</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4updoancjbfg">
            <w:r>
              <w:rPr>
                <w:rFonts w:ascii="Arial" w:eastAsia="Arial" w:hAnsi="Arial" w:cs="Arial"/>
                <w:color w:val="000000"/>
                <w:sz w:val="24"/>
                <w:szCs w:val="24"/>
              </w:rPr>
              <w:t>3.6 Chance Events</w:t>
            </w:r>
            <w:r>
              <w:rPr>
                <w:rFonts w:ascii="Arial" w:eastAsia="Arial" w:hAnsi="Arial" w:cs="Arial"/>
                <w:color w:val="000000"/>
                <w:sz w:val="24"/>
                <w:szCs w:val="24"/>
              </w:rPr>
              <w:tab/>
              <w:t>8</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aupe6pgnfu4n">
            <w:r>
              <w:rPr>
                <w:rFonts w:ascii="Arial" w:eastAsia="Arial" w:hAnsi="Arial" w:cs="Arial"/>
                <w:color w:val="000000"/>
                <w:sz w:val="24"/>
                <w:szCs w:val="24"/>
              </w:rPr>
              <w:t>3.7 Global Competitive Advantage Assessment</w:t>
            </w:r>
            <w:r>
              <w:rPr>
                <w:rFonts w:ascii="Arial" w:eastAsia="Arial" w:hAnsi="Arial" w:cs="Arial"/>
                <w:color w:val="000000"/>
                <w:sz w:val="24"/>
                <w:szCs w:val="24"/>
              </w:rPr>
              <w:tab/>
              <w:t>9</w:t>
            </w:r>
          </w:hyperlink>
        </w:p>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hyperlink w:anchor="_5mks195dy3jr">
            <w:r>
              <w:rPr>
                <w:rFonts w:ascii="Arial" w:eastAsia="Arial" w:hAnsi="Arial" w:cs="Arial"/>
                <w:color w:val="000000"/>
                <w:sz w:val="24"/>
                <w:szCs w:val="24"/>
              </w:rPr>
              <w:t>4. Tesla: Evaluation of Market Success Factors</w:t>
            </w:r>
            <w:r>
              <w:rPr>
                <w:rFonts w:ascii="Arial" w:eastAsia="Arial" w:hAnsi="Arial" w:cs="Arial"/>
                <w:color w:val="000000"/>
                <w:sz w:val="24"/>
                <w:szCs w:val="24"/>
              </w:rPr>
              <w:tab/>
              <w:t>9</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4h9059gqom5">
            <w:r>
              <w:rPr>
                <w:rFonts w:ascii="Arial" w:eastAsia="Arial" w:hAnsi="Arial" w:cs="Arial"/>
                <w:color w:val="000000"/>
                <w:sz w:val="24"/>
                <w:szCs w:val="24"/>
              </w:rPr>
              <w:t>a. Company Overview</w:t>
            </w:r>
            <w:r>
              <w:rPr>
                <w:rFonts w:ascii="Arial" w:eastAsia="Arial" w:hAnsi="Arial" w:cs="Arial"/>
                <w:color w:val="000000"/>
                <w:sz w:val="24"/>
                <w:szCs w:val="24"/>
              </w:rPr>
              <w:tab/>
              <w:t>9</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kh2s0o8js7ft">
            <w:r>
              <w:rPr>
                <w:rFonts w:ascii="Arial" w:eastAsia="Arial" w:hAnsi="Arial" w:cs="Arial"/>
                <w:color w:val="000000"/>
                <w:sz w:val="24"/>
                <w:szCs w:val="24"/>
              </w:rPr>
              <w:t>b. Attractiveness analysis of the market.</w:t>
            </w:r>
            <w:r>
              <w:rPr>
                <w:rFonts w:ascii="Arial" w:eastAsia="Arial" w:hAnsi="Arial" w:cs="Arial"/>
                <w:color w:val="000000"/>
                <w:sz w:val="24"/>
                <w:szCs w:val="24"/>
              </w:rPr>
              <w:tab/>
              <w:t>10</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gnj5a9he967t">
            <w:r>
              <w:rPr>
                <w:rFonts w:ascii="Arial" w:eastAsia="Arial" w:hAnsi="Arial" w:cs="Arial"/>
                <w:color w:val="000000"/>
                <w:sz w:val="24"/>
                <w:szCs w:val="24"/>
              </w:rPr>
              <w:t>c. Tesla strategy &amp; industry competitiveness.</w:t>
            </w:r>
            <w:r>
              <w:rPr>
                <w:rFonts w:ascii="Arial" w:eastAsia="Arial" w:hAnsi="Arial" w:cs="Arial"/>
                <w:color w:val="000000"/>
                <w:sz w:val="24"/>
                <w:szCs w:val="24"/>
              </w:rPr>
              <w:tab/>
              <w:t>12</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p0szpkqajott">
            <w:r>
              <w:rPr>
                <w:rFonts w:ascii="Arial" w:eastAsia="Arial" w:hAnsi="Arial" w:cs="Arial"/>
                <w:color w:val="000000"/>
                <w:sz w:val="24"/>
                <w:szCs w:val="24"/>
              </w:rPr>
              <w:t>d. Strategic recommendations</w:t>
            </w:r>
            <w:r>
              <w:rPr>
                <w:rFonts w:ascii="Arial" w:eastAsia="Arial" w:hAnsi="Arial" w:cs="Arial"/>
                <w:color w:val="000000"/>
                <w:sz w:val="24"/>
                <w:szCs w:val="24"/>
              </w:rPr>
              <w:tab/>
              <w:t>14</w:t>
            </w:r>
          </w:hyperlink>
        </w:p>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hyperlink w:anchor="_bseyirwb22p">
            <w:r>
              <w:rPr>
                <w:rFonts w:ascii="Arial" w:eastAsia="Arial" w:hAnsi="Arial" w:cs="Arial"/>
                <w:color w:val="000000"/>
                <w:sz w:val="24"/>
                <w:szCs w:val="24"/>
              </w:rPr>
              <w:t>5. Conclusion</w:t>
            </w:r>
            <w:r>
              <w:rPr>
                <w:rFonts w:ascii="Arial" w:eastAsia="Arial" w:hAnsi="Arial" w:cs="Arial"/>
                <w:color w:val="000000"/>
                <w:sz w:val="24"/>
                <w:szCs w:val="24"/>
              </w:rPr>
              <w:tab/>
              <w:t>17</w:t>
            </w:r>
          </w:hyperlink>
        </w:p>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hyperlink w:anchor="_sio8m7ww2q62">
            <w:r>
              <w:rPr>
                <w:rFonts w:ascii="Arial" w:eastAsia="Arial" w:hAnsi="Arial" w:cs="Arial"/>
                <w:color w:val="000000"/>
                <w:sz w:val="24"/>
                <w:szCs w:val="24"/>
              </w:rPr>
              <w:t>Section 2</w:t>
            </w:r>
            <w:r>
              <w:rPr>
                <w:rFonts w:ascii="Arial" w:eastAsia="Arial" w:hAnsi="Arial" w:cs="Arial"/>
                <w:color w:val="000000"/>
                <w:sz w:val="24"/>
                <w:szCs w:val="24"/>
              </w:rPr>
              <w:tab/>
              <w:t>18</w:t>
            </w:r>
          </w:hyperlink>
        </w:p>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hyperlink w:anchor="_xup897c2hpg7">
            <w:r>
              <w:rPr>
                <w:rFonts w:ascii="Arial" w:eastAsia="Arial" w:hAnsi="Arial" w:cs="Arial"/>
                <w:color w:val="000000"/>
                <w:sz w:val="24"/>
                <w:szCs w:val="24"/>
              </w:rPr>
              <w:t>Reflective Account</w:t>
            </w:r>
            <w:r>
              <w:rPr>
                <w:rFonts w:ascii="Arial" w:eastAsia="Arial" w:hAnsi="Arial" w:cs="Arial"/>
                <w:color w:val="000000"/>
                <w:sz w:val="24"/>
                <w:szCs w:val="24"/>
              </w:rPr>
              <w:tab/>
              <w:t>18</w:t>
            </w:r>
          </w:hyperlink>
        </w:p>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hyperlink w:anchor="_akp23oqvgbs7">
            <w:r>
              <w:rPr>
                <w:rFonts w:ascii="Arial" w:eastAsia="Arial" w:hAnsi="Arial" w:cs="Arial"/>
                <w:color w:val="000000"/>
                <w:sz w:val="24"/>
                <w:szCs w:val="24"/>
              </w:rPr>
              <w:t>Use Gibbs’ Reflective Cycle:</w:t>
            </w:r>
            <w:r>
              <w:rPr>
                <w:rFonts w:ascii="Arial" w:eastAsia="Arial" w:hAnsi="Arial" w:cs="Arial"/>
                <w:color w:val="000000"/>
                <w:sz w:val="24"/>
                <w:szCs w:val="24"/>
              </w:rPr>
              <w:tab/>
              <w:t>18</w:t>
            </w:r>
          </w:hyperlink>
        </w:p>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hyperlink w:anchor="_p39fb897zxj2">
            <w:r>
              <w:rPr>
                <w:rFonts w:ascii="Arial" w:eastAsia="Arial" w:hAnsi="Arial" w:cs="Arial"/>
                <w:color w:val="000000"/>
                <w:sz w:val="24"/>
                <w:szCs w:val="24"/>
              </w:rPr>
              <w:t>1. Description</w:t>
            </w:r>
            <w:r>
              <w:rPr>
                <w:rFonts w:ascii="Arial" w:eastAsia="Arial" w:hAnsi="Arial" w:cs="Arial"/>
                <w:color w:val="000000"/>
                <w:sz w:val="24"/>
                <w:szCs w:val="24"/>
              </w:rPr>
              <w:tab/>
              <w:t>18</w:t>
            </w:r>
          </w:hyperlink>
        </w:p>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hyperlink w:anchor="_ut93bz1e636h">
            <w:r>
              <w:rPr>
                <w:rFonts w:ascii="Arial" w:eastAsia="Arial" w:hAnsi="Arial" w:cs="Arial"/>
                <w:color w:val="000000"/>
                <w:sz w:val="24"/>
                <w:szCs w:val="24"/>
              </w:rPr>
              <w:t>2. Feelings</w:t>
            </w:r>
            <w:r>
              <w:rPr>
                <w:rFonts w:ascii="Arial" w:eastAsia="Arial" w:hAnsi="Arial" w:cs="Arial"/>
                <w:color w:val="000000"/>
                <w:sz w:val="24"/>
                <w:szCs w:val="24"/>
              </w:rPr>
              <w:tab/>
              <w:t>18</w:t>
            </w:r>
          </w:hyperlink>
        </w:p>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hyperlink w:anchor="_hcljgciyjcf0">
            <w:r>
              <w:rPr>
                <w:rFonts w:ascii="Arial" w:eastAsia="Arial" w:hAnsi="Arial" w:cs="Arial"/>
                <w:color w:val="000000"/>
                <w:sz w:val="24"/>
                <w:szCs w:val="24"/>
              </w:rPr>
              <w:t>3. Evaluation</w:t>
            </w:r>
            <w:r>
              <w:rPr>
                <w:rFonts w:ascii="Arial" w:eastAsia="Arial" w:hAnsi="Arial" w:cs="Arial"/>
                <w:color w:val="000000"/>
                <w:sz w:val="24"/>
                <w:szCs w:val="24"/>
              </w:rPr>
              <w:tab/>
              <w:t>19</w:t>
            </w:r>
          </w:hyperlink>
        </w:p>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hyperlink w:anchor="_dsdujme7ptif">
            <w:r>
              <w:rPr>
                <w:rFonts w:ascii="Arial" w:eastAsia="Arial" w:hAnsi="Arial" w:cs="Arial"/>
                <w:color w:val="000000"/>
                <w:sz w:val="24"/>
                <w:szCs w:val="24"/>
              </w:rPr>
              <w:t>4. Analysis</w:t>
            </w:r>
            <w:r>
              <w:rPr>
                <w:rFonts w:ascii="Arial" w:eastAsia="Arial" w:hAnsi="Arial" w:cs="Arial"/>
                <w:color w:val="000000"/>
                <w:sz w:val="24"/>
                <w:szCs w:val="24"/>
              </w:rPr>
              <w:tab/>
              <w:t>20</w:t>
            </w:r>
          </w:hyperlink>
        </w:p>
        <w:p w:rsidR="003C3166" w:rsidRDefault="00C857E6">
          <w:pPr>
            <w:pBdr>
              <w:top w:val="nil"/>
              <w:left w:val="nil"/>
              <w:bottom w:val="nil"/>
              <w:right w:val="nil"/>
              <w:between w:val="nil"/>
            </w:pBdr>
            <w:tabs>
              <w:tab w:val="right" w:leader="dot" w:pos="9350"/>
            </w:tabs>
            <w:spacing w:after="100"/>
            <w:ind w:left="220"/>
            <w:jc w:val="both"/>
            <w:rPr>
              <w:rFonts w:ascii="Arial" w:eastAsia="Arial" w:hAnsi="Arial" w:cs="Arial"/>
              <w:color w:val="000000"/>
              <w:sz w:val="24"/>
              <w:szCs w:val="24"/>
            </w:rPr>
          </w:pPr>
          <w:hyperlink w:anchor="_bgemz6tenlil">
            <w:r>
              <w:rPr>
                <w:rFonts w:ascii="Arial" w:eastAsia="Arial" w:hAnsi="Arial" w:cs="Arial"/>
                <w:color w:val="000000"/>
                <w:sz w:val="24"/>
                <w:szCs w:val="24"/>
              </w:rPr>
              <w:t>5. Conclusion (Key Learnings)</w:t>
            </w:r>
            <w:r>
              <w:rPr>
                <w:rFonts w:ascii="Arial" w:eastAsia="Arial" w:hAnsi="Arial" w:cs="Arial"/>
                <w:color w:val="000000"/>
                <w:sz w:val="24"/>
                <w:szCs w:val="24"/>
              </w:rPr>
              <w:tab/>
              <w:t>20</w:t>
            </w:r>
          </w:hyperlink>
        </w:p>
        <w:p w:rsidR="003C3166" w:rsidRDefault="00C857E6">
          <w:pPr>
            <w:pBdr>
              <w:top w:val="nil"/>
              <w:left w:val="nil"/>
              <w:bottom w:val="nil"/>
              <w:right w:val="nil"/>
              <w:between w:val="nil"/>
            </w:pBdr>
            <w:tabs>
              <w:tab w:val="right" w:leader="dot" w:pos="9350"/>
            </w:tabs>
            <w:spacing w:after="100"/>
            <w:jc w:val="both"/>
            <w:rPr>
              <w:rFonts w:ascii="Arial" w:eastAsia="Arial" w:hAnsi="Arial" w:cs="Arial"/>
              <w:color w:val="000000"/>
              <w:sz w:val="24"/>
              <w:szCs w:val="24"/>
            </w:rPr>
          </w:pPr>
          <w:hyperlink w:anchor="_x8z63ejogdpv">
            <w:r>
              <w:rPr>
                <w:rFonts w:ascii="Arial" w:eastAsia="Arial" w:hAnsi="Arial" w:cs="Arial"/>
                <w:color w:val="000000"/>
                <w:sz w:val="24"/>
                <w:szCs w:val="24"/>
              </w:rPr>
              <w:t>6. Action Plan</w:t>
            </w:r>
            <w:r>
              <w:rPr>
                <w:rFonts w:ascii="Arial" w:eastAsia="Arial" w:hAnsi="Arial" w:cs="Arial"/>
                <w:color w:val="000000"/>
                <w:sz w:val="24"/>
                <w:szCs w:val="24"/>
              </w:rPr>
              <w:tab/>
              <w:t>21</w:t>
            </w:r>
          </w:hyperlink>
        </w:p>
        <w:p w:rsidR="003C3166" w:rsidRDefault="00C857E6">
          <w:pPr>
            <w:pBdr>
              <w:top w:val="nil"/>
              <w:left w:val="nil"/>
              <w:bottom w:val="nil"/>
              <w:right w:val="nil"/>
              <w:between w:val="nil"/>
            </w:pBdr>
            <w:tabs>
              <w:tab w:val="right" w:leader="dot" w:pos="9350"/>
            </w:tabs>
            <w:spacing w:after="100"/>
            <w:jc w:val="both"/>
            <w:rPr>
              <w:color w:val="000000"/>
            </w:rPr>
          </w:pPr>
          <w:hyperlink w:anchor="_5zzj8nmi1hle">
            <w:r>
              <w:rPr>
                <w:rFonts w:ascii="Arial" w:eastAsia="Arial" w:hAnsi="Arial" w:cs="Arial"/>
                <w:color w:val="000000"/>
                <w:sz w:val="24"/>
                <w:szCs w:val="24"/>
              </w:rPr>
              <w:t>Reference</w:t>
            </w:r>
            <w:r>
              <w:rPr>
                <w:rFonts w:ascii="Arial" w:eastAsia="Arial" w:hAnsi="Arial" w:cs="Arial"/>
                <w:color w:val="000000"/>
                <w:sz w:val="24"/>
                <w:szCs w:val="24"/>
              </w:rPr>
              <w:tab/>
              <w:t>22</w:t>
            </w:r>
          </w:hyperlink>
        </w:p>
        <w:p w:rsidR="003C3166" w:rsidRDefault="00C857E6">
          <w:pPr>
            <w:spacing w:line="360" w:lineRule="auto"/>
            <w:jc w:val="both"/>
            <w:rPr>
              <w:rFonts w:ascii="Arial" w:eastAsia="Arial" w:hAnsi="Arial" w:cs="Arial"/>
              <w:sz w:val="24"/>
              <w:szCs w:val="24"/>
            </w:rPr>
          </w:pPr>
          <w:r>
            <w:fldChar w:fldCharType="end"/>
          </w:r>
        </w:p>
      </w:sdtContent>
    </w:sdt>
    <w:p w:rsidR="003C3166" w:rsidRDefault="003C3166">
      <w:pPr>
        <w:rPr>
          <w:rFonts w:ascii="Arial" w:eastAsia="Arial" w:hAnsi="Arial" w:cs="Arial"/>
          <w:sz w:val="24"/>
          <w:szCs w:val="24"/>
        </w:rPr>
      </w:pPr>
    </w:p>
    <w:p w:rsidR="003C3166" w:rsidRDefault="00C857E6">
      <w:pPr>
        <w:jc w:val="center"/>
        <w:rPr>
          <w:rFonts w:ascii="Arial" w:eastAsia="Arial" w:hAnsi="Arial" w:cs="Arial"/>
          <w:b/>
          <w:bCs/>
          <w:sz w:val="24"/>
          <w:szCs w:val="24"/>
        </w:rPr>
      </w:pPr>
      <w:r>
        <w:rPr>
          <w:rFonts w:ascii="Arial" w:eastAsia="Arial" w:hAnsi="Arial" w:cs="Arial"/>
          <w:b/>
          <w:bCs/>
          <w:sz w:val="24"/>
          <w:szCs w:val="24"/>
        </w:rPr>
        <w:t>List of Table</w:t>
      </w:r>
    </w:p>
    <w:sdt>
      <w:sdtPr>
        <w:id w:val="362730075"/>
        <w:docPartObj>
          <w:docPartGallery w:val="Table of Contents"/>
          <w:docPartUnique/>
        </w:docPartObj>
      </w:sdtPr>
      <w:sdtEndPr/>
      <w:sdtContent>
        <w:p w:rsidR="003C3166" w:rsidRDefault="00C857E6">
          <w:pPr>
            <w:pBdr>
              <w:top w:val="nil"/>
              <w:left w:val="nil"/>
              <w:bottom w:val="nil"/>
              <w:right w:val="nil"/>
              <w:between w:val="nil"/>
            </w:pBdr>
            <w:tabs>
              <w:tab w:val="right" w:pos="9350"/>
            </w:tabs>
            <w:spacing w:after="0"/>
            <w:rPr>
              <w:color w:val="000000"/>
            </w:rPr>
          </w:pPr>
          <w:r>
            <w:fldChar w:fldCharType="begin"/>
          </w:r>
          <w:r>
            <w:instrText xml:space="preserve"> TOC \h \u \z \t "Heading 1,1,Heading 2,2,Heading 3,3,Heading 4,4,Heading 5,5,Heading 6,6,"</w:instrText>
          </w:r>
          <w:r>
            <w:fldChar w:fldCharType="separate"/>
          </w:r>
          <w:hyperlink w:anchor="_cm3wcflghj1b">
            <w:r>
              <w:rPr>
                <w:rFonts w:ascii="Arial" w:eastAsia="Arial" w:hAnsi="Arial" w:cs="Arial"/>
                <w:color w:val="000000"/>
              </w:rPr>
              <w:t>Table 1: Top German manufacturers and market segments</w:t>
            </w:r>
          </w:hyperlink>
          <w:hyperlink w:anchor="_cm3wcflghj1b">
            <w:r>
              <w:rPr>
                <w:color w:val="000000"/>
              </w:rPr>
              <w:tab/>
              <w:t>2</w:t>
            </w:r>
          </w:hyperlink>
        </w:p>
        <w:p w:rsidR="003C3166" w:rsidRDefault="00C857E6">
          <w:pPr>
            <w:pBdr>
              <w:top w:val="nil"/>
              <w:left w:val="nil"/>
              <w:bottom w:val="nil"/>
              <w:right w:val="nil"/>
              <w:between w:val="nil"/>
            </w:pBdr>
            <w:tabs>
              <w:tab w:val="right" w:pos="9350"/>
            </w:tabs>
            <w:spacing w:after="0"/>
            <w:rPr>
              <w:color w:val="000000"/>
            </w:rPr>
          </w:pPr>
          <w:hyperlink w:anchor="_hzjafjr0qctn">
            <w:r>
              <w:rPr>
                <w:rFonts w:ascii="Arial" w:eastAsia="Arial" w:hAnsi="Arial" w:cs="Arial"/>
                <w:color w:val="000000"/>
              </w:rPr>
              <w:t>Table 2: Supporting industries and contribution</w:t>
            </w:r>
          </w:hyperlink>
          <w:hyperlink w:anchor="_hzjafjr0qctn">
            <w:r>
              <w:rPr>
                <w:color w:val="000000"/>
              </w:rPr>
              <w:tab/>
              <w:t>6</w:t>
            </w:r>
          </w:hyperlink>
        </w:p>
        <w:p w:rsidR="003C3166" w:rsidRDefault="00C857E6">
          <w:pPr>
            <w:pBdr>
              <w:top w:val="nil"/>
              <w:left w:val="nil"/>
              <w:bottom w:val="nil"/>
              <w:right w:val="nil"/>
              <w:between w:val="nil"/>
            </w:pBdr>
            <w:tabs>
              <w:tab w:val="right" w:pos="9350"/>
            </w:tabs>
            <w:spacing w:after="0"/>
            <w:rPr>
              <w:color w:val="000000"/>
            </w:rPr>
          </w:pPr>
          <w:hyperlink w:anchor="_p18t0n75df5n">
            <w:r>
              <w:rPr>
                <w:rFonts w:ascii="Arial" w:eastAsia="Arial" w:hAnsi="Arial" w:cs="Arial"/>
                <w:b/>
                <w:bCs/>
                <w:color w:val="000000"/>
              </w:rPr>
              <w:t>Table 3: Tesla product range &amp; German production capacity</w:t>
            </w:r>
          </w:hyperlink>
          <w:hyperlink w:anchor="_p18t0n75df5n">
            <w:r>
              <w:rPr>
                <w:color w:val="000000"/>
              </w:rPr>
              <w:tab/>
              <w:t>9</w:t>
            </w:r>
          </w:hyperlink>
        </w:p>
        <w:p w:rsidR="003C3166" w:rsidRDefault="00C857E6">
          <w:pPr>
            <w:rPr>
              <w:rFonts w:ascii="Arial" w:eastAsia="Arial" w:hAnsi="Arial" w:cs="Arial"/>
              <w:sz w:val="24"/>
              <w:szCs w:val="24"/>
            </w:rPr>
          </w:pPr>
          <w:r>
            <w:fldChar w:fldCharType="end"/>
          </w:r>
        </w:p>
      </w:sdtContent>
    </w:sdt>
    <w:p w:rsidR="003C3166" w:rsidRDefault="00C857E6">
      <w:pPr>
        <w:jc w:val="center"/>
        <w:rPr>
          <w:rFonts w:ascii="Arial" w:eastAsia="Arial" w:hAnsi="Arial" w:cs="Arial"/>
          <w:b/>
          <w:bCs/>
          <w:sz w:val="24"/>
          <w:szCs w:val="24"/>
        </w:rPr>
      </w:pPr>
      <w:bookmarkStart w:id="1" w:name="_v6uwsieplph6" w:colFirst="0" w:colLast="0"/>
      <w:bookmarkEnd w:id="1"/>
      <w:r>
        <w:rPr>
          <w:rFonts w:ascii="Arial" w:eastAsia="Arial" w:hAnsi="Arial" w:cs="Arial"/>
          <w:b/>
          <w:bCs/>
          <w:sz w:val="24"/>
          <w:szCs w:val="24"/>
        </w:rPr>
        <w:t>List of Figure</w:t>
      </w:r>
    </w:p>
    <w:p w:rsidR="003C3166" w:rsidRDefault="003C3166">
      <w:pPr>
        <w:rPr>
          <w:rFonts w:ascii="Arial" w:eastAsia="Arial" w:hAnsi="Arial" w:cs="Arial"/>
          <w:sz w:val="24"/>
          <w:szCs w:val="24"/>
        </w:rPr>
      </w:pPr>
    </w:p>
    <w:sdt>
      <w:sdtPr>
        <w:id w:val="-2062307329"/>
        <w:docPartObj>
          <w:docPartGallery w:val="Table of Contents"/>
          <w:docPartUnique/>
        </w:docPartObj>
      </w:sdtPr>
      <w:sdtEndPr/>
      <w:sdtContent>
        <w:p w:rsidR="003C3166" w:rsidRDefault="00C857E6">
          <w:pPr>
            <w:pBdr>
              <w:top w:val="nil"/>
              <w:left w:val="nil"/>
              <w:bottom w:val="nil"/>
              <w:right w:val="nil"/>
              <w:between w:val="nil"/>
            </w:pBdr>
            <w:tabs>
              <w:tab w:val="right" w:pos="9350"/>
            </w:tabs>
            <w:spacing w:after="0"/>
            <w:rPr>
              <w:color w:val="000000"/>
            </w:rPr>
          </w:pPr>
          <w:r>
            <w:fldChar w:fldCharType="begin"/>
          </w:r>
          <w:r>
            <w:instrText xml:space="preserve"> TOC \h \u \z \t "Heading 1,1,Heading 2,2,Heading 3,3,Heading 4,4,Heading 5,5,Heading 6,6,"</w:instrText>
          </w:r>
          <w:r>
            <w:fldChar w:fldCharType="separate"/>
          </w:r>
          <w:hyperlink w:anchor="_e4zs35gmg40w">
            <w:r>
              <w:rPr>
                <w:rFonts w:ascii="Arial" w:eastAsia="Arial" w:hAnsi="Arial" w:cs="Arial"/>
                <w:color w:val="000000"/>
              </w:rPr>
              <w:t>Figure 1: German Automotive Ecosystem</w:t>
            </w:r>
          </w:hyperlink>
          <w:hyperlink w:anchor="_e4zs35gmg40w">
            <w:r>
              <w:rPr>
                <w:color w:val="000000"/>
              </w:rPr>
              <w:tab/>
              <w:t>2</w:t>
            </w:r>
          </w:hyperlink>
        </w:p>
        <w:p w:rsidR="003C3166" w:rsidRDefault="00C857E6">
          <w:pPr>
            <w:pBdr>
              <w:top w:val="nil"/>
              <w:left w:val="nil"/>
              <w:bottom w:val="nil"/>
              <w:right w:val="nil"/>
              <w:between w:val="nil"/>
            </w:pBdr>
            <w:tabs>
              <w:tab w:val="right" w:pos="9350"/>
            </w:tabs>
            <w:spacing w:after="0"/>
            <w:rPr>
              <w:color w:val="000000"/>
            </w:rPr>
          </w:pPr>
          <w:hyperlink w:anchor="_94fig5xlagg7">
            <w:r>
              <w:rPr>
                <w:rFonts w:ascii="Arial" w:eastAsia="Arial" w:hAnsi="Arial" w:cs="Arial"/>
                <w:color w:val="000000"/>
              </w:rPr>
              <w:t>Figure 2: Vehicle production vs exports (2022–2025)</w:t>
            </w:r>
          </w:hyperlink>
          <w:hyperlink w:anchor="_94fig5xlagg7">
            <w:r>
              <w:rPr>
                <w:color w:val="000000"/>
              </w:rPr>
              <w:tab/>
              <w:t>3</w:t>
            </w:r>
          </w:hyperlink>
        </w:p>
        <w:p w:rsidR="003C3166" w:rsidRDefault="00C857E6">
          <w:pPr>
            <w:pBdr>
              <w:top w:val="nil"/>
              <w:left w:val="nil"/>
              <w:bottom w:val="nil"/>
              <w:right w:val="nil"/>
              <w:between w:val="nil"/>
            </w:pBdr>
            <w:tabs>
              <w:tab w:val="right" w:pos="9350"/>
            </w:tabs>
            <w:spacing w:after="0"/>
            <w:rPr>
              <w:color w:val="000000"/>
            </w:rPr>
          </w:pPr>
          <w:hyperlink w:anchor="_so30n9liel9v">
            <w:r>
              <w:rPr>
                <w:rFonts w:ascii="Arial" w:eastAsia="Arial" w:hAnsi="Arial" w:cs="Arial"/>
                <w:color w:val="000000"/>
              </w:rPr>
              <w:t>Figure 3: Market s</w:t>
            </w:r>
            <w:r>
              <w:rPr>
                <w:rFonts w:ascii="Arial" w:eastAsia="Arial" w:hAnsi="Arial" w:cs="Arial"/>
                <w:color w:val="000000"/>
              </w:rPr>
              <w:t>hare in Germany 2025 (domestic vs foreign OEMs)</w:t>
            </w:r>
          </w:hyperlink>
          <w:hyperlink w:anchor="_so30n9liel9v">
            <w:r>
              <w:rPr>
                <w:color w:val="000000"/>
              </w:rPr>
              <w:tab/>
              <w:t>5</w:t>
            </w:r>
          </w:hyperlink>
        </w:p>
        <w:p w:rsidR="003C3166" w:rsidRDefault="00C857E6">
          <w:pPr>
            <w:pBdr>
              <w:top w:val="nil"/>
              <w:left w:val="nil"/>
              <w:bottom w:val="nil"/>
              <w:right w:val="nil"/>
              <w:between w:val="nil"/>
            </w:pBdr>
            <w:tabs>
              <w:tab w:val="right" w:pos="9350"/>
            </w:tabs>
            <w:spacing w:after="0"/>
            <w:rPr>
              <w:color w:val="000000"/>
            </w:rPr>
          </w:pPr>
          <w:hyperlink w:anchor="_yajaxn54my17">
            <w:r>
              <w:rPr>
                <w:rFonts w:ascii="Arial" w:eastAsia="Arial" w:hAnsi="Arial" w:cs="Arial"/>
                <w:b/>
                <w:bCs/>
                <w:color w:val="000000"/>
              </w:rPr>
              <w:t>Figure 4-Tesla Gigafactory Berlin aerial view</w:t>
            </w:r>
          </w:hyperlink>
          <w:hyperlink w:anchor="_yajaxn54my17">
            <w:r>
              <w:rPr>
                <w:color w:val="000000"/>
              </w:rPr>
              <w:tab/>
              <w:t>10</w:t>
            </w:r>
          </w:hyperlink>
          <w:r>
            <w:fldChar w:fldCharType="end"/>
          </w:r>
        </w:p>
      </w:sdtContent>
    </w:sdt>
    <w:p w:rsidR="003C3166" w:rsidRDefault="00C857E6">
      <w:pPr>
        <w:pStyle w:val="Heading1"/>
        <w:jc w:val="center"/>
        <w:rPr>
          <w:sz w:val="36"/>
          <w:szCs w:val="36"/>
        </w:rPr>
      </w:pPr>
      <w:bookmarkStart w:id="2" w:name="_73c950jmr3ju" w:colFirst="0" w:colLast="0"/>
      <w:bookmarkEnd w:id="2"/>
      <w:r>
        <w:t>Section 1</w:t>
      </w:r>
    </w:p>
    <w:p w:rsidR="003C3166" w:rsidRDefault="00C857E6">
      <w:pPr>
        <w:pStyle w:val="Heading1"/>
      </w:pPr>
      <w:bookmarkStart w:id="3" w:name="_v7knw5bcl6jt" w:colFirst="0" w:colLast="0"/>
      <w:bookmarkEnd w:id="3"/>
      <w:r>
        <w:t xml:space="preserve">1. Introduction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Germany is one of the strongest industrial economies in the world which is marked by high standards of manufacturing production, high levels of technological and international exporting (VDA). Its automotive sector is the pillar of the country economic per</w:t>
      </w:r>
      <w:r>
        <w:rPr>
          <w:rFonts w:ascii="Arial" w:eastAsia="Arial" w:hAnsi="Arial" w:cs="Arial"/>
          <w:sz w:val="24"/>
          <w:szCs w:val="24"/>
        </w:rPr>
        <w:t>formance with approximately 5- percent of GDP and a significant income, job and export opportunities (Wifitalents 2026; VDA). The automotive industry of Germany is known worldwide in terms of innovation, quality engineering, and switching to the electrific</w:t>
      </w:r>
      <w:r>
        <w:rPr>
          <w:rFonts w:ascii="Arial" w:eastAsia="Arial" w:hAnsi="Arial" w:cs="Arial"/>
          <w:sz w:val="24"/>
          <w:szCs w:val="24"/>
        </w:rPr>
        <w:t>ation and new mobility technologies, and it is a leading automotive manufacturer in Europe and globally (VDA; GTAI). In this competitive world, Tesla, Inc. has tried to find its way to establish a strategic presence with the most significant being the erec</w:t>
      </w:r>
      <w:r>
        <w:rPr>
          <w:rFonts w:ascii="Arial" w:eastAsia="Arial" w:hAnsi="Arial" w:cs="Arial"/>
          <w:sz w:val="24"/>
          <w:szCs w:val="24"/>
        </w:rPr>
        <w:t>tion of its Gig factory in Grunheide near Berlin (Reuters, 2025). This report evaluates the competitiveness of the automotive sector in Germany with the help of the Porters Diamond and assesses the political, economic, legal and cultural environment in whi</w:t>
      </w:r>
      <w:r>
        <w:rPr>
          <w:rFonts w:ascii="Arial" w:eastAsia="Arial" w:hAnsi="Arial" w:cs="Arial"/>
          <w:sz w:val="24"/>
          <w:szCs w:val="24"/>
        </w:rPr>
        <w:t>ch Tesla operates and can operate in the German market.</w:t>
      </w:r>
    </w:p>
    <w:p w:rsidR="003C3166" w:rsidRDefault="003C3166">
      <w:pPr>
        <w:spacing w:line="360" w:lineRule="auto"/>
        <w:jc w:val="both"/>
        <w:rPr>
          <w:rFonts w:ascii="Arial" w:eastAsia="Arial" w:hAnsi="Arial" w:cs="Arial"/>
          <w:sz w:val="24"/>
          <w:szCs w:val="24"/>
        </w:rPr>
      </w:pPr>
    </w:p>
    <w:p w:rsidR="003C3166" w:rsidRDefault="003C3166">
      <w:pPr>
        <w:spacing w:line="360" w:lineRule="auto"/>
        <w:jc w:val="both"/>
        <w:rPr>
          <w:rFonts w:ascii="Arial" w:eastAsia="Arial" w:hAnsi="Arial" w:cs="Arial"/>
          <w:sz w:val="24"/>
          <w:szCs w:val="24"/>
        </w:rPr>
      </w:pPr>
    </w:p>
    <w:p w:rsidR="003C3166" w:rsidRDefault="003C3166">
      <w:pPr>
        <w:spacing w:line="360" w:lineRule="auto"/>
        <w:jc w:val="both"/>
        <w:rPr>
          <w:rFonts w:ascii="Arial" w:eastAsia="Arial" w:hAnsi="Arial" w:cs="Arial"/>
          <w:sz w:val="24"/>
          <w:szCs w:val="24"/>
        </w:rPr>
      </w:pPr>
    </w:p>
    <w:p w:rsidR="003C3166" w:rsidRDefault="003C3166">
      <w:pPr>
        <w:spacing w:line="360" w:lineRule="auto"/>
        <w:jc w:val="both"/>
        <w:rPr>
          <w:rFonts w:ascii="Arial" w:eastAsia="Arial" w:hAnsi="Arial" w:cs="Arial"/>
          <w:sz w:val="24"/>
          <w:szCs w:val="24"/>
        </w:rPr>
      </w:pPr>
    </w:p>
    <w:p w:rsidR="003C3166" w:rsidRDefault="003C3166">
      <w:pPr>
        <w:spacing w:line="360" w:lineRule="auto"/>
        <w:jc w:val="both"/>
        <w:rPr>
          <w:rFonts w:ascii="Arial" w:eastAsia="Arial" w:hAnsi="Arial" w:cs="Arial"/>
          <w:sz w:val="24"/>
          <w:szCs w:val="24"/>
        </w:rPr>
      </w:pPr>
    </w:p>
    <w:p w:rsidR="003C3166" w:rsidRDefault="003C3166">
      <w:pPr>
        <w:spacing w:line="360" w:lineRule="auto"/>
        <w:jc w:val="both"/>
        <w:rPr>
          <w:rFonts w:ascii="Arial" w:eastAsia="Arial" w:hAnsi="Arial" w:cs="Arial"/>
          <w:sz w:val="24"/>
          <w:szCs w:val="24"/>
        </w:rPr>
      </w:pPr>
    </w:p>
    <w:p w:rsidR="003C3166" w:rsidRDefault="003C3166">
      <w:pPr>
        <w:spacing w:line="360" w:lineRule="auto"/>
        <w:jc w:val="both"/>
        <w:rPr>
          <w:rFonts w:ascii="Arial" w:eastAsia="Arial" w:hAnsi="Arial" w:cs="Arial"/>
          <w:sz w:val="24"/>
          <w:szCs w:val="24"/>
        </w:rPr>
      </w:pPr>
    </w:p>
    <w:p w:rsidR="003C3166" w:rsidRDefault="003C3166">
      <w:pPr>
        <w:spacing w:line="360" w:lineRule="auto"/>
        <w:jc w:val="both"/>
        <w:rPr>
          <w:rFonts w:ascii="Arial" w:eastAsia="Arial" w:hAnsi="Arial" w:cs="Arial"/>
          <w:sz w:val="24"/>
          <w:szCs w:val="24"/>
        </w:rPr>
      </w:pPr>
    </w:p>
    <w:p w:rsidR="003C3166" w:rsidRDefault="003C3166">
      <w:pPr>
        <w:spacing w:line="360" w:lineRule="auto"/>
        <w:jc w:val="both"/>
        <w:rPr>
          <w:rFonts w:ascii="Arial" w:eastAsia="Arial" w:hAnsi="Arial" w:cs="Arial"/>
          <w:sz w:val="24"/>
          <w:szCs w:val="24"/>
        </w:rPr>
      </w:pPr>
    </w:p>
    <w:p w:rsidR="003C3166" w:rsidRDefault="00C857E6">
      <w:pPr>
        <w:pStyle w:val="Heading1"/>
      </w:pPr>
      <w:bookmarkStart w:id="4" w:name="_mp5co55kvgg" w:colFirst="0" w:colLast="0"/>
      <w:bookmarkEnd w:id="4"/>
      <w:r>
        <w:t xml:space="preserve">2. Industry and Country Overview </w:t>
      </w:r>
    </w:p>
    <w:p w:rsidR="003C3166" w:rsidRDefault="00C857E6">
      <w:pPr>
        <w:pStyle w:val="Heading2"/>
      </w:pPr>
      <w:bookmarkStart w:id="5" w:name="_dt7pryqb8qcp" w:colFirst="0" w:colLast="0"/>
      <w:bookmarkEnd w:id="5"/>
      <w:r>
        <w:t>a. Industry Context in Germany</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The automotive industry of Germany is regarded as one of the most important and time-honored spheres of the economy of the country. Germany is the largest market in Europe and one of the most powerful manufacturers of cars in the world, which is why it is </w:t>
      </w:r>
      <w:r>
        <w:rPr>
          <w:rFonts w:ascii="Arial" w:eastAsia="Arial" w:hAnsi="Arial" w:cs="Arial"/>
          <w:sz w:val="24"/>
          <w:szCs w:val="24"/>
        </w:rPr>
        <w:t xml:space="preserve">a combination of developed engineering, a well-developed industrial community, and a high rate of technological competence (Wifitalents 2026; BigNewsNetwork). The industry comprises passenger auto, commercial vehicles, and a growing significant segment of </w:t>
      </w:r>
      <w:r>
        <w:rPr>
          <w:rFonts w:ascii="Arial" w:eastAsia="Arial" w:hAnsi="Arial" w:cs="Arial"/>
          <w:sz w:val="24"/>
          <w:szCs w:val="24"/>
        </w:rPr>
        <w:t>electric vehicle (EV) vehicles. German automotive companies have been linked continuously to high quality, performance engineering, and safety and efficiency innovations (Wifitalents 2026).</w:t>
      </w:r>
    </w:p>
    <w:p w:rsidR="003C3166" w:rsidRDefault="00C857E6">
      <w:pPr>
        <w:keepNext/>
        <w:spacing w:line="360" w:lineRule="auto"/>
        <w:jc w:val="center"/>
      </w:pPr>
      <w:r>
        <w:rPr>
          <w:rFonts w:ascii="Arial" w:eastAsia="Arial" w:hAnsi="Arial" w:cs="Arial"/>
          <w:noProof/>
          <w:sz w:val="24"/>
          <w:szCs w:val="24"/>
        </w:rPr>
        <w:drawing>
          <wp:inline distT="0" distB="0" distL="0" distR="0">
            <wp:extent cx="2676525" cy="26765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676525" cy="2676525"/>
                    </a:xfrm>
                    <a:prstGeom prst="rect">
                      <a:avLst/>
                    </a:prstGeom>
                    <a:ln/>
                  </pic:spPr>
                </pic:pic>
              </a:graphicData>
            </a:graphic>
          </wp:inline>
        </w:drawing>
      </w:r>
    </w:p>
    <w:p w:rsidR="003C3166" w:rsidRDefault="00C857E6">
      <w:pPr>
        <w:pBdr>
          <w:top w:val="nil"/>
          <w:left w:val="nil"/>
          <w:bottom w:val="nil"/>
          <w:right w:val="nil"/>
          <w:between w:val="nil"/>
        </w:pBdr>
        <w:spacing w:after="200" w:line="240" w:lineRule="auto"/>
        <w:jc w:val="center"/>
        <w:rPr>
          <w:rFonts w:ascii="Arial" w:eastAsia="Arial" w:hAnsi="Arial" w:cs="Arial"/>
          <w:i/>
          <w:iCs/>
          <w:color w:val="44546A"/>
          <w:sz w:val="28"/>
          <w:szCs w:val="28"/>
        </w:rPr>
      </w:pPr>
      <w:bookmarkStart w:id="6" w:name="_e4zs35gmg40w" w:colFirst="0" w:colLast="0"/>
      <w:bookmarkEnd w:id="6"/>
      <w:r>
        <w:rPr>
          <w:rFonts w:ascii="Arial" w:eastAsia="Arial" w:hAnsi="Arial" w:cs="Arial"/>
          <w:i/>
          <w:iCs/>
          <w:color w:val="44546A"/>
          <w:sz w:val="20"/>
          <w:szCs w:val="20"/>
        </w:rPr>
        <w:t>Figure 1: German Automotive Ecosystem</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lastRenderedPageBreak/>
        <w:t>The automotive industry in</w:t>
      </w:r>
      <w:r>
        <w:rPr>
          <w:rFonts w:ascii="Arial" w:eastAsia="Arial" w:hAnsi="Arial" w:cs="Arial"/>
          <w:sz w:val="24"/>
          <w:szCs w:val="24"/>
        </w:rPr>
        <w:t xml:space="preserve"> Germany has widespread backward integrations with suppliers, software developers and parts manufacturers in addition to manufacturing, which consolidates its key position in the industrial unit of Germany. (BigNewsNetwork).</w:t>
      </w:r>
    </w:p>
    <w:p w:rsidR="003C3166" w:rsidRDefault="00C857E6">
      <w:pPr>
        <w:keepNext/>
        <w:pBdr>
          <w:top w:val="nil"/>
          <w:left w:val="nil"/>
          <w:bottom w:val="nil"/>
          <w:right w:val="nil"/>
          <w:between w:val="nil"/>
        </w:pBdr>
        <w:spacing w:after="200" w:line="240" w:lineRule="auto"/>
        <w:rPr>
          <w:rFonts w:ascii="Arial" w:eastAsia="Arial" w:hAnsi="Arial" w:cs="Arial"/>
          <w:i/>
          <w:iCs/>
          <w:color w:val="44546A"/>
          <w:sz w:val="20"/>
          <w:szCs w:val="20"/>
        </w:rPr>
      </w:pPr>
      <w:bookmarkStart w:id="7" w:name="_cm3wcflghj1b" w:colFirst="0" w:colLast="0"/>
      <w:bookmarkEnd w:id="7"/>
      <w:r>
        <w:rPr>
          <w:rFonts w:ascii="Arial" w:eastAsia="Arial" w:hAnsi="Arial" w:cs="Arial"/>
          <w:i/>
          <w:iCs/>
          <w:color w:val="44546A"/>
          <w:sz w:val="20"/>
          <w:szCs w:val="20"/>
        </w:rPr>
        <w:t>Table 1: Top German manufacture</w:t>
      </w:r>
      <w:r>
        <w:rPr>
          <w:rFonts w:ascii="Arial" w:eastAsia="Arial" w:hAnsi="Arial" w:cs="Arial"/>
          <w:i/>
          <w:iCs/>
          <w:color w:val="44546A"/>
          <w:sz w:val="20"/>
          <w:szCs w:val="20"/>
        </w:rPr>
        <w:t>rs and market segments</w:t>
      </w:r>
    </w:p>
    <w:tbl>
      <w:tblPr>
        <w:tblStyle w:val="a"/>
        <w:tblW w:w="935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2337"/>
        <w:gridCol w:w="2338"/>
        <w:gridCol w:w="2338"/>
      </w:tblGrid>
      <w:tr w:rsidR="003C3166">
        <w:tc>
          <w:tcPr>
            <w:tcW w:w="2337"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Company</w:t>
            </w:r>
          </w:p>
        </w:tc>
        <w:tc>
          <w:tcPr>
            <w:tcW w:w="2337"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Market Segment</w:t>
            </w:r>
          </w:p>
        </w:tc>
        <w:tc>
          <w:tcPr>
            <w:tcW w:w="2338"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Key Models</w:t>
            </w:r>
          </w:p>
        </w:tc>
        <w:tc>
          <w:tcPr>
            <w:tcW w:w="2338"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EV Focus</w:t>
            </w:r>
          </w:p>
        </w:tc>
      </w:tr>
      <w:tr w:rsidR="003C3166">
        <w:tc>
          <w:tcPr>
            <w:tcW w:w="2337"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Volkswagen</w:t>
            </w:r>
          </w:p>
        </w:tc>
        <w:tc>
          <w:tcPr>
            <w:tcW w:w="2337"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Mass-market</w:t>
            </w:r>
          </w:p>
        </w:tc>
        <w:tc>
          <w:tcPr>
            <w:tcW w:w="2338"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Golf, Passat</w:t>
            </w:r>
          </w:p>
        </w:tc>
        <w:tc>
          <w:tcPr>
            <w:tcW w:w="2338"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ID. series</w:t>
            </w:r>
          </w:p>
        </w:tc>
      </w:tr>
      <w:tr w:rsidR="003C3166">
        <w:tc>
          <w:tcPr>
            <w:tcW w:w="2337"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BMW</w:t>
            </w:r>
          </w:p>
        </w:tc>
        <w:tc>
          <w:tcPr>
            <w:tcW w:w="2337"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Premium</w:t>
            </w:r>
          </w:p>
        </w:tc>
        <w:tc>
          <w:tcPr>
            <w:tcW w:w="2338"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3 Series, X5</w:t>
            </w:r>
          </w:p>
        </w:tc>
        <w:tc>
          <w:tcPr>
            <w:tcW w:w="2338"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iX, i4</w:t>
            </w:r>
          </w:p>
        </w:tc>
      </w:tr>
      <w:tr w:rsidR="003C3166">
        <w:tc>
          <w:tcPr>
            <w:tcW w:w="2337"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Mercedes-Benz</w:t>
            </w:r>
          </w:p>
        </w:tc>
        <w:tc>
          <w:tcPr>
            <w:tcW w:w="2337"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Luxury</w:t>
            </w:r>
          </w:p>
        </w:tc>
        <w:tc>
          <w:tcPr>
            <w:tcW w:w="2338"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S-Class, GLE</w:t>
            </w:r>
          </w:p>
        </w:tc>
        <w:tc>
          <w:tcPr>
            <w:tcW w:w="2338" w:type="dxa"/>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EQS, EQC</w:t>
            </w:r>
          </w:p>
        </w:tc>
      </w:tr>
    </w:tbl>
    <w:p w:rsidR="003C3166" w:rsidRDefault="00C857E6">
      <w:pPr>
        <w:pStyle w:val="Heading2"/>
      </w:pPr>
      <w:bookmarkStart w:id="8" w:name="_d4o7rhgm5y8p" w:colFirst="0" w:colLast="0"/>
      <w:bookmarkEnd w:id="8"/>
      <w:r>
        <w:t>b. Economic Importance, Size, and Scope.</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The economic relevance of the German automotive industry is indicated by the sheer size of the industry. Germany is an export-oriented country, with 3.17 million passenger cars manufactured in the country in 2025 and 4.15 million of them being exported to </w:t>
      </w:r>
      <w:r>
        <w:rPr>
          <w:rFonts w:ascii="Arial" w:eastAsia="Arial" w:hAnsi="Arial" w:cs="Arial"/>
          <w:sz w:val="24"/>
          <w:szCs w:val="24"/>
        </w:rPr>
        <w:t>other countries across the world (BigNewsNetwork). The sector adds an average of 5 per cent of the national GDP and it sustains hundreds of thousands of direct and indirect employment opportunities. It is estimated that more than 700,000 individuals are di</w:t>
      </w:r>
      <w:r>
        <w:rPr>
          <w:rFonts w:ascii="Arial" w:eastAsia="Arial" w:hAnsi="Arial" w:cs="Arial"/>
          <w:sz w:val="24"/>
          <w:szCs w:val="24"/>
        </w:rPr>
        <w:t>rectly employed in the auto manufacturing sector and a few hundred thousand more in the supplier organizations, and others whose service industries rely on the auto industry (BigNewsNetwork).</w:t>
      </w:r>
    </w:p>
    <w:p w:rsidR="003C3166" w:rsidRDefault="00C857E6">
      <w:pPr>
        <w:keepNext/>
        <w:spacing w:line="360" w:lineRule="auto"/>
        <w:jc w:val="center"/>
      </w:pPr>
      <w:r>
        <w:rPr>
          <w:rFonts w:ascii="Arial" w:eastAsia="Arial" w:hAnsi="Arial" w:cs="Arial"/>
          <w:noProof/>
          <w:sz w:val="24"/>
          <w:szCs w:val="24"/>
        </w:rPr>
        <w:lastRenderedPageBreak/>
        <w:drawing>
          <wp:inline distT="0" distB="0" distL="0" distR="0">
            <wp:extent cx="5486400" cy="32004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486400" cy="3200400"/>
                    </a:xfrm>
                    <a:prstGeom prst="rect">
                      <a:avLst/>
                    </a:prstGeom>
                    <a:ln/>
                  </pic:spPr>
                </pic:pic>
              </a:graphicData>
            </a:graphic>
          </wp:inline>
        </w:drawing>
      </w:r>
    </w:p>
    <w:p w:rsidR="003C3166" w:rsidRDefault="00C857E6">
      <w:pPr>
        <w:pBdr>
          <w:top w:val="nil"/>
          <w:left w:val="nil"/>
          <w:bottom w:val="nil"/>
          <w:right w:val="nil"/>
          <w:between w:val="nil"/>
        </w:pBdr>
        <w:spacing w:after="200" w:line="240" w:lineRule="auto"/>
        <w:jc w:val="center"/>
        <w:rPr>
          <w:rFonts w:ascii="Arial" w:eastAsia="Arial" w:hAnsi="Arial" w:cs="Arial"/>
          <w:i/>
          <w:iCs/>
          <w:color w:val="44546A"/>
          <w:sz w:val="28"/>
          <w:szCs w:val="28"/>
        </w:rPr>
      </w:pPr>
      <w:bookmarkStart w:id="9" w:name="_94fig5xlagg7" w:colFirst="0" w:colLast="0"/>
      <w:bookmarkEnd w:id="9"/>
      <w:r>
        <w:rPr>
          <w:rFonts w:ascii="Arial" w:eastAsia="Arial" w:hAnsi="Arial" w:cs="Arial"/>
          <w:i/>
          <w:iCs/>
          <w:color w:val="44546A"/>
          <w:sz w:val="20"/>
          <w:szCs w:val="20"/>
        </w:rPr>
        <w:t>Figure 2: Vehicle production vs exports (2022–2025)</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level of turnover in the automotive industry is also high; the total industry revenue has recently reached over €564 billion, and many major part of the turnover is a result of exports where approximately 76 percent of the total turnover comes as a res</w:t>
      </w:r>
      <w:r>
        <w:rPr>
          <w:rFonts w:ascii="Arial" w:eastAsia="Arial" w:hAnsi="Arial" w:cs="Arial"/>
          <w:sz w:val="24"/>
          <w:szCs w:val="24"/>
        </w:rPr>
        <w:t>ult of exports (Wifitalents 2026). In spite of the recent obstacles in export markets including China where the German car exports to China decreased by approximately third in 2025, the significance of foreign markets is vivid, particularly in the United S</w:t>
      </w:r>
      <w:r>
        <w:rPr>
          <w:rFonts w:ascii="Arial" w:eastAsia="Arial" w:hAnsi="Arial" w:cs="Arial"/>
          <w:sz w:val="24"/>
          <w:szCs w:val="24"/>
        </w:rPr>
        <w:t xml:space="preserve">tates and the European Union (Reuters 2026). </w:t>
      </w:r>
    </w:p>
    <w:p w:rsidR="003C3166" w:rsidRDefault="00C857E6">
      <w:pPr>
        <w:pStyle w:val="Heading2"/>
      </w:pPr>
      <w:bookmarkStart w:id="10" w:name="_8af1aongw88i" w:colFirst="0" w:colLast="0"/>
      <w:bookmarkEnd w:id="10"/>
      <w:r>
        <w:t>c. Large local and Multinationals and Competitive Positioning.</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Combined with the rivalry by competing companies globally, Germany has an automotive sector that is typified by a combination of strong local origi</w:t>
      </w:r>
      <w:r>
        <w:rPr>
          <w:rFonts w:ascii="Arial" w:eastAsia="Arial" w:hAnsi="Arial" w:cs="Arial"/>
          <w:sz w:val="24"/>
          <w:szCs w:val="24"/>
        </w:rPr>
        <w:t>nal equipment manufacturers (OEMs). The main players within the local markets are the Volkswagen Group, BMW Group and Mercedes-Benz Group, which enjoy a good image all over the world and offer a wide range of products including economy cars to luxury high-</w:t>
      </w:r>
      <w:r>
        <w:rPr>
          <w:rFonts w:ascii="Arial" w:eastAsia="Arial" w:hAnsi="Arial" w:cs="Arial"/>
          <w:sz w:val="24"/>
          <w:szCs w:val="24"/>
        </w:rPr>
        <w:t>end vehicles.</w:t>
      </w:r>
    </w:p>
    <w:p w:rsidR="003C3166" w:rsidRDefault="00C857E6">
      <w:pPr>
        <w:spacing w:line="360" w:lineRule="auto"/>
        <w:jc w:val="center"/>
        <w:rPr>
          <w:rFonts w:ascii="Arial" w:eastAsia="Arial" w:hAnsi="Arial" w:cs="Arial"/>
          <w:sz w:val="24"/>
          <w:szCs w:val="24"/>
        </w:rPr>
      </w:pPr>
      <w:r>
        <w:rPr>
          <w:rFonts w:ascii="Arial" w:eastAsia="Arial" w:hAnsi="Arial" w:cs="Arial"/>
          <w:noProof/>
          <w:sz w:val="24"/>
          <w:szCs w:val="24"/>
        </w:rPr>
        <w:lastRenderedPageBreak/>
        <w:drawing>
          <wp:inline distT="0" distB="0" distL="0" distR="0">
            <wp:extent cx="2152650" cy="14351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152650" cy="1435100"/>
                    </a:xfrm>
                    <a:prstGeom prst="rect">
                      <a:avLst/>
                    </a:prstGeom>
                    <a:ln/>
                  </pic:spPr>
                </pic:pic>
              </a:graphicData>
            </a:graphic>
          </wp:inline>
        </w:drawing>
      </w:r>
    </w:p>
    <w:p w:rsidR="003C3166" w:rsidRDefault="00C857E6">
      <w:pPr>
        <w:numPr>
          <w:ilvl w:val="0"/>
          <w:numId w:val="1"/>
        </w:numPr>
        <w:pBdr>
          <w:top w:val="nil"/>
          <w:left w:val="nil"/>
          <w:bottom w:val="nil"/>
          <w:right w:val="nil"/>
          <w:between w:val="nil"/>
        </w:pBdr>
        <w:spacing w:after="0" w:line="360" w:lineRule="auto"/>
        <w:jc w:val="both"/>
        <w:rPr>
          <w:color w:val="000000"/>
          <w:sz w:val="24"/>
          <w:szCs w:val="24"/>
        </w:rPr>
      </w:pPr>
      <w:r>
        <w:rPr>
          <w:rFonts w:ascii="Arial" w:eastAsia="Arial" w:hAnsi="Arial" w:cs="Arial"/>
          <w:b/>
          <w:bCs/>
          <w:color w:val="000000"/>
          <w:sz w:val="24"/>
          <w:szCs w:val="24"/>
        </w:rPr>
        <w:t>The Volkswagen Group</w:t>
      </w:r>
      <w:r>
        <w:rPr>
          <w:rFonts w:ascii="Arial" w:eastAsia="Arial" w:hAnsi="Arial" w:cs="Arial"/>
          <w:color w:val="000000"/>
          <w:sz w:val="24"/>
          <w:szCs w:val="24"/>
        </w:rPr>
        <w:t xml:space="preserve"> is the most developed automotive group in Germany and among the biggest in the world. Wolfgang and 2025Wolfgang was the domestic market leader, with approximately 1920 of new car registrations in Germany, which is far a</w:t>
      </w:r>
      <w:r>
        <w:rPr>
          <w:rFonts w:ascii="Arial" w:eastAsia="Arial" w:hAnsi="Arial" w:cs="Arial"/>
          <w:color w:val="000000"/>
          <w:sz w:val="24"/>
          <w:szCs w:val="24"/>
        </w:rPr>
        <w:t>head of other brands (MarkLines 2025; Stefan Bratzel LinkedIn). The Group includes several brands like Volkswagen, Audi, Skoda, Porsche, and therefore, the company can compete in the market segment that ranges between mainstream and premium.(Reddit 2026).</w:t>
      </w:r>
    </w:p>
    <w:p w:rsidR="003C3166" w:rsidRDefault="00C857E6">
      <w:pPr>
        <w:numPr>
          <w:ilvl w:val="0"/>
          <w:numId w:val="1"/>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Another important German competitor is BMW Group that focuses first of all on the premium market and has multiple choices between combustion, hybrid, and electric models. BMW is also demonstrating its improvement both in the ICE and the EV segments and has</w:t>
      </w:r>
      <w:r>
        <w:rPr>
          <w:rFonts w:ascii="Arial" w:eastAsia="Arial" w:hAnsi="Arial" w:cs="Arial"/>
          <w:color w:val="000000"/>
          <w:sz w:val="24"/>
          <w:szCs w:val="24"/>
        </w:rPr>
        <w:t xml:space="preserve"> experienced significant growth of BEV sales over the past several years (EVBoosters 2025).</w:t>
      </w:r>
    </w:p>
    <w:p w:rsidR="003C3166" w:rsidRDefault="00C857E6">
      <w:pPr>
        <w:numPr>
          <w:ilvl w:val="0"/>
          <w:numId w:val="1"/>
        </w:numPr>
        <w:pBdr>
          <w:top w:val="nil"/>
          <w:left w:val="nil"/>
          <w:bottom w:val="nil"/>
          <w:right w:val="nil"/>
          <w:between w:val="nil"/>
        </w:pBdr>
        <w:spacing w:line="360" w:lineRule="auto"/>
        <w:jc w:val="both"/>
        <w:rPr>
          <w:color w:val="000000"/>
          <w:sz w:val="24"/>
          <w:szCs w:val="24"/>
        </w:rPr>
      </w:pPr>
      <w:r>
        <w:rPr>
          <w:rFonts w:ascii="Arial" w:eastAsia="Arial" w:hAnsi="Arial" w:cs="Arial"/>
          <w:color w:val="000000"/>
          <w:sz w:val="24"/>
          <w:szCs w:val="24"/>
        </w:rPr>
        <w:t>Mercedes Benz group is also placed in the luxury market characterized by luxury sedans as well as SUVs. Nonetheless, there is also certain recent information that Mercedes-Benz showed some drops in electric vehicle ratios in relation to its competitors, wh</w:t>
      </w:r>
      <w:r>
        <w:rPr>
          <w:rFonts w:ascii="Arial" w:eastAsia="Arial" w:hAnsi="Arial" w:cs="Arial"/>
          <w:color w:val="000000"/>
          <w:sz w:val="24"/>
          <w:szCs w:val="24"/>
        </w:rPr>
        <w:t>ich is associated with the competition factors and the strategic issues of rapid EV uptake (EVBoosters 2025).</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These localized manufacturers enjoy good engineering skills, vast supply chains, and inbuilt research and development, which will help them to be </w:t>
      </w:r>
      <w:r>
        <w:rPr>
          <w:rFonts w:ascii="Arial" w:eastAsia="Arial" w:hAnsi="Arial" w:cs="Arial"/>
          <w:sz w:val="24"/>
          <w:szCs w:val="24"/>
        </w:rPr>
        <w:t>competitive in the long run. The premium brands produced in Germany enjoy a large portion of the luxury car market in the world and this fact strengthens their global prestige (ZipDo). Conversely, mainstream imports as well as foreign manufacturers of cars</w:t>
      </w:r>
      <w:r>
        <w:rPr>
          <w:rFonts w:ascii="Arial" w:eastAsia="Arial" w:hAnsi="Arial" w:cs="Arial"/>
          <w:sz w:val="24"/>
          <w:szCs w:val="24"/>
        </w:rPr>
        <w:t xml:space="preserve"> are not as successful in Germany:</w:t>
      </w:r>
    </w:p>
    <w:p w:rsidR="003C3166" w:rsidRDefault="00C857E6">
      <w:pPr>
        <w:keepNext/>
        <w:spacing w:line="360" w:lineRule="auto"/>
        <w:jc w:val="center"/>
      </w:pPr>
      <w:r>
        <w:rPr>
          <w:rFonts w:ascii="Arial" w:eastAsia="Arial" w:hAnsi="Arial" w:cs="Arial"/>
          <w:noProof/>
          <w:sz w:val="24"/>
          <w:szCs w:val="24"/>
        </w:rPr>
        <w:lastRenderedPageBreak/>
        <w:drawing>
          <wp:inline distT="0" distB="0" distL="0" distR="0">
            <wp:extent cx="5486400" cy="32004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486400" cy="3200400"/>
                    </a:xfrm>
                    <a:prstGeom prst="rect">
                      <a:avLst/>
                    </a:prstGeom>
                    <a:ln/>
                  </pic:spPr>
                </pic:pic>
              </a:graphicData>
            </a:graphic>
          </wp:inline>
        </w:drawing>
      </w:r>
    </w:p>
    <w:p w:rsidR="003C3166" w:rsidRDefault="00C857E6">
      <w:pPr>
        <w:pBdr>
          <w:top w:val="nil"/>
          <w:left w:val="nil"/>
          <w:bottom w:val="nil"/>
          <w:right w:val="nil"/>
          <w:between w:val="nil"/>
        </w:pBdr>
        <w:spacing w:after="200" w:line="240" w:lineRule="auto"/>
        <w:jc w:val="center"/>
        <w:rPr>
          <w:rFonts w:ascii="Arial" w:eastAsia="Arial" w:hAnsi="Arial" w:cs="Arial"/>
          <w:i/>
          <w:iCs/>
          <w:color w:val="44546A"/>
          <w:sz w:val="28"/>
          <w:szCs w:val="28"/>
        </w:rPr>
      </w:pPr>
      <w:bookmarkStart w:id="11" w:name="_so30n9liel9v" w:colFirst="0" w:colLast="0"/>
      <w:bookmarkEnd w:id="11"/>
      <w:r>
        <w:rPr>
          <w:rFonts w:ascii="Arial" w:eastAsia="Arial" w:hAnsi="Arial" w:cs="Arial"/>
          <w:i/>
          <w:iCs/>
          <w:color w:val="44546A"/>
          <w:sz w:val="20"/>
          <w:szCs w:val="20"/>
        </w:rPr>
        <w:t>Figure 3: Market share in Germany 2025 (domestic vs foreign OEMs)</w:t>
      </w:r>
    </w:p>
    <w:p w:rsidR="003C3166" w:rsidRDefault="003C3166">
      <w:pPr>
        <w:spacing w:line="360" w:lineRule="auto"/>
        <w:jc w:val="both"/>
        <w:rPr>
          <w:rFonts w:ascii="Arial" w:eastAsia="Arial" w:hAnsi="Arial" w:cs="Arial"/>
          <w:sz w:val="24"/>
          <w:szCs w:val="24"/>
        </w:rPr>
      </w:pPr>
    </w:p>
    <w:p w:rsidR="003C3166" w:rsidRDefault="00C857E6">
      <w:pPr>
        <w:numPr>
          <w:ilvl w:val="0"/>
          <w:numId w:val="2"/>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Tesla, Inc. (USA) ventured into German market as a result of its European expansion particularly with its Gigafactory Berlin-brandenburg that was intend</w:t>
      </w:r>
      <w:r>
        <w:rPr>
          <w:rFonts w:ascii="Arial" w:eastAsia="Arial" w:hAnsi="Arial" w:cs="Arial"/>
          <w:color w:val="000000"/>
          <w:sz w:val="24"/>
          <w:szCs w:val="24"/>
        </w:rPr>
        <w:t>ed to serve the local and export market. Although Tesla was the first to attract the market, recent registration data indicate that Tesla has recorded large decreases in its new car sales in Germany and a sharp decrease in market share in 2025 (MarkLines 2</w:t>
      </w:r>
      <w:r>
        <w:rPr>
          <w:rFonts w:ascii="Arial" w:eastAsia="Arial" w:hAnsi="Arial" w:cs="Arial"/>
          <w:color w:val="000000"/>
          <w:sz w:val="24"/>
          <w:szCs w:val="24"/>
        </w:rPr>
        <w:t xml:space="preserve">025). </w:t>
      </w:r>
    </w:p>
    <w:p w:rsidR="003C3166" w:rsidRDefault="00C857E6">
      <w:pPr>
        <w:numPr>
          <w:ilvl w:val="0"/>
          <w:numId w:val="2"/>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 xml:space="preserve">The Toyota Motor Corporation (Japan), as well as the other Asian producers like Hyundai and Kia are involved in the German market, primarily hybrid cars and traditional cars. Toyota is a formidable competitor globally, not only in profitability and </w:t>
      </w:r>
      <w:r>
        <w:rPr>
          <w:rFonts w:ascii="Arial" w:eastAsia="Arial" w:hAnsi="Arial" w:cs="Arial"/>
          <w:color w:val="000000"/>
          <w:sz w:val="24"/>
          <w:szCs w:val="24"/>
        </w:rPr>
        <w:t>volume, which it does better than many European companies as an international actor (ElPais 2025), but also in Germany it is a niche player relative to homegrown giants.</w:t>
      </w:r>
    </w:p>
    <w:p w:rsidR="003C3166" w:rsidRDefault="00C857E6">
      <w:pPr>
        <w:numPr>
          <w:ilvl w:val="0"/>
          <w:numId w:val="2"/>
        </w:numPr>
        <w:pBdr>
          <w:top w:val="nil"/>
          <w:left w:val="nil"/>
          <w:bottom w:val="nil"/>
          <w:right w:val="nil"/>
          <w:between w:val="nil"/>
        </w:pBdr>
        <w:spacing w:line="360" w:lineRule="auto"/>
        <w:jc w:val="both"/>
        <w:rPr>
          <w:color w:val="000000"/>
          <w:sz w:val="24"/>
          <w:szCs w:val="24"/>
        </w:rPr>
      </w:pPr>
      <w:r>
        <w:rPr>
          <w:rFonts w:ascii="Arial" w:eastAsia="Arial" w:hAnsi="Arial" w:cs="Arial"/>
          <w:color w:val="000000"/>
          <w:sz w:val="24"/>
          <w:szCs w:val="24"/>
        </w:rPr>
        <w:t xml:space="preserve">The Chinese OEMs like BYD and Peng have quickly expanded their market share in the German new-car environment, especially in the EV market. Chinese brands </w:t>
      </w:r>
      <w:r>
        <w:rPr>
          <w:rFonts w:ascii="Arial" w:eastAsia="Arial" w:hAnsi="Arial" w:cs="Arial"/>
          <w:color w:val="000000"/>
          <w:sz w:val="24"/>
          <w:szCs w:val="24"/>
        </w:rPr>
        <w:lastRenderedPageBreak/>
        <w:t>registered on a dramatic year on year basis in 2025, which underscored increasing competition (MarkLi</w:t>
      </w:r>
      <w:r>
        <w:rPr>
          <w:rFonts w:ascii="Arial" w:eastAsia="Arial" w:hAnsi="Arial" w:cs="Arial"/>
          <w:color w:val="000000"/>
          <w:sz w:val="24"/>
          <w:szCs w:val="24"/>
        </w:rPr>
        <w:t xml:space="preserve">nes 2025).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To conclude, the German automotive industry is a very dynamic and economically supporting industry with strong local OEMs that have international reach and are challenged by the growing international competition of the foreign EV manufacturers.</w:t>
      </w:r>
    </w:p>
    <w:p w:rsidR="003C3166" w:rsidRDefault="00C857E6">
      <w:pPr>
        <w:pStyle w:val="Heading1"/>
      </w:pPr>
      <w:bookmarkStart w:id="12" w:name="_k4lvy04s9bdc" w:colFirst="0" w:colLast="0"/>
      <w:bookmarkEnd w:id="12"/>
      <w:r>
        <w:t xml:space="preserve">3. Porter’s Diamond Model – National Advantage Analysis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automotive industry of Germany is commonly mentioned as a bright example of national competitive advantage and the Diamond Model developed by Michael Porter gives a systematic approach to compre</w:t>
      </w:r>
      <w:r>
        <w:rPr>
          <w:rFonts w:ascii="Arial" w:eastAsia="Arial" w:hAnsi="Arial" w:cs="Arial"/>
          <w:sz w:val="24"/>
          <w:szCs w:val="24"/>
        </w:rPr>
        <w:t xml:space="preserve">hend the global leadership. </w:t>
      </w:r>
    </w:p>
    <w:p w:rsidR="003C3166" w:rsidRDefault="00C857E6">
      <w:pPr>
        <w:keepNext/>
        <w:pBdr>
          <w:top w:val="nil"/>
          <w:left w:val="nil"/>
          <w:bottom w:val="nil"/>
          <w:right w:val="nil"/>
          <w:between w:val="nil"/>
        </w:pBdr>
        <w:spacing w:after="200" w:line="240" w:lineRule="auto"/>
        <w:rPr>
          <w:rFonts w:ascii="Arial" w:eastAsia="Arial" w:hAnsi="Arial" w:cs="Arial"/>
          <w:i/>
          <w:iCs/>
          <w:color w:val="44546A"/>
          <w:sz w:val="20"/>
          <w:szCs w:val="20"/>
        </w:rPr>
      </w:pPr>
      <w:bookmarkStart w:id="13" w:name="_hzjafjr0qctn" w:colFirst="0" w:colLast="0"/>
      <w:bookmarkEnd w:id="13"/>
      <w:r>
        <w:rPr>
          <w:rFonts w:ascii="Arial" w:eastAsia="Arial" w:hAnsi="Arial" w:cs="Arial"/>
          <w:i/>
          <w:iCs/>
          <w:color w:val="44546A"/>
          <w:sz w:val="20"/>
          <w:szCs w:val="20"/>
        </w:rPr>
        <w:t>Table 2: Supporting industries and contribution</w:t>
      </w:r>
    </w:p>
    <w:tbl>
      <w:tblPr>
        <w:tblStyle w:val="a0"/>
        <w:tblW w:w="935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3C3166">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Industry</w:t>
            </w:r>
          </w:p>
        </w:tc>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Contribution</w:t>
            </w:r>
          </w:p>
        </w:tc>
      </w:tr>
      <w:tr w:rsidR="003C3166">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Battery manufacturing</w:t>
            </w:r>
          </w:p>
        </w:tc>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Supplies EV batteries</w:t>
            </w:r>
          </w:p>
        </w:tc>
      </w:tr>
      <w:tr w:rsidR="003C3166">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Software development</w:t>
            </w:r>
          </w:p>
        </w:tc>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Autonomous &amp; connected vehicle tech</w:t>
            </w:r>
          </w:p>
        </w:tc>
      </w:tr>
      <w:tr w:rsidR="003C3166">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Charging infrastructure</w:t>
            </w:r>
          </w:p>
        </w:tc>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Supports EV adoption</w:t>
            </w:r>
          </w:p>
        </w:tc>
      </w:tr>
      <w:tr w:rsidR="003C3166">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Parts suppliers</w:t>
            </w:r>
          </w:p>
        </w:tc>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Enhances manufacturing efficiency</w:t>
            </w:r>
          </w:p>
        </w:tc>
      </w:tr>
    </w:tbl>
    <w:p w:rsidR="003C3166" w:rsidRDefault="00C857E6">
      <w:pPr>
        <w:pStyle w:val="Heading2"/>
      </w:pPr>
      <w:bookmarkStart w:id="14" w:name="_rvddum9vbgew" w:colFirst="0" w:colLast="0"/>
      <w:bookmarkEnd w:id="14"/>
      <w:r>
        <w:t>3.1 Factor Conditions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Germany enjoys the advantages of high factor conditions, which are the basis of the automotive superiority. It has a very talented workforce especially in the field of engineering, me</w:t>
      </w:r>
      <w:r>
        <w:rPr>
          <w:rFonts w:ascii="Arial" w:eastAsia="Arial" w:hAnsi="Arial" w:cs="Arial"/>
          <w:sz w:val="24"/>
          <w:szCs w:val="24"/>
        </w:rPr>
        <w:t>chanical design and software integration. Graduates of universities and technical schools, including the Technical University of Munich and RWTH Aachen, have high competence in mechanical and electrical engineering, which promotes the innovation of both cl</w:t>
      </w:r>
      <w:r>
        <w:rPr>
          <w:rFonts w:ascii="Arial" w:eastAsia="Arial" w:hAnsi="Arial" w:cs="Arial"/>
          <w:sz w:val="24"/>
          <w:szCs w:val="24"/>
        </w:rPr>
        <w:t xml:space="preserve">assic internal combustion engines and electric vehicles (EVs) and automated technologies (Wifitalents 2026).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Another important factor is infrastructure. Germany has good road networks, high speed rail and well developed logistics that facilitate domestic </w:t>
      </w:r>
      <w:r>
        <w:rPr>
          <w:rFonts w:ascii="Arial" w:eastAsia="Arial" w:hAnsi="Arial" w:cs="Arial"/>
          <w:sz w:val="24"/>
          <w:szCs w:val="24"/>
        </w:rPr>
        <w:t>distribution as well as export activities. Secondly, Germany has the most advanced production premises, including the Wolfsburg plant belonging to Volkswagen or the Gigafactory Berlin-Brandenburg belonging to Tesla, where high-quality production can take p</w:t>
      </w:r>
      <w:r>
        <w:rPr>
          <w:rFonts w:ascii="Arial" w:eastAsia="Arial" w:hAnsi="Arial" w:cs="Arial"/>
          <w:sz w:val="24"/>
          <w:szCs w:val="24"/>
        </w:rPr>
        <w:t>lace alongside the connection of supply chains. (EVBoosters 2025).</w:t>
      </w:r>
    </w:p>
    <w:p w:rsidR="003C3166" w:rsidRDefault="00C857E6">
      <w:pPr>
        <w:pStyle w:val="Heading2"/>
      </w:pPr>
      <w:bookmarkStart w:id="15" w:name="_j5u03tsdnmgf" w:colFirst="0" w:colLast="0"/>
      <w:bookmarkEnd w:id="15"/>
      <w:r>
        <w:t>3.2 Demand Conditions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automotive industry in Germany is greatly affected by domestic demand. German consumers are very advanced in their tastes and they place their trust in quality, pe</w:t>
      </w:r>
      <w:r>
        <w:rPr>
          <w:rFonts w:ascii="Arial" w:eastAsia="Arial" w:hAnsi="Arial" w:cs="Arial"/>
          <w:sz w:val="24"/>
          <w:szCs w:val="24"/>
        </w:rPr>
        <w:t>rformance, safety, and innovations. The outcome of this is high expectations of cars, and specifically in the high-end market where cars such as the BMW, Mercedes-Benz, and Audi compete. Electric and hybrid vehicles have also taken over German consumers wh</w:t>
      </w:r>
      <w:r>
        <w:rPr>
          <w:rFonts w:ascii="Arial" w:eastAsia="Arial" w:hAnsi="Arial" w:cs="Arial"/>
          <w:sz w:val="24"/>
          <w:szCs w:val="24"/>
        </w:rPr>
        <w:t>o registered approximately 30 percent electric vehicles in 2025 (Welt 2026).</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This high requirement domestic market forces the firms to innovate tirelessly, with the resultant vehicles being of high quality and in many cases leading the markets of the world</w:t>
      </w:r>
      <w:r>
        <w:rPr>
          <w:rFonts w:ascii="Arial" w:eastAsia="Arial" w:hAnsi="Arial" w:cs="Arial"/>
          <w:sz w:val="24"/>
          <w:szCs w:val="24"/>
        </w:rPr>
        <w:t>. The need to integrate technology, fuel efficiency, and sustainability by domestic customers is forcing manufacturers to focus on innovation and come up with products which are competitive on the international front. (Reuters 2026).</w:t>
      </w:r>
    </w:p>
    <w:p w:rsidR="003C3166" w:rsidRDefault="00C857E6">
      <w:pPr>
        <w:pStyle w:val="Heading2"/>
      </w:pPr>
      <w:bookmarkStart w:id="16" w:name="_svxc3nx2x6f5" w:colFirst="0" w:colLast="0"/>
      <w:bookmarkEnd w:id="16"/>
      <w:r>
        <w:t>3.3 The Supporting and</w:t>
      </w:r>
      <w:r>
        <w:t xml:space="preserve"> Relate Industries.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automotive industry in Germany has had the advantage of having very large chain of related and supporting industries which is a core element of Porters diamond. The automotive components, electronic, software and battery technology are very advanced su</w:t>
      </w:r>
      <w:r>
        <w:rPr>
          <w:rFonts w:ascii="Arial" w:eastAsia="Arial" w:hAnsi="Arial" w:cs="Arial"/>
          <w:sz w:val="24"/>
          <w:szCs w:val="24"/>
        </w:rPr>
        <w:t>ppliers that make them easy to innovate and produce efficiently.</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There is an increasing electric mobility ecosystem in the country, and battery manufacturers, software developers and charging infrastructure firms are working closely with auto manufacturers</w:t>
      </w:r>
      <w:r>
        <w:rPr>
          <w:rFonts w:ascii="Arial" w:eastAsia="Arial" w:hAnsi="Arial" w:cs="Arial"/>
          <w:sz w:val="24"/>
          <w:szCs w:val="24"/>
        </w:rPr>
        <w:t>. This synergy lowers the lead times, cost, and experimentation with new technologies. The location of suppliers and technology encourage co-innovation, which assists German car manufacturers to be competitive in the market both in traditional and EV segme</w:t>
      </w:r>
      <w:r>
        <w:rPr>
          <w:rFonts w:ascii="Arial" w:eastAsia="Arial" w:hAnsi="Arial" w:cs="Arial"/>
          <w:sz w:val="24"/>
          <w:szCs w:val="24"/>
        </w:rPr>
        <w:t>nts worldwide (ZipDo 2025).</w:t>
      </w:r>
    </w:p>
    <w:p w:rsidR="003C3166" w:rsidRDefault="00C857E6">
      <w:pPr>
        <w:pStyle w:val="Heading2"/>
      </w:pPr>
      <w:bookmarkStart w:id="17" w:name="_b4q39nin5t8l" w:colFirst="0" w:colLast="0"/>
      <w:bookmarkEnd w:id="17"/>
      <w:r>
        <w:t>3.4 Strong Strategy, Structure, and Competition.</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Germany has a strong domestic competition especially between Volkswagen, BMW and Mercedes-Benz. This competition promotes inventiveness and efficiencies as every company struggles</w:t>
      </w:r>
      <w:r>
        <w:rPr>
          <w:rFonts w:ascii="Arial" w:eastAsia="Arial" w:hAnsi="Arial" w:cs="Arial"/>
          <w:sz w:val="24"/>
          <w:szCs w:val="24"/>
        </w:rPr>
        <w:t xml:space="preserve"> to excel over the other in terms of design, quality and technology integration. In terms of strategic differentiation, it is possible to note that Volkswagen is oriented to wide product, mass-market electrification, BMW concentrates on high-end performanc</w:t>
      </w:r>
      <w:r>
        <w:rPr>
          <w:rFonts w:ascii="Arial" w:eastAsia="Arial" w:hAnsi="Arial" w:cs="Arial"/>
          <w:sz w:val="24"/>
          <w:szCs w:val="24"/>
        </w:rPr>
        <w:t>e and user experience, and Mercedes-Benz is focused on luxury and technological leadership.</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efficiency of the firms is also promoted by their structure. German manufacturers have vertical integration, particularly of key components (like engine, high t</w:t>
      </w:r>
      <w:r>
        <w:rPr>
          <w:rFonts w:ascii="Arial" w:eastAsia="Arial" w:hAnsi="Arial" w:cs="Arial"/>
          <w:sz w:val="24"/>
          <w:szCs w:val="24"/>
        </w:rPr>
        <w:t xml:space="preserve">echnology electronics) and cooperate with specialized suppliers in other areas. </w:t>
      </w:r>
    </w:p>
    <w:p w:rsidR="003C3166" w:rsidRDefault="00C857E6">
      <w:pPr>
        <w:pStyle w:val="Heading2"/>
      </w:pPr>
      <w:bookmarkStart w:id="18" w:name="_rrerwwbulgzb" w:colFirst="0" w:colLast="0"/>
      <w:bookmarkEnd w:id="18"/>
      <w:r>
        <w:t>3.5 Government Role</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The government policies in Germany are very instrumental in creating the automotive advantage. The CO 2 emission restrictions encourage the use of EVs and </w:t>
      </w:r>
      <w:r>
        <w:rPr>
          <w:rFonts w:ascii="Arial" w:eastAsia="Arial" w:hAnsi="Arial" w:cs="Arial"/>
          <w:sz w:val="24"/>
          <w:szCs w:val="24"/>
        </w:rPr>
        <w:t>low-emission technologies through the implementation of environmental regulations. Innovation is also promoted by the government by granting R&amp;D and subsidizing the manufacture of electric vehicles, technology of batteries, and artificial intelligence rese</w:t>
      </w:r>
      <w:r>
        <w:rPr>
          <w:rFonts w:ascii="Arial" w:eastAsia="Arial" w:hAnsi="Arial" w:cs="Arial"/>
          <w:sz w:val="24"/>
          <w:szCs w:val="24"/>
        </w:rPr>
        <w:t xml:space="preserve">arch on vehicles. The industry is further empowered in terms of competitiveness through trade policies, infrastructure development and vocational training programs, which guarantee availability of skilled labour and technological preparedness (Wifitalents </w:t>
      </w:r>
      <w:r>
        <w:rPr>
          <w:rFonts w:ascii="Arial" w:eastAsia="Arial" w:hAnsi="Arial" w:cs="Arial"/>
          <w:sz w:val="24"/>
          <w:szCs w:val="24"/>
        </w:rPr>
        <w:t>2026).</w:t>
      </w:r>
    </w:p>
    <w:p w:rsidR="003C3166" w:rsidRDefault="00C857E6">
      <w:pPr>
        <w:pStyle w:val="Heading2"/>
      </w:pPr>
      <w:bookmarkStart w:id="19" w:name="_4updoancjbfg" w:colFirst="0" w:colLast="0"/>
      <w:bookmarkEnd w:id="19"/>
      <w:r>
        <w:t>3.6 Chance Events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automotive industry of Germany can be greatly affected by chance events, including technological innovation, disruption of the global supply chain, and changes in trade policies. To illustrate, the possibility of Tesla entering</w:t>
      </w:r>
      <w:r>
        <w:rPr>
          <w:rFonts w:ascii="Arial" w:eastAsia="Arial" w:hAnsi="Arial" w:cs="Arial"/>
          <w:sz w:val="24"/>
          <w:szCs w:val="24"/>
        </w:rPr>
        <w:t xml:space="preserve"> Germany through its Gig factory posed a competitive threat and also created an opportunity to domestic companies to speed up the development of EVs. On the other hand, the global semiconductor shortage (2021 2022) affected the supply chain of manufacturer</w:t>
      </w:r>
      <w:r>
        <w:rPr>
          <w:rFonts w:ascii="Arial" w:eastAsia="Arial" w:hAnsi="Arial" w:cs="Arial"/>
          <w:sz w:val="24"/>
          <w:szCs w:val="24"/>
        </w:rPr>
        <w:t xml:space="preserve">s in Germany, but demonstrated that a strong network of suppliers and flexibility are significant. </w:t>
      </w:r>
    </w:p>
    <w:p w:rsidR="003C3166" w:rsidRDefault="00C857E6">
      <w:pPr>
        <w:spacing w:line="360" w:lineRule="auto"/>
        <w:jc w:val="both"/>
        <w:rPr>
          <w:rFonts w:ascii="Arial" w:eastAsia="Arial" w:hAnsi="Arial" w:cs="Arial"/>
          <w:sz w:val="24"/>
          <w:szCs w:val="24"/>
        </w:rPr>
      </w:pPr>
      <w:bookmarkStart w:id="20" w:name="_aupe6pgnfu4n" w:colFirst="0" w:colLast="0"/>
      <w:bookmarkEnd w:id="20"/>
      <w:r>
        <w:rPr>
          <w:rFonts w:ascii="Arial" w:eastAsia="Arial" w:hAnsi="Arial" w:cs="Arial"/>
          <w:b/>
          <w:bCs/>
          <w:color w:val="000000"/>
          <w:sz w:val="28"/>
          <w:szCs w:val="28"/>
        </w:rPr>
        <w:t>3.7 Global Competitive Advantage Assessment</w:t>
      </w:r>
      <w:r>
        <w:rPr>
          <w:rFonts w:ascii="Arial" w:eastAsia="Arial" w:hAnsi="Arial" w:cs="Arial"/>
          <w:sz w:val="24"/>
          <w:szCs w:val="24"/>
        </w:rPr>
        <w:t>.</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All these put together form a strong competitive edge to the German industry in automobile production. Advanced factor conditions guarantee firms access to skilled workforce, technology and infrastructure. Elaborate domestic use creates innovation and qual</w:t>
      </w:r>
      <w:r>
        <w:rPr>
          <w:rFonts w:ascii="Arial" w:eastAsia="Arial" w:hAnsi="Arial" w:cs="Arial"/>
          <w:sz w:val="24"/>
          <w:szCs w:val="24"/>
        </w:rPr>
        <w:t>ity standards. The presence of strong supporting industries facilitates quick adaptation and technological assimilation, and the stiff competition among local companies strives to make them continuous. Strategic direction and incentives also come as govern</w:t>
      </w:r>
      <w:r>
        <w:rPr>
          <w:rFonts w:ascii="Arial" w:eastAsia="Arial" w:hAnsi="Arial" w:cs="Arial"/>
          <w:sz w:val="24"/>
          <w:szCs w:val="24"/>
        </w:rPr>
        <w:t>ment support and favourable policies. Even random occurrences which make the events unpredictable tend to drive innovation and build resilience.</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Consequently, Germany continues to lead the global automotive markets especially in the luxury and more so the </w:t>
      </w:r>
      <w:r>
        <w:rPr>
          <w:rFonts w:ascii="Arial" w:eastAsia="Arial" w:hAnsi="Arial" w:cs="Arial"/>
          <w:sz w:val="24"/>
          <w:szCs w:val="24"/>
        </w:rPr>
        <w:t>EV markets. This complete ecosystem enables German manufacturers to provide a high quality and technologically advanced vehicle on a regular basis, which is able to maintain both local and global competitiveness.</w:t>
      </w:r>
    </w:p>
    <w:p w:rsidR="003C3166" w:rsidRDefault="00C857E6">
      <w:pPr>
        <w:pStyle w:val="Heading1"/>
      </w:pPr>
      <w:bookmarkStart w:id="21" w:name="_5mks195dy3jr" w:colFirst="0" w:colLast="0"/>
      <w:bookmarkEnd w:id="21"/>
      <w:r>
        <w:t>4. Tesla: Evaluation of Market Success Fact</w:t>
      </w:r>
      <w:r>
        <w:t xml:space="preserve">ors </w:t>
      </w:r>
    </w:p>
    <w:p w:rsidR="003C3166" w:rsidRDefault="00C857E6">
      <w:pPr>
        <w:pStyle w:val="Heading2"/>
      </w:pPr>
      <w:bookmarkStart w:id="22" w:name="_4h9059gqom5" w:colFirst="0" w:colLast="0"/>
      <w:bookmarkEnd w:id="22"/>
      <w:r>
        <w:t xml:space="preserve">a. Company Overview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Tesla, Inc. is a major manufacturer and supplier of electric vehicles (EVs) and energy solutions in the world, which started its operations in 2003 in the United States. The purpose of the company is to make the world go green, th</w:t>
      </w:r>
      <w:r>
        <w:rPr>
          <w:rFonts w:ascii="Arial" w:eastAsia="Arial" w:hAnsi="Arial" w:cs="Arial"/>
          <w:sz w:val="24"/>
          <w:szCs w:val="24"/>
        </w:rPr>
        <w:t>rough innovative EVs, energy storage, and solar products. Tesla has a global approach that includes vertical integration, advanced production, and constant development of battery and autonomous driving technologies that enable the company to stand out of t</w:t>
      </w:r>
      <w:r>
        <w:rPr>
          <w:rFonts w:ascii="Arial" w:eastAsia="Arial" w:hAnsi="Arial" w:cs="Arial"/>
          <w:sz w:val="24"/>
          <w:szCs w:val="24"/>
        </w:rPr>
        <w:t>he conventional auto companies (Mangram 2022).</w:t>
      </w:r>
    </w:p>
    <w:p w:rsidR="003C3166" w:rsidRDefault="00C857E6">
      <w:pPr>
        <w:keepNext/>
        <w:pBdr>
          <w:top w:val="nil"/>
          <w:left w:val="nil"/>
          <w:bottom w:val="nil"/>
          <w:right w:val="nil"/>
          <w:between w:val="nil"/>
        </w:pBdr>
        <w:spacing w:after="200" w:line="240" w:lineRule="auto"/>
        <w:rPr>
          <w:rFonts w:ascii="Arial" w:eastAsia="Arial" w:hAnsi="Arial" w:cs="Arial"/>
          <w:b/>
          <w:bCs/>
          <w:i/>
          <w:iCs/>
          <w:color w:val="44546A"/>
          <w:sz w:val="20"/>
          <w:szCs w:val="20"/>
        </w:rPr>
      </w:pPr>
      <w:bookmarkStart w:id="23" w:name="_p18t0n75df5n" w:colFirst="0" w:colLast="0"/>
      <w:bookmarkEnd w:id="23"/>
      <w:r>
        <w:rPr>
          <w:rFonts w:ascii="Arial" w:eastAsia="Arial" w:hAnsi="Arial" w:cs="Arial"/>
          <w:b/>
          <w:bCs/>
          <w:i/>
          <w:iCs/>
          <w:color w:val="44546A"/>
          <w:sz w:val="20"/>
          <w:szCs w:val="20"/>
        </w:rPr>
        <w:t>Table 3: Tesla product range &amp; German production capacity</w:t>
      </w:r>
    </w:p>
    <w:tbl>
      <w:tblPr>
        <w:tblStyle w:val="a1"/>
        <w:tblW w:w="935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3117"/>
        <w:gridCol w:w="3117"/>
      </w:tblGrid>
      <w:tr w:rsidR="003C3166">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Model</w:t>
            </w:r>
          </w:p>
        </w:tc>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Segment</w:t>
            </w:r>
          </w:p>
        </w:tc>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Annual Production (Germany)</w:t>
            </w:r>
          </w:p>
        </w:tc>
      </w:tr>
      <w:tr w:rsidR="003C3166">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Model 3</w:t>
            </w:r>
          </w:p>
        </w:tc>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Mass-market EV</w:t>
            </w:r>
          </w:p>
        </w:tc>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250,000+</w:t>
            </w:r>
          </w:p>
        </w:tc>
      </w:tr>
      <w:tr w:rsidR="003C3166">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Model Y</w:t>
            </w:r>
          </w:p>
        </w:tc>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Mass-market EV</w:t>
            </w:r>
          </w:p>
        </w:tc>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200,000+</w:t>
            </w:r>
          </w:p>
        </w:tc>
      </w:tr>
      <w:tr w:rsidR="003C3166">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Model S</w:t>
            </w:r>
          </w:p>
        </w:tc>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Premium EV</w:t>
            </w:r>
          </w:p>
        </w:tc>
        <w:tc>
          <w:tcPr>
            <w:tcW w:w="0" w:type="auto"/>
          </w:tcPr>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25,000+</w:t>
            </w:r>
          </w:p>
        </w:tc>
      </w:tr>
    </w:tbl>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Tesla has a product range of the Model S, Model 3, Model X, Model Y, and future Cyber truck that serve the premium and mass-market. The European market has been on the strategic radar, and Germany has been selected as Tesla Gig factory Berlin-Brandenburg l</w:t>
      </w:r>
      <w:r>
        <w:rPr>
          <w:rFonts w:ascii="Arial" w:eastAsia="Arial" w:hAnsi="Arial" w:cs="Arial"/>
          <w:sz w:val="24"/>
          <w:szCs w:val="24"/>
        </w:rPr>
        <w:t>ocation because of its large automotive ecosystem, highly skilled workforce, and strategic location in the European Union (EU) (Schmidt &amp; Krause 2023).</w:t>
      </w:r>
    </w:p>
    <w:p w:rsidR="003C3166" w:rsidRDefault="00C857E6">
      <w:pPr>
        <w:keepNext/>
        <w:spacing w:line="360" w:lineRule="auto"/>
        <w:jc w:val="center"/>
      </w:pPr>
      <w:r>
        <w:rPr>
          <w:rFonts w:ascii="Arial" w:eastAsia="Arial" w:hAnsi="Arial" w:cs="Arial"/>
          <w:noProof/>
          <w:sz w:val="24"/>
          <w:szCs w:val="24"/>
        </w:rPr>
        <w:drawing>
          <wp:inline distT="0" distB="0" distL="0" distR="0">
            <wp:extent cx="2771775" cy="184785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2771775" cy="1847850"/>
                    </a:xfrm>
                    <a:prstGeom prst="rect">
                      <a:avLst/>
                    </a:prstGeom>
                    <a:ln/>
                  </pic:spPr>
                </pic:pic>
              </a:graphicData>
            </a:graphic>
          </wp:inline>
        </w:drawing>
      </w:r>
    </w:p>
    <w:p w:rsidR="003C3166" w:rsidRDefault="00C857E6">
      <w:pPr>
        <w:pBdr>
          <w:top w:val="nil"/>
          <w:left w:val="nil"/>
          <w:bottom w:val="nil"/>
          <w:right w:val="nil"/>
          <w:between w:val="nil"/>
        </w:pBdr>
        <w:spacing w:after="200" w:line="240" w:lineRule="auto"/>
        <w:jc w:val="center"/>
        <w:rPr>
          <w:rFonts w:ascii="Arial" w:eastAsia="Arial" w:hAnsi="Arial" w:cs="Arial"/>
          <w:b/>
          <w:bCs/>
          <w:i/>
          <w:iCs/>
          <w:color w:val="44546A"/>
          <w:sz w:val="28"/>
          <w:szCs w:val="28"/>
        </w:rPr>
      </w:pPr>
      <w:bookmarkStart w:id="24" w:name="_yajaxn54my17" w:colFirst="0" w:colLast="0"/>
      <w:bookmarkEnd w:id="24"/>
      <w:r>
        <w:rPr>
          <w:rFonts w:ascii="Arial" w:eastAsia="Arial" w:hAnsi="Arial" w:cs="Arial"/>
          <w:b/>
          <w:bCs/>
          <w:i/>
          <w:iCs/>
          <w:color w:val="44546A"/>
          <w:sz w:val="20"/>
          <w:szCs w:val="20"/>
        </w:rPr>
        <w:t>Figure 4-Tesla Gigafactory Berlin aerial view</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Opened in 2022, gig factory Berlin boosts the production capacity of Tesla significantly and allows the company to manufacture battery packs, electric drives and cars locally, to cater to local markets in Europe. The factory is estimated to produce more th</w:t>
      </w:r>
      <w:r>
        <w:rPr>
          <w:rFonts w:ascii="Arial" w:eastAsia="Arial" w:hAnsi="Arial" w:cs="Arial"/>
          <w:sz w:val="24"/>
          <w:szCs w:val="24"/>
        </w:rPr>
        <w:t xml:space="preserve">an half a million vehicles yearly and this has seen Tesla compete directly with the German automotive giants like Volkswagen, BMW and Mercedes-Benz. This growth indicates the desire of Tesla to develop internationally, innovate, and manufacture locally to </w:t>
      </w:r>
      <w:r>
        <w:rPr>
          <w:rFonts w:ascii="Arial" w:eastAsia="Arial" w:hAnsi="Arial" w:cs="Arial"/>
          <w:sz w:val="24"/>
          <w:szCs w:val="24"/>
        </w:rPr>
        <w:t>address the increasing demand of EVs in Europe (Bachmann 2024).</w:t>
      </w:r>
    </w:p>
    <w:p w:rsidR="003C3166" w:rsidRDefault="00C857E6">
      <w:pPr>
        <w:pStyle w:val="Heading2"/>
      </w:pPr>
      <w:bookmarkStart w:id="25" w:name="_kh2s0o8js7ft" w:colFirst="0" w:colLast="0"/>
      <w:bookmarkEnd w:id="25"/>
      <w:r>
        <w:t>b. Attractiveness analysis of the market.</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Tesla Company has great prospects in the German automotive market, which can be appraised successfully by the PESTEL analysis:</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Political Factors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w:t>
      </w:r>
      <w:r>
        <w:rPr>
          <w:rFonts w:ascii="Arial" w:eastAsia="Arial" w:hAnsi="Arial" w:cs="Arial"/>
          <w:sz w:val="24"/>
          <w:szCs w:val="24"/>
        </w:rPr>
        <w:t>he EU and Germany offer enabling policies to electric mobility, such as subsidies in the purchase of EVs, tax reduction, and lower registration costs related to low-emission vehicles (Kaiser 2023). The environmental laws, including hard targets on CO 2 emi</w:t>
      </w:r>
      <w:r>
        <w:rPr>
          <w:rFonts w:ascii="Arial" w:eastAsia="Arial" w:hAnsi="Arial" w:cs="Arial"/>
          <w:sz w:val="24"/>
          <w:szCs w:val="24"/>
        </w:rPr>
        <w:t xml:space="preserve">ssions and EU-wide sustainability requirements, provide the incentives to manufacturers to come up with zero-emission vehicles. Governmental support to Tesla in the form of investment opportunities and simplified processes of approvals of green technology </w:t>
      </w:r>
      <w:r>
        <w:rPr>
          <w:rFonts w:ascii="Arial" w:eastAsia="Arial" w:hAnsi="Arial" w:cs="Arial"/>
          <w:sz w:val="24"/>
          <w:szCs w:val="24"/>
        </w:rPr>
        <w:t xml:space="preserve">projects is favourable to the Gig factory Berlin (Reuters 2022). </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Economic Factors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The largest automotive market in Europe is Germany whose consumer purchasing power and preference of high quality cars are high. Germany had an EV sales of about 30 percent </w:t>
      </w:r>
      <w:r>
        <w:rPr>
          <w:rFonts w:ascii="Arial" w:eastAsia="Arial" w:hAnsi="Arial" w:cs="Arial"/>
          <w:sz w:val="24"/>
          <w:szCs w:val="24"/>
        </w:rPr>
        <w:t>of the total new car registrations in 2025, which was a show of increasing market potential (Welt 2026). The cost structure of Tesla depends on the regionalized production, the cost of labor and the source of raw materials especially lithium-ion batteries.</w:t>
      </w:r>
      <w:r>
        <w:rPr>
          <w:rFonts w:ascii="Arial" w:eastAsia="Arial" w:hAnsi="Arial" w:cs="Arial"/>
          <w:sz w:val="24"/>
          <w:szCs w:val="24"/>
        </w:rPr>
        <w:t xml:space="preserve"> Germany has a qualified workforce and a good logistics network to minimize the risk of operation and promote competitive pricing (MarkLines 2025). </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Social Factors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German customers are highly environmental conscious and favor environmentally friendly produ</w:t>
      </w:r>
      <w:r>
        <w:rPr>
          <w:rFonts w:ascii="Arial" w:eastAsia="Arial" w:hAnsi="Arial" w:cs="Arial"/>
          <w:sz w:val="24"/>
          <w:szCs w:val="24"/>
        </w:rPr>
        <w:t>cts. The adoption of EVs is not solely motivated by expenditure reduction on fuel but also by social demand on friendly movement to the environment. These values are reflected in Tesla brand, which is a mixture of performance, innovation, and sustainabilit</w:t>
      </w:r>
      <w:r>
        <w:rPr>
          <w:rFonts w:ascii="Arial" w:eastAsia="Arial" w:hAnsi="Arial" w:cs="Arial"/>
          <w:sz w:val="24"/>
          <w:szCs w:val="24"/>
        </w:rPr>
        <w:t xml:space="preserve">y (Bachmann 2024). </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Technological Factors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Tesla is a leader in battery, EV drive systems, and self-driving systems. The 4680, proprietary battery cell and Full Self-Driving (FSD) features are some of the innovations that make Tesla better than conventional</w:t>
      </w:r>
      <w:r>
        <w:rPr>
          <w:rFonts w:ascii="Arial" w:eastAsia="Arial" w:hAnsi="Arial" w:cs="Arial"/>
          <w:sz w:val="24"/>
          <w:szCs w:val="24"/>
        </w:rPr>
        <w:t xml:space="preserve"> German companies who are yet to ramp up EV manufacturing (Mangram 2022). Gigafactory Berlin can be used to localize technology, which can be quickly iterated and tested to meet the demands of the European market. Combination with renewable energy systems </w:t>
      </w:r>
      <w:r>
        <w:rPr>
          <w:rFonts w:ascii="Arial" w:eastAsia="Arial" w:hAnsi="Arial" w:cs="Arial"/>
          <w:sz w:val="24"/>
          <w:szCs w:val="24"/>
        </w:rPr>
        <w:t>and energy storage improves the technological appeal of Tesla (Schmidt and Krause 2023).</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Environmental Factors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The fact that Germany is committed to climate-related goals, including the goal of zero-emission new vehicles in the EU in 2035, makes Tesla EVs </w:t>
      </w:r>
      <w:r>
        <w:rPr>
          <w:rFonts w:ascii="Arial" w:eastAsia="Arial" w:hAnsi="Arial" w:cs="Arial"/>
          <w:sz w:val="24"/>
          <w:szCs w:val="24"/>
        </w:rPr>
        <w:t>more demanded. The regulation of emissions drives the automotive companies towards peer reviews, so low-emission vehicles produced by Tesla have a market marketed in their favor. The sourcing of renewable energy and manufacturing processes that are sustain</w:t>
      </w:r>
      <w:r>
        <w:rPr>
          <w:rFonts w:ascii="Arial" w:eastAsia="Arial" w:hAnsi="Arial" w:cs="Arial"/>
          <w:sz w:val="24"/>
          <w:szCs w:val="24"/>
        </w:rPr>
        <w:t>able at Gigafactory Berlin are also another strong indicator of Tesla environmental credibility, which attracts eco-aware customers and regulatory authorities (Kaiser 2023).</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Legal Factors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German labour laws such as the presence of robust employee right</w:t>
      </w:r>
      <w:r>
        <w:rPr>
          <w:rFonts w:ascii="Arial" w:eastAsia="Arial" w:hAnsi="Arial" w:cs="Arial"/>
          <w:sz w:val="24"/>
          <w:szCs w:val="24"/>
        </w:rPr>
        <w:t>s and co-determination rights demand Tesla to realign operations to ensure that they comply. Intellectual property protection will guarantee that Tesla is in a position to protect its technology innovations. Moreover, the environmental compliance norms, wo</w:t>
      </w:r>
      <w:r>
        <w:rPr>
          <w:rFonts w:ascii="Arial" w:eastAsia="Arial" w:hAnsi="Arial" w:cs="Arial"/>
          <w:sz w:val="24"/>
          <w:szCs w:val="24"/>
        </w:rPr>
        <w:t>rk safety provisions, as well as vehicle certification standards are to be met, as it impacts the operational planning and cost structures (Reuters 2022).</w:t>
      </w:r>
    </w:p>
    <w:p w:rsidR="003C3166" w:rsidRDefault="00C857E6">
      <w:pPr>
        <w:spacing w:line="360" w:lineRule="auto"/>
        <w:jc w:val="both"/>
        <w:rPr>
          <w:rFonts w:ascii="Arial" w:eastAsia="Arial" w:hAnsi="Arial" w:cs="Arial"/>
          <w:sz w:val="24"/>
          <w:szCs w:val="24"/>
        </w:rPr>
      </w:pPr>
      <w:r>
        <w:rPr>
          <w:rFonts w:ascii="Arial" w:eastAsia="Arial" w:hAnsi="Arial" w:cs="Arial"/>
          <w:b/>
          <w:bCs/>
          <w:sz w:val="24"/>
          <w:szCs w:val="24"/>
        </w:rPr>
        <w:t>Comprehensive Market Appeal:</w:t>
      </w:r>
      <w:r>
        <w:rPr>
          <w:rFonts w:ascii="Arial" w:eastAsia="Arial" w:hAnsi="Arial" w:cs="Arial"/>
          <w:sz w:val="24"/>
          <w:szCs w:val="24"/>
        </w:rPr>
        <w:t xml:space="preserve"> Germany presents a very appealing market to Tesla because of political f</w:t>
      </w:r>
      <w:r>
        <w:rPr>
          <w:rFonts w:ascii="Arial" w:eastAsia="Arial" w:hAnsi="Arial" w:cs="Arial"/>
          <w:sz w:val="24"/>
          <w:szCs w:val="24"/>
        </w:rPr>
        <w:t xml:space="preserve">avor to EVs, strong economic situations, technologically inclined customers, and compatibility with the environmental factors. Strategic planning is required given the legal and regulatory levels, which nevertheless do not pose significant threats because </w:t>
      </w:r>
      <w:r>
        <w:rPr>
          <w:rFonts w:ascii="Arial" w:eastAsia="Arial" w:hAnsi="Arial" w:cs="Arial"/>
          <w:sz w:val="24"/>
          <w:szCs w:val="24"/>
        </w:rPr>
        <w:t>of the technological advantage and brand positioning Tesla has (Bachmann 2024; Mangram 2022).</w:t>
      </w:r>
    </w:p>
    <w:p w:rsidR="003C3166" w:rsidRDefault="00C857E6">
      <w:pPr>
        <w:pStyle w:val="Heading2"/>
      </w:pPr>
      <w:bookmarkStart w:id="26" w:name="_gnj5a9he967t" w:colFirst="0" w:colLast="0"/>
      <w:bookmarkEnd w:id="26"/>
      <w:r>
        <w:t>c. Tesla strategy &amp; industry competitiveness.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German automobile industry is one of the highly developed and competitive industries. Porters Five Forces would be useful in evaluating the strategic position of Tesla by analysing the industry forces and the competitive forces in Germany.</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1. Supplier Powe</w:t>
      </w:r>
      <w:r>
        <w:rPr>
          <w:rFonts w:ascii="Arial" w:eastAsia="Arial" w:hAnsi="Arial" w:cs="Arial"/>
          <w:b/>
          <w:bCs/>
          <w:sz w:val="24"/>
          <w:szCs w:val="24"/>
        </w:rPr>
        <w:t>r</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supplier power can be referred to moderately and high in the EV industry, especially in relation to batteries, semiconductors, and advanced electronics. Germany boasts of a good network of suppliers such as Bosch and Continental that facilitates prod</w:t>
      </w:r>
      <w:r>
        <w:rPr>
          <w:rFonts w:ascii="Arial" w:eastAsia="Arial" w:hAnsi="Arial" w:cs="Arial"/>
          <w:sz w:val="24"/>
          <w:szCs w:val="24"/>
        </w:rPr>
        <w:t>uction of high quality automobiles. But the lack of lithium and semiconductor chips globally is providing constant threats proving that supplier leverage is a reality (MarkLines 2025).</w:t>
      </w:r>
    </w:p>
    <w:p w:rsidR="003C3166" w:rsidRDefault="003C3166">
      <w:pPr>
        <w:spacing w:line="360" w:lineRule="auto"/>
        <w:jc w:val="both"/>
        <w:rPr>
          <w:rFonts w:ascii="Arial" w:eastAsia="Arial" w:hAnsi="Arial" w:cs="Arial"/>
          <w:sz w:val="24"/>
          <w:szCs w:val="24"/>
        </w:rPr>
      </w:pP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2. Buyer Power</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German consumers are well aware and require quality, performance, and eco-friendly cars and provide buyers with great bargaining strength. Tesla responds to this with a differentiation strategy, providing more sophisticated battery technology, autonomous d</w:t>
      </w:r>
      <w:r>
        <w:rPr>
          <w:rFonts w:ascii="Arial" w:eastAsia="Arial" w:hAnsi="Arial" w:cs="Arial"/>
          <w:sz w:val="24"/>
          <w:szCs w:val="24"/>
        </w:rPr>
        <w:t>riving, over-the-air updates, and an excellent sustainability brand. Online platforms and direct-to-consumer sales increase the market share of Tesla as buyers have less power to affect the pricing, unlike in traditional dealerships (Schmidt and Krause 202</w:t>
      </w:r>
      <w:r>
        <w:rPr>
          <w:rFonts w:ascii="Arial" w:eastAsia="Arial" w:hAnsi="Arial" w:cs="Arial"/>
          <w:sz w:val="24"/>
          <w:szCs w:val="24"/>
        </w:rPr>
        <w:t>3).</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3. Competitive Rivalry</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Competition is intense. The market is dominated by domestic automakers such as Volkswagen, BMW, and Mercedes-Benz, which are developing EV portfolio fast. These companies enjoy brand and distribution channel loyalty and local kno</w:t>
      </w:r>
      <w:r>
        <w:rPr>
          <w:rFonts w:ascii="Arial" w:eastAsia="Arial" w:hAnsi="Arial" w:cs="Arial"/>
          <w:sz w:val="24"/>
          <w:szCs w:val="24"/>
        </w:rPr>
        <w:t>wledge (Bachmann 2024). The competitive pressure is mitigated by Tesla technological advantage of having a better battery range, software integration, and brand recognition.</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4. Threat of New Entrants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The risk of new entrants is medium. Entry is restricted </w:t>
      </w:r>
      <w:r>
        <w:rPr>
          <w:rFonts w:ascii="Arial" w:eastAsia="Arial" w:hAnsi="Arial" w:cs="Arial"/>
          <w:sz w:val="24"/>
          <w:szCs w:val="24"/>
        </w:rPr>
        <w:t>by high capital requirements, regulation and economies of scale. Nevertheless, EV startups like Polestar, XPeng, and BYD opted to enter Europe by using niche strategies and lower prices (EVBoosters 2025). Although these entrants are still a niche player, t</w:t>
      </w:r>
      <w:r>
        <w:rPr>
          <w:rFonts w:ascii="Arial" w:eastAsia="Arial" w:hAnsi="Arial" w:cs="Arial"/>
          <w:sz w:val="24"/>
          <w:szCs w:val="24"/>
        </w:rPr>
        <w:t xml:space="preserve">heir development will be an indicator of growing competition in the long term. </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5. Threat of Substitutes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Replacement options are public transportation, ride-sharing and hydrogen cars. The good transit systems and density of the cities in Germany offer othe</w:t>
      </w:r>
      <w:r>
        <w:rPr>
          <w:rFonts w:ascii="Arial" w:eastAsia="Arial" w:hAnsi="Arial" w:cs="Arial"/>
          <w:sz w:val="24"/>
          <w:szCs w:val="24"/>
        </w:rPr>
        <w:t>r options to commute daily. However, Tesla reduces the risk of substitution by providing high-performance EVs, a system of Superchargers, and built-in renewable energy sources. The popularity of conventional ICE vehicles as an alternative is also reduced b</w:t>
      </w:r>
      <w:r>
        <w:rPr>
          <w:rFonts w:ascii="Arial" w:eastAsia="Arial" w:hAnsi="Arial" w:cs="Arial"/>
          <w:sz w:val="24"/>
          <w:szCs w:val="24"/>
        </w:rPr>
        <w:t>y environmental consciousness and EU emissions laws (Kaiser 2023).</w:t>
      </w:r>
    </w:p>
    <w:p w:rsidR="003C3166" w:rsidRDefault="003C3166">
      <w:pPr>
        <w:spacing w:line="360" w:lineRule="auto"/>
        <w:jc w:val="both"/>
        <w:rPr>
          <w:rFonts w:ascii="Arial" w:eastAsia="Arial" w:hAnsi="Arial" w:cs="Arial"/>
          <w:sz w:val="24"/>
          <w:szCs w:val="24"/>
        </w:rPr>
      </w:pPr>
    </w:p>
    <w:p w:rsidR="003C3166" w:rsidRDefault="003C3166">
      <w:pPr>
        <w:spacing w:line="360" w:lineRule="auto"/>
        <w:jc w:val="both"/>
        <w:rPr>
          <w:rFonts w:ascii="Arial" w:eastAsia="Arial" w:hAnsi="Arial" w:cs="Arial"/>
          <w:sz w:val="24"/>
          <w:szCs w:val="24"/>
        </w:rPr>
      </w:pP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Tesla’s Differentiation</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strategy of Tesla focuses on the use of technology, brand power, innovation, and sustainability. Competitors are not matched with proprietary battery technolog</w:t>
      </w:r>
      <w:r>
        <w:rPr>
          <w:rFonts w:ascii="Arial" w:eastAsia="Arial" w:hAnsi="Arial" w:cs="Arial"/>
          <w:sz w:val="24"/>
          <w:szCs w:val="24"/>
        </w:rPr>
        <w:t>y, over-the-air software updates, and autonomous driving capabilities. Its sustainable and innovative brand image among the German consumers speaks volumes of premium price. Another aspect where Tesla is adding value to its solution is outside the automoti</w:t>
      </w:r>
      <w:r>
        <w:rPr>
          <w:rFonts w:ascii="Arial" w:eastAsia="Arial" w:hAnsi="Arial" w:cs="Arial"/>
          <w:sz w:val="24"/>
          <w:szCs w:val="24"/>
        </w:rPr>
        <w:t>ve industry, such as solar and storage solutions (Man gram 2022; Bachmann 2024).</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Challenges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Tesla is experiencing major challenges in Germany. The first one is that there is a strong competition with domestic giants, with Volkswagen, BMW, and Mercedes heav</w:t>
      </w:r>
      <w:r>
        <w:rPr>
          <w:rFonts w:ascii="Arial" w:eastAsia="Arial" w:hAnsi="Arial" w:cs="Arial"/>
          <w:sz w:val="24"/>
          <w:szCs w:val="24"/>
        </w:rPr>
        <w:t>ily investing into electrification and connected technology. Second, regulatory challenges concerning labour regulations, environmental regulations, and direct sales models make operations more challenging. Third, the volatility of the supply chain, notabl</w:t>
      </w:r>
      <w:r>
        <w:rPr>
          <w:rFonts w:ascii="Arial" w:eastAsia="Arial" w:hAnsi="Arial" w:cs="Arial"/>
          <w:sz w:val="24"/>
          <w:szCs w:val="24"/>
        </w:rPr>
        <w:t>y of semiconductors and battery raw materials, is a risk to production, on top of localized production by Tesla (MarkLines 2025).</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To conclude, the German automotive market is very competitive, with advanced customers, well-established players, and increase</w:t>
      </w:r>
      <w:r>
        <w:rPr>
          <w:rFonts w:ascii="Arial" w:eastAsia="Arial" w:hAnsi="Arial" w:cs="Arial"/>
          <w:sz w:val="24"/>
          <w:szCs w:val="24"/>
        </w:rPr>
        <w:t xml:space="preserve">d EVs penetrating the industry. Technology, brand and sustainability have been the differentiation means that Tesla can use to gain a strategic edge and to effectively manage the forces exerted by suppliers and buyers. </w:t>
      </w:r>
    </w:p>
    <w:p w:rsidR="003C3166" w:rsidRDefault="00C857E6">
      <w:pPr>
        <w:pStyle w:val="Heading2"/>
      </w:pPr>
      <w:bookmarkStart w:id="27" w:name="_p0szpkqajott" w:colFirst="0" w:colLast="0"/>
      <w:bookmarkEnd w:id="27"/>
      <w:r>
        <w:t>d. Strategic recommendations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To boos</w:t>
      </w:r>
      <w:r>
        <w:rPr>
          <w:rFonts w:ascii="Arial" w:eastAsia="Arial" w:hAnsi="Arial" w:cs="Arial"/>
          <w:sz w:val="24"/>
          <w:szCs w:val="24"/>
        </w:rPr>
        <w:t>t its market leading in Germany, Tesla ought to integrate multi-faceted strategic approach that deals with market positioning, pricing strategies, partnerships, local engagement, long-term sustainability, innovation, and risk mitigation.</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1. Market Position</w:t>
      </w:r>
      <w:r>
        <w:rPr>
          <w:rFonts w:ascii="Arial" w:eastAsia="Arial" w:hAnsi="Arial" w:cs="Arial"/>
          <w:b/>
          <w:bCs/>
          <w:sz w:val="24"/>
          <w:szCs w:val="24"/>
        </w:rPr>
        <w:t>ing</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Tesla must remain a high quality, technologically advanced, and sustainable car brand. German consumers take engineering superiority and quality seriously, whereas Tesla has its own unique selling point, which is innovation, self-driving mode of transp</w:t>
      </w:r>
      <w:r>
        <w:rPr>
          <w:rFonts w:ascii="Arial" w:eastAsia="Arial" w:hAnsi="Arial" w:cs="Arial"/>
          <w:sz w:val="24"/>
          <w:szCs w:val="24"/>
        </w:rPr>
        <w:t xml:space="preserve">ortation, and unified energy tools. The improvement that the company can make to positioning is to emphasize the eco-friendly performance, build a larger network of Superchargers, and reminding about the availability of software updates via the air, which </w:t>
      </w:r>
      <w:r>
        <w:rPr>
          <w:rFonts w:ascii="Arial" w:eastAsia="Arial" w:hAnsi="Arial" w:cs="Arial"/>
          <w:sz w:val="24"/>
          <w:szCs w:val="24"/>
        </w:rPr>
        <w:t>competitors such as Volkswagen and BMW have only lately started to follow suit. (Schmidt &amp; Krause 2023).</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2. Pricing Strategies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Although Tesla is considered to be a high-end brand, the price flexibility that is strategic is required to win a larger market b</w:t>
      </w:r>
      <w:r>
        <w:rPr>
          <w:rFonts w:ascii="Arial" w:eastAsia="Arial" w:hAnsi="Arial" w:cs="Arial"/>
          <w:sz w:val="24"/>
          <w:szCs w:val="24"/>
        </w:rPr>
        <w:t xml:space="preserve">ase. The evolution of the pricing scheme through offering tiered prices of various EV models would be able to attract price-aware consumers without reducing the high-end brand appeal. The perceptions can be elevated by limited-time incentives or bundling, </w:t>
      </w:r>
      <w:r>
        <w:rPr>
          <w:rFonts w:ascii="Arial" w:eastAsia="Arial" w:hAnsi="Arial" w:cs="Arial"/>
          <w:sz w:val="24"/>
          <w:szCs w:val="24"/>
        </w:rPr>
        <w:t>like matching cars with solar panels or energy storage solutions installed in the home. (Bachmann 2024).</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3. Strategic Partnerships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collaboration with local suppliers, technology providers, and governmental agencies can help to strengthen the competitiv</w:t>
      </w:r>
      <w:r>
        <w:rPr>
          <w:rFonts w:ascii="Arial" w:eastAsia="Arial" w:hAnsi="Arial" w:cs="Arial"/>
          <w:sz w:val="24"/>
          <w:szCs w:val="24"/>
        </w:rPr>
        <w:t>e edge of Tesla. The partnership with German companies in battery manufacturing, software, and smart charging systems will help mitigate the risks of the supply chains and speed up the innovation. The collaboration with universities and research centres ca</w:t>
      </w:r>
      <w:r>
        <w:rPr>
          <w:rFonts w:ascii="Arial" w:eastAsia="Arial" w:hAnsi="Arial" w:cs="Arial"/>
          <w:sz w:val="24"/>
          <w:szCs w:val="24"/>
        </w:rPr>
        <w:t>n improve the R&amp;D specifically in the field of autonomous driving and integration of renewable energy.(Marlines 2025).</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4. Local Engagement Strategies.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Tesla needs to enhance its community and government interest in Germany. Engaging in environmental progra</w:t>
      </w:r>
      <w:r>
        <w:rPr>
          <w:rFonts w:ascii="Arial" w:eastAsia="Arial" w:hAnsi="Arial" w:cs="Arial"/>
          <w:sz w:val="24"/>
          <w:szCs w:val="24"/>
        </w:rPr>
        <w:t>ms, contributing to EV uptake efforts, and showing a willingness to make the local labour markets viable can enhance stakeholder credibility and social legitimacy. Facilitating the creation of an improved workforce by training German engineers and technici</w:t>
      </w:r>
      <w:r>
        <w:rPr>
          <w:rFonts w:ascii="Arial" w:eastAsia="Arial" w:hAnsi="Arial" w:cs="Arial"/>
          <w:sz w:val="24"/>
          <w:szCs w:val="24"/>
        </w:rPr>
        <w:t>ans will both create pipelines of local talents and improve the corporate image. (Kaiser 2023).</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5. Long-Term Sustainability</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concept of sustainability should be maintained as a strategic priority. Tesla is able to invest in manufacturing using renewable</w:t>
      </w:r>
      <w:r>
        <w:rPr>
          <w:rFonts w:ascii="Arial" w:eastAsia="Arial" w:hAnsi="Arial" w:cs="Arial"/>
          <w:sz w:val="24"/>
          <w:szCs w:val="24"/>
        </w:rPr>
        <w:t xml:space="preserve"> energy sources, using green logistics, and synthetic cycles, including battery recycling. These projects are in line with ambitious climate goals and EU environmental regulations of Germany, which makes Tesla more compliant and corporate social responsibi</w:t>
      </w:r>
      <w:r>
        <w:rPr>
          <w:rFonts w:ascii="Arial" w:eastAsia="Arial" w:hAnsi="Arial" w:cs="Arial"/>
          <w:sz w:val="24"/>
          <w:szCs w:val="24"/>
        </w:rPr>
        <w:t>lity. German consumers who are environmentally conscious would be attracted to Tesla as its brand strengthens the brand through sustainability-oriented differentiation (Mangram 2022).</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6. Innovation Investment</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Innovation is an ongoing process which is essential in ensuring technological leadership. Tesla needs to focus on battery efficiency, autonomous driving, and connected vehicle technology in terms of R&amp;D. The capability of investing in software and AI-contr</w:t>
      </w:r>
      <w:r>
        <w:rPr>
          <w:rFonts w:ascii="Arial" w:eastAsia="Arial" w:hAnsi="Arial" w:cs="Arial"/>
          <w:sz w:val="24"/>
          <w:szCs w:val="24"/>
        </w:rPr>
        <w:t>olled vehicle management will see Tesla stay ahead of German competition that is quickly electrifying their vehicles. By developing the digital ecosystem of Tesla, such as energy management tools and mobility solutions, the lock-in and brand value of custo</w:t>
      </w:r>
      <w:r>
        <w:rPr>
          <w:rFonts w:ascii="Arial" w:eastAsia="Arial" w:hAnsi="Arial" w:cs="Arial"/>
          <w:sz w:val="24"/>
          <w:szCs w:val="24"/>
        </w:rPr>
        <w:t>mers will be strengthened (Bachmann 2024).</w:t>
      </w:r>
    </w:p>
    <w:p w:rsidR="003C3166" w:rsidRDefault="00C857E6">
      <w:pPr>
        <w:spacing w:line="360" w:lineRule="auto"/>
        <w:jc w:val="both"/>
        <w:rPr>
          <w:rFonts w:ascii="Arial" w:eastAsia="Arial" w:hAnsi="Arial" w:cs="Arial"/>
          <w:b/>
          <w:bCs/>
          <w:sz w:val="24"/>
          <w:szCs w:val="24"/>
        </w:rPr>
      </w:pPr>
      <w:r>
        <w:rPr>
          <w:rFonts w:ascii="Arial" w:eastAsia="Arial" w:hAnsi="Arial" w:cs="Arial"/>
          <w:b/>
          <w:bCs/>
          <w:sz w:val="24"/>
          <w:szCs w:val="24"/>
        </w:rPr>
        <w:t>7. Risk Mitigation</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Tesla has to take initiative to mitigate risks in supply chain, regulatory and competitor. Gig factory Berlin localization ensures fewer challenges with foreign suppliers, as well as eliminates </w:t>
      </w:r>
      <w:r>
        <w:rPr>
          <w:rFonts w:ascii="Arial" w:eastAsia="Arial" w:hAnsi="Arial" w:cs="Arial"/>
          <w:sz w:val="24"/>
          <w:szCs w:val="24"/>
        </w:rPr>
        <w:t>geopolitical threats. The introduction of flexible production systems will enable quick response to the changes in the market demand. There is legal and regulatory monitoring to meet the labour requirements, emission requirements, and EU EV incentives. Tes</w:t>
      </w:r>
      <w:r>
        <w:rPr>
          <w:rFonts w:ascii="Arial" w:eastAsia="Arial" w:hAnsi="Arial" w:cs="Arial"/>
          <w:sz w:val="24"/>
          <w:szCs w:val="24"/>
        </w:rPr>
        <w:t>la can respond to market changes quickly by competitor analysis and strategic foresight identifying early signs of market changes, including domestic giants and new competitors gaining greater competitiveness with EVs (MarkLines 2025).</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Through the ability </w:t>
      </w:r>
      <w:r>
        <w:rPr>
          <w:rFonts w:ascii="Arial" w:eastAsia="Arial" w:hAnsi="Arial" w:cs="Arial"/>
          <w:sz w:val="24"/>
          <w:szCs w:val="24"/>
        </w:rPr>
        <w:t>to leverage on premium positioning, flexible pricing, strategic alliances, local touchpoints, sustainability, and unending innovation as well as effective risk management, Tesla will be able to concentrate its market in Germany. The strategies are also eff</w:t>
      </w:r>
      <w:r>
        <w:rPr>
          <w:rFonts w:ascii="Arial" w:eastAsia="Arial" w:hAnsi="Arial" w:cs="Arial"/>
          <w:sz w:val="24"/>
          <w:szCs w:val="24"/>
        </w:rPr>
        <w:t>ective in short-term growth, as well as guarantee the long-term competitiveness, resilience, and compatibility with industrial and environmental priorities of Germany.</w:t>
      </w:r>
    </w:p>
    <w:p w:rsidR="003C3166" w:rsidRDefault="003C3166">
      <w:pPr>
        <w:spacing w:line="360" w:lineRule="auto"/>
        <w:jc w:val="both"/>
        <w:rPr>
          <w:rFonts w:ascii="Arial" w:eastAsia="Arial" w:hAnsi="Arial" w:cs="Arial"/>
          <w:sz w:val="24"/>
          <w:szCs w:val="24"/>
        </w:rPr>
      </w:pPr>
    </w:p>
    <w:p w:rsidR="003C3166" w:rsidRDefault="00C857E6">
      <w:pPr>
        <w:pStyle w:val="Heading1"/>
      </w:pPr>
      <w:bookmarkStart w:id="28" w:name="_bseyirwb22p" w:colFirst="0" w:colLast="0"/>
      <w:bookmarkEnd w:id="28"/>
      <w:r>
        <w:t xml:space="preserve">5. Conclusion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automotive sector of Germany depicts a well-developed global competi</w:t>
      </w:r>
      <w:r>
        <w:rPr>
          <w:rFonts w:ascii="Arial" w:eastAsia="Arial" w:hAnsi="Arial" w:cs="Arial"/>
          <w:sz w:val="24"/>
          <w:szCs w:val="24"/>
        </w:rPr>
        <w:t>tive edge, which is supported by the high factor conditions, developed demand, and a strong network of the related and supportive industries. The advanced engineering skills, professional labour force and modern infrastructure of the country has allowed th</w:t>
      </w:r>
      <w:r>
        <w:rPr>
          <w:rFonts w:ascii="Arial" w:eastAsia="Arial" w:hAnsi="Arial" w:cs="Arial"/>
          <w:sz w:val="24"/>
          <w:szCs w:val="24"/>
        </w:rPr>
        <w:t>e local companies themselves such as Volkswagen, BMW and Mercedes-Benz to sustain themselves at the top of the world. Consumer demands on quality, safety, and innovation are high, which is another stimulus to the continuous technological improvement, and s</w:t>
      </w:r>
      <w:r>
        <w:rPr>
          <w:rFonts w:ascii="Arial" w:eastAsia="Arial" w:hAnsi="Arial" w:cs="Arial"/>
          <w:sz w:val="24"/>
          <w:szCs w:val="24"/>
        </w:rPr>
        <w:t>upportive policies of the government concerning electric vehicles (EVs), environmental standards, and investments in the field of research and development support industry development. Also, the supply chains in Germany, which include automotive, electroni</w:t>
      </w:r>
      <w:r>
        <w:rPr>
          <w:rFonts w:ascii="Arial" w:eastAsia="Arial" w:hAnsi="Arial" w:cs="Arial"/>
          <w:sz w:val="24"/>
          <w:szCs w:val="24"/>
        </w:rPr>
        <w:t xml:space="preserve">c, and software, support resilience and innovation ability. All these contribute to the fact that Germany is one of the most appealing markets to foreign MNCs like Tesla. The case of Tesla entering Germany and specifically Gig factory Berlin, portrays the </w:t>
      </w:r>
      <w:r>
        <w:rPr>
          <w:rFonts w:ascii="Arial" w:eastAsia="Arial" w:hAnsi="Arial" w:cs="Arial"/>
          <w:sz w:val="24"/>
          <w:szCs w:val="24"/>
        </w:rPr>
        <w:t>interaction between international business strategy and the dynamics of the local industry. Other important aspects that affect the operation of Tesla are the regulatory environment, the availability of labour force, technological advancement, and customer</w:t>
      </w:r>
      <w:r>
        <w:rPr>
          <w:rFonts w:ascii="Arial" w:eastAsia="Arial" w:hAnsi="Arial" w:cs="Arial"/>
          <w:sz w:val="24"/>
          <w:szCs w:val="24"/>
        </w:rPr>
        <w:t xml:space="preserve"> trends towards sustainable mobility. Differentiation of the company because of hi-tech battery, automated driving, and the prestige of the brand allows the company to compete successfully with long-established domestic rivals. Nevertheless, issues like hi</w:t>
      </w:r>
      <w:r>
        <w:rPr>
          <w:rFonts w:ascii="Arial" w:eastAsia="Arial" w:hAnsi="Arial" w:cs="Arial"/>
          <w:sz w:val="24"/>
          <w:szCs w:val="24"/>
        </w:rPr>
        <w:t>gh competition, global supply chain issues, and having to comply with strict environmental and labour regulations demand flexible approach. To the international business strategy, the experience of Tesla highlights the need to align goals of the global bus</w:t>
      </w:r>
      <w:r>
        <w:rPr>
          <w:rFonts w:ascii="Arial" w:eastAsia="Arial" w:hAnsi="Arial" w:cs="Arial"/>
          <w:sz w:val="24"/>
          <w:szCs w:val="24"/>
        </w:rPr>
        <w:t>iness with the local markets, have partnerships, and invest in sustainable innovation. Germany is a good example of a market where strategic adaptation, technological leadership and stakeholder engagement are the key to long-term success, and can be a good</w:t>
      </w:r>
      <w:r>
        <w:rPr>
          <w:rFonts w:ascii="Arial" w:eastAsia="Arial" w:hAnsi="Arial" w:cs="Arial"/>
          <w:sz w:val="24"/>
          <w:szCs w:val="24"/>
        </w:rPr>
        <w:t xml:space="preserve"> example of what to learn when expanding globally to advanced industrial economies.</w:t>
      </w:r>
    </w:p>
    <w:p w:rsidR="003C3166" w:rsidRDefault="003C3166">
      <w:pPr>
        <w:spacing w:line="360" w:lineRule="auto"/>
        <w:jc w:val="both"/>
        <w:rPr>
          <w:rFonts w:ascii="Arial" w:eastAsia="Arial" w:hAnsi="Arial" w:cs="Arial"/>
          <w:sz w:val="24"/>
          <w:szCs w:val="24"/>
        </w:rPr>
      </w:pPr>
    </w:p>
    <w:p w:rsidR="003C3166" w:rsidRDefault="003C3166">
      <w:pPr>
        <w:spacing w:line="360" w:lineRule="auto"/>
        <w:jc w:val="both"/>
        <w:rPr>
          <w:rFonts w:ascii="Arial" w:eastAsia="Arial" w:hAnsi="Arial" w:cs="Arial"/>
          <w:sz w:val="24"/>
          <w:szCs w:val="24"/>
        </w:rPr>
      </w:pPr>
    </w:p>
    <w:p w:rsidR="003C3166" w:rsidRDefault="00C857E6">
      <w:pPr>
        <w:pStyle w:val="Heading1"/>
        <w:jc w:val="center"/>
      </w:pPr>
      <w:bookmarkStart w:id="29" w:name="_sio8m7ww2q62" w:colFirst="0" w:colLast="0"/>
      <w:bookmarkEnd w:id="29"/>
      <w:r>
        <w:t>Section 2</w:t>
      </w:r>
    </w:p>
    <w:p w:rsidR="003C3166" w:rsidRDefault="00C857E6">
      <w:pPr>
        <w:pStyle w:val="Heading1"/>
      </w:pPr>
      <w:bookmarkStart w:id="30" w:name="_xup897c2hpg7" w:colFirst="0" w:colLast="0"/>
      <w:bookmarkEnd w:id="30"/>
      <w:r>
        <w:t xml:space="preserve">Reflective Account </w:t>
      </w:r>
    </w:p>
    <w:p w:rsidR="003C3166" w:rsidRDefault="00C857E6">
      <w:pPr>
        <w:pStyle w:val="Heading1"/>
      </w:pPr>
      <w:bookmarkStart w:id="31" w:name="_akp23oqvgbs7" w:colFirst="0" w:colLast="0"/>
      <w:bookmarkEnd w:id="31"/>
      <w:r>
        <w:t>Use Gibbs’ Reflective Cycle:</w:t>
      </w:r>
    </w:p>
    <w:p w:rsidR="003C3166" w:rsidRDefault="00C857E6">
      <w:pPr>
        <w:pStyle w:val="Heading1"/>
      </w:pPr>
      <w:bookmarkStart w:id="32" w:name="_p39fb897zxj2" w:colFirst="0" w:colLast="0"/>
      <w:bookmarkEnd w:id="32"/>
      <w:r>
        <w:t>1. Description</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When writing the earlier parts of the report about the automotive industry in Germany and Tesla activities I took a systematic research and analytical way. It started with the scope definition: learning about the importance of Germany as one of the industr</w:t>
      </w:r>
      <w:r>
        <w:rPr>
          <w:rFonts w:ascii="Arial" w:eastAsia="Arial" w:hAnsi="Arial" w:cs="Arial"/>
          <w:sz w:val="24"/>
          <w:szCs w:val="24"/>
        </w:rPr>
        <w:t>ial economies, the world importance of the automotive industry, and the penetration of Tesla on the German market. I gathered information based on the industry reports, academic journals, company publications, and news articles created recently (20212025).</w:t>
      </w:r>
      <w:r>
        <w:rPr>
          <w:rFonts w:ascii="Arial" w:eastAsia="Arial" w:hAnsi="Arial" w:cs="Arial"/>
          <w:sz w:val="24"/>
          <w:szCs w:val="24"/>
        </w:rPr>
        <w:t xml:space="preserve"> The quantitative data consisted of the volume of vehicle production, market share, and EV adoption rates, whereas the qualitative data involved regulatory policies, sustainability programmes, consumer preferences, and strategic policies in the corporation</w:t>
      </w:r>
      <w:r>
        <w:rPr>
          <w:rFonts w:ascii="Arial" w:eastAsia="Arial" w:hAnsi="Arial" w:cs="Arial"/>
          <w:sz w:val="24"/>
          <w:szCs w:val="24"/>
        </w:rPr>
        <w:t>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Findings were structured using analytical frameworks. The Diamond of Porters measured the national advantage of Germany considering the factor conditions, the demand conditions, the supporting industries, firm strategy, government interventions, and the</w:t>
      </w:r>
      <w:r>
        <w:rPr>
          <w:rFonts w:ascii="Arial" w:eastAsia="Arial" w:hAnsi="Arial" w:cs="Arial"/>
          <w:sz w:val="24"/>
          <w:szCs w:val="24"/>
        </w:rPr>
        <w:t xml:space="preserve"> chance events. PESTEL and Five Forces were implemented to analyse the external environment and competitiveness within the industry respectively to determine Tesla market position. These frameworks enabled me to combine various perspectives, which are econ</w:t>
      </w:r>
      <w:r>
        <w:rPr>
          <w:rFonts w:ascii="Arial" w:eastAsia="Arial" w:hAnsi="Arial" w:cs="Arial"/>
          <w:sz w:val="24"/>
          <w:szCs w:val="24"/>
        </w:rPr>
        <w:t>omic, social, technological, political and competitive, into a unified analysis. The study ended by giving strategic advice and a retrospective analysis of the whole exercise.</w:t>
      </w:r>
    </w:p>
    <w:p w:rsidR="003C3166" w:rsidRDefault="00C857E6">
      <w:pPr>
        <w:pStyle w:val="Heading1"/>
      </w:pPr>
      <w:bookmarkStart w:id="33" w:name="_ut93bz1e636h" w:colFirst="0" w:colLast="0"/>
      <w:bookmarkEnd w:id="33"/>
      <w:r>
        <w:t>2. Feelings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The research process raised both positive and negative emotions. At </w:t>
      </w:r>
      <w:r>
        <w:rPr>
          <w:rFonts w:ascii="Arial" w:eastAsia="Arial" w:hAnsi="Arial" w:cs="Arial"/>
          <w:sz w:val="24"/>
          <w:szCs w:val="24"/>
        </w:rPr>
        <w:t xml:space="preserve">first, I was too overwhelmed with the amount of information available on the topic of the automotive industry in Germany and the international operations of Tesla. One of the challenges was especially in finding reliable and updated sources that were also </w:t>
      </w:r>
      <w:r>
        <w:rPr>
          <w:rFonts w:ascii="Arial" w:eastAsia="Arial" w:hAnsi="Arial" w:cs="Arial"/>
          <w:sz w:val="24"/>
          <w:szCs w:val="24"/>
        </w:rPr>
        <w:t>informative and interesting. Using some of the frameworks like Porters Diamond and Porters five forces also were complicated, as there is need to ensure that the theoretical frameworks and real data are well matched.</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Nevertheless, I felt some sense of achi</w:t>
      </w:r>
      <w:r>
        <w:rPr>
          <w:rFonts w:ascii="Arial" w:eastAsia="Arial" w:hAnsi="Arial" w:cs="Arial"/>
          <w:sz w:val="24"/>
          <w:szCs w:val="24"/>
        </w:rPr>
        <w:t xml:space="preserve">evement and involvement as the research went on. An illustration of the structures against the German car industry and the operations of Tesla showed trends in market relationship, competitive strength as well as sustainability. I was inspired by the fact </w:t>
      </w:r>
      <w:r>
        <w:rPr>
          <w:rFonts w:ascii="Arial" w:eastAsia="Arial" w:hAnsi="Arial" w:cs="Arial"/>
          <w:sz w:val="24"/>
          <w:szCs w:val="24"/>
        </w:rPr>
        <w:t>that this analysis is applicable to business strategy in the real world and entry into the international market. Sometimes it was frustrating, especially when conflicting reports had to be subjected to cross-validation, but overcoming these barriers made m</w:t>
      </w:r>
      <w:r>
        <w:rPr>
          <w:rFonts w:ascii="Arial" w:eastAsia="Arial" w:hAnsi="Arial" w:cs="Arial"/>
          <w:sz w:val="24"/>
          <w:szCs w:val="24"/>
        </w:rPr>
        <w:t>e even stronger in my confidence in my ability to think logically and make decisions.</w:t>
      </w:r>
    </w:p>
    <w:p w:rsidR="003C3166" w:rsidRDefault="00C857E6">
      <w:pPr>
        <w:pStyle w:val="Heading1"/>
      </w:pPr>
      <w:bookmarkStart w:id="34" w:name="_hcljgciyjcf0" w:colFirst="0" w:colLast="0"/>
      <w:bookmarkEnd w:id="34"/>
      <w:r>
        <w:t>3. Evaluation</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My strengths were that I had a systematic approach that involved theoretical premises and empirical data. Applying Porters Diamond helped in shedding light </w:t>
      </w:r>
      <w:r>
        <w:rPr>
          <w:rFonts w:ascii="Arial" w:eastAsia="Arial" w:hAnsi="Arial" w:cs="Arial"/>
          <w:sz w:val="24"/>
          <w:szCs w:val="24"/>
        </w:rPr>
        <w:t>on the competitiveness of Germany in terms of the factor conditions, demand and support concerning the industry. PESTEL analysis was useful in analysing the macro-environment factors influencing Tesla, whilst Porters five forces analysis was used to determ</w:t>
      </w:r>
      <w:r>
        <w:rPr>
          <w:rFonts w:ascii="Arial" w:eastAsia="Arial" w:hAnsi="Arial" w:cs="Arial"/>
          <w:sz w:val="24"/>
          <w:szCs w:val="24"/>
        </w:rPr>
        <w:t>ine the competitive forces, including the bargaining power of suppliers, buyer power and competition of well-established domestic brands, including Volkswagen, BMW, and Mercedes-Benz. The combination of these frameworks made it possible to see the competit</w:t>
      </w:r>
      <w:r>
        <w:rPr>
          <w:rFonts w:ascii="Arial" w:eastAsia="Arial" w:hAnsi="Arial" w:cs="Arial"/>
          <w:sz w:val="24"/>
          <w:szCs w:val="24"/>
        </w:rPr>
        <w:t>iveness in the industry holistically and the approach Tesla chose.</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Nevertheless, it had certain flaws. The shallow nature of the analysis was due to the constraints of secondary data especially when it comes to the proprietary technologies that Tesla has d</w:t>
      </w:r>
      <w:r>
        <w:rPr>
          <w:rFonts w:ascii="Arial" w:eastAsia="Arial" w:hAnsi="Arial" w:cs="Arial"/>
          <w:sz w:val="24"/>
          <w:szCs w:val="24"/>
        </w:rPr>
        <w:t>eveloped and its strategic choices internally. The study relied on published materials to a great extent, and they were not always complete or consistent enough. The time limit limited wider primary research which may have given first-hand information like</w:t>
      </w:r>
      <w:r>
        <w:rPr>
          <w:rFonts w:ascii="Arial" w:eastAsia="Arial" w:hAnsi="Arial" w:cs="Arial"/>
          <w:sz w:val="24"/>
          <w:szCs w:val="24"/>
        </w:rPr>
        <w:t xml:space="preserve"> conducting interview with industry experts. Also, it was difficult to balance breadth and depth; to encompass several different frameworks but make the report consistent, it was necessary to perform a good synthesis.</w:t>
      </w:r>
    </w:p>
    <w:p w:rsidR="003C3166" w:rsidRDefault="003C3166">
      <w:pPr>
        <w:spacing w:line="360" w:lineRule="auto"/>
        <w:jc w:val="both"/>
        <w:rPr>
          <w:rFonts w:ascii="Arial" w:eastAsia="Arial" w:hAnsi="Arial" w:cs="Arial"/>
          <w:sz w:val="24"/>
          <w:szCs w:val="24"/>
        </w:rPr>
      </w:pPr>
    </w:p>
    <w:p w:rsidR="003C3166" w:rsidRDefault="003C3166">
      <w:pPr>
        <w:spacing w:line="360" w:lineRule="auto"/>
        <w:jc w:val="both"/>
        <w:rPr>
          <w:rFonts w:ascii="Arial" w:eastAsia="Arial" w:hAnsi="Arial" w:cs="Arial"/>
          <w:sz w:val="24"/>
          <w:szCs w:val="24"/>
        </w:rPr>
      </w:pPr>
    </w:p>
    <w:p w:rsidR="003C3166" w:rsidRDefault="003C3166">
      <w:pPr>
        <w:spacing w:line="360" w:lineRule="auto"/>
        <w:jc w:val="both"/>
        <w:rPr>
          <w:rFonts w:ascii="Arial" w:eastAsia="Arial" w:hAnsi="Arial" w:cs="Arial"/>
          <w:sz w:val="24"/>
          <w:szCs w:val="24"/>
        </w:rPr>
      </w:pPr>
    </w:p>
    <w:p w:rsidR="003C3166" w:rsidRDefault="00C857E6">
      <w:pPr>
        <w:pStyle w:val="Heading1"/>
      </w:pPr>
      <w:bookmarkStart w:id="35" w:name="_dsdujme7ptif" w:colFirst="0" w:colLast="0"/>
      <w:bookmarkEnd w:id="35"/>
      <w:r>
        <w:t>4. Analysis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Theoretical frameworks </w:t>
      </w:r>
      <w:r>
        <w:rPr>
          <w:rFonts w:ascii="Arial" w:eastAsia="Arial" w:hAnsi="Arial" w:cs="Arial"/>
          <w:sz w:val="24"/>
          <w:szCs w:val="24"/>
        </w:rPr>
        <w:t>were compared with realities in the industry to show the strengths and shortcomings of these models. The national competitive advantages of Germany in terms of skilled labour, engineering skills, developed infrastructure and a strong supportive supply chai</w:t>
      </w:r>
      <w:r>
        <w:rPr>
          <w:rFonts w:ascii="Arial" w:eastAsia="Arial" w:hAnsi="Arial" w:cs="Arial"/>
          <w:sz w:val="24"/>
          <w:szCs w:val="24"/>
        </w:rPr>
        <w:t>n were well represented in the diamond of Porter. These aspects provide reasons as to why the German car industry continues to ensure that it is global in terms of the quality vehicles and EV technology.</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PESTEL analysis showed that Tesla operation is g</w:t>
      </w:r>
      <w:r>
        <w:rPr>
          <w:rFonts w:ascii="Arial" w:eastAsia="Arial" w:hAnsi="Arial" w:cs="Arial"/>
          <w:sz w:val="24"/>
          <w:szCs w:val="24"/>
        </w:rPr>
        <w:t>reatly affected by external issues including government incentives, environmental regulations, and social demands of sustainable transport. But market reality, such as the accelerating EV adoption rate and the rate at which Tesla is innovating, has shown t</w:t>
      </w:r>
      <w:r>
        <w:rPr>
          <w:rFonts w:ascii="Arial" w:eastAsia="Arial" w:hAnsi="Arial" w:cs="Arial"/>
          <w:sz w:val="24"/>
          <w:szCs w:val="24"/>
        </w:rPr>
        <w:t xml:space="preserve">hat these models need to be flexible, which is why. The Five Forces analysis offered by Porter gave me a systematic view of the competitive issues faced by Tesla: intense competition posed by established local companies, supplier power, and threats of new </w:t>
      </w:r>
      <w:r>
        <w:rPr>
          <w:rFonts w:ascii="Arial" w:eastAsia="Arial" w:hAnsi="Arial" w:cs="Arial"/>
          <w:sz w:val="24"/>
          <w:szCs w:val="24"/>
        </w:rPr>
        <w:t>competitors and substitutes.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The interrelation of factors was also highlighted in the process. As an example, a government incentive (political) affects the consumer demand (social) and stimulates the development of technologies (technological), which, in </w:t>
      </w:r>
      <w:r>
        <w:rPr>
          <w:rFonts w:ascii="Arial" w:eastAsia="Arial" w:hAnsi="Arial" w:cs="Arial"/>
          <w:sz w:val="24"/>
          <w:szCs w:val="24"/>
        </w:rPr>
        <w:t>its turn, affects the positioning of Tesla. The structures were more of guidelines but needed interpretative skills to be able to effectively understand the changing realities in the industries.</w:t>
      </w:r>
    </w:p>
    <w:p w:rsidR="003C3166" w:rsidRDefault="00C857E6">
      <w:pPr>
        <w:pStyle w:val="Heading2"/>
      </w:pPr>
      <w:bookmarkStart w:id="36" w:name="_bgemz6tenlil" w:colFirst="0" w:colLast="0"/>
      <w:bookmarkEnd w:id="36"/>
      <w:r>
        <w:t>5. Conclusion (Key Learnings)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The major insights gained during this reflective experience are that it is essential to conduct systematic research, evaluate critically, and combine theoretical framework with empirical data. I gained more insight into the German auto competitiveness and </w:t>
      </w:r>
      <w:r>
        <w:rPr>
          <w:rFonts w:ascii="Arial" w:eastAsia="Arial" w:hAnsi="Arial" w:cs="Arial"/>
          <w:sz w:val="24"/>
          <w:szCs w:val="24"/>
        </w:rPr>
        <w:t>strategy employed by Tesla in the market. I also got to understand the importance of adaptability in applying models to explain real-life dynamics, i.e. disruptive innovation and regulatory change.</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The practice has enhanced my research abilities, such as s</w:t>
      </w:r>
      <w:r>
        <w:rPr>
          <w:rFonts w:ascii="Arial" w:eastAsia="Arial" w:hAnsi="Arial" w:cs="Arial"/>
          <w:sz w:val="24"/>
          <w:szCs w:val="24"/>
        </w:rPr>
        <w:t>ource examination, data assimilation and analytical writing. It improved my conceptualization of the strategy especially in the evaluation of market entry, differentiation and competition positioning of an MNC within a foreign market. I also knew that, cri</w:t>
      </w:r>
      <w:r>
        <w:rPr>
          <w:rFonts w:ascii="Arial" w:eastAsia="Arial" w:hAnsi="Arial" w:cs="Arial"/>
          <w:sz w:val="24"/>
          <w:szCs w:val="24"/>
        </w:rPr>
        <w:t>tical reflection is vital in aiding the research methodology to discover areas of weaknesses and inefficiencies in research.</w:t>
      </w:r>
    </w:p>
    <w:p w:rsidR="003C3166" w:rsidRDefault="00C857E6">
      <w:pPr>
        <w:pStyle w:val="Heading1"/>
      </w:pPr>
      <w:bookmarkStart w:id="37" w:name="_x8z63ejogdpv" w:colFirst="0" w:colLast="0"/>
      <w:bookmarkEnd w:id="37"/>
      <w:r>
        <w:t>6. Action Plan</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In order to improve the research and analysis in the future, I will:</w:t>
      </w:r>
    </w:p>
    <w:p w:rsidR="003C3166" w:rsidRDefault="00C857E6">
      <w:pPr>
        <w:numPr>
          <w:ilvl w:val="0"/>
          <w:numId w:val="3"/>
        </w:numPr>
        <w:pBdr>
          <w:top w:val="nil"/>
          <w:left w:val="nil"/>
          <w:bottom w:val="nil"/>
          <w:right w:val="nil"/>
          <w:between w:val="nil"/>
        </w:pBdr>
        <w:spacing w:after="0" w:line="360" w:lineRule="auto"/>
        <w:jc w:val="both"/>
        <w:rPr>
          <w:color w:val="000000"/>
          <w:sz w:val="24"/>
          <w:szCs w:val="24"/>
        </w:rPr>
      </w:pPr>
      <w:r>
        <w:rPr>
          <w:rFonts w:ascii="Arial" w:eastAsia="Arial" w:hAnsi="Arial" w:cs="Arial"/>
          <w:b/>
          <w:bCs/>
          <w:color w:val="000000"/>
          <w:sz w:val="24"/>
          <w:szCs w:val="24"/>
        </w:rPr>
        <w:t>Enhance data sourcing effectiveness –</w:t>
      </w:r>
      <w:r>
        <w:rPr>
          <w:rFonts w:ascii="Arial" w:eastAsia="Arial" w:hAnsi="Arial" w:cs="Arial"/>
          <w:color w:val="000000"/>
          <w:sz w:val="24"/>
          <w:szCs w:val="24"/>
        </w:rPr>
        <w:t xml:space="preserve"> Find the </w:t>
      </w:r>
      <w:r>
        <w:rPr>
          <w:rFonts w:ascii="Arial" w:eastAsia="Arial" w:hAnsi="Arial" w:cs="Arial"/>
          <w:color w:val="000000"/>
          <w:sz w:val="24"/>
          <w:szCs w:val="24"/>
        </w:rPr>
        <w:t>major databases, journals and industry-specific reports as early as possible to limit time spent on the validity of sources.</w:t>
      </w:r>
    </w:p>
    <w:p w:rsidR="003C3166" w:rsidRDefault="00C857E6">
      <w:pPr>
        <w:numPr>
          <w:ilvl w:val="0"/>
          <w:numId w:val="3"/>
        </w:numPr>
        <w:pBdr>
          <w:top w:val="nil"/>
          <w:left w:val="nil"/>
          <w:bottom w:val="nil"/>
          <w:right w:val="nil"/>
          <w:between w:val="nil"/>
        </w:pBdr>
        <w:spacing w:after="0" w:line="360" w:lineRule="auto"/>
        <w:jc w:val="both"/>
        <w:rPr>
          <w:color w:val="000000"/>
          <w:sz w:val="24"/>
          <w:szCs w:val="24"/>
        </w:rPr>
      </w:pPr>
      <w:r>
        <w:rPr>
          <w:rFonts w:ascii="Arial" w:eastAsia="Arial" w:hAnsi="Arial" w:cs="Arial"/>
          <w:b/>
          <w:bCs/>
          <w:color w:val="000000"/>
          <w:sz w:val="24"/>
          <w:szCs w:val="24"/>
        </w:rPr>
        <w:t>Enhance primary research capabilities</w:t>
      </w:r>
      <w:r>
        <w:rPr>
          <w:rFonts w:ascii="Arial" w:eastAsia="Arial" w:hAnsi="Arial" w:cs="Arial"/>
          <w:color w:val="000000"/>
          <w:sz w:val="24"/>
          <w:szCs w:val="24"/>
        </w:rPr>
        <w:t xml:space="preserve"> - Incorporate interviews, questionnaires or survey to deliver new unique and real-time inform</w:t>
      </w:r>
      <w:r>
        <w:rPr>
          <w:rFonts w:ascii="Arial" w:eastAsia="Arial" w:hAnsi="Arial" w:cs="Arial"/>
          <w:color w:val="000000"/>
          <w:sz w:val="24"/>
          <w:szCs w:val="24"/>
        </w:rPr>
        <w:t>ation.</w:t>
      </w:r>
    </w:p>
    <w:p w:rsidR="003C3166" w:rsidRDefault="00C857E6">
      <w:pPr>
        <w:numPr>
          <w:ilvl w:val="0"/>
          <w:numId w:val="3"/>
        </w:numPr>
        <w:pBdr>
          <w:top w:val="nil"/>
          <w:left w:val="nil"/>
          <w:bottom w:val="nil"/>
          <w:right w:val="nil"/>
          <w:between w:val="nil"/>
        </w:pBdr>
        <w:spacing w:after="0" w:line="360" w:lineRule="auto"/>
        <w:jc w:val="both"/>
        <w:rPr>
          <w:color w:val="000000"/>
          <w:sz w:val="24"/>
          <w:szCs w:val="24"/>
        </w:rPr>
      </w:pPr>
      <w:r>
        <w:rPr>
          <w:rFonts w:ascii="Arial" w:eastAsia="Arial" w:hAnsi="Arial" w:cs="Arial"/>
          <w:b/>
          <w:bCs/>
          <w:color w:val="000000"/>
          <w:sz w:val="24"/>
          <w:szCs w:val="24"/>
        </w:rPr>
        <w:t>Improve the skills of analytical software</w:t>
      </w:r>
      <w:r>
        <w:rPr>
          <w:rFonts w:ascii="Arial" w:eastAsia="Arial" w:hAnsi="Arial" w:cs="Arial"/>
          <w:color w:val="000000"/>
          <w:sz w:val="24"/>
          <w:szCs w:val="24"/>
        </w:rPr>
        <w:t xml:space="preserve"> - Employ statistical analysis software, trend visualization software, and scenario planning software to bolster data interpretation.</w:t>
      </w:r>
    </w:p>
    <w:p w:rsidR="003C3166" w:rsidRDefault="00C857E6">
      <w:pPr>
        <w:numPr>
          <w:ilvl w:val="0"/>
          <w:numId w:val="3"/>
        </w:numPr>
        <w:pBdr>
          <w:top w:val="nil"/>
          <w:left w:val="nil"/>
          <w:bottom w:val="nil"/>
          <w:right w:val="nil"/>
          <w:between w:val="nil"/>
        </w:pBdr>
        <w:spacing w:after="0" w:line="360" w:lineRule="auto"/>
        <w:jc w:val="both"/>
        <w:rPr>
          <w:color w:val="000000"/>
          <w:sz w:val="24"/>
          <w:szCs w:val="24"/>
        </w:rPr>
      </w:pPr>
      <w:r>
        <w:rPr>
          <w:rFonts w:ascii="Arial" w:eastAsia="Arial" w:hAnsi="Arial" w:cs="Arial"/>
          <w:b/>
          <w:bCs/>
          <w:color w:val="000000"/>
          <w:sz w:val="24"/>
          <w:szCs w:val="24"/>
        </w:rPr>
        <w:t>Use frameworks adaptably-</w:t>
      </w:r>
      <w:r>
        <w:rPr>
          <w:rFonts w:ascii="Arial" w:eastAsia="Arial" w:hAnsi="Arial" w:cs="Arial"/>
          <w:color w:val="000000"/>
          <w:sz w:val="24"/>
          <w:szCs w:val="24"/>
        </w:rPr>
        <w:t xml:space="preserve"> Deterministically assess the fit of theoretical frameworks to industry reality, adapting by market reality and developing fashions.</w:t>
      </w:r>
    </w:p>
    <w:p w:rsidR="003C3166" w:rsidRDefault="00C857E6">
      <w:pPr>
        <w:numPr>
          <w:ilvl w:val="0"/>
          <w:numId w:val="3"/>
        </w:numPr>
        <w:pBdr>
          <w:top w:val="nil"/>
          <w:left w:val="nil"/>
          <w:bottom w:val="nil"/>
          <w:right w:val="nil"/>
          <w:between w:val="nil"/>
        </w:pBdr>
        <w:spacing w:after="0" w:line="360" w:lineRule="auto"/>
        <w:jc w:val="both"/>
        <w:rPr>
          <w:color w:val="000000"/>
          <w:sz w:val="24"/>
          <w:szCs w:val="24"/>
        </w:rPr>
      </w:pPr>
      <w:r>
        <w:rPr>
          <w:rFonts w:ascii="Arial" w:eastAsia="Arial" w:hAnsi="Arial" w:cs="Arial"/>
          <w:b/>
          <w:bCs/>
          <w:color w:val="000000"/>
          <w:sz w:val="24"/>
          <w:szCs w:val="24"/>
        </w:rPr>
        <w:t>Balance depth and breadth -</w:t>
      </w:r>
      <w:r>
        <w:rPr>
          <w:rFonts w:ascii="Arial" w:eastAsia="Arial" w:hAnsi="Arial" w:cs="Arial"/>
          <w:color w:val="000000"/>
          <w:sz w:val="24"/>
          <w:szCs w:val="24"/>
        </w:rPr>
        <w:t xml:space="preserve"> Concentrate on key areas and be sure that you are analyzing the key issues and focusing at the </w:t>
      </w:r>
      <w:r>
        <w:rPr>
          <w:rFonts w:ascii="Arial" w:eastAsia="Arial" w:hAnsi="Arial" w:cs="Arial"/>
          <w:color w:val="000000"/>
          <w:sz w:val="24"/>
          <w:szCs w:val="24"/>
        </w:rPr>
        <w:t>same time discussing several areas.</w:t>
      </w:r>
    </w:p>
    <w:p w:rsidR="003C3166" w:rsidRDefault="00C857E6">
      <w:pPr>
        <w:numPr>
          <w:ilvl w:val="0"/>
          <w:numId w:val="3"/>
        </w:numPr>
        <w:pBdr>
          <w:top w:val="nil"/>
          <w:left w:val="nil"/>
          <w:bottom w:val="nil"/>
          <w:right w:val="nil"/>
          <w:between w:val="nil"/>
        </w:pBdr>
        <w:spacing w:line="360" w:lineRule="auto"/>
        <w:jc w:val="both"/>
        <w:rPr>
          <w:color w:val="000000"/>
          <w:sz w:val="24"/>
          <w:szCs w:val="24"/>
        </w:rPr>
      </w:pPr>
      <w:r>
        <w:rPr>
          <w:rFonts w:ascii="Arial" w:eastAsia="Arial" w:hAnsi="Arial" w:cs="Arial"/>
          <w:b/>
          <w:bCs/>
          <w:color w:val="000000"/>
          <w:sz w:val="24"/>
          <w:szCs w:val="24"/>
        </w:rPr>
        <w:t>Reflect during the process -</w:t>
      </w:r>
      <w:r>
        <w:rPr>
          <w:rFonts w:ascii="Arial" w:eastAsia="Arial" w:hAnsi="Arial" w:cs="Arial"/>
          <w:color w:val="000000"/>
          <w:sz w:val="24"/>
          <w:szCs w:val="24"/>
        </w:rPr>
        <w:t xml:space="preserve"> Have a research journal to note down challenges, solutions and insights to enhance the ability to make professional decisions and judgments.</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This action plan will enhance my quality of resear</w:t>
      </w:r>
      <w:r>
        <w:rPr>
          <w:rFonts w:ascii="Arial" w:eastAsia="Arial" w:hAnsi="Arial" w:cs="Arial"/>
          <w:sz w:val="24"/>
          <w:szCs w:val="24"/>
        </w:rPr>
        <w:t>ch, analytical rigor, and strategic sense in preparation of future research projects that are based on international business analysis, market evaluation, and corporate strategy.</w:t>
      </w:r>
    </w:p>
    <w:p w:rsidR="003C3166" w:rsidRDefault="003C3166">
      <w:pPr>
        <w:spacing w:line="360" w:lineRule="auto"/>
        <w:jc w:val="both"/>
      </w:pPr>
    </w:p>
    <w:p w:rsidR="003C3166" w:rsidRDefault="003C3166">
      <w:pPr>
        <w:spacing w:line="360" w:lineRule="auto"/>
        <w:jc w:val="both"/>
      </w:pPr>
    </w:p>
    <w:p w:rsidR="003C3166" w:rsidRDefault="003C3166">
      <w:pPr>
        <w:spacing w:line="360" w:lineRule="auto"/>
        <w:jc w:val="both"/>
      </w:pPr>
    </w:p>
    <w:p w:rsidR="003C3166" w:rsidRDefault="003C3166">
      <w:pPr>
        <w:spacing w:line="360" w:lineRule="auto"/>
        <w:jc w:val="both"/>
      </w:pPr>
    </w:p>
    <w:p w:rsidR="003C3166" w:rsidRDefault="003C3166">
      <w:pPr>
        <w:spacing w:line="360" w:lineRule="auto"/>
        <w:jc w:val="both"/>
      </w:pPr>
    </w:p>
    <w:p w:rsidR="003C3166" w:rsidRDefault="00C857E6">
      <w:pPr>
        <w:pStyle w:val="Heading1"/>
      </w:pPr>
      <w:bookmarkStart w:id="38" w:name="_5zzj8nmi1hle" w:colFirst="0" w:colLast="0"/>
      <w:bookmarkEnd w:id="38"/>
      <w:r>
        <w:t xml:space="preserve">Reference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Bachmann, L. (2024) Tesla’s European Expansion and Market Dynamics. Berlin: Springer. </w:t>
      </w:r>
      <w:hyperlink r:id="rId13">
        <w:r>
          <w:rPr>
            <w:rFonts w:ascii="Arial" w:eastAsia="Arial" w:hAnsi="Arial" w:cs="Arial"/>
            <w:color w:val="0563C1"/>
            <w:sz w:val="24"/>
            <w:szCs w:val="24"/>
            <w:u w:val="single"/>
          </w:rPr>
          <w:t>https://link.springer.com/book/10.1007/978-3-031-25352-5</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BMW Group (2025) Annual Report 2024.</w:t>
      </w:r>
      <w:r>
        <w:rPr>
          <w:rFonts w:ascii="Arial" w:eastAsia="Arial" w:hAnsi="Arial" w:cs="Arial"/>
          <w:sz w:val="24"/>
          <w:szCs w:val="24"/>
        </w:rPr>
        <w:t xml:space="preserve"> Munich: BMW Group. </w:t>
      </w:r>
      <w:hyperlink r:id="rId14">
        <w:r>
          <w:rPr>
            <w:rFonts w:ascii="Arial" w:eastAsia="Arial" w:hAnsi="Arial" w:cs="Arial"/>
            <w:color w:val="0563C1"/>
            <w:sz w:val="24"/>
            <w:szCs w:val="24"/>
            <w:u w:val="single"/>
          </w:rPr>
          <w:t>https://www.bmwgroup.com/en/investor-relations/financial-reports.html</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Bundesministerium für Wirtschaft und Klimaschutz (BMWK) (2023) German Automo</w:t>
      </w:r>
      <w:r>
        <w:rPr>
          <w:rFonts w:ascii="Arial" w:eastAsia="Arial" w:hAnsi="Arial" w:cs="Arial"/>
          <w:sz w:val="24"/>
          <w:szCs w:val="24"/>
        </w:rPr>
        <w:t xml:space="preserve">tive Industry Report 2023. Berlin: BMWK. </w:t>
      </w:r>
      <w:hyperlink r:id="rId15">
        <w:r>
          <w:rPr>
            <w:rFonts w:ascii="Arial" w:eastAsia="Arial" w:hAnsi="Arial" w:cs="Arial"/>
            <w:color w:val="0563C1"/>
            <w:sz w:val="24"/>
            <w:szCs w:val="24"/>
            <w:u w:val="single"/>
          </w:rPr>
          <w:t>https://www.bmwk.de/Redaktion/EN/Publikationen/auto-industry-report.html</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Deutsche Bank Research (2022) Electric Mobility a</w:t>
      </w:r>
      <w:r>
        <w:rPr>
          <w:rFonts w:ascii="Arial" w:eastAsia="Arial" w:hAnsi="Arial" w:cs="Arial"/>
          <w:sz w:val="24"/>
          <w:szCs w:val="24"/>
        </w:rPr>
        <w:t xml:space="preserve">nd the German Auto Industry. Frankfurt: Deutsche Bank. </w:t>
      </w:r>
      <w:hyperlink r:id="rId16">
        <w:r>
          <w:rPr>
            <w:rFonts w:ascii="Arial" w:eastAsia="Arial" w:hAnsi="Arial" w:cs="Arial"/>
            <w:color w:val="0563C1"/>
            <w:sz w:val="24"/>
            <w:szCs w:val="24"/>
            <w:u w:val="single"/>
          </w:rPr>
          <w:t>https://www.dbresearch.com/servlet/reweb2.ReWEB</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ElPais (2025) ‘Toyota’s Profit Growth Outpaces European OEMs’, ElPais Business, 15 March. </w:t>
      </w:r>
      <w:hyperlink r:id="rId17">
        <w:r>
          <w:rPr>
            <w:rFonts w:ascii="Arial" w:eastAsia="Arial" w:hAnsi="Arial" w:cs="Arial"/>
            <w:color w:val="0563C1"/>
            <w:sz w:val="24"/>
            <w:szCs w:val="24"/>
            <w:u w:val="single"/>
          </w:rPr>
          <w:t>https://english.elpais.com/business/2025-03-15/toyotas-profit-growth</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European</w:t>
      </w:r>
      <w:r>
        <w:rPr>
          <w:rFonts w:ascii="Arial" w:eastAsia="Arial" w:hAnsi="Arial" w:cs="Arial"/>
          <w:sz w:val="24"/>
          <w:szCs w:val="24"/>
        </w:rPr>
        <w:t xml:space="preserve"> Automobile Manufacturers’ Association (ACEA) (2025) European Automotive Figures 2025. Brussels: ACEA. </w:t>
      </w:r>
      <w:hyperlink r:id="rId18">
        <w:r>
          <w:rPr>
            <w:rFonts w:ascii="Arial" w:eastAsia="Arial" w:hAnsi="Arial" w:cs="Arial"/>
            <w:color w:val="0563C1"/>
            <w:sz w:val="24"/>
            <w:szCs w:val="24"/>
            <w:u w:val="single"/>
          </w:rPr>
          <w:t>https://www.acea.auto/publications</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EVBoosters (2025) Trends in EV Technology and Production. Frank</w:t>
      </w:r>
      <w:r>
        <w:rPr>
          <w:rFonts w:ascii="Arial" w:eastAsia="Arial" w:hAnsi="Arial" w:cs="Arial"/>
          <w:sz w:val="24"/>
          <w:szCs w:val="24"/>
        </w:rPr>
        <w:t xml:space="preserve">furt: EVBoosters Press. </w:t>
      </w:r>
      <w:hyperlink r:id="rId19">
        <w:r>
          <w:rPr>
            <w:rFonts w:ascii="Arial" w:eastAsia="Arial" w:hAnsi="Arial" w:cs="Arial"/>
            <w:color w:val="0563C1"/>
            <w:sz w:val="24"/>
            <w:szCs w:val="24"/>
            <w:u w:val="single"/>
          </w:rPr>
          <w:t>https://www.evboosters.org/publications</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German Trade &amp; Invest (GTAI) (2024) Automotive Industry in Germany 2024. Berlin: GTAI. </w:t>
      </w:r>
      <w:hyperlink r:id="rId20">
        <w:r>
          <w:rPr>
            <w:rFonts w:ascii="Arial" w:eastAsia="Arial" w:hAnsi="Arial" w:cs="Arial"/>
            <w:color w:val="0563C1"/>
            <w:sz w:val="24"/>
            <w:szCs w:val="24"/>
            <w:u w:val="single"/>
          </w:rPr>
          <w:t>https://www.gtai.de/gtai-en/invest/industries/automotive</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International Energy Agency (IEA) (2023) Global EV Outlook 2023. Paris: IEA. </w:t>
      </w:r>
      <w:hyperlink r:id="rId21">
        <w:r>
          <w:rPr>
            <w:rFonts w:ascii="Arial" w:eastAsia="Arial" w:hAnsi="Arial" w:cs="Arial"/>
            <w:color w:val="0563C1"/>
            <w:sz w:val="24"/>
            <w:szCs w:val="24"/>
            <w:u w:val="single"/>
          </w:rPr>
          <w:t>https://www.iea.org/</w:t>
        </w:r>
        <w:r>
          <w:rPr>
            <w:rFonts w:ascii="Arial" w:eastAsia="Arial" w:hAnsi="Arial" w:cs="Arial"/>
            <w:color w:val="0563C1"/>
            <w:sz w:val="24"/>
            <w:szCs w:val="24"/>
            <w:u w:val="single"/>
          </w:rPr>
          <w:t>reports/global-ev-outlook-2023</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Kaiser, F. (2023) Electric Vehicle Policy and Market Trends in Germany. Munich: Springer. </w:t>
      </w:r>
      <w:hyperlink r:id="rId22">
        <w:r>
          <w:rPr>
            <w:rFonts w:ascii="Arial" w:eastAsia="Arial" w:hAnsi="Arial" w:cs="Arial"/>
            <w:color w:val="0563C1"/>
            <w:sz w:val="24"/>
            <w:szCs w:val="24"/>
            <w:u w:val="single"/>
          </w:rPr>
          <w:t>https://link.springer.com/book/10.1007/978-3-030-78972-6</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KPMG (2024) Global Automotive Executive Survey 2024. Amsterdam: KPMG. </w:t>
      </w:r>
      <w:hyperlink r:id="rId23">
        <w:r>
          <w:rPr>
            <w:rFonts w:ascii="Arial" w:eastAsia="Arial" w:hAnsi="Arial" w:cs="Arial"/>
            <w:color w:val="0563C1"/>
            <w:sz w:val="24"/>
            <w:szCs w:val="24"/>
            <w:u w:val="single"/>
          </w:rPr>
          <w:t>https://advisory.kpmg.us/articles/2024/global-automotive-executive-survey.html</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MarkLine</w:t>
      </w:r>
      <w:r>
        <w:rPr>
          <w:rFonts w:ascii="Arial" w:eastAsia="Arial" w:hAnsi="Arial" w:cs="Arial"/>
          <w:sz w:val="24"/>
          <w:szCs w:val="24"/>
        </w:rPr>
        <w:t xml:space="preserve">s (2025) Automotive Production and EV Supply Chains in Europe. Tokyo: MarkLines Publications. </w:t>
      </w:r>
      <w:hyperlink r:id="rId24">
        <w:r>
          <w:rPr>
            <w:rFonts w:ascii="Arial" w:eastAsia="Arial" w:hAnsi="Arial" w:cs="Arial"/>
            <w:color w:val="0563C1"/>
            <w:sz w:val="24"/>
            <w:szCs w:val="24"/>
            <w:u w:val="single"/>
          </w:rPr>
          <w:t>https://www.marklines.com/en/report/rep2666</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McKinsey &amp; Company (2023) The Future of Mobility 2023.</w:t>
      </w:r>
      <w:r>
        <w:rPr>
          <w:rFonts w:ascii="Arial" w:eastAsia="Arial" w:hAnsi="Arial" w:cs="Arial"/>
          <w:sz w:val="24"/>
          <w:szCs w:val="24"/>
        </w:rPr>
        <w:t xml:space="preserve"> New York: McKinsey &amp; Company. </w:t>
      </w:r>
      <w:hyperlink r:id="rId25">
        <w:r>
          <w:rPr>
            <w:rFonts w:ascii="Arial" w:eastAsia="Arial" w:hAnsi="Arial" w:cs="Arial"/>
            <w:color w:val="0563C1"/>
            <w:sz w:val="24"/>
            <w:szCs w:val="24"/>
            <w:u w:val="single"/>
          </w:rPr>
          <w:t>https://www.mckinsey.com/industries/automotive-and-assembly/our-insights</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Mangram, M.E. (2022) ‘Tesla’s Global Strategy and Innovatio</w:t>
      </w:r>
      <w:r>
        <w:rPr>
          <w:rFonts w:ascii="Arial" w:eastAsia="Arial" w:hAnsi="Arial" w:cs="Arial"/>
          <w:sz w:val="24"/>
          <w:szCs w:val="24"/>
        </w:rPr>
        <w:t xml:space="preserve">n in EVs’, Journal of Strategic Management, 14(3), pp. 45–62. </w:t>
      </w:r>
      <w:hyperlink r:id="rId26">
        <w:r>
          <w:rPr>
            <w:rFonts w:ascii="Arial" w:eastAsia="Arial" w:hAnsi="Arial" w:cs="Arial"/>
            <w:color w:val="0563C1"/>
            <w:sz w:val="24"/>
            <w:szCs w:val="24"/>
            <w:u w:val="single"/>
          </w:rPr>
          <w:t>https://www.researchgate.net/publication/359187550_Tesla_Global_Strategy</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Mercedes-Benz Group (2025) S</w:t>
      </w:r>
      <w:r>
        <w:rPr>
          <w:rFonts w:ascii="Arial" w:eastAsia="Arial" w:hAnsi="Arial" w:cs="Arial"/>
          <w:sz w:val="24"/>
          <w:szCs w:val="24"/>
        </w:rPr>
        <w:t xml:space="preserve">ustainability Report 2024. Stuttgart: Mercedes-Benz. </w:t>
      </w:r>
      <w:hyperlink r:id="rId27">
        <w:r>
          <w:rPr>
            <w:rFonts w:ascii="Arial" w:eastAsia="Arial" w:hAnsi="Arial" w:cs="Arial"/>
            <w:color w:val="0563C1"/>
            <w:sz w:val="24"/>
            <w:szCs w:val="24"/>
            <w:u w:val="single"/>
          </w:rPr>
          <w:t>https://group.mercedes-benz.com/sustainability/report</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Organisation for Economic Co-operation and Development (OECD) (2024) Green </w:t>
      </w:r>
      <w:r>
        <w:rPr>
          <w:rFonts w:ascii="Arial" w:eastAsia="Arial" w:hAnsi="Arial" w:cs="Arial"/>
          <w:sz w:val="24"/>
          <w:szCs w:val="24"/>
        </w:rPr>
        <w:t xml:space="preserve">Growth and Automotive Policy. Paris: OECD. </w:t>
      </w:r>
      <w:hyperlink r:id="rId28">
        <w:r>
          <w:rPr>
            <w:rFonts w:ascii="Arial" w:eastAsia="Arial" w:hAnsi="Arial" w:cs="Arial"/>
            <w:color w:val="0563C1"/>
            <w:sz w:val="24"/>
            <w:szCs w:val="24"/>
            <w:u w:val="single"/>
          </w:rPr>
          <w:t>https://www.oecd.org/greengrowth</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Porter, M.E. (2021) Competitive Advantage: Creating and Sustaining Superior Performance. New York: Free Press. </w:t>
      </w:r>
      <w:hyperlink r:id="rId29">
        <w:r>
          <w:rPr>
            <w:rFonts w:ascii="Arial" w:eastAsia="Arial" w:hAnsi="Arial" w:cs="Arial"/>
            <w:color w:val="0563C1"/>
            <w:sz w:val="24"/>
            <w:szCs w:val="24"/>
            <w:u w:val="single"/>
          </w:rPr>
          <w:t>https://www.hbs.edu/faculty/Pages/item.aspx?num=1365</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Reuters (2022) ‘Tesla’s Gigafactory Berlin: Opportunities and Challenges’, Reuters Automotive Reports, 18 July. </w:t>
      </w:r>
      <w:hyperlink r:id="rId30">
        <w:r>
          <w:rPr>
            <w:rFonts w:ascii="Arial" w:eastAsia="Arial" w:hAnsi="Arial" w:cs="Arial"/>
            <w:color w:val="0563C1"/>
            <w:sz w:val="24"/>
            <w:szCs w:val="24"/>
            <w:u w:val="single"/>
          </w:rPr>
          <w:t>https://www.reuters.com/business/autos-transportation/tesla-gigafactory-berlin-opportunities-challenges-2022</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Schmidt, R. and Krause, T. (2023) Inno</w:t>
      </w:r>
      <w:r>
        <w:rPr>
          <w:rFonts w:ascii="Arial" w:eastAsia="Arial" w:hAnsi="Arial" w:cs="Arial"/>
          <w:sz w:val="24"/>
          <w:szCs w:val="24"/>
        </w:rPr>
        <w:t xml:space="preserve">vation and Competitive Strategy in European Automotive Markets. Berlin: De Gruyter. </w:t>
      </w:r>
      <w:hyperlink r:id="rId31">
        <w:r>
          <w:rPr>
            <w:rFonts w:ascii="Arial" w:eastAsia="Arial" w:hAnsi="Arial" w:cs="Arial"/>
            <w:color w:val="0563C1"/>
            <w:sz w:val="24"/>
            <w:szCs w:val="24"/>
            <w:u w:val="single"/>
          </w:rPr>
          <w:t>https://www.degruyter.com/document/doi/10.1515/9783110826399/html</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Statista (2025) ‘Ele</w:t>
      </w:r>
      <w:r>
        <w:rPr>
          <w:rFonts w:ascii="Arial" w:eastAsia="Arial" w:hAnsi="Arial" w:cs="Arial"/>
          <w:sz w:val="24"/>
          <w:szCs w:val="24"/>
        </w:rPr>
        <w:t xml:space="preserve">ctric Vehicle Adoption in Germany’, Statista Mobility Market Insights. </w:t>
      </w:r>
      <w:hyperlink r:id="rId32">
        <w:r>
          <w:rPr>
            <w:rFonts w:ascii="Arial" w:eastAsia="Arial" w:hAnsi="Arial" w:cs="Arial"/>
            <w:color w:val="0563C1"/>
            <w:sz w:val="24"/>
            <w:szCs w:val="24"/>
            <w:u w:val="single"/>
          </w:rPr>
          <w:t>https://www.statista.com/topics/4068/electric-vehicles/</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Tesla, Inc. (2025) Impact Report 2024. Austin, TX: Te</w:t>
      </w:r>
      <w:r>
        <w:rPr>
          <w:rFonts w:ascii="Arial" w:eastAsia="Arial" w:hAnsi="Arial" w:cs="Arial"/>
          <w:sz w:val="24"/>
          <w:szCs w:val="24"/>
        </w:rPr>
        <w:t xml:space="preserve">sla, Inc. </w:t>
      </w:r>
      <w:hyperlink r:id="rId33">
        <w:r>
          <w:rPr>
            <w:rFonts w:ascii="Arial" w:eastAsia="Arial" w:hAnsi="Arial" w:cs="Arial"/>
            <w:color w:val="0563C1"/>
            <w:sz w:val="24"/>
            <w:szCs w:val="24"/>
            <w:u w:val="single"/>
          </w:rPr>
          <w:t>https://ir.nasdaq.com/static-files/tesla-impact-report-2024</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Tesla, Inc. (2023) Annual Report 2022. Austin, TX: Tesla, Inc. </w:t>
      </w:r>
      <w:hyperlink r:id="rId34">
        <w:r>
          <w:rPr>
            <w:rFonts w:ascii="Arial" w:eastAsia="Arial" w:hAnsi="Arial" w:cs="Arial"/>
            <w:color w:val="0563C1"/>
            <w:sz w:val="24"/>
            <w:szCs w:val="24"/>
            <w:u w:val="single"/>
          </w:rPr>
          <w:t>https://ir.nasdaq.com/static-files/tesla-2022-annual-report</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Union of Concerned Scientists (2024) ‘Electric Cars and Global Warming Emissions’, UCS Reports. </w:t>
      </w:r>
      <w:hyperlink r:id="rId35">
        <w:r>
          <w:rPr>
            <w:rFonts w:ascii="Arial" w:eastAsia="Arial" w:hAnsi="Arial" w:cs="Arial"/>
            <w:color w:val="0563C1"/>
            <w:sz w:val="24"/>
            <w:szCs w:val="24"/>
            <w:u w:val="single"/>
          </w:rPr>
          <w:t>https://www.ucsusa.org/resources/electric-cars-reduce-climate-warming</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Volkswagen AG (2025) Sustainability Report 2024. Wolfsburg: Volkswagen AG. </w:t>
      </w:r>
      <w:hyperlink r:id="rId36">
        <w:r>
          <w:rPr>
            <w:rFonts w:ascii="Arial" w:eastAsia="Arial" w:hAnsi="Arial" w:cs="Arial"/>
            <w:color w:val="0563C1"/>
            <w:sz w:val="24"/>
            <w:szCs w:val="24"/>
            <w:u w:val="single"/>
          </w:rPr>
          <w:t>https://www.v</w:t>
        </w:r>
        <w:r>
          <w:rPr>
            <w:rFonts w:ascii="Arial" w:eastAsia="Arial" w:hAnsi="Arial" w:cs="Arial"/>
            <w:color w:val="0563C1"/>
            <w:sz w:val="24"/>
            <w:szCs w:val="24"/>
            <w:u w:val="single"/>
          </w:rPr>
          <w:t>olkswagenag.com/en/sustainability.html</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Wifitalents (2026) Automotive Industry Overview and Germany Market Data 2026. Berlin: Wifitalents. </w:t>
      </w:r>
      <w:hyperlink r:id="rId37">
        <w:r>
          <w:rPr>
            <w:rFonts w:ascii="Arial" w:eastAsia="Arial" w:hAnsi="Arial" w:cs="Arial"/>
            <w:color w:val="0563C1"/>
            <w:sz w:val="24"/>
            <w:szCs w:val="24"/>
            <w:u w:val="single"/>
          </w:rPr>
          <w:t>https://www.wifitalents.com/automotive-industry</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Welt (2026) Electric Vehicle Adoption Trends in Germany. Berlin: Welt Verlag. </w:t>
      </w:r>
      <w:hyperlink r:id="rId38">
        <w:r>
          <w:rPr>
            <w:rFonts w:ascii="Arial" w:eastAsia="Arial" w:hAnsi="Arial" w:cs="Arial"/>
            <w:color w:val="0563C1"/>
            <w:sz w:val="24"/>
            <w:szCs w:val="24"/>
            <w:u w:val="single"/>
          </w:rPr>
          <w:t>https://www.welt.de/wirtschaft/article2564123</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World Bank (2023) World Development Indicators: Manufacturing Indu</w:t>
      </w:r>
      <w:r>
        <w:rPr>
          <w:rFonts w:ascii="Arial" w:eastAsia="Arial" w:hAnsi="Arial" w:cs="Arial"/>
          <w:sz w:val="24"/>
          <w:szCs w:val="24"/>
        </w:rPr>
        <w:t xml:space="preserve">stry Data. Washington, DC: World Bank. </w:t>
      </w:r>
      <w:hyperlink r:id="rId39">
        <w:r>
          <w:rPr>
            <w:rFonts w:ascii="Arial" w:eastAsia="Arial" w:hAnsi="Arial" w:cs="Arial"/>
            <w:color w:val="0563C1"/>
            <w:sz w:val="24"/>
            <w:szCs w:val="24"/>
            <w:u w:val="single"/>
          </w:rPr>
          <w:t>https://databank.worldbank.org/source/world-development-indicators</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World Economic Forum (2024) Global Automotive Transformation Report. Geneva: WEF. </w:t>
      </w:r>
      <w:hyperlink r:id="rId40">
        <w:r>
          <w:rPr>
            <w:rFonts w:ascii="Arial" w:eastAsia="Arial" w:hAnsi="Arial" w:cs="Arial"/>
            <w:color w:val="0563C1"/>
            <w:sz w:val="24"/>
            <w:szCs w:val="24"/>
            <w:u w:val="single"/>
          </w:rPr>
          <w:t>https://www.weforum.org/reports/global-automotive</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XPeng Motors (2025) XPeng European Strategy Whitepaper</w:t>
      </w:r>
      <w:r>
        <w:rPr>
          <w:rFonts w:ascii="Arial" w:eastAsia="Arial" w:hAnsi="Arial" w:cs="Arial"/>
          <w:sz w:val="24"/>
          <w:szCs w:val="24"/>
        </w:rPr>
        <w:t xml:space="preserve">. Guangzhou: XPeng Motors. </w:t>
      </w:r>
      <w:hyperlink r:id="rId41">
        <w:r>
          <w:rPr>
            <w:rFonts w:ascii="Arial" w:eastAsia="Arial" w:hAnsi="Arial" w:cs="Arial"/>
            <w:color w:val="0563C1"/>
            <w:sz w:val="24"/>
            <w:szCs w:val="24"/>
            <w:u w:val="single"/>
          </w:rPr>
          <w:t>https://global.xpeng.com/news</w:t>
        </w:r>
      </w:hyperlink>
      <w:r>
        <w:rPr>
          <w:rFonts w:ascii="Arial" w:eastAsia="Arial" w:hAnsi="Arial" w:cs="Arial"/>
          <w:sz w:val="24"/>
          <w:szCs w:val="24"/>
        </w:rPr>
        <w:t xml:space="preserve"> </w:t>
      </w:r>
    </w:p>
    <w:p w:rsidR="003C3166" w:rsidRDefault="00C857E6">
      <w:pPr>
        <w:spacing w:line="360" w:lineRule="auto"/>
        <w:jc w:val="both"/>
        <w:rPr>
          <w:rFonts w:ascii="Arial" w:eastAsia="Arial" w:hAnsi="Arial" w:cs="Arial"/>
          <w:sz w:val="24"/>
          <w:szCs w:val="24"/>
        </w:rPr>
      </w:pPr>
      <w:r>
        <w:rPr>
          <w:rFonts w:ascii="Arial" w:eastAsia="Arial" w:hAnsi="Arial" w:cs="Arial"/>
          <w:sz w:val="24"/>
          <w:szCs w:val="24"/>
        </w:rPr>
        <w:t xml:space="preserve">ZipDo (2025) ‘German Automotive Export Statistics’, ZipDo Mobility Data Reports. </w:t>
      </w:r>
      <w:hyperlink r:id="rId42">
        <w:r>
          <w:rPr>
            <w:rFonts w:ascii="Arial" w:eastAsia="Arial" w:hAnsi="Arial" w:cs="Arial"/>
            <w:color w:val="0563C1"/>
            <w:sz w:val="24"/>
            <w:szCs w:val="24"/>
            <w:u w:val="single"/>
          </w:rPr>
          <w:t>https://zipdo</w:t>
        </w:r>
        <w:r>
          <w:rPr>
            <w:rFonts w:ascii="Arial" w:eastAsia="Arial" w:hAnsi="Arial" w:cs="Arial"/>
            <w:color w:val="0563C1"/>
            <w:sz w:val="24"/>
            <w:szCs w:val="24"/>
            <w:u w:val="single"/>
          </w:rPr>
          <w:t>.co/automotive-reports</w:t>
        </w:r>
      </w:hyperlink>
      <w:r>
        <w:rPr>
          <w:rFonts w:ascii="Arial" w:eastAsia="Arial" w:hAnsi="Arial" w:cs="Arial"/>
          <w:sz w:val="24"/>
          <w:szCs w:val="24"/>
        </w:rPr>
        <w:t xml:space="preserve"> </w:t>
      </w:r>
    </w:p>
    <w:sectPr w:rsidR="003C3166">
      <w:footerReference w:type="default" r:id="rId4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57E6" w:rsidRDefault="00C857E6">
      <w:pPr>
        <w:spacing w:after="0" w:line="240" w:lineRule="auto"/>
      </w:pPr>
      <w:r>
        <w:separator/>
      </w:r>
    </w:p>
  </w:endnote>
  <w:endnote w:type="continuationSeparator" w:id="0">
    <w:p w:rsidR="00C857E6" w:rsidRDefault="00C85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charset w:val="00"/>
    <w:family w:val="auto"/>
    <w:pitch w:val="default"/>
    <w:embedRegular r:id="rId1" w:fontKey="{5C247C98-52F5-4742-8304-97EAD20AE297}"/>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246997F5-33F4-4AF3-968B-743C23D447B7}"/>
    <w:embedBold r:id="rId3" w:fontKey="{FB225651-02B2-4C94-8EA9-ACAFAEEB27EF}"/>
    <w:embedItalic r:id="rId4" w:fontKey="{0C4412E0-BFCB-4154-9C22-6E39E18BB5E8}"/>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5" w:fontKey="{7F831C3A-A028-4CDF-A65C-7CE3B230EB2A}"/>
  </w:font>
  <w:font w:name="Cambria">
    <w:panose1 w:val="02040503050406030204"/>
    <w:charset w:val="00"/>
    <w:family w:val="roman"/>
    <w:pitch w:val="variable"/>
    <w:sig w:usb0="E00006FF" w:usb1="420024FF" w:usb2="02000000" w:usb3="00000000" w:csb0="0000019F" w:csb1="00000000"/>
    <w:embedRegular r:id="rId6" w:fontKey="{64CCA96B-8AB6-49B9-9EBC-6154362FA78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166" w:rsidRDefault="00C857E6">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sidR="004A144C">
      <w:rPr>
        <w:color w:val="000000"/>
      </w:rPr>
      <w:fldChar w:fldCharType="separate"/>
    </w:r>
    <w:r w:rsidR="004A144C">
      <w:rPr>
        <w:noProof/>
        <w:color w:val="000000"/>
      </w:rPr>
      <w:t>2</w:t>
    </w:r>
    <w:r>
      <w:rPr>
        <w:color w:val="000000"/>
      </w:rPr>
      <w:fldChar w:fldCharType="end"/>
    </w:r>
  </w:p>
  <w:p w:rsidR="003C3166" w:rsidRDefault="003C316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57E6" w:rsidRDefault="00C857E6">
      <w:pPr>
        <w:spacing w:after="0" w:line="240" w:lineRule="auto"/>
      </w:pPr>
      <w:r>
        <w:separator/>
      </w:r>
    </w:p>
  </w:footnote>
  <w:footnote w:type="continuationSeparator" w:id="0">
    <w:p w:rsidR="00C857E6" w:rsidRDefault="00C857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42F87"/>
    <w:multiLevelType w:val="multilevel"/>
    <w:tmpl w:val="06321F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4340248E"/>
    <w:multiLevelType w:val="multilevel"/>
    <w:tmpl w:val="4D1ECF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47543809"/>
    <w:multiLevelType w:val="multilevel"/>
    <w:tmpl w:val="EC6478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66"/>
    <w:rsid w:val="003C3166"/>
    <w:rsid w:val="004A144C"/>
    <w:rsid w:val="00C85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600114-17B8-4C0F-B5AF-7BCC07283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rFonts w:ascii="Arial" w:eastAsia="Arial" w:hAnsi="Arial" w:cs="Arial"/>
      <w:b/>
      <w:bCs/>
      <w:color w:val="000000"/>
      <w:sz w:val="32"/>
      <w:szCs w:val="32"/>
    </w:rPr>
  </w:style>
  <w:style w:type="paragraph" w:styleId="Heading2">
    <w:name w:val="heading 2"/>
    <w:basedOn w:val="Normal"/>
    <w:next w:val="Normal"/>
    <w:pPr>
      <w:keepNext/>
      <w:keepLines/>
      <w:spacing w:before="40" w:after="0"/>
      <w:outlineLvl w:val="1"/>
    </w:pPr>
    <w:rPr>
      <w:rFonts w:ascii="Arial" w:eastAsia="Arial" w:hAnsi="Arial" w:cs="Arial"/>
      <w:b/>
      <w:bCs/>
      <w:color w:val="000000"/>
      <w:sz w:val="28"/>
      <w:szCs w:val="28"/>
    </w:rPr>
  </w:style>
  <w:style w:type="paragraph" w:styleId="Heading3">
    <w:name w:val="heading 3"/>
    <w:basedOn w:val="Normal"/>
    <w:next w:val="Normal"/>
    <w:pPr>
      <w:keepNext/>
      <w:keepLines/>
      <w:spacing w:before="40" w:after="0"/>
      <w:outlineLvl w:val="2"/>
    </w:pPr>
    <w:rPr>
      <w:rFonts w:ascii="Arial" w:eastAsia="Arial" w:hAnsi="Arial" w:cs="Arial"/>
      <w:b/>
      <w:bCs/>
      <w:color w:val="000000"/>
      <w:sz w:val="24"/>
      <w:szCs w:val="24"/>
    </w:rPr>
  </w:style>
  <w:style w:type="paragraph" w:styleId="Heading4">
    <w:name w:val="heading 4"/>
    <w:basedOn w:val="Normal"/>
    <w:next w:val="Normal"/>
    <w:pPr>
      <w:keepNext/>
      <w:keepLines/>
      <w:spacing w:before="40" w:after="0"/>
      <w:outlineLvl w:val="3"/>
    </w:pPr>
    <w:rPr>
      <w:i/>
      <w:iCs/>
      <w:color w:val="2E75B5"/>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link.springer.com/book/10.1007/978-3-031-25352-5" TargetMode="External"/><Relationship Id="rId18" Type="http://schemas.openxmlformats.org/officeDocument/2006/relationships/hyperlink" Target="https://www.acea.auto/publications" TargetMode="External"/><Relationship Id="rId26" Type="http://schemas.openxmlformats.org/officeDocument/2006/relationships/hyperlink" Target="https://www.researchgate.net/publication/359187550_Tesla_Global_Strategy" TargetMode="External"/><Relationship Id="rId39" Type="http://schemas.openxmlformats.org/officeDocument/2006/relationships/hyperlink" Target="https://databank.worldbank.org/source/world-development-indicators" TargetMode="External"/><Relationship Id="rId21" Type="http://schemas.openxmlformats.org/officeDocument/2006/relationships/hyperlink" Target="https://www.iea.org/reports/global-ev-outlook-2023" TargetMode="External"/><Relationship Id="rId34" Type="http://schemas.openxmlformats.org/officeDocument/2006/relationships/hyperlink" Target="https://ir.nasdaq.com/static-files/tesla-2022-annual-report" TargetMode="External"/><Relationship Id="rId42" Type="http://schemas.openxmlformats.org/officeDocument/2006/relationships/hyperlink" Target="https://zipdo.co/automotive-report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dbresearch.com/servlet/reweb2.ReWEB" TargetMode="External"/><Relationship Id="rId29" Type="http://schemas.openxmlformats.org/officeDocument/2006/relationships/hyperlink" Target="https://www.hbs.edu/faculty/Pages/item.aspx?num=136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marklines.com/en/report/rep2666" TargetMode="External"/><Relationship Id="rId32" Type="http://schemas.openxmlformats.org/officeDocument/2006/relationships/hyperlink" Target="https://www.statista.com/topics/4068/electric-vehicles/" TargetMode="External"/><Relationship Id="rId37" Type="http://schemas.openxmlformats.org/officeDocument/2006/relationships/hyperlink" Target="https://www.wifitalents.com/automotive-industry" TargetMode="External"/><Relationship Id="rId40" Type="http://schemas.openxmlformats.org/officeDocument/2006/relationships/hyperlink" Target="https://www.weforum.org/reports/global-automotive"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mwk.de/Redaktion/EN/Publikationen/auto-industry-report.html" TargetMode="External"/><Relationship Id="rId23" Type="http://schemas.openxmlformats.org/officeDocument/2006/relationships/hyperlink" Target="https://advisory.kpmg.us/articles/2024/global-automotive-executive-survey.html" TargetMode="External"/><Relationship Id="rId28" Type="http://schemas.openxmlformats.org/officeDocument/2006/relationships/hyperlink" Target="https://www.oecd.org/greengrowth" TargetMode="External"/><Relationship Id="rId36" Type="http://schemas.openxmlformats.org/officeDocument/2006/relationships/hyperlink" Target="https://www.volkswagenag.com/en/sustainability.html" TargetMode="External"/><Relationship Id="rId10" Type="http://schemas.openxmlformats.org/officeDocument/2006/relationships/image" Target="media/image4.png"/><Relationship Id="rId19" Type="http://schemas.openxmlformats.org/officeDocument/2006/relationships/hyperlink" Target="https://www.evboosters.org/publications" TargetMode="External"/><Relationship Id="rId31" Type="http://schemas.openxmlformats.org/officeDocument/2006/relationships/hyperlink" Target="https://www.degruyter.com/document/doi/10.1515/9783110826399/html"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mwgroup.com/en/investor-relations/financial-reports.html" TargetMode="External"/><Relationship Id="rId22" Type="http://schemas.openxmlformats.org/officeDocument/2006/relationships/hyperlink" Target="https://link.springer.com/book/10.1007/978-3-030-78972-6" TargetMode="External"/><Relationship Id="rId27" Type="http://schemas.openxmlformats.org/officeDocument/2006/relationships/hyperlink" Target="https://group.mercedes-benz.com/sustainability/report" TargetMode="External"/><Relationship Id="rId30" Type="http://schemas.openxmlformats.org/officeDocument/2006/relationships/hyperlink" Target="https://www.reuters.com/business/autos-transportation/tesla-gigafactory-berlin-opportunities-challenges-2022" TargetMode="External"/><Relationship Id="rId35" Type="http://schemas.openxmlformats.org/officeDocument/2006/relationships/hyperlink" Target="https://www.ucsusa.org/resources/electric-cars-reduce-climate-warming" TargetMode="External"/><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english.elpais.com/business/2025-03-15/toyotas-profit-growth" TargetMode="External"/><Relationship Id="rId25" Type="http://schemas.openxmlformats.org/officeDocument/2006/relationships/hyperlink" Target="https://www.mckinsey.com/industries/automotive-and-assembly/our-insights" TargetMode="External"/><Relationship Id="rId33" Type="http://schemas.openxmlformats.org/officeDocument/2006/relationships/hyperlink" Target="https://ir.nasdaq.com/static-files/tesla-impact-report-2024" TargetMode="External"/><Relationship Id="rId38" Type="http://schemas.openxmlformats.org/officeDocument/2006/relationships/hyperlink" Target="https://www.welt.de/wirtschaft/article2564123" TargetMode="External"/><Relationship Id="rId20" Type="http://schemas.openxmlformats.org/officeDocument/2006/relationships/hyperlink" Target="https://www.gtai.de/gtai-en/invest/industries/automotive" TargetMode="External"/><Relationship Id="rId41" Type="http://schemas.openxmlformats.org/officeDocument/2006/relationships/hyperlink" Target="https://global.xpeng.com/new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7254</Words>
  <Characters>41352</Characters>
  <Application>Microsoft Office Word</Application>
  <DocSecurity>0</DocSecurity>
  <Lines>344</Lines>
  <Paragraphs>97</Paragraphs>
  <ScaleCrop>false</ScaleCrop>
  <Company/>
  <LinksUpToDate>false</LinksUpToDate>
  <CharactersWithSpaces>48509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account</cp:lastModifiedBy>
  <cp:revision>2</cp:revision>
  <dcterms:created xsi:type="dcterms:W3CDTF">2026-03-19T11:35:00Z</dcterms:created>
  <dcterms:modified xsi:type="dcterms:W3CDTF">2026-03-19T11:35:00Z</dcterms:modified>
</cp:coreProperties>
</file>