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E23291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D602B">
              <w:rPr>
                <w:rFonts w:ascii="Times New Roman" w:hAnsi="Times New Roman" w:cs="Times New Roman"/>
                <w:b/>
                <w:color w:val="auto"/>
                <w:sz w:val="48"/>
              </w:rPr>
              <w:t>Tanya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7950391E" w14:textId="214279BA" w:rsidR="00BD602B" w:rsidRDefault="009C337F" w:rsidP="0099348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D602B">
              <w:rPr>
                <w:rFonts w:ascii="Times New Roman" w:hAnsi="Times New Roman" w:cs="Times New Roman"/>
                <w:b/>
                <w:color w:val="auto"/>
                <w:sz w:val="48"/>
              </w:rPr>
              <w:t xml:space="preserve"> </w:t>
            </w:r>
            <w:r w:rsidR="0099348C">
              <w:rPr>
                <w:rFonts w:ascii="Times New Roman" w:hAnsi="Times New Roman" w:cs="Times New Roman"/>
                <w:b/>
                <w:sz w:val="48"/>
              </w:rPr>
              <w:t>2320477@student.uwtsd.ac.uk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ECD1940" w14:textId="77777777" w:rsidR="00BD602B" w:rsidRDefault="0085230E" w:rsidP="00BD602B">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D602B">
              <w:rPr>
                <w:rFonts w:ascii="Times New Roman" w:hAnsi="Times New Roman" w:cs="Times New Roman"/>
                <w:b/>
                <w:color w:val="auto"/>
                <w:sz w:val="48"/>
              </w:rPr>
              <w:t xml:space="preserve"> </w:t>
            </w:r>
          </w:p>
          <w:p w14:paraId="3FA6310E" w14:textId="4E7EBAB2" w:rsidR="00BD602B" w:rsidRDefault="00BD602B" w:rsidP="00BD602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2320477</w:t>
            </w:r>
          </w:p>
          <w:p w14:paraId="0DE696B2" w14:textId="65B4B655"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61CAB206" w:rsidR="00D3203C" w:rsidRDefault="00D3203C" w:rsidP="00FF7EBB">
            <w:pPr>
              <w:jc w:val="both"/>
              <w:rPr>
                <w:i/>
                <w:sz w:val="24"/>
                <w:szCs w:val="24"/>
              </w:rPr>
            </w:pPr>
          </w:p>
          <w:p w14:paraId="375AF9A0" w14:textId="77777777" w:rsidR="00BD602B" w:rsidRPr="00BD602B" w:rsidRDefault="00BD602B" w:rsidP="00BD602B">
            <w:pPr>
              <w:jc w:val="both"/>
              <w:rPr>
                <w:color w:val="000000" w:themeColor="text1"/>
                <w:sz w:val="24"/>
                <w:szCs w:val="24"/>
              </w:rPr>
            </w:pPr>
            <w:r w:rsidRPr="00BD602B">
              <w:rPr>
                <w:color w:val="000000" w:themeColor="text1"/>
                <w:sz w:val="24"/>
                <w:szCs w:val="24"/>
              </w:rPr>
              <w:t>This essay will reflect on an assessment I have undertaken concerning the safeguarding of an adult. It will explore the different legislation that was used and considered during this piece of work, and the importance of collaborative working and professional judgement in increasingly complex situations. I will refer to the individual as 3 throughout this essay.</w:t>
            </w:r>
          </w:p>
          <w:p w14:paraId="382735EF" w14:textId="77777777" w:rsidR="00BD602B" w:rsidRPr="00BD602B" w:rsidRDefault="00BD602B" w:rsidP="00BD602B">
            <w:pPr>
              <w:jc w:val="both"/>
              <w:rPr>
                <w:color w:val="000000" w:themeColor="text1"/>
                <w:sz w:val="24"/>
                <w:szCs w:val="24"/>
              </w:rPr>
            </w:pPr>
          </w:p>
          <w:p w14:paraId="534CDE40" w14:textId="77777777" w:rsidR="00BD602B" w:rsidRPr="00BD602B" w:rsidRDefault="00BD602B" w:rsidP="00BD602B">
            <w:pPr>
              <w:jc w:val="both"/>
              <w:rPr>
                <w:color w:val="000000" w:themeColor="text1"/>
                <w:sz w:val="24"/>
                <w:szCs w:val="24"/>
              </w:rPr>
            </w:pPr>
            <w:r w:rsidRPr="00BD602B">
              <w:rPr>
                <w:color w:val="000000" w:themeColor="text1"/>
                <w:sz w:val="24"/>
                <w:szCs w:val="24"/>
              </w:rPr>
              <w:t xml:space="preserve">3 is an elderly individual living in a residential home. 3 has been open to myself due to diagnosis of a mental health disorder, and to review annually the suitability of her placement. Age Cymru (2022) highlights that once a service is provided, it must be monitored and reviewed to confirm that it is appropriate and safe and that there hasn't been any change to the individual's needs. 3 has been living in Wales for 20 years, but an ordinary resident to America. Therefore, 3’s first language is English, and it has been the language we communicate in. While I am aware and follow the Welsh Government’s strategic framework ‘More Than Just Words’, where the core principle is the ‘the Active Offer’. It places a responsibility on health and social care providers to offer services in Welsh, rather than on the patient or service user to have to request them (Welsh Government 2022). In this situation, I communicated with 3 in their preferred language English, as the codes of professional practice 1.4 highlights we should work with individuals in ways that respect their preferences, culture and language (Social Care Wales, 2017). If 3 would have been a Welsh speaker, I would have initiated the conversation in Welsh and ensured that they had the opportunity to choose what language they preferred. </w:t>
            </w:r>
          </w:p>
          <w:p w14:paraId="46F72194" w14:textId="77777777" w:rsidR="00BD602B" w:rsidRPr="00BD602B" w:rsidRDefault="00BD602B" w:rsidP="00BD602B">
            <w:pPr>
              <w:jc w:val="both"/>
              <w:rPr>
                <w:color w:val="000000" w:themeColor="text1"/>
                <w:sz w:val="24"/>
                <w:szCs w:val="24"/>
              </w:rPr>
            </w:pPr>
          </w:p>
          <w:p w14:paraId="11D00CED" w14:textId="77777777" w:rsidR="00BD602B" w:rsidRPr="00BD602B" w:rsidRDefault="00BD602B" w:rsidP="00BD602B">
            <w:pPr>
              <w:jc w:val="both"/>
              <w:rPr>
                <w:color w:val="000000" w:themeColor="text1"/>
                <w:sz w:val="24"/>
                <w:szCs w:val="24"/>
              </w:rPr>
            </w:pPr>
            <w:r w:rsidRPr="00BD602B">
              <w:rPr>
                <w:color w:val="000000" w:themeColor="text1"/>
                <w:sz w:val="24"/>
                <w:szCs w:val="24"/>
              </w:rPr>
              <w:lastRenderedPageBreak/>
              <w:t xml:space="preserve">A safeguarding referral was completed under part 7 of the Social Service and Well-being (Wales) Act 2014 (SSWB(W), 2014). The Wales Safeguarding Procedures (2020) identifies safeguarding as preventing and protecting children and adults at risk from abuse or neglect and educating those around them to recognise the signs and dangers. This safeguarding concern was identified as ‘risk of neglect’, Wales Safeguarding Procedures (2020) describes neglect as a failure to meet an individual’s basic needs physical, emotional, social or psychological needs, which is likely to result in an impairment of the person’s well-being. The concerns were regarding the suitability of the home, the lift in the home was broken, was not repaired in a timely manner, there was fire risks identified by the fire department, lack of risk assessment and lack of appropriate staffing to manage if an emergency occurred within the home. After a referral was completed, initial checks were made to ensure information was correct, confirm consent, and establish if other people were at risk (Wales Safeguarding Procedures, 2020). Wales Safeguarding Procedures (2020) are clear that professionals should aim to seek consent from the adult where possible, however the professional that made the safeguarding concern felt due to the degree of risk and that it affected many individuals to make the report. During the ‘initial check’ stage, I made a visit to 3 to gather more information, and discussed the safeguarding concern, my professional opinion was that 3 did not have the capacity to consent to the referral. The outcome of the enquiry was ‘reasonable cause to suspect an adult is at risk’, therefore an enquiry was made under section 126 of the SSWB(W), 2014. It places duty on local authorities to carry out an investigation where it suspects that a person is an ‘adult at risk’. </w:t>
            </w:r>
          </w:p>
          <w:p w14:paraId="758C919F" w14:textId="77777777" w:rsidR="00BD602B" w:rsidRPr="00BD602B" w:rsidRDefault="00BD602B" w:rsidP="00BD602B">
            <w:pPr>
              <w:jc w:val="both"/>
              <w:rPr>
                <w:color w:val="000000" w:themeColor="text1"/>
                <w:sz w:val="24"/>
                <w:szCs w:val="24"/>
              </w:rPr>
            </w:pPr>
          </w:p>
          <w:p w14:paraId="4BE6FD7F" w14:textId="77777777" w:rsidR="00BD602B" w:rsidRDefault="00BD602B" w:rsidP="00BD602B">
            <w:pPr>
              <w:jc w:val="both"/>
              <w:rPr>
                <w:color w:val="000000" w:themeColor="text1"/>
                <w:sz w:val="24"/>
                <w:szCs w:val="24"/>
              </w:rPr>
            </w:pPr>
            <w:r w:rsidRPr="00BD602B">
              <w:rPr>
                <w:color w:val="000000" w:themeColor="text1"/>
                <w:sz w:val="24"/>
                <w:szCs w:val="24"/>
              </w:rPr>
              <w:t>Section 126 enquires should be completed within 7 working days, and professionals should ensure they are person centered, by engaging with the adult at each stage and ensuring they are aware of their rights and empowering adult to determine how risks are managed (Wales Safeguarding Procedures, 2020). Due to the risks, residents had the option to move to another facility if they wished to and had the capacity to make this decision. Individual 3 has a mental health diagnosis, where they experience delusional thoughts, therefore having a conversation regarding their accommodation needs and to identify what was important to 3 was difficult. 3 was able to participate in small conversation on topics that were of interested to them, but only for a short period. Therefore, I followed the guidance of The Mental Capacity Act 2005 (MCA 2005) in this situation to ensure I followed the necessary steps to safeguard 3 from harm. The MCA 2005 is the legislation that is used to assess if individuals have the ability to make decisions for themselves (Johns, 2020).</w:t>
            </w:r>
          </w:p>
          <w:p w14:paraId="136FC039" w14:textId="77777777" w:rsidR="00BD602B" w:rsidRDefault="00BD602B" w:rsidP="00BD602B">
            <w:pPr>
              <w:jc w:val="both"/>
              <w:rPr>
                <w:color w:val="000000" w:themeColor="text1"/>
                <w:sz w:val="24"/>
                <w:szCs w:val="24"/>
              </w:rPr>
            </w:pPr>
          </w:p>
          <w:p w14:paraId="30AE3123" w14:textId="7A415B03" w:rsidR="00BD602B" w:rsidRDefault="00BD602B" w:rsidP="00BD602B">
            <w:pPr>
              <w:jc w:val="both"/>
              <w:rPr>
                <w:color w:val="000000" w:themeColor="text1"/>
                <w:sz w:val="24"/>
                <w:szCs w:val="24"/>
              </w:rPr>
            </w:pPr>
            <w:r w:rsidRPr="00BD602B">
              <w:rPr>
                <w:color w:val="000000" w:themeColor="text1"/>
                <w:sz w:val="24"/>
                <w:szCs w:val="24"/>
              </w:rPr>
              <w:t xml:space="preserve">I conducted a mental capacity assessment with 3, regarding making decisions on her accommodation and care needs. I familiarised myself with the codes of practice of the MCA 2005 to ensure I was up to date. I ensured I followed the principles of the MCA 2005 by ensuring enough support was given to 3 to participate in the assessment, ensuring staff was present to support 3, ensuring they were in a safe and quiet setting and allowed plenty of time. After conducting this assessment, I was then able to make an informed professional judgement based on the information I had gathered, that 3 was suffering from an impairment or disturbance in the mind or brain affecting their ability to make an informed decision at the time, and that 3 lacked the capacity to make the decision around their accommodation and care needs. It was important that this assessment and information was recorded to support my decision, therefore I used the </w:t>
            </w:r>
            <w:r w:rsidR="009570B0">
              <w:rPr>
                <w:color w:val="000000" w:themeColor="text1"/>
                <w:sz w:val="24"/>
                <w:szCs w:val="24"/>
              </w:rPr>
              <w:t>l</w:t>
            </w:r>
            <w:r w:rsidRPr="00BD602B">
              <w:rPr>
                <w:color w:val="000000" w:themeColor="text1"/>
                <w:sz w:val="24"/>
                <w:szCs w:val="24"/>
              </w:rPr>
              <w:t xml:space="preserve">ocal </w:t>
            </w:r>
            <w:r w:rsidR="009570B0">
              <w:rPr>
                <w:color w:val="000000" w:themeColor="text1"/>
                <w:sz w:val="24"/>
                <w:szCs w:val="24"/>
              </w:rPr>
              <w:t>a</w:t>
            </w:r>
            <w:r w:rsidRPr="00BD602B">
              <w:rPr>
                <w:color w:val="000000" w:themeColor="text1"/>
                <w:sz w:val="24"/>
                <w:szCs w:val="24"/>
              </w:rPr>
              <w:t xml:space="preserve">uthority’s </w:t>
            </w:r>
            <w:r w:rsidR="009570B0">
              <w:rPr>
                <w:color w:val="000000" w:themeColor="text1"/>
                <w:sz w:val="24"/>
                <w:szCs w:val="24"/>
              </w:rPr>
              <w:t>m</w:t>
            </w:r>
            <w:r w:rsidRPr="00BD602B">
              <w:rPr>
                <w:color w:val="000000" w:themeColor="text1"/>
                <w:sz w:val="24"/>
                <w:szCs w:val="24"/>
              </w:rPr>
              <w:t xml:space="preserve">ental </w:t>
            </w:r>
            <w:r w:rsidR="009570B0">
              <w:rPr>
                <w:color w:val="000000" w:themeColor="text1"/>
                <w:sz w:val="24"/>
                <w:szCs w:val="24"/>
              </w:rPr>
              <w:t>c</w:t>
            </w:r>
            <w:r w:rsidRPr="00BD602B">
              <w:rPr>
                <w:color w:val="000000" w:themeColor="text1"/>
                <w:sz w:val="24"/>
                <w:szCs w:val="24"/>
              </w:rPr>
              <w:t xml:space="preserve">apacity assessment template to </w:t>
            </w:r>
            <w:r w:rsidRPr="00BD602B">
              <w:rPr>
                <w:color w:val="000000" w:themeColor="text1"/>
                <w:sz w:val="24"/>
                <w:szCs w:val="24"/>
              </w:rPr>
              <w:lastRenderedPageBreak/>
              <w:t>evidence my decision and demonstrated how I used the principles of the Act to support 3 during the assessment. Kline and Preston-Shoot (2012) highlights the importance for professionals to keep accurate and contemporaneous records of their work, to the standards expected in their particular area of work. The Code of Professionals Practice 6.2 highlights professionals should maintain clear and accurate records in accordance with legal and work setting requirements (Social Care Wales, 2017). 3 did not have any family that could support them through the process</w:t>
            </w:r>
            <w:r w:rsidR="000D293B">
              <w:rPr>
                <w:color w:val="000000" w:themeColor="text1"/>
                <w:sz w:val="24"/>
                <w:szCs w:val="24"/>
              </w:rPr>
              <w:t xml:space="preserve">, therefore </w:t>
            </w:r>
            <w:r w:rsidRPr="00BD602B">
              <w:rPr>
                <w:color w:val="000000" w:themeColor="text1"/>
                <w:sz w:val="24"/>
                <w:szCs w:val="24"/>
              </w:rPr>
              <w:t>I referred 3 for an Independent Mental Capacity Advocate (IMCA). IMCA is an advocate appointed to act on individual’s behalf if they lack capacity to make certain decisions (Mind, 2017). The IMCA service principles are to promote independence, challenge unfairness and preventing unfair treatment and look after and protecting individual</w:t>
            </w:r>
            <w:r w:rsidR="002D6334">
              <w:rPr>
                <w:color w:val="000000" w:themeColor="text1"/>
                <w:sz w:val="24"/>
                <w:szCs w:val="24"/>
              </w:rPr>
              <w:t>’s</w:t>
            </w:r>
            <w:r w:rsidRPr="00BD602B">
              <w:rPr>
                <w:color w:val="000000" w:themeColor="text1"/>
                <w:sz w:val="24"/>
                <w:szCs w:val="24"/>
              </w:rPr>
              <w:t xml:space="preserve"> rights (CADMHAS, 2024). </w:t>
            </w:r>
          </w:p>
          <w:p w14:paraId="07E1196E" w14:textId="77777777" w:rsidR="00BD602B" w:rsidRDefault="00BD602B" w:rsidP="00BD602B">
            <w:pPr>
              <w:pStyle w:val="NormalWeb"/>
              <w:jc w:val="both"/>
              <w:rPr>
                <w:rFonts w:ascii="Arial" w:hAnsi="Arial" w:cs="Arial"/>
                <w:color w:val="000000" w:themeColor="text1"/>
              </w:rPr>
            </w:pPr>
            <w:r w:rsidRPr="00BD602B">
              <w:rPr>
                <w:rFonts w:ascii="Arial" w:hAnsi="Arial" w:cs="Arial"/>
                <w:color w:val="000000" w:themeColor="text1"/>
              </w:rPr>
              <w:t xml:space="preserve">The outcome of the S.126 was ‘adult at risk and action to protect is needed’. Therefore, a strategy discission was held. The strategy discussion is important to share information, agree on a protection plan in the interim, consider the level of risk, identify roles and responsibilities, and decide on a course of action (Wales Safeguarding Procedures, 2020). There can be more than one strategy meeting to review actions and desired outcomes. The strategy meeting was a multi-agency approach, as it is one of the main principle of the SSWB(W)A, 2014. Due to the concerns raised, Care Inspectorate Wales (CIW) were involved in the process. CIW are the independent regulator of social care in Wales, they register, inspect and take action to improve the quality and safety of services for the well-being of individuals in Wales (Care Inspectorate Wales, 2024). This is in line with the Regulation and Inspection of Social Care (Wales) Act 2016. This law protects the safety and well-being of individuals using services, there will be reports by service providers yearly which will be available for everyone to read, and Welsh Ministers will have more powers to intervene and deal with problems (Welsh Government, 2016). Local Authorities have a duty to respond to concerns about standards of care and the safeguarding of adults at risk. The meeting also consisted of the lead coordinator, the health board, fire department, and the Responsible Individual (RI) of the care home. Service providers have to have one named person who is responsible, the RI has to make sure all care and support is safe and meet people’s needs (Welsh Government, 2016). In this case the concerns raised were regarding the RI ability to manage the home safely. </w:t>
            </w:r>
          </w:p>
          <w:p w14:paraId="7F030F1D" w14:textId="0AAE6B62" w:rsidR="00BD602B" w:rsidRPr="00BD602B" w:rsidRDefault="00BD602B" w:rsidP="00BD602B">
            <w:pPr>
              <w:pStyle w:val="NormalWeb"/>
              <w:jc w:val="both"/>
              <w:rPr>
                <w:rFonts w:ascii="Arial" w:hAnsi="Arial" w:cs="Arial"/>
                <w:color w:val="000000" w:themeColor="text1"/>
              </w:rPr>
            </w:pPr>
            <w:r w:rsidRPr="00BD602B">
              <w:rPr>
                <w:rFonts w:ascii="Arial" w:hAnsi="Arial" w:cs="Arial"/>
                <w:color w:val="000000" w:themeColor="text1"/>
              </w:rPr>
              <w:t>My role in these meeting was to advocate on behalf of the individual I was supporting, and to use a person cent</w:t>
            </w:r>
            <w:r w:rsidR="00EB5E95">
              <w:rPr>
                <w:rFonts w:ascii="Arial" w:hAnsi="Arial" w:cs="Arial"/>
                <w:color w:val="000000" w:themeColor="text1"/>
              </w:rPr>
              <w:t>ered</w:t>
            </w:r>
            <w:r w:rsidRPr="00BD602B">
              <w:rPr>
                <w:rFonts w:ascii="Arial" w:hAnsi="Arial" w:cs="Arial"/>
                <w:color w:val="000000" w:themeColor="text1"/>
              </w:rPr>
              <w:t xml:space="preserve"> assessment to identify outcomes and manage the risks. There were more than one strategy meeting held due to intensity and to ensure the seven working days timescale set out by SSWB(W), 2014 were met. The purpose of these meeting was to identify ways the RI could resolve the difficulties, to ensure the residential home was safe, and individuals were cared for appropriately. Additionally, the agreed outcome between everyone was to ensure the home was kept open, and all residents could stay there as this would be the least restrictive outcome. The barriers the occurred was engagement with the RI. He presented with hostility and resistance, he did not see the concerns that were raised. The RI demonstrated some misogynistic attitude towards the professionals in the meeting. Misogyny has been a term used to refer to the punishment or control of women who challenge patriarchy/male dominance (Morley </w:t>
            </w:r>
            <w:r w:rsidRPr="00BD602B">
              <w:rPr>
                <w:rFonts w:ascii="Arial" w:hAnsi="Arial" w:cs="Arial"/>
                <w:i/>
                <w:iCs/>
                <w:color w:val="000000" w:themeColor="text1"/>
              </w:rPr>
              <w:t xml:space="preserve">et al, </w:t>
            </w:r>
            <w:r w:rsidRPr="00BD602B">
              <w:rPr>
                <w:rFonts w:ascii="Arial" w:hAnsi="Arial" w:cs="Arial"/>
                <w:color w:val="000000" w:themeColor="text1"/>
              </w:rPr>
              <w:t xml:space="preserve">2019). The professionals were all women, and the RI found it extremely difficult to accept guidance from women and would make sexist comment about women’s ability to guide and be in charge. The RI had an attitude that his views were the correct views, and therefore would not utilise any recommended changes to the residential </w:t>
            </w:r>
            <w:r w:rsidRPr="00BD602B">
              <w:rPr>
                <w:rFonts w:ascii="Arial" w:hAnsi="Arial" w:cs="Arial"/>
                <w:color w:val="000000" w:themeColor="text1"/>
              </w:rPr>
              <w:lastRenderedPageBreak/>
              <w:t>home, which was putting all residents at risk of harm. The RI was very intimidating towards everyone in the meeting, however it was still essential that as professionals we continued to challenge his opinion to advocate on behalf of the residents</w:t>
            </w:r>
            <w:r w:rsidR="00330D22">
              <w:rPr>
                <w:rFonts w:ascii="Arial" w:hAnsi="Arial" w:cs="Arial"/>
                <w:color w:val="000000" w:themeColor="text1"/>
              </w:rPr>
              <w:t>, and manage the risks appropriately.</w:t>
            </w:r>
          </w:p>
          <w:p w14:paraId="14EB1577" w14:textId="3D4CB9A5" w:rsidR="00BD602B" w:rsidRPr="00BD602B" w:rsidRDefault="00BD602B" w:rsidP="00BD602B">
            <w:pPr>
              <w:jc w:val="both"/>
              <w:rPr>
                <w:color w:val="000000" w:themeColor="text1"/>
                <w:sz w:val="24"/>
                <w:szCs w:val="24"/>
              </w:rPr>
            </w:pPr>
            <w:r w:rsidRPr="00BD602B">
              <w:rPr>
                <w:color w:val="000000" w:themeColor="text1"/>
                <w:sz w:val="24"/>
                <w:szCs w:val="24"/>
              </w:rPr>
              <w:t>A skill I believed I demonstrated well in those complex meeting was advocacy. Lindsay (2013) highlights that social work advocacy is representing individual needs to other agencies, negotiating on their behalf, accessing resource and utilising social policy and human right legislation to support claims, appeals and entitlements. The SSWB(W), 2014.</w:t>
            </w:r>
            <w:r w:rsidR="00330D22">
              <w:rPr>
                <w:color w:val="000000" w:themeColor="text1"/>
                <w:sz w:val="24"/>
                <w:szCs w:val="24"/>
              </w:rPr>
              <w:t xml:space="preserve"> C</w:t>
            </w:r>
            <w:r w:rsidRPr="00BD602B">
              <w:rPr>
                <w:color w:val="000000" w:themeColor="text1"/>
                <w:sz w:val="24"/>
                <w:szCs w:val="24"/>
              </w:rPr>
              <w:t>odes of practice part 10, states that advocacy should be considered an inherent element of the Act, and through advocacy, people are active partners in the key care and support process (Welsh Government, 2015). While advocating is an important skills to have as a social worker, it’s important to recognise that using this skills is not always easy. I found some of these meetings difficult, due to the behaviour and attitude of the RI, however I knew that I needed to advocate on behalf of the individual I was supporting, regardless if I found it uncomfortable. I challenged the opinion of the RI as they were making assumptions that all residents had the capacity to leave the property in case of a fire. I highlighted my opinion in the meeting to state we could not depend on the assumption that individuals with mental health diagnosis to act accordingly during a fire, and that they required enough staffing during the night shift to ensure everyone’s safety.</w:t>
            </w:r>
          </w:p>
          <w:p w14:paraId="10C9687B" w14:textId="77777777" w:rsidR="00BD602B" w:rsidRDefault="00BD602B" w:rsidP="00BD602B">
            <w:pPr>
              <w:jc w:val="both"/>
              <w:rPr>
                <w:color w:val="000000" w:themeColor="text1"/>
                <w:sz w:val="24"/>
                <w:szCs w:val="24"/>
              </w:rPr>
            </w:pPr>
          </w:p>
          <w:p w14:paraId="279FE718" w14:textId="09AE3FD1" w:rsidR="00BD602B" w:rsidRDefault="00BD602B" w:rsidP="00BD602B">
            <w:pPr>
              <w:jc w:val="both"/>
              <w:rPr>
                <w:color w:val="000000" w:themeColor="text1"/>
                <w:sz w:val="24"/>
                <w:szCs w:val="24"/>
              </w:rPr>
            </w:pPr>
            <w:r w:rsidRPr="00BD602B">
              <w:rPr>
                <w:color w:val="000000" w:themeColor="text1"/>
                <w:sz w:val="24"/>
                <w:szCs w:val="24"/>
              </w:rPr>
              <w:t xml:space="preserve">Due to the behaviour of the RI and that all agreed outcomes had not been achieved, despite a lot of support from the </w:t>
            </w:r>
            <w:r w:rsidR="00781683">
              <w:rPr>
                <w:color w:val="000000" w:themeColor="text1"/>
                <w:sz w:val="24"/>
                <w:szCs w:val="24"/>
              </w:rPr>
              <w:t>l</w:t>
            </w:r>
            <w:r w:rsidRPr="00BD602B">
              <w:rPr>
                <w:color w:val="000000" w:themeColor="text1"/>
                <w:sz w:val="24"/>
                <w:szCs w:val="24"/>
              </w:rPr>
              <w:t xml:space="preserve">ocal </w:t>
            </w:r>
            <w:r w:rsidR="00781683">
              <w:rPr>
                <w:color w:val="000000" w:themeColor="text1"/>
                <w:sz w:val="24"/>
                <w:szCs w:val="24"/>
              </w:rPr>
              <w:t>a</w:t>
            </w:r>
            <w:r w:rsidRPr="00BD602B">
              <w:rPr>
                <w:color w:val="000000" w:themeColor="text1"/>
                <w:sz w:val="24"/>
                <w:szCs w:val="24"/>
              </w:rPr>
              <w:t>uthority, and the increased risks to the overall-wellbeing of individuals. In a strategy meeting CIW and other professionals made the difficult situation to close the residential home as soon as possible and re-located all individuals to another residential home. It was essential during this process, that I had supervision with my manager who was also the designated safeguarding person within our team. Supervision has been recognised as key to developing and maintaining reflective social work practice (Hughes and Wearing, 2013). Therefore, it allowed opportunity to discuss case, have guidance and feedback. As a newly qualified social worker, I reflected a lot in this case, and it brought up a lot of important conversations around the difficulties of having different accountabilities in practice. Thompson (2015) highlights how essential it is for social workers to be accountable. However, the complexity is that social workers have multiple accountabilities, such as to the individuals, the law, organisations, regulatory bodies and the wider community (Kline and Preston-Shoot, 2012). The complexity I faced in this situation, was the least restrictive would be for 3 to stay in the home until the concerns were resolved. However, as a newly qualified social worker, I would be lying if I was not concerned about the risk involved if this happened. Research evidence states that moving older people from one care setting to another is recognised to be particularly stressful and can have adverse effects on health (Jolley et al, 2011). The research conducted by Jolley et al (2011), questioned if moving individuals from one care setting to another, was a breach of their human rights. The research discuss a particular case that went to court, were the judge found that relocation did constitute and interference with their private life, however it was pursued with a view to provide a better standard of care, and that every effort was made to minimise the impact of the move, therefore not an illegal act.</w:t>
            </w:r>
          </w:p>
          <w:p w14:paraId="0FD1309C" w14:textId="77777777" w:rsidR="00BD602B" w:rsidRPr="00BD602B" w:rsidRDefault="00BD602B" w:rsidP="00BD602B">
            <w:pPr>
              <w:jc w:val="both"/>
              <w:rPr>
                <w:color w:val="000000" w:themeColor="text1"/>
                <w:sz w:val="24"/>
                <w:szCs w:val="24"/>
              </w:rPr>
            </w:pPr>
          </w:p>
          <w:p w14:paraId="209525FB" w14:textId="77777777" w:rsidR="00BD602B" w:rsidRDefault="00BD602B" w:rsidP="00BD602B">
            <w:pPr>
              <w:pStyle w:val="NormalWeb"/>
              <w:jc w:val="both"/>
              <w:rPr>
                <w:rFonts w:ascii="Arial" w:hAnsi="Arial" w:cs="Arial"/>
                <w:color w:val="000000" w:themeColor="text1"/>
              </w:rPr>
            </w:pPr>
            <w:r w:rsidRPr="00BD602B">
              <w:rPr>
                <w:rFonts w:ascii="Arial" w:hAnsi="Arial" w:cs="Arial"/>
                <w:color w:val="000000" w:themeColor="text1"/>
              </w:rPr>
              <w:lastRenderedPageBreak/>
              <w:t>Hood (2018) believes risk has become a complex topic, due to unrealistic beliefs that social workers should eliminate risks, and if anything goes work social workers must be to blame. Additionally, supervision was a good opportunity to reflect on using the law. As social workers we use law to protect individuals, however Kline and Preston-Shoot (2011) highlights the importance to have clear guidance from manager, as when social workers use the law, there is a risk to breach Human Right laws. The Human Rights Act 1998 sets out fundamental rights and freedoms that everyone in the UK is entitled to. Another legislation I was aware and researched into was the United Nations Principles for Older Persons (1991). Older People’s Commissioner for Wales (2024) highlights the principles of the legislation should be considered by all organisation and regarded as a framework for treatment of older people. Murphy (2019) highlights the importance for social worker to demonstrate their knowledge and apply the codes of practice of the laws. I believed I demonstrated this by using the principles of the MCA 2005 and taking into consideration the Human Rights Act 1998 and United Nations Principles for Older Person (1991). However, declaring someone to lack capacity and moving them to another home still conflicts with my own personal values. It is natural to feel uncomfortable with this aspect of work, as the reality of being in practice it is often necessary to engage in elements of control to be effective in caring (Thompson and McGowan, 2020).</w:t>
            </w:r>
          </w:p>
          <w:p w14:paraId="623C1E59" w14:textId="1056CAA1" w:rsidR="00BD602B" w:rsidRDefault="00BD602B" w:rsidP="00BD602B">
            <w:pPr>
              <w:pStyle w:val="NormalWeb"/>
              <w:jc w:val="both"/>
              <w:rPr>
                <w:rFonts w:ascii="Arial" w:hAnsi="Arial" w:cs="Arial"/>
                <w:color w:val="000000" w:themeColor="text1"/>
              </w:rPr>
            </w:pPr>
            <w:r w:rsidRPr="00BD602B">
              <w:rPr>
                <w:rFonts w:ascii="Arial" w:hAnsi="Arial" w:cs="Arial"/>
                <w:color w:val="000000" w:themeColor="text1"/>
              </w:rPr>
              <w:t xml:space="preserve">A theory I believed impacted on my professional opinion in this situation was Maslow’s hierarchy of needs. Maslow (1970) argues that all humans have a hierarchy of needs, and firstly we need to satisfy basic biological needs and then we are successively drawn to meet higher needs. Maslow (1970) identifies physiological needs, safety and security needs, and belongingness and love needs as three essential needs, asserting that if these three areas are not met the individual will experience negative psychosocial consequences (King-Hill, 2015). I believe this theory helped me with my decision making during this situation, as it demonstrated that 3’s basic needs were not met, due to the safety concerns around the environment they were living in. As a consequence, I believed staying in the dangerous environment would be more detrimental to their well-being as overall it was having an effect on their mental health, due to the inconsistency, lack of staff and routine. I believed 3 required a safer environment, and the pyramid of needs allowed me to identify that those basic needs were not being met, therefore it was unlikely they would progress to the higher stages due to the lower stages not being addressed. </w:t>
            </w:r>
          </w:p>
          <w:p w14:paraId="37651785" w14:textId="032CB2FF" w:rsidR="00BD602B" w:rsidRPr="00BD602B" w:rsidRDefault="00BD602B" w:rsidP="00BD602B">
            <w:pPr>
              <w:jc w:val="both"/>
              <w:rPr>
                <w:color w:val="000000" w:themeColor="text1"/>
                <w:sz w:val="24"/>
                <w:szCs w:val="24"/>
              </w:rPr>
            </w:pPr>
            <w:r w:rsidRPr="00BD602B">
              <w:rPr>
                <w:color w:val="000000" w:themeColor="text1"/>
                <w:sz w:val="24"/>
                <w:szCs w:val="24"/>
              </w:rPr>
              <w:t xml:space="preserve">Empowerment can be seen as a theory and model, and it’s a theory that social workers utilize a lot during practice. Empowerment theory promotes individuals to have power and control over their own lives, and people are seen as experts in their own lives (Teater, 2014). As a method it is seen as encouraging individuals to take control of their circumstances, and achieve their own goals (Adams, 2009). The core skills of this theory/method is to engage effectively with individuals, actively listening to their stories. This is a skill that was vital with 3 to understand their feelings and preferences, especially when making big decisions such as moving accommodation. I felt the empowerment theory/model was essential to use during this piece of work due to the complexities, but additionally due to the fact there are big limitation to empowerment in social work practice, and I felt this piece of work highlighted that. Trevithick (2011) highlights that social workers are bound by law, agency and expectations, therefore social workers do not have unlimited choices when working with individuals. Although I tried to engage as effectively as possible with 3, advocated on their behalf, tried to get better access </w:t>
            </w:r>
            <w:r w:rsidRPr="00BD602B">
              <w:rPr>
                <w:color w:val="000000" w:themeColor="text1"/>
                <w:sz w:val="24"/>
                <w:szCs w:val="24"/>
              </w:rPr>
              <w:lastRenderedPageBreak/>
              <w:t>to resources, engaged with their advocate to ensure all their rights were respected, I used a strength perspective by concentrating on their likes such as religion, music, art and crafts. There was still and uncomfortable feeling, as I had to use legislation such as MCA 2005 to complete a capacity assessment, although I followed the codes of practice of the legislation. Johns (2020) highlights how the MCA 2005 makes a strong emphasis on empowering people to make their own decision, however conversely the act also has the autonomy to take that decision out of the individual’s hands. Therefore, it would be na</w:t>
            </w:r>
            <w:r w:rsidR="00204611">
              <w:rPr>
                <w:color w:val="000000" w:themeColor="text1"/>
                <w:sz w:val="24"/>
                <w:szCs w:val="24"/>
              </w:rPr>
              <w:t>i</w:t>
            </w:r>
            <w:r w:rsidRPr="00BD602B">
              <w:rPr>
                <w:color w:val="000000" w:themeColor="text1"/>
                <w:sz w:val="24"/>
                <w:szCs w:val="24"/>
              </w:rPr>
              <w:t xml:space="preserve">ve to assume that being in practice, and using theories was straight forward in this case, and I found it difficult to balance power and empowerment. The dilemma was trying to empower 3 to make their own decisions, however the reality of having to use the MCA 2005 and taking away that opportunity due to 3 not having the capacity to make the decision. </w:t>
            </w:r>
          </w:p>
          <w:p w14:paraId="3C442554" w14:textId="77777777" w:rsidR="00BD602B" w:rsidRPr="00BD602B" w:rsidRDefault="00BD602B" w:rsidP="00BD602B">
            <w:pPr>
              <w:jc w:val="both"/>
              <w:rPr>
                <w:color w:val="000000" w:themeColor="text1"/>
                <w:sz w:val="24"/>
                <w:szCs w:val="24"/>
              </w:rPr>
            </w:pPr>
          </w:p>
          <w:p w14:paraId="1D58E375" w14:textId="26CAF9F8" w:rsidR="00BD602B" w:rsidRPr="00BD602B" w:rsidRDefault="00BD602B" w:rsidP="00BD602B">
            <w:pPr>
              <w:jc w:val="both"/>
              <w:rPr>
                <w:color w:val="000000" w:themeColor="text1"/>
                <w:sz w:val="24"/>
                <w:szCs w:val="24"/>
              </w:rPr>
            </w:pPr>
            <w:r w:rsidRPr="00BD602B">
              <w:rPr>
                <w:color w:val="000000" w:themeColor="text1"/>
                <w:sz w:val="24"/>
                <w:szCs w:val="24"/>
              </w:rPr>
              <w:t xml:space="preserve">Person </w:t>
            </w:r>
            <w:r>
              <w:rPr>
                <w:color w:val="000000" w:themeColor="text1"/>
                <w:sz w:val="24"/>
                <w:szCs w:val="24"/>
              </w:rPr>
              <w:t>c</w:t>
            </w:r>
            <w:r w:rsidRPr="00BD602B">
              <w:rPr>
                <w:color w:val="000000" w:themeColor="text1"/>
                <w:sz w:val="24"/>
                <w:szCs w:val="24"/>
              </w:rPr>
              <w:t xml:space="preserve">entred is a way of working that places the service user at the heart of the service provision, and it allows them to plan their own future (Gibson, 2018). Working with individuals in a person-centred way is embedded in the codes of professional practice 1.1 ‘working with individuals in person centred ways and using this as the bases for social care and support’ (Social Care Wales, 2017). However, due to the complexity of living and working in Wales, I found working in a person-centred way more of a challenge due to lack of resources available. 3 had been living in a residential home close to where they had lived with their partner for many years, therefore had lived in the same community. A part of my role in this case was to look for other suitable residential home close to 3’s home community, however it was extremely difficult </w:t>
            </w:r>
            <w:r w:rsidR="00ED77FF">
              <w:rPr>
                <w:color w:val="000000" w:themeColor="text1"/>
                <w:sz w:val="24"/>
                <w:szCs w:val="24"/>
              </w:rPr>
              <w:t xml:space="preserve">as </w:t>
            </w:r>
            <w:r w:rsidRPr="00BD602B">
              <w:rPr>
                <w:color w:val="000000" w:themeColor="text1"/>
                <w:sz w:val="24"/>
                <w:szCs w:val="24"/>
              </w:rPr>
              <w:t xml:space="preserve">most of the residential homes </w:t>
            </w:r>
            <w:r w:rsidR="00ED77FF">
              <w:rPr>
                <w:color w:val="000000" w:themeColor="text1"/>
                <w:sz w:val="24"/>
                <w:szCs w:val="24"/>
              </w:rPr>
              <w:t>did no</w:t>
            </w:r>
            <w:r w:rsidRPr="00BD602B">
              <w:rPr>
                <w:color w:val="000000" w:themeColor="text1"/>
                <w:sz w:val="24"/>
                <w:szCs w:val="24"/>
              </w:rPr>
              <w:t>t ha</w:t>
            </w:r>
            <w:r w:rsidR="00ED77FF">
              <w:rPr>
                <w:color w:val="000000" w:themeColor="text1"/>
                <w:sz w:val="24"/>
                <w:szCs w:val="24"/>
              </w:rPr>
              <w:t>ve</w:t>
            </w:r>
            <w:r w:rsidRPr="00BD602B">
              <w:rPr>
                <w:color w:val="000000" w:themeColor="text1"/>
                <w:sz w:val="24"/>
                <w:szCs w:val="24"/>
              </w:rPr>
              <w:t xml:space="preserve"> capacity to take more residents. Due to the dilemma of not having a good timescale to look into other homes and due to the intensity of the situation, people were not placed geographically close to their communities as we would have hoped, location of nearest friends and family could not be taking into consideration, due to the lack of availability. Therefore, individuals were placed in residential home that had availability which meant quite far away from their current home. After all the residents were safely placed, all professionals got together for a meeting to reflect on the situation, to identify what went well and what we could have done better. My input in the meeting was I found identifying new placement quite uncomfortable, mainly as it was not person-centred to meet their needs, due to the complexity of living in Wales and lack of resources, this was a common theme in the meeting. </w:t>
            </w:r>
          </w:p>
          <w:p w14:paraId="761AAE1B" w14:textId="77777777" w:rsidR="00BD602B" w:rsidRPr="00BD602B" w:rsidRDefault="00BD602B" w:rsidP="00BD602B">
            <w:pPr>
              <w:jc w:val="both"/>
              <w:rPr>
                <w:color w:val="000000" w:themeColor="text1"/>
                <w:sz w:val="24"/>
                <w:szCs w:val="24"/>
              </w:rPr>
            </w:pPr>
          </w:p>
          <w:p w14:paraId="78964142" w14:textId="41D3AC72" w:rsidR="00BD602B" w:rsidRDefault="00BD602B" w:rsidP="00BD602B">
            <w:pPr>
              <w:jc w:val="both"/>
              <w:rPr>
                <w:color w:val="000000" w:themeColor="text1"/>
                <w:sz w:val="24"/>
                <w:szCs w:val="24"/>
              </w:rPr>
            </w:pPr>
            <w:r w:rsidRPr="00BD602B">
              <w:rPr>
                <w:color w:val="000000" w:themeColor="text1"/>
                <w:sz w:val="24"/>
                <w:szCs w:val="24"/>
              </w:rPr>
              <w:t>Althoug</w:t>
            </w:r>
            <w:r w:rsidR="0060579A">
              <w:rPr>
                <w:color w:val="000000" w:themeColor="text1"/>
                <w:sz w:val="24"/>
                <w:szCs w:val="24"/>
              </w:rPr>
              <w:t>h I have discussed the outcome of this specific case</w:t>
            </w:r>
            <w:r w:rsidRPr="00BD602B">
              <w:rPr>
                <w:color w:val="000000" w:themeColor="text1"/>
                <w:sz w:val="24"/>
                <w:szCs w:val="24"/>
              </w:rPr>
              <w:t xml:space="preserve">, I am aware that the situation could have transpired differently, and there would have been a more formal process as we would have an </w:t>
            </w:r>
            <w:r>
              <w:rPr>
                <w:color w:val="000000" w:themeColor="text1"/>
                <w:sz w:val="24"/>
                <w:szCs w:val="24"/>
              </w:rPr>
              <w:t>a</w:t>
            </w:r>
            <w:r w:rsidRPr="00BD602B">
              <w:rPr>
                <w:color w:val="000000" w:themeColor="text1"/>
                <w:sz w:val="24"/>
                <w:szCs w:val="24"/>
              </w:rPr>
              <w:t xml:space="preserve">dult </w:t>
            </w:r>
            <w:r>
              <w:rPr>
                <w:color w:val="000000" w:themeColor="text1"/>
                <w:sz w:val="24"/>
                <w:szCs w:val="24"/>
              </w:rPr>
              <w:t>p</w:t>
            </w:r>
            <w:r w:rsidRPr="00BD602B">
              <w:rPr>
                <w:color w:val="000000" w:themeColor="text1"/>
                <w:sz w:val="24"/>
                <w:szCs w:val="24"/>
              </w:rPr>
              <w:t xml:space="preserve">rotection </w:t>
            </w:r>
            <w:r>
              <w:rPr>
                <w:color w:val="000000" w:themeColor="text1"/>
                <w:sz w:val="24"/>
                <w:szCs w:val="24"/>
              </w:rPr>
              <w:t>c</w:t>
            </w:r>
            <w:r w:rsidRPr="00BD602B">
              <w:rPr>
                <w:color w:val="000000" w:themeColor="text1"/>
                <w:sz w:val="24"/>
                <w:szCs w:val="24"/>
              </w:rPr>
              <w:t xml:space="preserve">onference, following the guidelines of the Wales Safeguarding Procedures (2020). However, as the individuals were removed from the </w:t>
            </w:r>
            <w:r w:rsidR="00F71FF4" w:rsidRPr="00BD602B">
              <w:rPr>
                <w:color w:val="000000" w:themeColor="text1"/>
                <w:sz w:val="24"/>
                <w:szCs w:val="24"/>
              </w:rPr>
              <w:t>risk</w:t>
            </w:r>
            <w:r w:rsidR="00F71FF4">
              <w:rPr>
                <w:color w:val="000000" w:themeColor="text1"/>
                <w:sz w:val="24"/>
                <w:szCs w:val="24"/>
              </w:rPr>
              <w:t xml:space="preserve"> very quickly, </w:t>
            </w:r>
            <w:r w:rsidRPr="00BD602B">
              <w:rPr>
                <w:color w:val="000000" w:themeColor="text1"/>
                <w:sz w:val="24"/>
                <w:szCs w:val="24"/>
              </w:rPr>
              <w:t xml:space="preserve">this did not occur in this situation. The purpose of the </w:t>
            </w:r>
            <w:r>
              <w:rPr>
                <w:color w:val="000000" w:themeColor="text1"/>
                <w:sz w:val="24"/>
                <w:szCs w:val="24"/>
              </w:rPr>
              <w:t>a</w:t>
            </w:r>
            <w:r w:rsidRPr="00BD602B">
              <w:rPr>
                <w:color w:val="000000" w:themeColor="text1"/>
                <w:sz w:val="24"/>
                <w:szCs w:val="24"/>
              </w:rPr>
              <w:t xml:space="preserve">dult </w:t>
            </w:r>
            <w:r>
              <w:rPr>
                <w:color w:val="000000" w:themeColor="text1"/>
                <w:sz w:val="24"/>
                <w:szCs w:val="24"/>
              </w:rPr>
              <w:t>p</w:t>
            </w:r>
            <w:r w:rsidRPr="00BD602B">
              <w:rPr>
                <w:color w:val="000000" w:themeColor="text1"/>
                <w:sz w:val="24"/>
                <w:szCs w:val="24"/>
              </w:rPr>
              <w:t xml:space="preserve">rotection </w:t>
            </w:r>
            <w:r>
              <w:rPr>
                <w:color w:val="000000" w:themeColor="text1"/>
                <w:sz w:val="24"/>
                <w:szCs w:val="24"/>
              </w:rPr>
              <w:t>c</w:t>
            </w:r>
            <w:r w:rsidRPr="00BD602B">
              <w:rPr>
                <w:color w:val="000000" w:themeColor="text1"/>
                <w:sz w:val="24"/>
                <w:szCs w:val="24"/>
              </w:rPr>
              <w:t xml:space="preserve">onference is to share information, produce a care and support protection plan, and it is a multi-agency meeting (Wales Safeguarding Procedures (2020). The conference would include the lead coordinator, chair lead practitioner, practitioners such as GP, psychiatrist, advocate for the adult etc. My involvement in this would be to share all information I have gathered during S.126 enquiries, discuss the wishes and outcomes of the individual at risk, discuss any potential assessments that have been conducted. Wales Safeguarding Procedures (2020) stated that any practitioner undertaking an investigation must submit a report summarising their findings and should attend the conference. A care and protection plan must be agreed </w:t>
            </w:r>
            <w:r w:rsidRPr="00BD602B">
              <w:rPr>
                <w:color w:val="000000" w:themeColor="text1"/>
                <w:sz w:val="24"/>
                <w:szCs w:val="24"/>
              </w:rPr>
              <w:lastRenderedPageBreak/>
              <w:t xml:space="preserve">in the conference, this will include how to remove or reduce risks, and support carers on how to continue providing care. Additionally, the care and protection plan should be reviewed by the strategy group at least every six weeks, and it should be considered if the protection plan is no longer needed, or what evidence is there it should continue (Wales Safeguarding Procedures, 2020). If the RI would have cooperated with the professionals in the strategy meeting, and agreed to a care and support protection plan, such as agreeing to timescales to fix the lift, cooperate with fire regulation and make the necessary improvement, and providing more staff, the hoped outcome would be that this would be reviewed in the 6 week’s timeframe, and if the outcomes had been achieved the adult protection conference could have gathered that evidence and agree that a support protection plan is no longer required, and the safeguarding could be closed. </w:t>
            </w:r>
          </w:p>
          <w:p w14:paraId="49F32DDD" w14:textId="77777777" w:rsidR="00F46C94" w:rsidRDefault="00F46C94" w:rsidP="00BD602B">
            <w:pPr>
              <w:jc w:val="both"/>
              <w:rPr>
                <w:color w:val="000000" w:themeColor="text1"/>
                <w:sz w:val="24"/>
                <w:szCs w:val="24"/>
              </w:rPr>
            </w:pPr>
          </w:p>
          <w:p w14:paraId="440EE8EB" w14:textId="0542F200" w:rsidR="00BD602B" w:rsidRDefault="00BD602B" w:rsidP="00BD602B">
            <w:pPr>
              <w:pStyle w:val="NormalWeb"/>
              <w:jc w:val="both"/>
              <w:rPr>
                <w:rFonts w:ascii="Arial" w:hAnsi="Arial" w:cs="Arial"/>
                <w:color w:val="000000" w:themeColor="text1"/>
              </w:rPr>
            </w:pPr>
            <w:r w:rsidRPr="00BD602B">
              <w:rPr>
                <w:rFonts w:ascii="Arial" w:hAnsi="Arial" w:cs="Arial"/>
                <w:color w:val="000000" w:themeColor="text1"/>
              </w:rPr>
              <w:t>Reflection means reviewing our experience and thinking about how we could make changes in the future (Community Care, 2024</w:t>
            </w:r>
            <w:r w:rsidR="006868BF" w:rsidRPr="00BD602B">
              <w:rPr>
                <w:rFonts w:ascii="Arial" w:hAnsi="Arial" w:cs="Arial"/>
                <w:color w:val="000000" w:themeColor="text1"/>
              </w:rPr>
              <w:t>).</w:t>
            </w:r>
            <w:r w:rsidR="006868BF">
              <w:rPr>
                <w:rFonts w:ascii="Arial" w:hAnsi="Arial" w:cs="Arial"/>
                <w:color w:val="000000" w:themeColor="text1"/>
              </w:rPr>
              <w:t xml:space="preserve"> I</w:t>
            </w:r>
            <w:r w:rsidR="002072F6">
              <w:rPr>
                <w:rFonts w:ascii="Arial" w:hAnsi="Arial" w:cs="Arial"/>
                <w:color w:val="000000" w:themeColor="text1"/>
              </w:rPr>
              <w:t xml:space="preserve"> will be using Kolb’s (1984) cycle of experiential learning to reflect on this case. The model consists of four stages, experience, reflection, conceptualise and </w:t>
            </w:r>
            <w:r w:rsidR="006868BF">
              <w:rPr>
                <w:rFonts w:ascii="Arial" w:hAnsi="Arial" w:cs="Arial"/>
                <w:color w:val="000000" w:themeColor="text1"/>
              </w:rPr>
              <w:t xml:space="preserve">test. </w:t>
            </w:r>
            <w:r w:rsidR="0086520C">
              <w:rPr>
                <w:rFonts w:ascii="Arial" w:hAnsi="Arial" w:cs="Arial"/>
                <w:color w:val="000000" w:themeColor="text1"/>
              </w:rPr>
              <w:t xml:space="preserve">This experience of working alongside this safeguarding case was </w:t>
            </w:r>
            <w:r w:rsidR="0043037B">
              <w:rPr>
                <w:rFonts w:ascii="Arial" w:hAnsi="Arial" w:cs="Arial"/>
                <w:color w:val="000000" w:themeColor="text1"/>
              </w:rPr>
              <w:t xml:space="preserve">a mixture of different feelings, </w:t>
            </w:r>
            <w:r w:rsidR="00A16BF4">
              <w:rPr>
                <w:rFonts w:ascii="Arial" w:hAnsi="Arial" w:cs="Arial"/>
                <w:color w:val="000000" w:themeColor="text1"/>
              </w:rPr>
              <w:t>it</w:t>
            </w:r>
            <w:r w:rsidR="006510FB">
              <w:rPr>
                <w:rFonts w:ascii="Arial" w:hAnsi="Arial" w:cs="Arial"/>
                <w:color w:val="000000" w:themeColor="text1"/>
              </w:rPr>
              <w:t xml:space="preserve"> was nice to put the </w:t>
            </w:r>
            <w:r w:rsidR="004E36C0">
              <w:rPr>
                <w:rFonts w:ascii="Arial" w:hAnsi="Arial" w:cs="Arial"/>
                <w:color w:val="000000" w:themeColor="text1"/>
              </w:rPr>
              <w:t>knowledge</w:t>
            </w:r>
            <w:r w:rsidR="006510FB">
              <w:rPr>
                <w:rFonts w:ascii="Arial" w:hAnsi="Arial" w:cs="Arial"/>
                <w:color w:val="000000" w:themeColor="text1"/>
              </w:rPr>
              <w:t xml:space="preserve"> we learn in during social work degree into practice, and </w:t>
            </w:r>
            <w:r w:rsidR="004E36C0">
              <w:rPr>
                <w:rFonts w:ascii="Arial" w:hAnsi="Arial" w:cs="Arial"/>
                <w:color w:val="000000" w:themeColor="text1"/>
              </w:rPr>
              <w:t xml:space="preserve">experience the different complexities that comes along with it. </w:t>
            </w:r>
            <w:r w:rsidR="00A16BF4">
              <w:rPr>
                <w:rFonts w:ascii="Arial" w:hAnsi="Arial" w:cs="Arial"/>
                <w:color w:val="000000" w:themeColor="text1"/>
              </w:rPr>
              <w:t>I fe</w:t>
            </w:r>
            <w:r w:rsidR="00B476BA">
              <w:rPr>
                <w:rFonts w:ascii="Arial" w:hAnsi="Arial" w:cs="Arial"/>
                <w:color w:val="000000" w:themeColor="text1"/>
              </w:rPr>
              <w:t>lt I demonstrated the progress in my assertiveness skills.</w:t>
            </w:r>
            <w:r w:rsidR="00DB5F8B">
              <w:rPr>
                <w:rFonts w:ascii="Arial" w:hAnsi="Arial" w:cs="Arial"/>
                <w:color w:val="000000" w:themeColor="text1"/>
              </w:rPr>
              <w:t xml:space="preserve"> </w:t>
            </w:r>
            <w:r w:rsidRPr="00BD602B">
              <w:rPr>
                <w:rFonts w:ascii="Arial" w:hAnsi="Arial" w:cs="Arial"/>
                <w:color w:val="000000" w:themeColor="text1"/>
              </w:rPr>
              <w:t xml:space="preserve">Assertiveness can be defined as a skill of one’s ability to freely express and defend views about a subject, needs and demands without invading the boundaries of others (Erbay and Akcay, 2013). During this case I believe demonstrated my assertiveness skills positively and my confidence in my work has continue to grow over the past year, in result has made me more comfortable to exercise my professional judgement and also justify my opinion by giving a good explanation, this was evidenced in voicing my opinion about the safety of the residents and challenging the RI on his assumptions. I believed I raised my concerns appropriately, and most of all advocated-on behalf of 3. I believe the biggest strength in this case was collaborative working. All of the professionals that were involved in this case worked well together, and I do think this was crucial in this case. There were occasions where the RI was caught lying about the improvements they had made to the residential home and due to all the professionals sharing information and challenging this it prevented any delays and further risks. </w:t>
            </w:r>
          </w:p>
          <w:p w14:paraId="6521BC52" w14:textId="77777777" w:rsidR="00940DE2" w:rsidRDefault="004A3C21" w:rsidP="00BD602B">
            <w:pPr>
              <w:pStyle w:val="NormalWeb"/>
              <w:jc w:val="both"/>
              <w:rPr>
                <w:rFonts w:ascii="Arial" w:hAnsi="Arial" w:cs="Arial"/>
                <w:color w:val="000000" w:themeColor="text1"/>
              </w:rPr>
            </w:pPr>
            <w:r>
              <w:rPr>
                <w:rFonts w:ascii="Arial" w:hAnsi="Arial" w:cs="Arial"/>
                <w:color w:val="000000" w:themeColor="text1"/>
              </w:rPr>
              <w:t>By u</w:t>
            </w:r>
            <w:r w:rsidR="00DB5F8B">
              <w:rPr>
                <w:rFonts w:ascii="Arial" w:hAnsi="Arial" w:cs="Arial"/>
                <w:color w:val="000000" w:themeColor="text1"/>
              </w:rPr>
              <w:t xml:space="preserve">sing Kolb’s (1983) </w:t>
            </w:r>
            <w:r>
              <w:rPr>
                <w:rFonts w:ascii="Arial" w:hAnsi="Arial" w:cs="Arial"/>
                <w:color w:val="000000" w:themeColor="text1"/>
              </w:rPr>
              <w:t xml:space="preserve">model it allowed me to reflect on the case thoroughly, I believe this safeguarding case was </w:t>
            </w:r>
            <w:r w:rsidR="00BD602B" w:rsidRPr="00BD602B">
              <w:rPr>
                <w:rFonts w:ascii="Arial" w:hAnsi="Arial" w:cs="Arial"/>
                <w:color w:val="000000" w:themeColor="text1"/>
              </w:rPr>
              <w:t xml:space="preserve">beneficial for my learning as a social worker, it allowed me to work with other agencies, develop my skills, and also my knowledge around the legislation. Something important to reflect on would be how the situation would have been different if 3 had the capacity to make their own decision regarding accommodation, and how I would have felt if they had decided to make an unwise decision and stay in the home despite the risks. Secondly, due to the home being closed by CIW how it would have felt for 3 to make their own decision and that right being taken away from them regardless. I feel having the opportunity to critically reflect how this situation could have a different ending is important to think if I would have changed my opinion. Although I feel my confidence has developed, it would be naive to state that I did not find aspect of this work challenging. I found trying to balance the empowerment and control difficult at times, as it conflicted with my own personal and professional values. Despite this, I feel I researched into MCA 2005 to ensure I was up </w:t>
            </w:r>
            <w:r w:rsidR="00BD602B" w:rsidRPr="00BD602B">
              <w:rPr>
                <w:rFonts w:ascii="Arial" w:hAnsi="Arial" w:cs="Arial"/>
                <w:color w:val="000000" w:themeColor="text1"/>
              </w:rPr>
              <w:lastRenderedPageBreak/>
              <w:t xml:space="preserve">to date with the codes of practice I utilised supervision and advice of other colleagues, and I feel I have developed into a more confident social worker following this piece of work. </w:t>
            </w:r>
          </w:p>
          <w:p w14:paraId="6E760564" w14:textId="196DF236" w:rsidR="00BD602B" w:rsidRPr="00BD602B" w:rsidRDefault="002350B5" w:rsidP="00BD602B">
            <w:pPr>
              <w:pStyle w:val="NormalWeb"/>
              <w:jc w:val="both"/>
              <w:rPr>
                <w:rFonts w:ascii="Arial" w:hAnsi="Arial" w:cs="Arial"/>
                <w:color w:val="000000" w:themeColor="text1"/>
              </w:rPr>
            </w:pPr>
            <w:r>
              <w:rPr>
                <w:rFonts w:ascii="Arial" w:hAnsi="Arial" w:cs="Arial"/>
                <w:color w:val="000000" w:themeColor="text1"/>
              </w:rPr>
              <w:t>Kolb’s (1983) model has</w:t>
            </w:r>
            <w:r w:rsidR="00E43426">
              <w:rPr>
                <w:rFonts w:ascii="Arial" w:hAnsi="Arial" w:cs="Arial"/>
                <w:color w:val="000000" w:themeColor="text1"/>
              </w:rPr>
              <w:t xml:space="preserve"> made me realise that due to this piece of work I feel I have a much better understanding of the legal process </w:t>
            </w:r>
            <w:r w:rsidR="00BD602B" w:rsidRPr="00BD602B">
              <w:rPr>
                <w:rFonts w:ascii="Arial" w:hAnsi="Arial" w:cs="Arial"/>
                <w:color w:val="000000" w:themeColor="text1"/>
              </w:rPr>
              <w:t>safeguarding that it set out by the Wales Safeguarding Procedures (2020</w:t>
            </w:r>
            <w:r w:rsidR="008072BF">
              <w:rPr>
                <w:rFonts w:ascii="Arial" w:hAnsi="Arial" w:cs="Arial"/>
                <w:color w:val="000000" w:themeColor="text1"/>
              </w:rPr>
              <w:t>).</w:t>
            </w:r>
            <w:r w:rsidR="00BD602B" w:rsidRPr="00BD602B">
              <w:rPr>
                <w:rFonts w:ascii="Arial" w:hAnsi="Arial" w:cs="Arial"/>
                <w:color w:val="000000" w:themeColor="text1"/>
              </w:rPr>
              <w:t xml:space="preserve"> I found using the app beneficial during this case as it allowed me to have up to date information and clear guidelines to follow</w:t>
            </w:r>
            <w:r w:rsidR="00444D5F">
              <w:rPr>
                <w:rFonts w:ascii="Arial" w:hAnsi="Arial" w:cs="Arial"/>
                <w:color w:val="000000" w:themeColor="text1"/>
              </w:rPr>
              <w:t xml:space="preserve">, and I </w:t>
            </w:r>
            <w:r w:rsidR="008072BF">
              <w:rPr>
                <w:rFonts w:ascii="Arial" w:hAnsi="Arial" w:cs="Arial"/>
                <w:color w:val="000000" w:themeColor="text1"/>
              </w:rPr>
              <w:t>continue</w:t>
            </w:r>
            <w:r w:rsidR="00444D5F">
              <w:rPr>
                <w:rFonts w:ascii="Arial" w:hAnsi="Arial" w:cs="Arial"/>
                <w:color w:val="000000" w:themeColor="text1"/>
              </w:rPr>
              <w:t xml:space="preserve"> </w:t>
            </w:r>
            <w:r w:rsidR="008072BF">
              <w:rPr>
                <w:rFonts w:ascii="Arial" w:hAnsi="Arial" w:cs="Arial"/>
                <w:color w:val="000000" w:themeColor="text1"/>
              </w:rPr>
              <w:t xml:space="preserve">to use </w:t>
            </w:r>
            <w:r w:rsidR="00444D5F">
              <w:rPr>
                <w:rFonts w:ascii="Arial" w:hAnsi="Arial" w:cs="Arial"/>
                <w:color w:val="000000" w:themeColor="text1"/>
              </w:rPr>
              <w:t>the app regularly with new cases.</w:t>
            </w:r>
            <w:r w:rsidR="00411FAD">
              <w:rPr>
                <w:rFonts w:ascii="Arial" w:hAnsi="Arial" w:cs="Arial"/>
                <w:color w:val="000000" w:themeColor="text1"/>
              </w:rPr>
              <w:t xml:space="preserve"> </w:t>
            </w:r>
            <w:r w:rsidR="00BD602B" w:rsidRPr="00BD602B">
              <w:rPr>
                <w:rFonts w:ascii="Arial" w:hAnsi="Arial" w:cs="Arial"/>
                <w:color w:val="000000" w:themeColor="text1"/>
              </w:rPr>
              <w:t>I have identified alongside my manager that a professional development for myself would continue to have cases with elements of safeguarding to continue to expand my skills and knowledge to develop as a social worker in the future</w:t>
            </w:r>
            <w:r w:rsidR="00411FAD">
              <w:rPr>
                <w:rFonts w:ascii="Arial" w:hAnsi="Arial" w:cs="Arial"/>
                <w:color w:val="000000" w:themeColor="text1"/>
              </w:rPr>
              <w:t>.</w:t>
            </w:r>
          </w:p>
          <w:p w14:paraId="40B9B88D" w14:textId="77777777" w:rsidR="00BD602B" w:rsidRPr="00BD602B" w:rsidRDefault="00BD602B" w:rsidP="00BD602B">
            <w:pPr>
              <w:jc w:val="both"/>
              <w:rPr>
                <w:color w:val="000000" w:themeColor="text1"/>
                <w:sz w:val="24"/>
                <w:szCs w:val="24"/>
              </w:rPr>
            </w:pPr>
          </w:p>
          <w:p w14:paraId="2FE9D05E" w14:textId="34AE0F84" w:rsidR="00BD602B" w:rsidRPr="00BD602B" w:rsidRDefault="00BD602B" w:rsidP="00BD602B">
            <w:pPr>
              <w:jc w:val="both"/>
              <w:rPr>
                <w:color w:val="000000" w:themeColor="text1"/>
                <w:sz w:val="24"/>
                <w:szCs w:val="24"/>
              </w:rPr>
            </w:pPr>
            <w:r w:rsidRPr="00BD602B">
              <w:rPr>
                <w:color w:val="000000" w:themeColor="text1"/>
                <w:sz w:val="24"/>
                <w:szCs w:val="24"/>
              </w:rPr>
              <w:t>Word Count: 4,</w:t>
            </w:r>
            <w:r w:rsidR="00CC2B35">
              <w:rPr>
                <w:color w:val="000000" w:themeColor="text1"/>
                <w:sz w:val="24"/>
                <w:szCs w:val="24"/>
              </w:rPr>
              <w:t>2</w:t>
            </w:r>
            <w:r w:rsidR="00411FAD">
              <w:rPr>
                <w:color w:val="000000" w:themeColor="text1"/>
                <w:sz w:val="24"/>
                <w:szCs w:val="24"/>
              </w:rPr>
              <w:t>6</w:t>
            </w:r>
            <w:r w:rsidR="00800E1E">
              <w:rPr>
                <w:color w:val="000000" w:themeColor="text1"/>
                <w:sz w:val="24"/>
                <w:szCs w:val="24"/>
              </w:rPr>
              <w:t>1.</w:t>
            </w:r>
          </w:p>
          <w:p w14:paraId="37EB6324" w14:textId="77777777" w:rsidR="00BD602B" w:rsidRPr="00802C24" w:rsidRDefault="00BD602B" w:rsidP="00BD602B">
            <w:pPr>
              <w:rPr>
                <w:rFonts w:asciiTheme="minorHAnsi" w:hAnsiTheme="minorHAnsi" w:cstheme="minorHAnsi"/>
                <w:color w:val="000000" w:themeColor="text1"/>
              </w:rPr>
            </w:pPr>
          </w:p>
          <w:p w14:paraId="381C7901" w14:textId="77777777" w:rsidR="00BD602B" w:rsidRDefault="00BD602B"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53F81" w14:textId="77777777" w:rsidR="00325337" w:rsidRDefault="00325337">
      <w:r>
        <w:separator/>
      </w:r>
    </w:p>
  </w:endnote>
  <w:endnote w:type="continuationSeparator" w:id="0">
    <w:p w14:paraId="781779CD" w14:textId="77777777" w:rsidR="00325337" w:rsidRDefault="003253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B17B4" w14:textId="77777777" w:rsidR="00325337" w:rsidRDefault="00325337">
      <w:r>
        <w:separator/>
      </w:r>
    </w:p>
  </w:footnote>
  <w:footnote w:type="continuationSeparator" w:id="0">
    <w:p w14:paraId="4421D94D" w14:textId="77777777" w:rsidR="00325337" w:rsidRDefault="003253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93B"/>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611"/>
    <w:rsid w:val="00204B58"/>
    <w:rsid w:val="00205051"/>
    <w:rsid w:val="002072F6"/>
    <w:rsid w:val="00211F65"/>
    <w:rsid w:val="00214047"/>
    <w:rsid w:val="00216563"/>
    <w:rsid w:val="0021792F"/>
    <w:rsid w:val="00220D06"/>
    <w:rsid w:val="002246A0"/>
    <w:rsid w:val="00230439"/>
    <w:rsid w:val="00232A09"/>
    <w:rsid w:val="002350B5"/>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334"/>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5337"/>
    <w:rsid w:val="00330881"/>
    <w:rsid w:val="00330D22"/>
    <w:rsid w:val="00331CD2"/>
    <w:rsid w:val="00332426"/>
    <w:rsid w:val="00335C41"/>
    <w:rsid w:val="00335FC5"/>
    <w:rsid w:val="0033771E"/>
    <w:rsid w:val="00337FEF"/>
    <w:rsid w:val="00354B6D"/>
    <w:rsid w:val="00355210"/>
    <w:rsid w:val="00355BE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1FAD"/>
    <w:rsid w:val="00412677"/>
    <w:rsid w:val="00422A12"/>
    <w:rsid w:val="00425160"/>
    <w:rsid w:val="0043037B"/>
    <w:rsid w:val="00430DE3"/>
    <w:rsid w:val="004348AE"/>
    <w:rsid w:val="004376C0"/>
    <w:rsid w:val="0044223A"/>
    <w:rsid w:val="00444D5F"/>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3C21"/>
    <w:rsid w:val="004A5A64"/>
    <w:rsid w:val="004B5553"/>
    <w:rsid w:val="004B600B"/>
    <w:rsid w:val="004B6822"/>
    <w:rsid w:val="004B69F6"/>
    <w:rsid w:val="004C2D3A"/>
    <w:rsid w:val="004D03C4"/>
    <w:rsid w:val="004D0BF1"/>
    <w:rsid w:val="004D0F4E"/>
    <w:rsid w:val="004D3278"/>
    <w:rsid w:val="004D35A4"/>
    <w:rsid w:val="004D445F"/>
    <w:rsid w:val="004E087B"/>
    <w:rsid w:val="004E36C0"/>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579A"/>
    <w:rsid w:val="00606E27"/>
    <w:rsid w:val="0061000F"/>
    <w:rsid w:val="006108C9"/>
    <w:rsid w:val="00614DF7"/>
    <w:rsid w:val="006179BB"/>
    <w:rsid w:val="0062158D"/>
    <w:rsid w:val="006223FD"/>
    <w:rsid w:val="006326D1"/>
    <w:rsid w:val="00632E0A"/>
    <w:rsid w:val="00633165"/>
    <w:rsid w:val="006447DE"/>
    <w:rsid w:val="00644889"/>
    <w:rsid w:val="006510FB"/>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8BF"/>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2A9A"/>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1683"/>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0E1E"/>
    <w:rsid w:val="008072B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20C"/>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646"/>
    <w:rsid w:val="00912BD9"/>
    <w:rsid w:val="00916FB2"/>
    <w:rsid w:val="00920E5B"/>
    <w:rsid w:val="00926436"/>
    <w:rsid w:val="00926C53"/>
    <w:rsid w:val="0093018C"/>
    <w:rsid w:val="00940DE2"/>
    <w:rsid w:val="0094495F"/>
    <w:rsid w:val="009544C0"/>
    <w:rsid w:val="00954FA4"/>
    <w:rsid w:val="00956AE9"/>
    <w:rsid w:val="009570B0"/>
    <w:rsid w:val="00964CC6"/>
    <w:rsid w:val="00967BFA"/>
    <w:rsid w:val="0098262C"/>
    <w:rsid w:val="0098427C"/>
    <w:rsid w:val="00986B43"/>
    <w:rsid w:val="00986C0B"/>
    <w:rsid w:val="00986D46"/>
    <w:rsid w:val="00991FDA"/>
    <w:rsid w:val="00992ACA"/>
    <w:rsid w:val="0099348C"/>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BF4"/>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352C"/>
    <w:rsid w:val="00B24344"/>
    <w:rsid w:val="00B26769"/>
    <w:rsid w:val="00B2754B"/>
    <w:rsid w:val="00B31C91"/>
    <w:rsid w:val="00B3747F"/>
    <w:rsid w:val="00B42E76"/>
    <w:rsid w:val="00B43194"/>
    <w:rsid w:val="00B436BF"/>
    <w:rsid w:val="00B476BA"/>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602B"/>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2B35"/>
    <w:rsid w:val="00CC7226"/>
    <w:rsid w:val="00CD0735"/>
    <w:rsid w:val="00CD45E3"/>
    <w:rsid w:val="00CD4771"/>
    <w:rsid w:val="00CD5089"/>
    <w:rsid w:val="00CD5D3F"/>
    <w:rsid w:val="00CD7E1F"/>
    <w:rsid w:val="00CE4BC4"/>
    <w:rsid w:val="00CE7DA2"/>
    <w:rsid w:val="00CF283C"/>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42DF"/>
    <w:rsid w:val="00DA5682"/>
    <w:rsid w:val="00DA5860"/>
    <w:rsid w:val="00DA5C0C"/>
    <w:rsid w:val="00DB2767"/>
    <w:rsid w:val="00DB5F8B"/>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3426"/>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5E95"/>
    <w:rsid w:val="00EB62E6"/>
    <w:rsid w:val="00EB695F"/>
    <w:rsid w:val="00EC3A85"/>
    <w:rsid w:val="00EC4B89"/>
    <w:rsid w:val="00EC59A5"/>
    <w:rsid w:val="00EC6E15"/>
    <w:rsid w:val="00ED1B30"/>
    <w:rsid w:val="00ED5D03"/>
    <w:rsid w:val="00ED77FF"/>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6C94"/>
    <w:rsid w:val="00F50847"/>
    <w:rsid w:val="00F53F27"/>
    <w:rsid w:val="00F546D1"/>
    <w:rsid w:val="00F60281"/>
    <w:rsid w:val="00F66272"/>
    <w:rsid w:val="00F709C0"/>
    <w:rsid w:val="00F71FF4"/>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BD602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10</Pages>
  <Words>4469</Words>
  <Characters>22958</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Tanya Marie Williams (OEDOLION)</cp:lastModifiedBy>
  <cp:revision>39</cp:revision>
  <cp:lastPrinted>2020-02-11T19:20:00Z</cp:lastPrinted>
  <dcterms:created xsi:type="dcterms:W3CDTF">2024-09-16T08:22:00Z</dcterms:created>
  <dcterms:modified xsi:type="dcterms:W3CDTF">2024-10-02T15:03:00Z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