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242D5C" w14:textId="611FD870" w:rsidR="00C9202C" w:rsidRDefault="00C9202C" w:rsidP="00C9202C">
      <w:pPr>
        <w:jc w:val="center"/>
        <w:rPr>
          <w:b/>
          <w:bCs/>
          <w:color w:val="222222"/>
        </w:rPr>
      </w:pPr>
      <w:r w:rsidRPr="00C9202C">
        <w:rPr>
          <w:b/>
          <w:bCs/>
          <w:noProof/>
          <w:color w:val="222222"/>
        </w:rPr>
        <w:drawing>
          <wp:inline distT="0" distB="0" distL="0" distR="0" wp14:anchorId="1DBF2877" wp14:editId="4645AA64">
            <wp:extent cx="2134256" cy="736600"/>
            <wp:effectExtent l="0" t="0" r="0" b="6350"/>
            <wp:docPr id="20013270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32703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35423" cy="737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8DCB8" w14:textId="77777777" w:rsidR="00C9202C" w:rsidRDefault="00C9202C" w:rsidP="00C9202C">
      <w:pPr>
        <w:jc w:val="center"/>
        <w:rPr>
          <w:b/>
          <w:bCs/>
          <w:color w:val="222222"/>
        </w:rPr>
      </w:pPr>
    </w:p>
    <w:p w14:paraId="3B142813" w14:textId="63E0FF23" w:rsidR="00C9202C" w:rsidRDefault="00C9202C" w:rsidP="00C9202C">
      <w:pPr>
        <w:jc w:val="center"/>
        <w:rPr>
          <w:b/>
          <w:bCs/>
          <w:color w:val="222222"/>
        </w:rPr>
      </w:pPr>
      <w:r>
        <w:rPr>
          <w:b/>
          <w:bCs/>
          <w:color w:val="222222"/>
        </w:rPr>
        <w:t>Student Name:</w:t>
      </w:r>
      <w:r w:rsidRPr="00C9202C">
        <w:rPr>
          <w:rFonts w:ascii="Roboto" w:hAnsi="Roboto"/>
          <w:color w:val="1F1F1F"/>
          <w:sz w:val="33"/>
          <w:szCs w:val="33"/>
          <w:shd w:val="clear" w:color="auto" w:fill="FFFFFF"/>
        </w:rPr>
        <w:t xml:space="preserve"> </w:t>
      </w:r>
      <w:r w:rsidR="00141313">
        <w:rPr>
          <w:color w:val="222222"/>
        </w:rPr>
        <w:t>Asho Hassan</w:t>
      </w:r>
    </w:p>
    <w:p w14:paraId="37C00331" w14:textId="59A53961" w:rsidR="00C9202C" w:rsidRDefault="00C9202C" w:rsidP="00C9202C">
      <w:pPr>
        <w:jc w:val="center"/>
        <w:rPr>
          <w:b/>
          <w:bCs/>
          <w:color w:val="222222"/>
        </w:rPr>
      </w:pPr>
      <w:r>
        <w:rPr>
          <w:b/>
          <w:bCs/>
          <w:color w:val="222222"/>
        </w:rPr>
        <w:t>Student ID:</w:t>
      </w:r>
      <w:r w:rsidR="00141313">
        <w:rPr>
          <w:b/>
          <w:bCs/>
          <w:color w:val="222222"/>
        </w:rPr>
        <w:t>2333642</w:t>
      </w:r>
    </w:p>
    <w:p w14:paraId="26A0C572" w14:textId="77777777" w:rsidR="00C9202C" w:rsidRDefault="00C9202C" w:rsidP="00C9202C">
      <w:pPr>
        <w:jc w:val="center"/>
        <w:rPr>
          <w:b/>
          <w:bCs/>
          <w:color w:val="222222"/>
        </w:rPr>
      </w:pPr>
    </w:p>
    <w:p w14:paraId="62B821DA" w14:textId="31A882EF" w:rsidR="00C9202C" w:rsidRDefault="00141313" w:rsidP="00C9202C">
      <w:pPr>
        <w:jc w:val="center"/>
        <w:rPr>
          <w:b/>
          <w:bCs/>
          <w:color w:val="222222"/>
        </w:rPr>
      </w:pPr>
      <w:r>
        <w:rPr>
          <w:b/>
          <w:bCs/>
          <w:color w:val="222222"/>
        </w:rPr>
        <w:t xml:space="preserve">Lecturer: </w:t>
      </w:r>
      <w:proofErr w:type="spellStart"/>
      <w:r>
        <w:rPr>
          <w:b/>
          <w:bCs/>
          <w:color w:val="222222"/>
        </w:rPr>
        <w:t>Tsiwani</w:t>
      </w:r>
      <w:proofErr w:type="spellEnd"/>
      <w:r>
        <w:rPr>
          <w:b/>
          <w:bCs/>
          <w:color w:val="222222"/>
        </w:rPr>
        <w:t xml:space="preserve"> Khumalo</w:t>
      </w:r>
    </w:p>
    <w:p w14:paraId="4E36110D" w14:textId="4D036AD8" w:rsidR="00C9202C" w:rsidRPr="00C9202C" w:rsidRDefault="00C9202C" w:rsidP="00C9202C">
      <w:pPr>
        <w:jc w:val="center"/>
        <w:rPr>
          <w:b/>
          <w:bCs/>
          <w:color w:val="222222"/>
          <w:sz w:val="28"/>
          <w:szCs w:val="28"/>
        </w:rPr>
      </w:pPr>
      <w:r w:rsidRPr="00C9202C">
        <w:rPr>
          <w:b/>
          <w:bCs/>
          <w:color w:val="222222"/>
          <w:sz w:val="28"/>
          <w:szCs w:val="28"/>
        </w:rPr>
        <w:t xml:space="preserve">Module Code: </w:t>
      </w:r>
      <w:r w:rsidRPr="00C9202C">
        <w:rPr>
          <w:color w:val="222222"/>
          <w:sz w:val="28"/>
          <w:szCs w:val="28"/>
        </w:rPr>
        <w:t>BMHP6027</w:t>
      </w:r>
    </w:p>
    <w:p w14:paraId="5DE45C59" w14:textId="50DB10D6" w:rsidR="00C9202C" w:rsidRPr="00C9202C" w:rsidRDefault="00C9202C" w:rsidP="00C9202C">
      <w:pPr>
        <w:jc w:val="center"/>
        <w:rPr>
          <w:b/>
          <w:bCs/>
          <w:color w:val="222222"/>
          <w:sz w:val="28"/>
          <w:szCs w:val="28"/>
        </w:rPr>
      </w:pPr>
      <w:r w:rsidRPr="00C9202C">
        <w:rPr>
          <w:b/>
          <w:bCs/>
          <w:color w:val="222222"/>
          <w:sz w:val="28"/>
          <w:szCs w:val="28"/>
        </w:rPr>
        <w:t xml:space="preserve">Module Title: </w:t>
      </w:r>
      <w:r w:rsidRPr="00C9202C">
        <w:rPr>
          <w:color w:val="222222"/>
          <w:sz w:val="28"/>
          <w:szCs w:val="28"/>
        </w:rPr>
        <w:t>Empowering the Older Person</w:t>
      </w:r>
    </w:p>
    <w:p w14:paraId="42284CFF" w14:textId="77777777" w:rsidR="00C9202C" w:rsidRPr="00C9202C" w:rsidRDefault="00C9202C" w:rsidP="00C9202C">
      <w:pPr>
        <w:jc w:val="center"/>
        <w:rPr>
          <w:b/>
          <w:bCs/>
          <w:color w:val="222222"/>
          <w:sz w:val="28"/>
          <w:szCs w:val="28"/>
        </w:rPr>
      </w:pPr>
    </w:p>
    <w:p w14:paraId="73AC79F1" w14:textId="6400E7A0" w:rsidR="00C9202C" w:rsidRPr="00C9202C" w:rsidRDefault="00C9202C" w:rsidP="00C9202C">
      <w:pPr>
        <w:jc w:val="center"/>
        <w:rPr>
          <w:b/>
          <w:bCs/>
          <w:color w:val="222222"/>
          <w:sz w:val="28"/>
          <w:szCs w:val="28"/>
        </w:rPr>
      </w:pPr>
      <w:r w:rsidRPr="00C9202C">
        <w:rPr>
          <w:b/>
          <w:bCs/>
          <w:color w:val="222222"/>
          <w:sz w:val="28"/>
          <w:szCs w:val="28"/>
        </w:rPr>
        <w:t xml:space="preserve">Assignment Title: </w:t>
      </w:r>
      <w:r w:rsidRPr="00C9202C">
        <w:rPr>
          <w:color w:val="222222"/>
          <w:sz w:val="28"/>
          <w:szCs w:val="28"/>
        </w:rPr>
        <w:t>Component 2: Debate / Discussion</w:t>
      </w:r>
    </w:p>
    <w:p w14:paraId="0000000D" w14:textId="263563B6" w:rsidR="00552500" w:rsidRPr="00141313" w:rsidRDefault="00C9202C" w:rsidP="00141313">
      <w:pPr>
        <w:spacing w:line="276" w:lineRule="auto"/>
        <w:jc w:val="left"/>
        <w:rPr>
          <w:b/>
          <w:bCs/>
          <w:color w:val="222222"/>
        </w:rPr>
      </w:pPr>
      <w:r>
        <w:rPr>
          <w:b/>
          <w:bCs/>
          <w:color w:val="222222"/>
        </w:rPr>
        <w:br w:type="page"/>
      </w:r>
    </w:p>
    <w:p w14:paraId="0000000F" w14:textId="1A5E0C62" w:rsidR="00552500" w:rsidRDefault="00000000" w:rsidP="00141313">
      <w:bookmarkStart w:id="0" w:name="_Toc243645028"/>
      <w:r>
        <w:lastRenderedPageBreak/>
        <w:t>References</w:t>
      </w:r>
      <w:bookmarkEnd w:id="0"/>
      <w:r>
        <w:t xml:space="preserve"> </w:t>
      </w:r>
    </w:p>
    <w:p w14:paraId="00000010" w14:textId="77777777" w:rsidR="00552500" w:rsidRDefault="00000000">
      <w:pPr>
        <w:rPr>
          <w:color w:val="1155CC"/>
          <w:u w:val="single"/>
        </w:rPr>
      </w:pPr>
      <w:proofErr w:type="spellStart"/>
      <w:r>
        <w:t>Bértiz</w:t>
      </w:r>
      <w:proofErr w:type="spellEnd"/>
      <w:r>
        <w:t xml:space="preserve"> Colomer, A. (2022) ‘Nursing Homes: The Person-</w:t>
      </w:r>
      <w:proofErr w:type="spellStart"/>
      <w:r>
        <w:t>Centred</w:t>
      </w:r>
      <w:proofErr w:type="spellEnd"/>
      <w:r>
        <w:t xml:space="preserve"> Care (PCC) Model.’ In </w:t>
      </w:r>
      <w:r>
        <w:rPr>
          <w:i/>
          <w:iCs/>
        </w:rPr>
        <w:t>Humanistic Perspectives in Hospitality and Tourism, Volume II: CSR and Person-</w:t>
      </w:r>
      <w:proofErr w:type="spellStart"/>
      <w:r>
        <w:rPr>
          <w:i/>
          <w:iCs/>
        </w:rPr>
        <w:t>Centred</w:t>
      </w:r>
      <w:proofErr w:type="spellEnd"/>
      <w:r>
        <w:rPr>
          <w:i/>
          <w:iCs/>
        </w:rPr>
        <w:t xml:space="preserve"> Care</w:t>
      </w:r>
      <w:r>
        <w:t xml:space="preserve"> (pp. 167-184). Available at:</w:t>
      </w:r>
      <w:hyperlink r:id="rId8">
        <w:r w:rsidR="00552500">
          <w:rPr>
            <w:color w:val="222222"/>
          </w:rPr>
          <w:t xml:space="preserve"> </w:t>
        </w:r>
      </w:hyperlink>
      <w:hyperlink r:id="rId9">
        <w:r w:rsidR="00552500">
          <w:rPr>
            <w:color w:val="1155CC"/>
            <w:u w:val="single"/>
          </w:rPr>
          <w:t>https://doi.org/10.1007/978-3-030-95585-4_9</w:t>
        </w:r>
      </w:hyperlink>
    </w:p>
    <w:p w14:paraId="00000011" w14:textId="77777777" w:rsidR="00552500" w:rsidRDefault="00000000">
      <w:r>
        <w:t xml:space="preserve">Cqc.org.uk. (2026). </w:t>
      </w:r>
      <w:r>
        <w:rPr>
          <w:i/>
          <w:iCs/>
        </w:rPr>
        <w:t>About us - Care Quality Commission</w:t>
      </w:r>
      <w:r>
        <w:t>. Available at:</w:t>
      </w:r>
      <w:hyperlink r:id="rId10">
        <w:r w:rsidR="00552500">
          <w:t xml:space="preserve"> </w:t>
        </w:r>
      </w:hyperlink>
      <w:hyperlink r:id="rId11">
        <w:r w:rsidR="00552500">
          <w:rPr>
            <w:color w:val="1155CC"/>
            <w:u w:val="single"/>
          </w:rPr>
          <w:t>https://www.cqc.org.uk/about-us</w:t>
        </w:r>
      </w:hyperlink>
      <w:r>
        <w:t>.</w:t>
      </w:r>
    </w:p>
    <w:p w14:paraId="00000012" w14:textId="77777777" w:rsidR="00552500" w:rsidRDefault="00000000">
      <w:pPr>
        <w:rPr>
          <w:color w:val="1155CC"/>
          <w:u w:val="single"/>
        </w:rPr>
      </w:pPr>
      <w:r>
        <w:t xml:space="preserve">Forsgren, E. and </w:t>
      </w:r>
      <w:proofErr w:type="spellStart"/>
      <w:r>
        <w:t>Saldert</w:t>
      </w:r>
      <w:proofErr w:type="spellEnd"/>
      <w:r>
        <w:t>, C. (2022) ‘Implementation of communication routines facilitating person</w:t>
      </w:r>
      <w:r>
        <w:rPr>
          <w:rFonts w:ascii="Times New Roman" w:eastAsia="Times New Roman" w:hAnsi="Times New Roman" w:cs="Times New Roman"/>
        </w:rPr>
        <w:t>‐</w:t>
      </w:r>
      <w:proofErr w:type="spellStart"/>
      <w:r>
        <w:t>centred</w:t>
      </w:r>
      <w:proofErr w:type="spellEnd"/>
      <w:r>
        <w:t xml:space="preserve"> care in long</w:t>
      </w:r>
      <w:r>
        <w:rPr>
          <w:rFonts w:ascii="Times New Roman" w:eastAsia="Times New Roman" w:hAnsi="Times New Roman" w:cs="Times New Roman"/>
        </w:rPr>
        <w:t>‐</w:t>
      </w:r>
      <w:r>
        <w:t xml:space="preserve">term residential care: A pilot study.’ </w:t>
      </w:r>
      <w:r>
        <w:rPr>
          <w:i/>
          <w:iCs/>
        </w:rPr>
        <w:t>Health Expectations</w:t>
      </w:r>
      <w:r>
        <w:t xml:space="preserve">, </w:t>
      </w:r>
      <w:r>
        <w:rPr>
          <w:i/>
          <w:iCs/>
        </w:rPr>
        <w:t>25</w:t>
      </w:r>
      <w:r>
        <w:t>(6), pp.2982-2991. Available at:</w:t>
      </w:r>
      <w:hyperlink r:id="rId12">
        <w:r w:rsidR="00552500">
          <w:t xml:space="preserve"> </w:t>
        </w:r>
      </w:hyperlink>
      <w:hyperlink r:id="rId13">
        <w:r w:rsidR="00552500">
          <w:rPr>
            <w:color w:val="1155CC"/>
            <w:u w:val="single"/>
          </w:rPr>
          <w:t>https://doi.org/10.1111/hex.13606</w:t>
        </w:r>
      </w:hyperlink>
    </w:p>
    <w:p w14:paraId="00000013" w14:textId="77777777" w:rsidR="00552500" w:rsidRDefault="00000000">
      <w:pPr>
        <w:rPr>
          <w:color w:val="1155CC"/>
          <w:u w:val="single"/>
        </w:rPr>
      </w:pPr>
      <w:r>
        <w:t xml:space="preserve">Hansen, A.M. (2023) ‘Dignity equals distance? Pursuing dignity in care for older adults.’ </w:t>
      </w:r>
      <w:r>
        <w:rPr>
          <w:i/>
          <w:iCs/>
        </w:rPr>
        <w:t>Ageing &amp; Society</w:t>
      </w:r>
      <w:r>
        <w:t xml:space="preserve">, </w:t>
      </w:r>
      <w:r>
        <w:rPr>
          <w:i/>
          <w:iCs/>
        </w:rPr>
        <w:t>43</w:t>
      </w:r>
      <w:r>
        <w:t>(5), pp.1003-1021. Available at:</w:t>
      </w:r>
      <w:hyperlink r:id="rId14">
        <w:r w:rsidR="00552500">
          <w:t xml:space="preserve"> </w:t>
        </w:r>
      </w:hyperlink>
      <w:hyperlink r:id="rId15">
        <w:r w:rsidR="00552500">
          <w:rPr>
            <w:color w:val="1155CC"/>
            <w:u w:val="single"/>
          </w:rPr>
          <w:t>https://doi.org/10.1017/S0144686X21000891</w:t>
        </w:r>
      </w:hyperlink>
    </w:p>
    <w:p w14:paraId="00000014" w14:textId="77777777" w:rsidR="00552500" w:rsidRDefault="00000000">
      <w:r>
        <w:t xml:space="preserve">Maker, Y. (2023) ‘From care and welfare to independent living? Interpreting and assessing the human right to live independently and be included in the community.’ In </w:t>
      </w:r>
      <w:r>
        <w:rPr>
          <w:i/>
          <w:iCs/>
        </w:rPr>
        <w:t>Research Handbook on Disability Policy</w:t>
      </w:r>
      <w:r>
        <w:t xml:space="preserve"> (pp. 274-288). Available at:</w:t>
      </w:r>
      <w:hyperlink r:id="rId16">
        <w:r w:rsidR="00552500">
          <w:t xml:space="preserve"> </w:t>
        </w:r>
      </w:hyperlink>
      <w:hyperlink r:id="rId17">
        <w:r w:rsidR="00552500">
          <w:rPr>
            <w:color w:val="1155CC"/>
            <w:u w:val="single"/>
          </w:rPr>
          <w:t>https://doi.org/10.4337/9781800373655.00031</w:t>
        </w:r>
      </w:hyperlink>
    </w:p>
    <w:p w14:paraId="01B9343B" w14:textId="664C6FB1" w:rsidR="00C9202C" w:rsidRPr="00C9202C" w:rsidRDefault="00C9202C" w:rsidP="00C9202C">
      <w:r w:rsidRPr="002C50F7">
        <w:t xml:space="preserve">Matarese, M., Mauro, L., Notarnicola, I., Cinque, A., Bonacci, S., Covelli, G. and Casciato, S. </w:t>
      </w:r>
      <w:r>
        <w:t>(</w:t>
      </w:r>
      <w:r w:rsidRPr="002C50F7">
        <w:t>2022</w:t>
      </w:r>
      <w:r>
        <w:t>)</w:t>
      </w:r>
      <w:r w:rsidRPr="002C50F7">
        <w:t xml:space="preserve"> </w:t>
      </w:r>
      <w:r>
        <w:t>‘</w:t>
      </w:r>
      <w:r w:rsidRPr="002C50F7">
        <w:t>Experiences of health care personnel with promoting a sense of home for older adults living in residential care facilities: a qualitative systematic review.</w:t>
      </w:r>
      <w:r>
        <w:t>’</w:t>
      </w:r>
      <w:r w:rsidRPr="002C50F7">
        <w:t xml:space="preserve"> </w:t>
      </w:r>
      <w:r w:rsidRPr="002C50F7">
        <w:rPr>
          <w:i/>
          <w:iCs/>
        </w:rPr>
        <w:t>JBI Evidence Synthesis</w:t>
      </w:r>
      <w:r w:rsidRPr="002C50F7">
        <w:t xml:space="preserve">, </w:t>
      </w:r>
      <w:r w:rsidRPr="002C50F7">
        <w:rPr>
          <w:i/>
          <w:iCs/>
        </w:rPr>
        <w:t>20</w:t>
      </w:r>
      <w:r w:rsidRPr="002C50F7">
        <w:t>(12), pp.2826-2866.</w:t>
      </w:r>
      <w:r>
        <w:t xml:space="preserve"> Available at: </w:t>
      </w:r>
      <w:r w:rsidRPr="002C50F7">
        <w:t>10.11124/JBIES-21-00452</w:t>
      </w:r>
      <w:r>
        <w:t xml:space="preserve"> </w:t>
      </w:r>
    </w:p>
    <w:p w14:paraId="00000015" w14:textId="77777777" w:rsidR="00552500" w:rsidRDefault="00000000">
      <w:pPr>
        <w:rPr>
          <w:color w:val="1155CC"/>
          <w:u w:val="single"/>
        </w:rPr>
      </w:pPr>
      <w:r>
        <w:t xml:space="preserve">Mhlanga, D. (2024) ‘Artificial intelligence in elderly care: Navigating ethical and responsible AI adoption for seniors.’ In </w:t>
      </w:r>
      <w:r>
        <w:rPr>
          <w:i/>
          <w:iCs/>
        </w:rPr>
        <w:t>Fostering long-term sustainable development in Africa: Overcoming poverty, inequality, and unemployment</w:t>
      </w:r>
      <w:r>
        <w:t xml:space="preserve"> (pp. 411-440). Available at:</w:t>
      </w:r>
      <w:hyperlink r:id="rId18">
        <w:r w:rsidR="00552500">
          <w:rPr>
            <w:color w:val="222222"/>
            <w:sz w:val="24"/>
            <w:szCs w:val="24"/>
          </w:rPr>
          <w:t xml:space="preserve"> </w:t>
        </w:r>
      </w:hyperlink>
      <w:hyperlink r:id="rId19">
        <w:r w:rsidR="00552500">
          <w:rPr>
            <w:color w:val="1155CC"/>
            <w:u w:val="single"/>
          </w:rPr>
          <w:t>https://doi.org/10.1007/978-3-031-61321-0_18</w:t>
        </w:r>
      </w:hyperlink>
    </w:p>
    <w:p w14:paraId="00000016" w14:textId="77777777" w:rsidR="00552500" w:rsidRDefault="00000000">
      <w:pPr>
        <w:rPr>
          <w:color w:val="1155CC"/>
          <w:u w:val="single"/>
        </w:rPr>
      </w:pPr>
      <w:proofErr w:type="spellStart"/>
      <w:r>
        <w:t>Roos</w:t>
      </w:r>
      <w:proofErr w:type="spellEnd"/>
      <w:r>
        <w:t xml:space="preserve">, C., Swall, A., </w:t>
      </w:r>
      <w:proofErr w:type="spellStart"/>
      <w:r>
        <w:t>Marmstål</w:t>
      </w:r>
      <w:proofErr w:type="spellEnd"/>
      <w:r>
        <w:t xml:space="preserve"> Hammar, L., Boström, A.M. and Skytt, B. (2023) ‘Promoting the person-</w:t>
      </w:r>
      <w:proofErr w:type="spellStart"/>
      <w:r>
        <w:t>centred</w:t>
      </w:r>
      <w:proofErr w:type="spellEnd"/>
      <w:r>
        <w:t xml:space="preserve"> aspects of dignity and well-being: learning from older persons’ experiences of living in residential care facilities.’ </w:t>
      </w:r>
      <w:r>
        <w:rPr>
          <w:i/>
          <w:iCs/>
        </w:rPr>
        <w:t>Working with Older People</w:t>
      </w:r>
      <w:r>
        <w:t xml:space="preserve">, </w:t>
      </w:r>
      <w:r>
        <w:rPr>
          <w:i/>
          <w:iCs/>
        </w:rPr>
        <w:t>27</w:t>
      </w:r>
      <w:r>
        <w:t>(3), pp.219-229. Available at:</w:t>
      </w:r>
      <w:hyperlink r:id="rId20">
        <w:r w:rsidR="00552500">
          <w:t xml:space="preserve"> </w:t>
        </w:r>
      </w:hyperlink>
      <w:hyperlink r:id="rId21">
        <w:r w:rsidR="00552500">
          <w:rPr>
            <w:color w:val="1155CC"/>
            <w:u w:val="single"/>
          </w:rPr>
          <w:t>https://doi.org/10.1108/WWOP-08-2022-0034</w:t>
        </w:r>
      </w:hyperlink>
    </w:p>
    <w:p w14:paraId="00000017" w14:textId="77777777" w:rsidR="00552500" w:rsidRDefault="00000000">
      <w:pPr>
        <w:rPr>
          <w:color w:val="1155CC"/>
          <w:u w:val="single"/>
        </w:rPr>
      </w:pPr>
      <w:r>
        <w:t xml:space="preserve">Roy, S., Mandal, B. and Das, B.K. (2025) ‘Quality assurance in laboratory practices and equipment maintenance: Ensuring precision, reliability, and compliance.’ In </w:t>
      </w:r>
      <w:r>
        <w:rPr>
          <w:i/>
          <w:iCs/>
        </w:rPr>
        <w:t>Laboratory Techniques for Fish Disease Diagnosis</w:t>
      </w:r>
      <w:r>
        <w:t xml:space="preserve"> (pp. 79-103). Available at:</w:t>
      </w:r>
      <w:hyperlink r:id="rId22">
        <w:r w:rsidR="00552500">
          <w:t xml:space="preserve"> </w:t>
        </w:r>
      </w:hyperlink>
      <w:hyperlink r:id="rId23">
        <w:r w:rsidR="00552500">
          <w:rPr>
            <w:color w:val="1155CC"/>
            <w:u w:val="single"/>
          </w:rPr>
          <w:t>https://doi.org/10.1007/978-981-96-4620-3_5</w:t>
        </w:r>
      </w:hyperlink>
    </w:p>
    <w:p w14:paraId="00000018" w14:textId="77777777" w:rsidR="00552500" w:rsidRDefault="00552500"/>
    <w:p w14:paraId="00000019" w14:textId="77777777" w:rsidR="00552500" w:rsidRDefault="00552500"/>
    <w:p w14:paraId="0000001B" w14:textId="77777777" w:rsidR="00552500" w:rsidRDefault="00552500"/>
    <w:sectPr w:rsidR="00552500">
      <w:footerReference w:type="default" r:id="rId24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33E58C" w14:textId="77777777" w:rsidR="00E01667" w:rsidRDefault="00E01667" w:rsidP="00C9202C">
      <w:pPr>
        <w:spacing w:line="240" w:lineRule="auto"/>
      </w:pPr>
      <w:r>
        <w:separator/>
      </w:r>
    </w:p>
  </w:endnote>
  <w:endnote w:type="continuationSeparator" w:id="0">
    <w:p w14:paraId="7ADE517C" w14:textId="77777777" w:rsidR="00E01667" w:rsidRDefault="00E01667" w:rsidP="00C9202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90946B4E-E70E-4508-A18C-81DEC129EF85}"/>
  </w:font>
  <w:font w:name="Roboto">
    <w:charset w:val="00"/>
    <w:family w:val="auto"/>
    <w:pitch w:val="variable"/>
    <w:sig w:usb0="E0000AFF" w:usb1="5000217F" w:usb2="00000021" w:usb3="00000000" w:csb0="0000019F" w:csb1="00000000"/>
    <w:embedRegular r:id="rId2" w:fontKey="{C0A35660-DA02-4F78-97AD-01C51B604948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DEC393DE-B145-4706-81CB-02AD6B648784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841169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5465AC2" w14:textId="2D7A760E" w:rsidR="00C9202C" w:rsidRDefault="00C9202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B91852A" w14:textId="77777777" w:rsidR="00C9202C" w:rsidRDefault="00C920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7D0BC6" w14:textId="77777777" w:rsidR="00E01667" w:rsidRDefault="00E01667" w:rsidP="00C9202C">
      <w:pPr>
        <w:spacing w:line="240" w:lineRule="auto"/>
      </w:pPr>
      <w:r>
        <w:separator/>
      </w:r>
    </w:p>
  </w:footnote>
  <w:footnote w:type="continuationSeparator" w:id="0">
    <w:p w14:paraId="3B70D935" w14:textId="77777777" w:rsidR="00E01667" w:rsidRDefault="00E01667" w:rsidP="00C9202C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2500"/>
    <w:rsid w:val="00141313"/>
    <w:rsid w:val="00190A20"/>
    <w:rsid w:val="00312B8A"/>
    <w:rsid w:val="003B429F"/>
    <w:rsid w:val="004949CD"/>
    <w:rsid w:val="00552500"/>
    <w:rsid w:val="00C9202C"/>
    <w:rsid w:val="00C94ADC"/>
    <w:rsid w:val="00E01667"/>
    <w:rsid w:val="00E1760A"/>
    <w:rsid w:val="00E64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9917A"/>
  <w15:docId w15:val="{A00402A3-3213-4EDA-8F3E-B64E4384D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202C"/>
    <w:pPr>
      <w:spacing w:line="360" w:lineRule="auto"/>
      <w:jc w:val="both"/>
    </w:pPr>
  </w:style>
  <w:style w:type="paragraph" w:styleId="Heading1">
    <w:name w:val="heading 1"/>
    <w:basedOn w:val="Normal"/>
    <w:next w:val="Normal"/>
    <w:uiPriority w:val="9"/>
    <w:qFormat/>
    <w:rsid w:val="00C9202C"/>
    <w:pPr>
      <w:keepNext/>
      <w:keepLines/>
      <w:spacing w:before="400" w:after="120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C9202C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02C"/>
  </w:style>
  <w:style w:type="paragraph" w:styleId="Footer">
    <w:name w:val="footer"/>
    <w:basedOn w:val="Normal"/>
    <w:link w:val="FooterChar"/>
    <w:uiPriority w:val="99"/>
    <w:unhideWhenUsed/>
    <w:rsid w:val="00C9202C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02C"/>
  </w:style>
  <w:style w:type="paragraph" w:styleId="TOCHeading">
    <w:name w:val="TOC Heading"/>
    <w:basedOn w:val="Heading1"/>
    <w:next w:val="Normal"/>
    <w:uiPriority w:val="39"/>
    <w:unhideWhenUsed/>
    <w:qFormat/>
    <w:rsid w:val="00C9202C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9202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9202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978-3-030-95585-4_9" TargetMode="External"/><Relationship Id="rId13" Type="http://schemas.openxmlformats.org/officeDocument/2006/relationships/hyperlink" Target="https://doi.org/10.1111/hex.13606" TargetMode="External"/><Relationship Id="rId18" Type="http://schemas.openxmlformats.org/officeDocument/2006/relationships/hyperlink" Target="https://doi.org/10.1007/978-3-031-61321-0_18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doi.org/10.1108/WWOP-08-2022-0034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1111/hex.13606" TargetMode="External"/><Relationship Id="rId17" Type="http://schemas.openxmlformats.org/officeDocument/2006/relationships/hyperlink" Target="https://doi.org/10.4337/9781800373655.00031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4337/9781800373655.00031" TargetMode="External"/><Relationship Id="rId20" Type="http://schemas.openxmlformats.org/officeDocument/2006/relationships/hyperlink" Target="https://doi.org/10.1108/WWOP-08-2022-0034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qc.org.uk/about-us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17/S0144686X21000891" TargetMode="External"/><Relationship Id="rId23" Type="http://schemas.openxmlformats.org/officeDocument/2006/relationships/hyperlink" Target="https://doi.org/10.1007/978-981-96-4620-3_5" TargetMode="External"/><Relationship Id="rId10" Type="http://schemas.openxmlformats.org/officeDocument/2006/relationships/hyperlink" Target="https://www.cqc.org.uk/about-us" TargetMode="External"/><Relationship Id="rId19" Type="http://schemas.openxmlformats.org/officeDocument/2006/relationships/hyperlink" Target="https://doi.org/10.1007/978-3-031-61321-0_1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7/978-3-030-95585-4_9" TargetMode="External"/><Relationship Id="rId14" Type="http://schemas.openxmlformats.org/officeDocument/2006/relationships/hyperlink" Target="https://doi.org/10.1017/S0144686X21000891" TargetMode="External"/><Relationship Id="rId22" Type="http://schemas.openxmlformats.org/officeDocument/2006/relationships/hyperlink" Target="https://doi.org/10.1007/978-981-96-4620-3_5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7AF4334-DA07-4308-9553-2C8FEE6DD7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518</Words>
  <Characters>2956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Asho Hassan (2333642)</cp:lastModifiedBy>
  <cp:revision>2</cp:revision>
  <dcterms:created xsi:type="dcterms:W3CDTF">2026-10-23T17:25:00Z</dcterms:created>
  <dcterms:modified xsi:type="dcterms:W3CDTF">2026-10-23T17:25:00Z</dcterms:modified>
</cp:coreProperties>
</file>