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B9129" w14:textId="77777777" w:rsidR="00AD7ED0" w:rsidRDefault="00C12944">
      <w:pPr>
        <w:jc w:val="center"/>
      </w:pPr>
      <w:r>
        <w:rPr>
          <w:b/>
          <w:sz w:val="40"/>
        </w:rPr>
        <w:t>Component 2: Written Assignment (Report)</w:t>
      </w:r>
    </w:p>
    <w:p w14:paraId="1D2CB447" w14:textId="77777777" w:rsidR="00AD7ED0" w:rsidRDefault="00C12944">
      <w:pPr>
        <w:jc w:val="center"/>
      </w:pPr>
      <w:r>
        <w:rPr>
          <w:b/>
          <w:sz w:val="32"/>
        </w:rPr>
        <w:t>Health, Wellbeing and Sustainable Development</w:t>
      </w:r>
    </w:p>
    <w:p w14:paraId="570CCE39" w14:textId="77777777" w:rsidR="00AD7ED0" w:rsidRDefault="00AD7ED0"/>
    <w:p w14:paraId="21505705" w14:textId="77777777" w:rsidR="00AD7ED0" w:rsidRDefault="00C12944">
      <w:pPr>
        <w:spacing w:line="360" w:lineRule="auto"/>
        <w:jc w:val="center"/>
      </w:pPr>
      <w:r>
        <w:t>Programme: BSc (Hons) Health and Social Care</w:t>
      </w:r>
    </w:p>
    <w:p w14:paraId="22272D64" w14:textId="77777777" w:rsidR="00AD7ED0" w:rsidRDefault="00C12944">
      <w:pPr>
        <w:spacing w:line="360" w:lineRule="auto"/>
        <w:jc w:val="center"/>
      </w:pPr>
      <w:r>
        <w:t>Module code: BMHP6030</w:t>
      </w:r>
    </w:p>
    <w:p w14:paraId="16B71026" w14:textId="5977DA9B" w:rsidR="009674A4" w:rsidRDefault="009674A4">
      <w:pPr>
        <w:spacing w:line="360" w:lineRule="auto"/>
        <w:jc w:val="center"/>
      </w:pPr>
      <w:r>
        <w:t>Emilia Milewska 2245525</w:t>
      </w:r>
    </w:p>
    <w:p w14:paraId="322C5D3F" w14:textId="577D2528" w:rsidR="009674A4" w:rsidRDefault="009674A4">
      <w:pPr>
        <w:spacing w:line="360" w:lineRule="auto"/>
        <w:jc w:val="center"/>
      </w:pPr>
      <w:r>
        <w:t>Lecturer Dr Itse Olaoye</w:t>
      </w:r>
    </w:p>
    <w:p w14:paraId="54050F3F" w14:textId="77777777" w:rsidR="00AD7ED0" w:rsidRDefault="00C12944">
      <w:pPr>
        <w:spacing w:line="360" w:lineRule="auto"/>
        <w:jc w:val="center"/>
      </w:pPr>
      <w:r>
        <w:t>Module title: Health, Wellbeing and Sustainable Development</w:t>
      </w:r>
    </w:p>
    <w:p w14:paraId="6126CD62" w14:textId="77777777" w:rsidR="00AD7ED0" w:rsidRDefault="00C12944">
      <w:pPr>
        <w:spacing w:line="360" w:lineRule="auto"/>
        <w:jc w:val="center"/>
      </w:pPr>
      <w:r>
        <w:t>Assignment focus: Sustainable Development Goal 3 and Sustainable Development Goal 13</w:t>
      </w:r>
    </w:p>
    <w:p w14:paraId="28A21F37" w14:textId="77777777" w:rsidR="00AD7ED0" w:rsidRDefault="00C12944">
      <w:r>
        <w:br w:type="page"/>
      </w:r>
    </w:p>
    <w:sdt>
      <w:sdtPr>
        <w:rPr>
          <w:rFonts w:ascii="Arial" w:eastAsia="Arial" w:hAnsi="Arial" w:cstheme="minorBidi"/>
          <w:b w:val="0"/>
          <w:bCs w:val="0"/>
          <w:color w:val="auto"/>
          <w:sz w:val="22"/>
          <w:szCs w:val="22"/>
        </w:rPr>
        <w:id w:val="-530251606"/>
        <w:docPartObj>
          <w:docPartGallery w:val="Table of Contents"/>
          <w:docPartUnique/>
        </w:docPartObj>
      </w:sdtPr>
      <w:sdtEndPr>
        <w:rPr>
          <w:noProof/>
        </w:rPr>
      </w:sdtEndPr>
      <w:sdtContent>
        <w:p w14:paraId="71798BAE" w14:textId="5C0969F9" w:rsidR="00952EBF" w:rsidRDefault="00952EBF">
          <w:pPr>
            <w:pStyle w:val="TOCHeading"/>
          </w:pPr>
          <w:r>
            <w:t>Table of Contents</w:t>
          </w:r>
        </w:p>
        <w:p w14:paraId="5D8DCCED" w14:textId="53F43C85" w:rsidR="00952EBF" w:rsidRDefault="00952EBF">
          <w:pPr>
            <w:pStyle w:val="TOC1"/>
            <w:tabs>
              <w:tab w:val="right" w:leader="dot" w:pos="9350"/>
            </w:tabs>
            <w:rPr>
              <w:rFonts w:asciiTheme="minorHAnsi" w:eastAsiaTheme="minorEastAsia"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27147213" w:history="1">
            <w:r w:rsidRPr="0010008A">
              <w:rPr>
                <w:rStyle w:val="Hyperlink"/>
                <w:noProof/>
              </w:rPr>
              <w:t>1. Introduction</w:t>
            </w:r>
            <w:r>
              <w:rPr>
                <w:noProof/>
                <w:webHidden/>
              </w:rPr>
              <w:tab/>
            </w:r>
            <w:r>
              <w:rPr>
                <w:noProof/>
                <w:webHidden/>
              </w:rPr>
              <w:fldChar w:fldCharType="begin"/>
            </w:r>
            <w:r>
              <w:rPr>
                <w:noProof/>
                <w:webHidden/>
              </w:rPr>
              <w:instrText xml:space="preserve"> PAGEREF _Toc227147213 \h </w:instrText>
            </w:r>
            <w:r>
              <w:rPr>
                <w:noProof/>
                <w:webHidden/>
              </w:rPr>
            </w:r>
            <w:r>
              <w:rPr>
                <w:noProof/>
                <w:webHidden/>
              </w:rPr>
              <w:fldChar w:fldCharType="separate"/>
            </w:r>
            <w:r>
              <w:rPr>
                <w:noProof/>
                <w:webHidden/>
              </w:rPr>
              <w:t>4</w:t>
            </w:r>
            <w:r>
              <w:rPr>
                <w:noProof/>
                <w:webHidden/>
              </w:rPr>
              <w:fldChar w:fldCharType="end"/>
            </w:r>
          </w:hyperlink>
        </w:p>
        <w:p w14:paraId="23FB9A9C" w14:textId="68FA3BC6" w:rsidR="00952EBF" w:rsidRDefault="00952EB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7147214" w:history="1">
            <w:r w:rsidRPr="0010008A">
              <w:rPr>
                <w:rStyle w:val="Hyperlink"/>
                <w:noProof/>
              </w:rPr>
              <w:t xml:space="preserve">2. Sustainable Development Goal 3: Good Health and </w:t>
            </w:r>
            <w:r w:rsidR="00117454">
              <w:rPr>
                <w:rStyle w:val="Hyperlink"/>
                <w:noProof/>
              </w:rPr>
              <w:t>Wellbeing</w:t>
            </w:r>
            <w:r>
              <w:rPr>
                <w:noProof/>
                <w:webHidden/>
              </w:rPr>
              <w:tab/>
            </w:r>
            <w:r>
              <w:rPr>
                <w:noProof/>
                <w:webHidden/>
              </w:rPr>
              <w:fldChar w:fldCharType="begin"/>
            </w:r>
            <w:r>
              <w:rPr>
                <w:noProof/>
                <w:webHidden/>
              </w:rPr>
              <w:instrText xml:space="preserve"> PAGEREF _Toc227147214 \h </w:instrText>
            </w:r>
            <w:r>
              <w:rPr>
                <w:noProof/>
                <w:webHidden/>
              </w:rPr>
            </w:r>
            <w:r>
              <w:rPr>
                <w:noProof/>
                <w:webHidden/>
              </w:rPr>
              <w:fldChar w:fldCharType="separate"/>
            </w:r>
            <w:r>
              <w:rPr>
                <w:noProof/>
                <w:webHidden/>
              </w:rPr>
              <w:t>4</w:t>
            </w:r>
            <w:r>
              <w:rPr>
                <w:noProof/>
                <w:webHidden/>
              </w:rPr>
              <w:fldChar w:fldCharType="end"/>
            </w:r>
          </w:hyperlink>
        </w:p>
        <w:p w14:paraId="0667057A" w14:textId="4E721ABE" w:rsidR="00952EBF" w:rsidRDefault="00952EB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7147215" w:history="1">
            <w:r w:rsidRPr="0010008A">
              <w:rPr>
                <w:rStyle w:val="Hyperlink"/>
                <w:noProof/>
              </w:rPr>
              <w:t>3. Sustainable Development Goal 13: Climate Action</w:t>
            </w:r>
            <w:r>
              <w:rPr>
                <w:noProof/>
                <w:webHidden/>
              </w:rPr>
              <w:tab/>
            </w:r>
            <w:r>
              <w:rPr>
                <w:noProof/>
                <w:webHidden/>
              </w:rPr>
              <w:fldChar w:fldCharType="begin"/>
            </w:r>
            <w:r>
              <w:rPr>
                <w:noProof/>
                <w:webHidden/>
              </w:rPr>
              <w:instrText xml:space="preserve"> PAGEREF _Toc227147215 \h </w:instrText>
            </w:r>
            <w:r>
              <w:rPr>
                <w:noProof/>
                <w:webHidden/>
              </w:rPr>
            </w:r>
            <w:r>
              <w:rPr>
                <w:noProof/>
                <w:webHidden/>
              </w:rPr>
              <w:fldChar w:fldCharType="separate"/>
            </w:r>
            <w:r>
              <w:rPr>
                <w:noProof/>
                <w:webHidden/>
              </w:rPr>
              <w:t>5</w:t>
            </w:r>
            <w:r>
              <w:rPr>
                <w:noProof/>
                <w:webHidden/>
              </w:rPr>
              <w:fldChar w:fldCharType="end"/>
            </w:r>
          </w:hyperlink>
        </w:p>
        <w:p w14:paraId="3949D2A4" w14:textId="546A77DF" w:rsidR="00952EBF" w:rsidRDefault="00952EB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7147216" w:history="1">
            <w:r w:rsidRPr="0010008A">
              <w:rPr>
                <w:rStyle w:val="Hyperlink"/>
                <w:noProof/>
              </w:rPr>
              <w:t>4. National Wellbeing and Sustainable Development Initiatives</w:t>
            </w:r>
            <w:r>
              <w:rPr>
                <w:noProof/>
                <w:webHidden/>
              </w:rPr>
              <w:tab/>
            </w:r>
            <w:r>
              <w:rPr>
                <w:noProof/>
                <w:webHidden/>
              </w:rPr>
              <w:fldChar w:fldCharType="begin"/>
            </w:r>
            <w:r>
              <w:rPr>
                <w:noProof/>
                <w:webHidden/>
              </w:rPr>
              <w:instrText xml:space="preserve"> PAGEREF _Toc227147216 \h </w:instrText>
            </w:r>
            <w:r>
              <w:rPr>
                <w:noProof/>
                <w:webHidden/>
              </w:rPr>
            </w:r>
            <w:r>
              <w:rPr>
                <w:noProof/>
                <w:webHidden/>
              </w:rPr>
              <w:fldChar w:fldCharType="separate"/>
            </w:r>
            <w:r>
              <w:rPr>
                <w:noProof/>
                <w:webHidden/>
              </w:rPr>
              <w:t>7</w:t>
            </w:r>
            <w:r>
              <w:rPr>
                <w:noProof/>
                <w:webHidden/>
              </w:rPr>
              <w:fldChar w:fldCharType="end"/>
            </w:r>
          </w:hyperlink>
        </w:p>
        <w:p w14:paraId="6022B5B1" w14:textId="06947CB2" w:rsidR="00952EBF" w:rsidRDefault="00952EB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7147217" w:history="1">
            <w:r w:rsidRPr="0010008A">
              <w:rPr>
                <w:rStyle w:val="Hyperlink"/>
                <w:noProof/>
              </w:rPr>
              <w:t>5. Local Wellbeing and Sustainable Development Initiatives</w:t>
            </w:r>
            <w:r>
              <w:rPr>
                <w:noProof/>
                <w:webHidden/>
              </w:rPr>
              <w:tab/>
            </w:r>
            <w:r>
              <w:rPr>
                <w:noProof/>
                <w:webHidden/>
              </w:rPr>
              <w:fldChar w:fldCharType="begin"/>
            </w:r>
            <w:r>
              <w:rPr>
                <w:noProof/>
                <w:webHidden/>
              </w:rPr>
              <w:instrText xml:space="preserve"> PAGEREF _Toc227147217 \h </w:instrText>
            </w:r>
            <w:r>
              <w:rPr>
                <w:noProof/>
                <w:webHidden/>
              </w:rPr>
            </w:r>
            <w:r>
              <w:rPr>
                <w:noProof/>
                <w:webHidden/>
              </w:rPr>
              <w:fldChar w:fldCharType="separate"/>
            </w:r>
            <w:r>
              <w:rPr>
                <w:noProof/>
                <w:webHidden/>
              </w:rPr>
              <w:t>7</w:t>
            </w:r>
            <w:r>
              <w:rPr>
                <w:noProof/>
                <w:webHidden/>
              </w:rPr>
              <w:fldChar w:fldCharType="end"/>
            </w:r>
          </w:hyperlink>
        </w:p>
        <w:p w14:paraId="2EA13885" w14:textId="1D6E4203" w:rsidR="00952EBF" w:rsidRDefault="00952EB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7147218" w:history="1">
            <w:r w:rsidRPr="0010008A">
              <w:rPr>
                <w:rStyle w:val="Hyperlink"/>
                <w:noProof/>
              </w:rPr>
              <w:t>6. Conclusion</w:t>
            </w:r>
            <w:r>
              <w:rPr>
                <w:noProof/>
                <w:webHidden/>
              </w:rPr>
              <w:tab/>
            </w:r>
            <w:r>
              <w:rPr>
                <w:noProof/>
                <w:webHidden/>
              </w:rPr>
              <w:fldChar w:fldCharType="begin"/>
            </w:r>
            <w:r>
              <w:rPr>
                <w:noProof/>
                <w:webHidden/>
              </w:rPr>
              <w:instrText xml:space="preserve"> PAGEREF _Toc227147218 \h </w:instrText>
            </w:r>
            <w:r>
              <w:rPr>
                <w:noProof/>
                <w:webHidden/>
              </w:rPr>
            </w:r>
            <w:r>
              <w:rPr>
                <w:noProof/>
                <w:webHidden/>
              </w:rPr>
              <w:fldChar w:fldCharType="separate"/>
            </w:r>
            <w:r>
              <w:rPr>
                <w:noProof/>
                <w:webHidden/>
              </w:rPr>
              <w:t>8</w:t>
            </w:r>
            <w:r>
              <w:rPr>
                <w:noProof/>
                <w:webHidden/>
              </w:rPr>
              <w:fldChar w:fldCharType="end"/>
            </w:r>
          </w:hyperlink>
        </w:p>
        <w:p w14:paraId="7A020B66" w14:textId="26AA8061" w:rsidR="00952EBF" w:rsidRDefault="00952EBF">
          <w:pPr>
            <w:pStyle w:val="TOC1"/>
            <w:tabs>
              <w:tab w:val="right" w:leader="dot" w:pos="9350"/>
            </w:tabs>
            <w:rPr>
              <w:rFonts w:asciiTheme="minorHAnsi" w:eastAsiaTheme="minorEastAsia" w:hAnsiTheme="minorHAnsi"/>
              <w:noProof/>
              <w:kern w:val="2"/>
              <w:sz w:val="24"/>
              <w:szCs w:val="24"/>
              <w:lang w:val="en-GB" w:eastAsia="en-GB"/>
              <w14:ligatures w14:val="standardContextual"/>
            </w:rPr>
          </w:pPr>
          <w:hyperlink w:anchor="_Toc227147219" w:history="1">
            <w:r w:rsidRPr="0010008A">
              <w:rPr>
                <w:rStyle w:val="Hyperlink"/>
                <w:noProof/>
              </w:rPr>
              <w:t>References</w:t>
            </w:r>
            <w:r>
              <w:rPr>
                <w:noProof/>
                <w:webHidden/>
              </w:rPr>
              <w:tab/>
            </w:r>
            <w:r>
              <w:rPr>
                <w:noProof/>
                <w:webHidden/>
              </w:rPr>
              <w:fldChar w:fldCharType="begin"/>
            </w:r>
            <w:r>
              <w:rPr>
                <w:noProof/>
                <w:webHidden/>
              </w:rPr>
              <w:instrText xml:space="preserve"> PAGEREF _Toc227147219 \h </w:instrText>
            </w:r>
            <w:r>
              <w:rPr>
                <w:noProof/>
                <w:webHidden/>
              </w:rPr>
            </w:r>
            <w:r>
              <w:rPr>
                <w:noProof/>
                <w:webHidden/>
              </w:rPr>
              <w:fldChar w:fldCharType="separate"/>
            </w:r>
            <w:r>
              <w:rPr>
                <w:noProof/>
                <w:webHidden/>
              </w:rPr>
              <w:t>9</w:t>
            </w:r>
            <w:r>
              <w:rPr>
                <w:noProof/>
                <w:webHidden/>
              </w:rPr>
              <w:fldChar w:fldCharType="end"/>
            </w:r>
          </w:hyperlink>
        </w:p>
        <w:p w14:paraId="5EF092F0" w14:textId="3B7C3407" w:rsidR="00952EBF" w:rsidRDefault="00952EBF">
          <w:r>
            <w:rPr>
              <w:b/>
              <w:bCs/>
              <w:noProof/>
            </w:rPr>
            <w:fldChar w:fldCharType="end"/>
          </w:r>
        </w:p>
      </w:sdtContent>
    </w:sdt>
    <w:p w14:paraId="0D46CC6B" w14:textId="77777777" w:rsidR="00952EBF" w:rsidRDefault="00952EBF" w:rsidP="006E44E4"/>
    <w:p w14:paraId="1C3D5BAC" w14:textId="77777777" w:rsidR="00952EBF" w:rsidRDefault="00952EBF" w:rsidP="006E44E4"/>
    <w:p w14:paraId="1017A205" w14:textId="77777777" w:rsidR="00952EBF" w:rsidRDefault="00952EBF" w:rsidP="006E44E4"/>
    <w:p w14:paraId="60E48B8A" w14:textId="77777777" w:rsidR="00952EBF" w:rsidRDefault="00952EBF" w:rsidP="006E44E4"/>
    <w:p w14:paraId="737A5020" w14:textId="77777777" w:rsidR="00952EBF" w:rsidRDefault="00952EBF" w:rsidP="006E44E4"/>
    <w:p w14:paraId="3CCCE68A" w14:textId="77777777" w:rsidR="00952EBF" w:rsidRDefault="00952EBF" w:rsidP="006E44E4"/>
    <w:p w14:paraId="0C07AF6B" w14:textId="77777777" w:rsidR="00952EBF" w:rsidRDefault="00952EBF" w:rsidP="006E44E4"/>
    <w:p w14:paraId="5B138DD2" w14:textId="77777777" w:rsidR="006E44E4" w:rsidRDefault="006E44E4" w:rsidP="006E44E4"/>
    <w:p w14:paraId="71C8C7C3" w14:textId="77777777" w:rsidR="006E44E4" w:rsidRDefault="006E44E4" w:rsidP="006E44E4"/>
    <w:p w14:paraId="4D74C23B" w14:textId="77777777" w:rsidR="006E44E4" w:rsidRDefault="006E44E4" w:rsidP="006E44E4"/>
    <w:p w14:paraId="6F99A74F" w14:textId="77777777" w:rsidR="006E44E4" w:rsidRDefault="006E44E4" w:rsidP="006E44E4"/>
    <w:p w14:paraId="3C9410B1" w14:textId="77777777" w:rsidR="006E44E4" w:rsidRDefault="006E44E4" w:rsidP="006E44E4"/>
    <w:p w14:paraId="0DE70FF7" w14:textId="77777777" w:rsidR="006E44E4" w:rsidRDefault="006E44E4" w:rsidP="006E44E4"/>
    <w:p w14:paraId="5F523144" w14:textId="77777777" w:rsidR="006E44E4" w:rsidRDefault="006E44E4" w:rsidP="006E44E4"/>
    <w:p w14:paraId="269FF58D" w14:textId="77777777" w:rsidR="006E44E4" w:rsidRDefault="006E44E4" w:rsidP="006E44E4"/>
    <w:p w14:paraId="46CD952D" w14:textId="77777777" w:rsidR="006E44E4" w:rsidRDefault="006E44E4" w:rsidP="006E44E4"/>
    <w:p w14:paraId="790EA838" w14:textId="77777777" w:rsidR="006E44E4" w:rsidRDefault="006E44E4" w:rsidP="006E44E4"/>
    <w:p w14:paraId="26FE2695" w14:textId="77777777" w:rsidR="006E44E4" w:rsidRDefault="006E44E4" w:rsidP="006E44E4"/>
    <w:p w14:paraId="2194BD78" w14:textId="38F281EE" w:rsidR="00AD7ED0" w:rsidRPr="00830D28" w:rsidRDefault="00C12944" w:rsidP="002E29D8">
      <w:pPr>
        <w:pStyle w:val="Heading1"/>
        <w:spacing w:line="360" w:lineRule="auto"/>
        <w:rPr>
          <w:rFonts w:ascii="Arial" w:hAnsi="Arial" w:cs="Arial"/>
          <w:sz w:val="22"/>
          <w:szCs w:val="22"/>
        </w:rPr>
      </w:pPr>
      <w:bookmarkStart w:id="0" w:name="_Toc227147213"/>
      <w:r w:rsidRPr="00830D28">
        <w:rPr>
          <w:rFonts w:ascii="Arial" w:hAnsi="Arial" w:cs="Arial"/>
          <w:sz w:val="22"/>
          <w:szCs w:val="22"/>
        </w:rPr>
        <w:lastRenderedPageBreak/>
        <w:t>1. Introduction</w:t>
      </w:r>
      <w:bookmarkEnd w:id="0"/>
    </w:p>
    <w:p w14:paraId="6235604F" w14:textId="02C06CFB" w:rsidR="00AD7ED0" w:rsidRPr="00830D28" w:rsidRDefault="00B66B2F" w:rsidP="002E29D8">
      <w:pPr>
        <w:spacing w:after="120" w:line="360" w:lineRule="auto"/>
        <w:rPr>
          <w:rFonts w:cs="Arial"/>
        </w:rPr>
      </w:pPr>
      <w:r w:rsidRPr="00830D28">
        <w:rPr>
          <w:rFonts w:cs="Arial"/>
        </w:rPr>
        <w:t xml:space="preserve">Health, </w:t>
      </w:r>
      <w:r w:rsidR="00117454" w:rsidRPr="00830D28">
        <w:rPr>
          <w:rFonts w:cs="Arial"/>
        </w:rPr>
        <w:t>wellbeing</w:t>
      </w:r>
      <w:r w:rsidRPr="00830D28">
        <w:rPr>
          <w:rFonts w:cs="Arial"/>
        </w:rPr>
        <w:t xml:space="preserve">, and sustainability are now key issues in global policy because our health is influenced </w:t>
      </w:r>
      <w:r w:rsidR="00DB3484" w:rsidRPr="00830D28">
        <w:rPr>
          <w:rFonts w:cs="Arial"/>
        </w:rPr>
        <w:t>not just by</w:t>
      </w:r>
      <w:r w:rsidRPr="00830D28">
        <w:rPr>
          <w:rFonts w:cs="Arial"/>
        </w:rPr>
        <w:t xml:space="preserve"> healthcare, but also by social, economic, and environmental factors.</w:t>
      </w:r>
      <w:r w:rsidR="00C12944" w:rsidRPr="00830D28">
        <w:rPr>
          <w:rFonts w:cs="Arial"/>
        </w:rPr>
        <w:t xml:space="preserve"> The United Nations 2030 Agenda frames this relationship through the Sustainable Development Goals (SDGs), a set of interconnected goals designed to improve lives and protect the planet (United Nations, 2015). Of particular importance are SDG 3</w:t>
      </w:r>
      <w:r w:rsidR="00BE5B66">
        <w:rPr>
          <w:rFonts w:cs="Arial"/>
        </w:rPr>
        <w:t xml:space="preserve"> </w:t>
      </w:r>
      <w:r w:rsidR="00BE5B66" w:rsidRPr="00BE5B66">
        <w:rPr>
          <w:rFonts w:cs="Arial"/>
        </w:rPr>
        <w:t>(Good Health and Wellbeing)</w:t>
      </w:r>
      <w:r w:rsidR="00BE5B66">
        <w:rPr>
          <w:rFonts w:cs="Arial"/>
        </w:rPr>
        <w:t xml:space="preserve">, </w:t>
      </w:r>
      <w:r w:rsidR="00C12944" w:rsidRPr="00830D28">
        <w:rPr>
          <w:rFonts w:cs="Arial"/>
        </w:rPr>
        <w:t xml:space="preserve">which seeks to ensure healthy lives and promote wellbeing for all at all ages, and SDG </w:t>
      </w:r>
      <w:r w:rsidR="00BE5B66" w:rsidRPr="00BE5B66">
        <w:rPr>
          <w:rFonts w:cs="Arial"/>
        </w:rPr>
        <w:t>13 (Climate Action)</w:t>
      </w:r>
      <w:r w:rsidR="00BE5B66">
        <w:rPr>
          <w:rFonts w:cs="Arial"/>
        </w:rPr>
        <w:t>,</w:t>
      </w:r>
      <w:r w:rsidR="00C12944" w:rsidRPr="00830D28">
        <w:rPr>
          <w:rFonts w:cs="Arial"/>
        </w:rPr>
        <w:t xml:space="preserve"> which calls for urgent action on climate change. These goals are </w:t>
      </w:r>
      <w:r w:rsidR="00DB3484" w:rsidRPr="00830D28">
        <w:rPr>
          <w:rFonts w:cs="Arial"/>
        </w:rPr>
        <w:t>linked</w:t>
      </w:r>
      <w:r w:rsidR="00C12944" w:rsidRPr="00830D28">
        <w:rPr>
          <w:rFonts w:cs="Arial"/>
        </w:rPr>
        <w:t xml:space="preserve"> </w:t>
      </w:r>
      <w:r w:rsidR="00DB3484">
        <w:rPr>
          <w:rFonts w:cs="Arial"/>
        </w:rPr>
        <w:t>to</w:t>
      </w:r>
      <w:r w:rsidR="00C12944" w:rsidRPr="00830D28">
        <w:rPr>
          <w:rFonts w:cs="Arial"/>
        </w:rPr>
        <w:t xml:space="preserve"> climate change</w:t>
      </w:r>
      <w:r w:rsidR="00DB3484">
        <w:rPr>
          <w:rFonts w:cs="Arial"/>
        </w:rPr>
        <w:t>, which</w:t>
      </w:r>
      <w:r w:rsidR="00C12944" w:rsidRPr="00830D28">
        <w:rPr>
          <w:rFonts w:cs="Arial"/>
        </w:rPr>
        <w:t xml:space="preserve"> affects air quality, food security, housing, </w:t>
      </w:r>
      <w:r w:rsidR="00DB3484" w:rsidRPr="00830D28">
        <w:rPr>
          <w:rFonts w:cs="Arial"/>
        </w:rPr>
        <w:t>safety</w:t>
      </w:r>
      <w:r w:rsidR="00DB3484">
        <w:rPr>
          <w:rFonts w:cs="Arial"/>
        </w:rPr>
        <w:t xml:space="preserve"> </w:t>
      </w:r>
      <w:r w:rsidR="00C12944" w:rsidRPr="00830D28">
        <w:rPr>
          <w:rFonts w:cs="Arial"/>
        </w:rPr>
        <w:t>and mental health, while poor health limits communities’ resilience to environmental change (World Health Organization, 2023a). This report critically examines how SDG 3 and SDG 13 influence citizens’ health and wellbeing at global, national and local levels. It then evaluates the effectiveness of selected UK initiatives before offering evidence-based recommendations for improvement.</w:t>
      </w:r>
    </w:p>
    <w:p w14:paraId="34BCADFC" w14:textId="754E2C68" w:rsidR="00AD7ED0" w:rsidRPr="00830D28" w:rsidRDefault="00C12944" w:rsidP="002E29D8">
      <w:pPr>
        <w:pStyle w:val="Heading1"/>
        <w:spacing w:line="360" w:lineRule="auto"/>
        <w:rPr>
          <w:rFonts w:ascii="Arial" w:hAnsi="Arial" w:cs="Arial"/>
          <w:sz w:val="22"/>
          <w:szCs w:val="22"/>
        </w:rPr>
      </w:pPr>
      <w:bookmarkStart w:id="1" w:name="_Toc227147214"/>
      <w:r w:rsidRPr="00830D28">
        <w:rPr>
          <w:rFonts w:ascii="Arial" w:hAnsi="Arial" w:cs="Arial"/>
          <w:sz w:val="22"/>
          <w:szCs w:val="22"/>
        </w:rPr>
        <w:t xml:space="preserve">2. Sustainable Development Goal 3: Good Health and </w:t>
      </w:r>
      <w:r w:rsidR="00117454" w:rsidRPr="00830D28">
        <w:rPr>
          <w:rFonts w:ascii="Arial" w:hAnsi="Arial" w:cs="Arial"/>
          <w:sz w:val="22"/>
          <w:szCs w:val="22"/>
        </w:rPr>
        <w:t>Wellbeing</w:t>
      </w:r>
      <w:bookmarkEnd w:id="1"/>
    </w:p>
    <w:p w14:paraId="456B7CFB" w14:textId="1187BB3F" w:rsidR="00AD7ED0" w:rsidRPr="00830D28" w:rsidRDefault="00BE38B6" w:rsidP="002E29D8">
      <w:pPr>
        <w:spacing w:after="120" w:line="360" w:lineRule="auto"/>
        <w:rPr>
          <w:rFonts w:cs="Arial"/>
        </w:rPr>
      </w:pPr>
      <w:r w:rsidRPr="00830D28">
        <w:rPr>
          <w:rFonts w:cs="Arial"/>
        </w:rPr>
        <w:t xml:space="preserve">SDG 3 aims to "ensure healthy lives and </w:t>
      </w:r>
      <w:r w:rsidR="00117454" w:rsidRPr="00830D28">
        <w:rPr>
          <w:rFonts w:cs="Arial"/>
        </w:rPr>
        <w:t>wellbeing</w:t>
      </w:r>
      <w:r w:rsidRPr="00830D28">
        <w:rPr>
          <w:rFonts w:cs="Arial"/>
        </w:rPr>
        <w:t xml:space="preserve"> for everyone at all ages." It includes goals related to reducing maternal and child deaths, managing diseases, improving mental health, achieving universal health coverage, and creating supportive environments for health (World Health Organization, 2022).</w:t>
      </w:r>
      <w:r w:rsidR="00C12944" w:rsidRPr="00830D28">
        <w:rPr>
          <w:rFonts w:cs="Arial"/>
        </w:rPr>
        <w:t xml:space="preserve"> It</w:t>
      </w:r>
      <w:r w:rsidR="00BC24FB">
        <w:rPr>
          <w:rFonts w:cs="Arial"/>
        </w:rPr>
        <w:t xml:space="preserve"> i</w:t>
      </w:r>
      <w:r w:rsidR="00C12944" w:rsidRPr="00830D28">
        <w:rPr>
          <w:rFonts w:cs="Arial"/>
        </w:rPr>
        <w:t>s importan</w:t>
      </w:r>
      <w:r w:rsidR="00BC24FB">
        <w:rPr>
          <w:rFonts w:cs="Arial"/>
        </w:rPr>
        <w:t>t</w:t>
      </w:r>
      <w:r w:rsidR="00C12944" w:rsidRPr="00830D28">
        <w:rPr>
          <w:rFonts w:cs="Arial"/>
        </w:rPr>
        <w:t xml:space="preserve"> </w:t>
      </w:r>
      <w:r w:rsidR="00BC24FB">
        <w:rPr>
          <w:rFonts w:cs="Arial"/>
        </w:rPr>
        <w:t>because</w:t>
      </w:r>
      <w:r w:rsidR="00C12944" w:rsidRPr="00830D28">
        <w:rPr>
          <w:rFonts w:cs="Arial"/>
        </w:rPr>
        <w:t xml:space="preserve"> it does not treat health only as the absence of disease. Instead, it reflects a </w:t>
      </w:r>
      <w:r w:rsidR="00BC24FB" w:rsidRPr="00830D28">
        <w:rPr>
          <w:rFonts w:cs="Arial"/>
        </w:rPr>
        <w:t>wider</w:t>
      </w:r>
      <w:r w:rsidR="00C12944" w:rsidRPr="00830D28">
        <w:rPr>
          <w:rFonts w:cs="Arial"/>
        </w:rPr>
        <w:t xml:space="preserve"> understanding of wellbeing that includes physical, mental and social dimensions. This </w:t>
      </w:r>
      <w:r w:rsidR="00BC24FB" w:rsidRPr="00830D28">
        <w:rPr>
          <w:rFonts w:cs="Arial"/>
        </w:rPr>
        <w:t>broader</w:t>
      </w:r>
      <w:r w:rsidR="00C12944" w:rsidRPr="00830D28">
        <w:rPr>
          <w:rFonts w:cs="Arial"/>
        </w:rPr>
        <w:t xml:space="preserve"> view makes SDG 3 </w:t>
      </w:r>
      <w:r w:rsidR="00BC24FB" w:rsidRPr="00830D28">
        <w:rPr>
          <w:rFonts w:cs="Arial"/>
        </w:rPr>
        <w:t>specifically</w:t>
      </w:r>
      <w:r w:rsidR="00C12944" w:rsidRPr="00830D28">
        <w:rPr>
          <w:rFonts w:cs="Arial"/>
        </w:rPr>
        <w:t xml:space="preserve"> relevant to contemporary health and social care practice, where prevention, early intervention and inequality reduction are increasingly </w:t>
      </w:r>
      <w:proofErr w:type="spellStart"/>
      <w:r w:rsidR="00A96F4E">
        <w:rPr>
          <w:rFonts w:cs="Arial"/>
        </w:rPr>
        <w:t>prioritised</w:t>
      </w:r>
      <w:proofErr w:type="spellEnd"/>
      <w:r w:rsidR="00A96F4E">
        <w:rPr>
          <w:rFonts w:cs="Arial"/>
        </w:rPr>
        <w:t xml:space="preserve"> </w:t>
      </w:r>
      <w:r w:rsidR="00A96F4E" w:rsidRPr="00830D28">
        <w:rPr>
          <w:rFonts w:cs="Arial"/>
        </w:rPr>
        <w:t>(United Nations, 2015).</w:t>
      </w:r>
    </w:p>
    <w:p w14:paraId="47A67A42" w14:textId="19161D59" w:rsidR="00AD7ED0" w:rsidRPr="00830D28" w:rsidRDefault="00C12944" w:rsidP="002E29D8">
      <w:pPr>
        <w:spacing w:after="120" w:line="360" w:lineRule="auto"/>
        <w:rPr>
          <w:rFonts w:cs="Arial"/>
        </w:rPr>
      </w:pPr>
      <w:r w:rsidRPr="00830D28">
        <w:rPr>
          <w:rFonts w:cs="Arial"/>
        </w:rPr>
        <w:t xml:space="preserve">At a global level, SDG 3 has helped maintain political attention on preventable mortality and on the need to strengthen health systems. WHO’s monitoring of health-related SDG indicators shows that major gains were made in life expectancy and survival over previous decades, even though progress has slowed in some areas since the COVID-19 pandemic (World Health Organization, 2024). Child survival remains a useful illustration of both progress and limitation. UNICEF reports that under-five mortality has fallen </w:t>
      </w:r>
      <w:r w:rsidR="00BC24FB" w:rsidRPr="00830D28">
        <w:rPr>
          <w:rFonts w:cs="Arial"/>
        </w:rPr>
        <w:t>over</w:t>
      </w:r>
      <w:r w:rsidRPr="00830D28">
        <w:rPr>
          <w:rFonts w:cs="Arial"/>
        </w:rPr>
        <w:t xml:space="preserve"> the long term, yet millions of children still die from preventable causes, mainly where there is unequal access to healthcare, nutrition and protection (UNICEF, 2025). This </w:t>
      </w:r>
      <w:r w:rsidR="00BC24FB" w:rsidRPr="00830D28">
        <w:rPr>
          <w:rFonts w:cs="Arial"/>
        </w:rPr>
        <w:t>shows</w:t>
      </w:r>
      <w:r w:rsidRPr="00830D28">
        <w:rPr>
          <w:rFonts w:cs="Arial"/>
        </w:rPr>
        <w:t xml:space="preserve"> that the effectiveness of SDG 3 depends not simply on declaring goals, but on whether countries have the resources, workforce and political capacity to act on them.</w:t>
      </w:r>
    </w:p>
    <w:p w14:paraId="58ACFDFB" w14:textId="7CD07D6F" w:rsidR="00AD7ED0" w:rsidRPr="00830D28" w:rsidRDefault="00C12944" w:rsidP="002E29D8">
      <w:pPr>
        <w:spacing w:after="120" w:line="360" w:lineRule="auto"/>
        <w:rPr>
          <w:rFonts w:cs="Arial"/>
        </w:rPr>
      </w:pPr>
      <w:r w:rsidRPr="00830D28">
        <w:rPr>
          <w:rFonts w:cs="Arial"/>
        </w:rPr>
        <w:t xml:space="preserve">A key strength of SDG 3 is that it can be analysed through the social determinants of health. Health outcomes are strongly shaped by income, education, employment, housing and the </w:t>
      </w:r>
      <w:r w:rsidRPr="00830D28">
        <w:rPr>
          <w:rFonts w:cs="Arial"/>
        </w:rPr>
        <w:lastRenderedPageBreak/>
        <w:t xml:space="preserve">physical environment rather than by medical treatment alone. Marmot’s review of health equity in England shows that health inequalities widen as </w:t>
      </w:r>
      <w:r w:rsidR="00BC24FB" w:rsidRPr="00830D28">
        <w:rPr>
          <w:rFonts w:cs="Arial"/>
        </w:rPr>
        <w:t>poverty</w:t>
      </w:r>
      <w:r w:rsidRPr="00830D28">
        <w:rPr>
          <w:rFonts w:cs="Arial"/>
        </w:rPr>
        <w:t xml:space="preserve"> increases, with those in poorer communities living fewer years in good health (Allen et al., 2020). More recent Office for National Statistics data similarly show variation in healthy life expectancy across England and Wales, indicating that health improvements are not shared equally across the population (Office for National Statistics, 2024a). Consequently, SDG 3 can only be achieved meaningfully if governments tackle unequal living conditions alongside healthcare access.</w:t>
      </w:r>
    </w:p>
    <w:p w14:paraId="16DBD2FF" w14:textId="7EFE8642" w:rsidR="00AD7ED0" w:rsidRPr="00830D28" w:rsidRDefault="00AF3562" w:rsidP="002E29D8">
      <w:pPr>
        <w:spacing w:after="120" w:line="360" w:lineRule="auto"/>
        <w:rPr>
          <w:rFonts w:cs="Arial"/>
        </w:rPr>
      </w:pPr>
      <w:r>
        <w:rPr>
          <w:rFonts w:cs="Arial"/>
        </w:rPr>
        <w:t xml:space="preserve">The effects of Sustainable Development Goal 3 (SDG 3) on health at national and local levels are limited by ongoing inequalities and pressures on services. Shortages of healthcare workers, increasing demand, and uneven quality of care weaken the health system's ability to turn policy goals into reliable </w:t>
      </w:r>
      <w:r w:rsidR="00A96F4E">
        <w:rPr>
          <w:rFonts w:cs="Arial"/>
        </w:rPr>
        <w:t>outcomes (</w:t>
      </w:r>
      <w:r w:rsidR="00A96F4E" w:rsidRPr="00A96F4E">
        <w:rPr>
          <w:lang w:val="en-GB"/>
        </w:rPr>
        <w:t>Michaeli</w:t>
      </w:r>
      <w:r w:rsidR="00A96F4E">
        <w:rPr>
          <w:lang w:val="en-GB"/>
        </w:rPr>
        <w:t xml:space="preserve"> </w:t>
      </w:r>
      <w:r w:rsidR="00A96F4E" w:rsidRPr="00A96F4E">
        <w:rPr>
          <w:lang w:val="en-GB"/>
        </w:rPr>
        <w:t>et al.</w:t>
      </w:r>
      <w:r w:rsidR="00A96F4E">
        <w:rPr>
          <w:lang w:val="en-GB"/>
        </w:rPr>
        <w:t xml:space="preserve">, </w:t>
      </w:r>
      <w:r w:rsidR="00A96F4E" w:rsidRPr="00A96F4E">
        <w:rPr>
          <w:lang w:val="en-GB"/>
        </w:rPr>
        <w:t>2024)</w:t>
      </w:r>
      <w:r w:rsidR="00A96F4E">
        <w:rPr>
          <w:lang w:val="en-GB"/>
        </w:rPr>
        <w:t xml:space="preserve">. </w:t>
      </w:r>
      <w:r w:rsidR="00492383" w:rsidRPr="00492383">
        <w:rPr>
          <w:rFonts w:cs="Arial"/>
        </w:rPr>
        <w:t>Recent national statistics show that different areas and social groups experience different levels of health risks, how many people are affected by diseases, and overall health outcomes. This means that some regions and communities have better or worse health compared to others</w:t>
      </w:r>
      <w:r w:rsidR="00C12944" w:rsidRPr="00830D28">
        <w:rPr>
          <w:rFonts w:cs="Arial"/>
        </w:rPr>
        <w:t xml:space="preserve"> (Office for Health Improvement and Disparities, 2024). Therefore, while SDG 3 has been influential in shaping policy language and priorities, its effectiveness is limited where structural disadvantages remain unaddressed. In critical terms, the goal has high normative value but uneven practical delivery.</w:t>
      </w:r>
    </w:p>
    <w:p w14:paraId="0A3A4281" w14:textId="77777777" w:rsidR="00AD7ED0" w:rsidRPr="00830D28" w:rsidRDefault="00C12944" w:rsidP="002E29D8">
      <w:pPr>
        <w:pStyle w:val="Heading1"/>
        <w:spacing w:line="360" w:lineRule="auto"/>
        <w:rPr>
          <w:rFonts w:ascii="Arial" w:hAnsi="Arial" w:cs="Arial"/>
          <w:sz w:val="22"/>
          <w:szCs w:val="22"/>
        </w:rPr>
      </w:pPr>
      <w:bookmarkStart w:id="2" w:name="_Toc227147215"/>
      <w:r w:rsidRPr="00830D28">
        <w:rPr>
          <w:rFonts w:ascii="Arial" w:hAnsi="Arial" w:cs="Arial"/>
          <w:sz w:val="22"/>
          <w:szCs w:val="22"/>
        </w:rPr>
        <w:t>3. Sustainable Development Goal 13: Climate Action</w:t>
      </w:r>
      <w:bookmarkEnd w:id="2"/>
    </w:p>
    <w:p w14:paraId="7815F560" w14:textId="7FFB1A8E" w:rsidR="00AD7ED0" w:rsidRPr="00830D28" w:rsidRDefault="00C12944" w:rsidP="002E29D8">
      <w:pPr>
        <w:spacing w:after="120" w:line="360" w:lineRule="auto"/>
        <w:rPr>
          <w:rFonts w:cs="Arial"/>
        </w:rPr>
      </w:pPr>
      <w:r w:rsidRPr="00830D28">
        <w:rPr>
          <w:rFonts w:cs="Arial"/>
        </w:rPr>
        <w:t>SDG 13 calls for urgent action to combat climate change and its impacts. Although this goal i</w:t>
      </w:r>
      <w:r w:rsidR="007D3E3B">
        <w:rPr>
          <w:rFonts w:cs="Arial"/>
        </w:rPr>
        <w:t xml:space="preserve">s </w:t>
      </w:r>
      <w:r w:rsidRPr="00830D28">
        <w:rPr>
          <w:rFonts w:cs="Arial"/>
        </w:rPr>
        <w:t xml:space="preserve">treated as environmental, it is equally a health issue because climate change threatens the basic requirements for healthy living, including clean air, safe water, secure food supplies and safe shelter (World Health Organization, 2023b). Climate change also </w:t>
      </w:r>
      <w:r w:rsidR="007D3E3B" w:rsidRPr="00830D28">
        <w:rPr>
          <w:rFonts w:cs="Arial"/>
        </w:rPr>
        <w:t>increases</w:t>
      </w:r>
      <w:r w:rsidRPr="00830D28">
        <w:rPr>
          <w:rFonts w:cs="Arial"/>
        </w:rPr>
        <w:t xml:space="preserve"> existing social inequalities because its harms are experienced most severely by populations with the fewest resources, including children, older people, low-income households and communities living in poor housing or polluted urban environments</w:t>
      </w:r>
      <w:r w:rsidR="00A96F4E">
        <w:rPr>
          <w:rFonts w:cs="Arial"/>
        </w:rPr>
        <w:t xml:space="preserve"> (White et al., 2023). </w:t>
      </w:r>
    </w:p>
    <w:p w14:paraId="7D734BA6" w14:textId="46A61612" w:rsidR="00AD7ED0" w:rsidRPr="00830D28" w:rsidRDefault="00C12944" w:rsidP="002E29D8">
      <w:pPr>
        <w:spacing w:after="120" w:line="360" w:lineRule="auto"/>
        <w:rPr>
          <w:rFonts w:cs="Arial"/>
        </w:rPr>
      </w:pPr>
      <w:r w:rsidRPr="00830D28">
        <w:rPr>
          <w:rFonts w:cs="Arial"/>
        </w:rPr>
        <w:t>The health impacts of climate change are both direct and indirect. Direct impacts include heat-related illness and death, injuries from flooding and storms, and the mental health consequences of trauma, displacement and uncertainty. Indirect impacts include food insecurity, infectious disease risk and worsening respiratory and cardiovascular disease due to air pollution</w:t>
      </w:r>
      <w:r w:rsidR="002026CE">
        <w:rPr>
          <w:rFonts w:cs="Arial"/>
        </w:rPr>
        <w:t xml:space="preserve"> </w:t>
      </w:r>
      <w:r w:rsidR="002026CE" w:rsidRPr="002026CE">
        <w:rPr>
          <w:rFonts w:cs="Arial"/>
        </w:rPr>
        <w:t>(Scotland, 2024)</w:t>
      </w:r>
      <w:r w:rsidRPr="00830D28">
        <w:rPr>
          <w:rFonts w:cs="Arial"/>
        </w:rPr>
        <w:t xml:space="preserve">. WHO states that climate change is already affecting health in multiple ways and that every additional increment of warming increases the burden on human wellbeing (World Health </w:t>
      </w:r>
      <w:r w:rsidR="00830D28" w:rsidRPr="00830D28">
        <w:rPr>
          <w:rFonts w:cs="Arial"/>
        </w:rPr>
        <w:t>Organization</w:t>
      </w:r>
      <w:r w:rsidRPr="00830D28">
        <w:rPr>
          <w:rFonts w:cs="Arial"/>
        </w:rPr>
        <w:t xml:space="preserve">, 2023a). The 2024 Lancet Countdown report adds further evidence, warning that delayed action is exposing populations to record-breaking threats to health and </w:t>
      </w:r>
      <w:r w:rsidRPr="00830D28">
        <w:rPr>
          <w:rFonts w:cs="Arial"/>
        </w:rPr>
        <w:lastRenderedPageBreak/>
        <w:t>survival (Romanello et al., 2024). These findings show that SDG 13 is not peripheral to healthcare policy; it is integral to it.</w:t>
      </w:r>
    </w:p>
    <w:p w14:paraId="4B2A0F2C" w14:textId="7F1CF337" w:rsidR="00AD7ED0" w:rsidRPr="00830D28" w:rsidRDefault="002146C3" w:rsidP="002E29D8">
      <w:pPr>
        <w:spacing w:after="120" w:line="360" w:lineRule="auto"/>
        <w:rPr>
          <w:rFonts w:cs="Arial"/>
        </w:rPr>
      </w:pPr>
      <w:r>
        <w:rPr>
          <w:rFonts w:cs="Arial"/>
        </w:rPr>
        <w:t>The link between SDG 13 and health can be seen as having shared advantages.</w:t>
      </w:r>
      <w:r w:rsidR="00C12944" w:rsidRPr="00830D28">
        <w:rPr>
          <w:rFonts w:cs="Arial"/>
        </w:rPr>
        <w:t xml:space="preserve"> Policies that reduce emissions may produce immediate health gains, for example</w:t>
      </w:r>
      <w:r w:rsidR="00B506CD" w:rsidRPr="00830D28">
        <w:rPr>
          <w:rFonts w:cs="Arial"/>
        </w:rPr>
        <w:t>,</w:t>
      </w:r>
      <w:r w:rsidR="00C12944" w:rsidRPr="00830D28">
        <w:rPr>
          <w:rFonts w:cs="Arial"/>
        </w:rPr>
        <w:t xml:space="preserve"> through cleaner air, reduced traffic-related pollution, warmer homes and increased active travel</w:t>
      </w:r>
      <w:r>
        <w:rPr>
          <w:rFonts w:cs="Arial"/>
        </w:rPr>
        <w:t xml:space="preserve"> </w:t>
      </w:r>
      <w:r w:rsidR="00B54AB2" w:rsidRPr="00B54AB2">
        <w:rPr>
          <w:rFonts w:cs="Arial"/>
        </w:rPr>
        <w:t>(Acharya, Lin and Dhingra, 2018)</w:t>
      </w:r>
      <w:r w:rsidR="00C12944" w:rsidRPr="00830D28">
        <w:rPr>
          <w:rFonts w:cs="Arial"/>
        </w:rPr>
        <w:t xml:space="preserve">. In this sense, climate action can operate as </w:t>
      </w:r>
      <w:r w:rsidR="00B506CD" w:rsidRPr="00830D28">
        <w:rPr>
          <w:rFonts w:cs="Arial"/>
        </w:rPr>
        <w:t xml:space="preserve">a </w:t>
      </w:r>
      <w:r w:rsidR="00C12944" w:rsidRPr="00830D28">
        <w:rPr>
          <w:rFonts w:cs="Arial"/>
        </w:rPr>
        <w:t xml:space="preserve">preventative public health policy. However, these benefits are not automatic. If green transition policies increase living costs or fail to protect vulnerable households, they may deepen social hardship. This is why climate policy requires </w:t>
      </w:r>
      <w:r w:rsidR="00BA054A">
        <w:rPr>
          <w:rFonts w:cs="Arial"/>
        </w:rPr>
        <w:t>an equity</w:t>
      </w:r>
      <w:r w:rsidR="00C12944" w:rsidRPr="00830D28">
        <w:rPr>
          <w:rFonts w:cs="Arial"/>
        </w:rPr>
        <w:t xml:space="preserve"> lens as well as </w:t>
      </w:r>
      <w:r w:rsidR="00BA054A">
        <w:rPr>
          <w:rFonts w:cs="Arial"/>
        </w:rPr>
        <w:t xml:space="preserve">an </w:t>
      </w:r>
      <w:r w:rsidR="009D2B34" w:rsidRPr="00830D28">
        <w:rPr>
          <w:rFonts w:cs="Arial"/>
        </w:rPr>
        <w:t xml:space="preserve">environmental </w:t>
      </w:r>
      <w:r w:rsidR="00BA054A">
        <w:rPr>
          <w:rFonts w:cs="Arial"/>
        </w:rPr>
        <w:t>lens</w:t>
      </w:r>
      <w:r w:rsidR="00A33522">
        <w:rPr>
          <w:rFonts w:cs="Arial"/>
        </w:rPr>
        <w:t xml:space="preserve"> </w:t>
      </w:r>
      <w:r w:rsidR="00A33522" w:rsidRPr="00A33522">
        <w:rPr>
          <w:rFonts w:cs="Arial"/>
        </w:rPr>
        <w:t xml:space="preserve">(Fernando, </w:t>
      </w:r>
      <w:proofErr w:type="spellStart"/>
      <w:r w:rsidR="00A33522" w:rsidRPr="00A33522">
        <w:rPr>
          <w:rFonts w:cs="Arial"/>
        </w:rPr>
        <w:t>Shamsad</w:t>
      </w:r>
      <w:proofErr w:type="spellEnd"/>
      <w:r w:rsidR="00A33522" w:rsidRPr="00A33522">
        <w:rPr>
          <w:rFonts w:cs="Arial"/>
        </w:rPr>
        <w:t xml:space="preserve"> and World Economic Forum, 2024)</w:t>
      </w:r>
      <w:r w:rsidR="00C12944" w:rsidRPr="00830D28">
        <w:rPr>
          <w:rFonts w:cs="Arial"/>
        </w:rPr>
        <w:t>.</w:t>
      </w:r>
    </w:p>
    <w:p w14:paraId="2794EC2B" w14:textId="2AEEA098" w:rsidR="00AD7ED0" w:rsidRPr="00830D28" w:rsidRDefault="00C12944" w:rsidP="002E29D8">
      <w:pPr>
        <w:spacing w:after="120" w:line="360" w:lineRule="auto"/>
        <w:rPr>
          <w:rFonts w:cs="Arial"/>
        </w:rPr>
      </w:pPr>
      <w:r w:rsidRPr="00830D28">
        <w:rPr>
          <w:rFonts w:cs="Arial"/>
        </w:rPr>
        <w:t xml:space="preserve">In the UK, SDG 13 is reflected in the Net Zero Strategy, which sets out policies and proposals for decarbonising the economy and meeting the 2050 net zero target (UK Government, 2021). The strategy has clear potential health benefits, especially where it supports cleaner transport, energy efficiency and lower emissions. Nevertheless, its limitations are also clear. First, the strategy is framed primarily as an economic and industrial transition, with public health often treated as a secondary benefit rather than a central aim. Second, not all households are equally able to benefit from the transition. Low-income groups may face financial barriers to adopting energy-efficient technologies, using cleaner transport options or living in greener </w:t>
      </w:r>
      <w:proofErr w:type="spellStart"/>
      <w:r w:rsidRPr="00830D28">
        <w:rPr>
          <w:rFonts w:cs="Arial"/>
        </w:rPr>
        <w:t>neighbourhoods</w:t>
      </w:r>
      <w:proofErr w:type="spellEnd"/>
      <w:r w:rsidR="00BD6095">
        <w:rPr>
          <w:rFonts w:cs="Arial"/>
        </w:rPr>
        <w:t xml:space="preserve"> </w:t>
      </w:r>
      <w:r w:rsidR="00BD6095" w:rsidRPr="00BD6095">
        <w:rPr>
          <w:rFonts w:cs="Arial"/>
        </w:rPr>
        <w:t>(Haines et al., 2009)</w:t>
      </w:r>
      <w:r w:rsidRPr="00830D28">
        <w:rPr>
          <w:rFonts w:cs="Arial"/>
        </w:rPr>
        <w:t>.</w:t>
      </w:r>
    </w:p>
    <w:p w14:paraId="1734F7A7" w14:textId="2B9A9E20" w:rsidR="00AD7ED0" w:rsidRPr="00830D28" w:rsidRDefault="00556A27" w:rsidP="002E29D8">
      <w:pPr>
        <w:spacing w:after="120" w:line="360" w:lineRule="auto"/>
        <w:rPr>
          <w:rFonts w:cs="Arial"/>
        </w:rPr>
      </w:pPr>
      <w:r>
        <w:rPr>
          <w:rFonts w:cs="Arial"/>
        </w:rPr>
        <w:t>SDG 13 shows that sustainable development combines both environmental and health issues. Climate action impacts health now and in the future. However, when policies for health, housing, transport, and the environment are created separately, we miss chances for prevention and reducing inequality. Therefore, SDG 13 is very important for wellbeing, but we can only achieve its full health benefits through better cooperation between different sectors</w:t>
      </w:r>
      <w:r w:rsidR="001B03EC">
        <w:rPr>
          <w:rFonts w:cs="Arial"/>
        </w:rPr>
        <w:t xml:space="preserve"> </w:t>
      </w:r>
      <w:r w:rsidR="001B03EC" w:rsidRPr="001B03EC">
        <w:rPr>
          <w:rFonts w:cs="Arial"/>
        </w:rPr>
        <w:t>(Holmes and Willison, 2024)</w:t>
      </w:r>
      <w:r w:rsidR="001B03EC">
        <w:rPr>
          <w:rFonts w:cs="Arial"/>
        </w:rPr>
        <w:t>.</w:t>
      </w:r>
    </w:p>
    <w:p w14:paraId="660D86D3" w14:textId="77777777" w:rsidR="00AD7ED0" w:rsidRPr="00830D28" w:rsidRDefault="00C12944" w:rsidP="002E29D8">
      <w:pPr>
        <w:pStyle w:val="Heading1"/>
        <w:spacing w:line="360" w:lineRule="auto"/>
        <w:rPr>
          <w:rFonts w:ascii="Arial" w:hAnsi="Arial" w:cs="Arial"/>
          <w:sz w:val="22"/>
          <w:szCs w:val="22"/>
        </w:rPr>
      </w:pPr>
      <w:bookmarkStart w:id="3" w:name="_Toc227147216"/>
      <w:r w:rsidRPr="00830D28">
        <w:rPr>
          <w:rFonts w:ascii="Arial" w:hAnsi="Arial" w:cs="Arial"/>
          <w:sz w:val="22"/>
          <w:szCs w:val="22"/>
        </w:rPr>
        <w:t>4. National Wellbeing and Sustainable Development Initiatives</w:t>
      </w:r>
      <w:bookmarkEnd w:id="3"/>
    </w:p>
    <w:p w14:paraId="2FFA3F98" w14:textId="0648C085" w:rsidR="00AD7ED0" w:rsidRDefault="00C12944" w:rsidP="002E29D8">
      <w:pPr>
        <w:spacing w:after="120" w:line="360" w:lineRule="auto"/>
        <w:rPr>
          <w:rFonts w:cs="Arial"/>
        </w:rPr>
      </w:pPr>
      <w:r w:rsidRPr="00830D28">
        <w:rPr>
          <w:rFonts w:cs="Arial"/>
        </w:rPr>
        <w:t>Two major national initiatives that illustrate the UK response to SDG 3 and SDG 13 are the NHS Long Term Plan and the Net Zero Strategy. Both are important, but they operate differently. The NHS Long Term Plan has a direct relationship with citizens’ health through service delivery, prevention and care redesign</w:t>
      </w:r>
      <w:r w:rsidR="00020DF3">
        <w:rPr>
          <w:rFonts w:cs="Arial"/>
        </w:rPr>
        <w:t xml:space="preserve"> (</w:t>
      </w:r>
      <w:r w:rsidR="00020DF3" w:rsidRPr="00020DF3">
        <w:rPr>
          <w:rFonts w:cs="Arial"/>
        </w:rPr>
        <w:t>NHS England</w:t>
      </w:r>
      <w:r w:rsidR="00020DF3">
        <w:rPr>
          <w:rFonts w:cs="Arial"/>
        </w:rPr>
        <w:t xml:space="preserve">, </w:t>
      </w:r>
      <w:r w:rsidR="00020DF3" w:rsidRPr="00020DF3">
        <w:rPr>
          <w:rFonts w:cs="Arial"/>
        </w:rPr>
        <w:t>2019).</w:t>
      </w:r>
      <w:r w:rsidRPr="00830D28">
        <w:rPr>
          <w:rFonts w:cs="Arial"/>
        </w:rPr>
        <w:t xml:space="preserve"> By contrast, the Net Zero Strategy affects health more indirectly through environmental improvement and the conditions of everyday life</w:t>
      </w:r>
      <w:r w:rsidR="00192D04">
        <w:rPr>
          <w:rFonts w:cs="Arial"/>
        </w:rPr>
        <w:t xml:space="preserve"> (</w:t>
      </w:r>
      <w:r w:rsidR="00192D04" w:rsidRPr="00192D04">
        <w:rPr>
          <w:rFonts w:cs="Arial"/>
        </w:rPr>
        <w:t>UK Governmen</w:t>
      </w:r>
      <w:r w:rsidR="00192D04">
        <w:rPr>
          <w:rFonts w:cs="Arial"/>
        </w:rPr>
        <w:t xml:space="preserve">t, </w:t>
      </w:r>
      <w:r w:rsidR="00192D04" w:rsidRPr="00192D04">
        <w:rPr>
          <w:rFonts w:cs="Arial"/>
        </w:rPr>
        <w:t>2021)</w:t>
      </w:r>
      <w:r w:rsidRPr="00830D28">
        <w:rPr>
          <w:rFonts w:cs="Arial"/>
        </w:rPr>
        <w:t>.</w:t>
      </w:r>
    </w:p>
    <w:p w14:paraId="3A9D6AFA" w14:textId="47248F32" w:rsidR="00BE5B66" w:rsidRPr="00830D28" w:rsidRDefault="00BE5B66" w:rsidP="002E29D8">
      <w:pPr>
        <w:spacing w:after="120" w:line="360" w:lineRule="auto"/>
        <w:rPr>
          <w:rFonts w:cs="Arial"/>
        </w:rPr>
      </w:pPr>
      <w:r>
        <w:rPr>
          <w:rFonts w:cs="Arial"/>
        </w:rPr>
        <w:lastRenderedPageBreak/>
        <w:t xml:space="preserve">In the UK, the NHS Long Term Plan supports Sustainable Development Goal 3 (SDG 3) by focusing on prevention, joined-up care, mental health support, and more </w:t>
      </w:r>
      <w:proofErr w:type="spellStart"/>
      <w:r>
        <w:rPr>
          <w:rFonts w:cs="Arial"/>
        </w:rPr>
        <w:t>personalised</w:t>
      </w:r>
      <w:proofErr w:type="spellEnd"/>
      <w:r>
        <w:rPr>
          <w:rFonts w:cs="Arial"/>
        </w:rPr>
        <w:t xml:space="preserve"> services (NHS England, 2019). </w:t>
      </w:r>
      <w:r w:rsidRPr="00830D28">
        <w:rPr>
          <w:rFonts w:cs="Arial"/>
        </w:rPr>
        <w:t xml:space="preserve">The policy is significant because it shifts attention away from reactive treatment alone and towards earlier intervention and population health improvement. Its support for social prescribing is particularly important, as it </w:t>
      </w:r>
      <w:proofErr w:type="spellStart"/>
      <w:r w:rsidRPr="00830D28">
        <w:rPr>
          <w:rFonts w:cs="Arial"/>
        </w:rPr>
        <w:t>recognises</w:t>
      </w:r>
      <w:proofErr w:type="spellEnd"/>
      <w:r w:rsidRPr="00830D28">
        <w:rPr>
          <w:rFonts w:cs="Arial"/>
        </w:rPr>
        <w:t xml:space="preserve"> that loneliness, poor housing, inactivity and weak community support can worsen both physical and mental health (NHS England, </w:t>
      </w:r>
      <w:r>
        <w:rPr>
          <w:rFonts w:cs="Arial"/>
        </w:rPr>
        <w:t>2026</w:t>
      </w:r>
      <w:r w:rsidRPr="00830D28">
        <w:rPr>
          <w:rFonts w:cs="Arial"/>
        </w:rPr>
        <w:t>). This person-</w:t>
      </w:r>
      <w:proofErr w:type="spellStart"/>
      <w:r w:rsidRPr="00830D28">
        <w:rPr>
          <w:rFonts w:cs="Arial"/>
        </w:rPr>
        <w:t>centred</w:t>
      </w:r>
      <w:proofErr w:type="spellEnd"/>
      <w:r w:rsidRPr="00830D28">
        <w:rPr>
          <w:rFonts w:cs="Arial"/>
        </w:rPr>
        <w:t xml:space="preserve"> approach aligns well with SDG 3 because it broadens the understanding of what healthcare should do.</w:t>
      </w:r>
    </w:p>
    <w:p w14:paraId="2E66761F" w14:textId="766EE1D1" w:rsidR="00AD7ED0" w:rsidRPr="00830D28" w:rsidRDefault="00C12944" w:rsidP="002E29D8">
      <w:pPr>
        <w:spacing w:after="120" w:line="360" w:lineRule="auto"/>
        <w:rPr>
          <w:rFonts w:cs="Arial"/>
        </w:rPr>
      </w:pPr>
      <w:r w:rsidRPr="00830D28">
        <w:rPr>
          <w:rFonts w:cs="Arial"/>
        </w:rPr>
        <w:t xml:space="preserve">The NHS Long Term Plan is effective in several respects. It promotes prevention, expands mental health services and supports more integrated and personalised models of care (NHS England, 2019). This is consistent with evidence that health systems need to move upstream and engage with the broader causes of ill health. However, its implementation has been weakened by staffing pressures and uneven local capacity. The NHS Long Term Workforce Plan was later introduced partly because long-standing staffing gaps were undermining service sustainability (NHS England, 2023). This suggests that the original policy direction was </w:t>
      </w:r>
      <w:r w:rsidR="00830D28" w:rsidRPr="00830D28">
        <w:rPr>
          <w:rFonts w:cs="Arial"/>
        </w:rPr>
        <w:t>appropriate but</w:t>
      </w:r>
      <w:r w:rsidRPr="00830D28">
        <w:rPr>
          <w:rFonts w:cs="Arial"/>
        </w:rPr>
        <w:t xml:space="preserve"> insufficiently supported by workforce infrastructure.</w:t>
      </w:r>
    </w:p>
    <w:p w14:paraId="6A5AA59E" w14:textId="2E75A6AB" w:rsidR="00816D46" w:rsidRDefault="00816D46" w:rsidP="002E29D8">
      <w:pPr>
        <w:spacing w:after="120" w:line="360" w:lineRule="auto"/>
        <w:rPr>
          <w:rFonts w:cs="Arial"/>
        </w:rPr>
      </w:pPr>
      <w:r>
        <w:rPr>
          <w:rFonts w:cs="Arial"/>
        </w:rPr>
        <w:t>The Net Zero Strategy emphasises that reducing emissions requires coordinated efforts across transportation, buildings, industry, and energy sectors (UK Government, 2021). From a health perspective, it offers benefits such as improved air quality and healthier environments. However, evidence from the NHS Net Zero Strategy indicates that, despite significant progress, such as a 68% reduction in the NHS carbon footprint, its overall impact is limited. Total emissions have not decreased due to rising healthcare demand and ongoing supply chain (scope 3) emissions, underscoring the need for more rapid, system-wide actions (</w:t>
      </w:r>
      <w:r w:rsidRPr="00816D46">
        <w:rPr>
          <w:rFonts w:cs="Arial"/>
        </w:rPr>
        <w:t>UK Health Alliance on Climate Change</w:t>
      </w:r>
      <w:r>
        <w:rPr>
          <w:rFonts w:cs="Arial"/>
        </w:rPr>
        <w:t xml:space="preserve">, 2025). </w:t>
      </w:r>
    </w:p>
    <w:p w14:paraId="6F1F84B9" w14:textId="70D58D35" w:rsidR="00816D46" w:rsidRDefault="00A96F4E" w:rsidP="00816D46">
      <w:pPr>
        <w:spacing w:after="120" w:line="360" w:lineRule="auto"/>
        <w:rPr>
          <w:rFonts w:cs="Arial"/>
        </w:rPr>
      </w:pPr>
      <w:r>
        <w:rPr>
          <w:rFonts w:cs="Arial"/>
        </w:rPr>
        <w:t xml:space="preserve">However, the strategy has been </w:t>
      </w:r>
      <w:proofErr w:type="spellStart"/>
      <w:r>
        <w:rPr>
          <w:rFonts w:cs="Arial"/>
        </w:rPr>
        <w:t>criticised</w:t>
      </w:r>
      <w:proofErr w:type="spellEnd"/>
      <w:r>
        <w:rPr>
          <w:rFonts w:cs="Arial"/>
        </w:rPr>
        <w:t xml:space="preserve"> for its lack of detailed plans for fair implementation and for failing to </w:t>
      </w:r>
      <w:proofErr w:type="spellStart"/>
      <w:r>
        <w:rPr>
          <w:rFonts w:cs="Arial"/>
        </w:rPr>
        <w:t>prioritise</w:t>
      </w:r>
      <w:proofErr w:type="spellEnd"/>
      <w:r>
        <w:rPr>
          <w:rFonts w:cs="Arial"/>
        </w:rPr>
        <w:t xml:space="preserve"> health and inequality issues. A climate strategy that does not include social aspects may find it difficult to simultaneously achieve sustainability and wellbeing objectives (Masoud Sajjadian, 2023). </w:t>
      </w:r>
      <w:r w:rsidR="00C12944" w:rsidRPr="00830D28">
        <w:rPr>
          <w:rFonts w:cs="Arial"/>
        </w:rPr>
        <w:t xml:space="preserve">Overall, the NHS Long Term Plan currently has </w:t>
      </w:r>
      <w:r w:rsidR="00C57BC1" w:rsidRPr="00830D28">
        <w:rPr>
          <w:rFonts w:cs="Arial"/>
        </w:rPr>
        <w:t>a</w:t>
      </w:r>
      <w:r w:rsidR="00C12944" w:rsidRPr="00830D28">
        <w:rPr>
          <w:rFonts w:cs="Arial"/>
        </w:rPr>
        <w:t xml:space="preserve"> clearer and more immediate effect on citizens’ health, but the Net Zero Strategy may deliver broader long-term population benefits if implemented equitably. The major weakness across both initiatives is insufficient integration. National policy would be stronger if health improvement, social equity and environmental sustainability were planned as part of a single public wellbeing agenda rather than as separate policy streams</w:t>
      </w:r>
      <w:r w:rsidR="005854CE">
        <w:rPr>
          <w:rFonts w:cs="Arial"/>
        </w:rPr>
        <w:t xml:space="preserve"> (</w:t>
      </w:r>
      <w:r w:rsidR="005854CE" w:rsidRPr="005854CE">
        <w:rPr>
          <w:lang w:val="en-GB"/>
        </w:rPr>
        <w:t>Germain and Veronesi, 2025)</w:t>
      </w:r>
      <w:r w:rsidR="005854CE">
        <w:rPr>
          <w:lang w:val="en-GB"/>
        </w:rPr>
        <w:t>.</w:t>
      </w:r>
      <w:r w:rsidR="00816D46">
        <w:rPr>
          <w:rFonts w:cs="Arial"/>
        </w:rPr>
        <w:t xml:space="preserve"> </w:t>
      </w:r>
      <w:bookmarkStart w:id="4" w:name="_Toc227147217"/>
      <w:r w:rsidR="00816D46" w:rsidRPr="00816D46">
        <w:rPr>
          <w:rFonts w:cs="Arial"/>
        </w:rPr>
        <w:t xml:space="preserve">To improve effectiveness, UK policy should adopt a more integrated approach, aligning health, environmental and social strategies within a unified public wellbeing framework. Greater </w:t>
      </w:r>
      <w:r w:rsidR="00816D46" w:rsidRPr="00816D46">
        <w:rPr>
          <w:rFonts w:cs="Arial"/>
        </w:rPr>
        <w:lastRenderedPageBreak/>
        <w:t>investment in workforce capacity is needed to support the delivery of the NHS Long Term Plan, alongside stronger regulation and incentives to accelerate emissions reductions across NHS supply chains. In addition, the Net Zero Strategy should place greater emphasis on health equity by ensuring that low-income and vulnerable populations are supported in benefiting from environmental policies.</w:t>
      </w:r>
    </w:p>
    <w:p w14:paraId="1B0B107C" w14:textId="12841E38" w:rsidR="00816D46" w:rsidRPr="00816D46" w:rsidRDefault="00C12944" w:rsidP="00816D46">
      <w:pPr>
        <w:pStyle w:val="Heading1"/>
        <w:rPr>
          <w:rFonts w:ascii="Arial" w:hAnsi="Arial" w:cs="Arial"/>
          <w:sz w:val="24"/>
          <w:szCs w:val="24"/>
        </w:rPr>
      </w:pPr>
      <w:r w:rsidRPr="00816D46">
        <w:rPr>
          <w:rFonts w:ascii="Arial" w:hAnsi="Arial" w:cs="Arial"/>
          <w:sz w:val="24"/>
          <w:szCs w:val="24"/>
        </w:rPr>
        <w:t>5. Local Wellbeing and Sustainable Development Initiatives</w:t>
      </w:r>
      <w:bookmarkEnd w:id="4"/>
    </w:p>
    <w:p w14:paraId="61ABAD4F" w14:textId="550925B4" w:rsidR="00AD7ED0" w:rsidRPr="00830D28" w:rsidRDefault="00C12944" w:rsidP="002E29D8">
      <w:pPr>
        <w:spacing w:after="120" w:line="360" w:lineRule="auto"/>
        <w:rPr>
          <w:rFonts w:cs="Arial"/>
        </w:rPr>
      </w:pPr>
      <w:r w:rsidRPr="00830D28">
        <w:rPr>
          <w:rFonts w:cs="Arial"/>
        </w:rPr>
        <w:t xml:space="preserve">At </w:t>
      </w:r>
      <w:r w:rsidR="00C57BC1" w:rsidRPr="00830D28">
        <w:rPr>
          <w:rFonts w:cs="Arial"/>
        </w:rPr>
        <w:t xml:space="preserve">the </w:t>
      </w:r>
      <w:r w:rsidRPr="00830D28">
        <w:rPr>
          <w:rFonts w:cs="Arial"/>
        </w:rPr>
        <w:t>local level, policy is experienced through practical initiatives rather than national strategy alone. Two useful examples are social prescribing programmes and investment in urban green spaces. These initiatives demonstrate how SDG 3 and SDG 13 can be translated into everyday settings that shape citizens’ lives.</w:t>
      </w:r>
    </w:p>
    <w:p w14:paraId="12249E5F" w14:textId="2AEB9895" w:rsidR="00AD7ED0" w:rsidRPr="00830D28" w:rsidRDefault="00C12944" w:rsidP="002E29D8">
      <w:pPr>
        <w:spacing w:after="120" w:line="360" w:lineRule="auto"/>
        <w:rPr>
          <w:rFonts w:cs="Arial"/>
        </w:rPr>
      </w:pPr>
      <w:r w:rsidRPr="00830D28">
        <w:rPr>
          <w:rFonts w:cs="Arial"/>
        </w:rPr>
        <w:t xml:space="preserve">Social prescribing enables health professionals to refer people to non-clinical support such as exercise groups, welfare advice, arts activities, volunteering and community networks. The approach is attractive because it recognises that many people’s needs are social as well as medical. A systematic review by Bickerdike et al. (2017) found growing interest in social </w:t>
      </w:r>
      <w:r w:rsidR="00830D28" w:rsidRPr="00830D28">
        <w:rPr>
          <w:rFonts w:cs="Arial"/>
        </w:rPr>
        <w:t>prescribing but</w:t>
      </w:r>
      <w:r w:rsidRPr="00830D28">
        <w:rPr>
          <w:rFonts w:cs="Arial"/>
        </w:rPr>
        <w:t xml:space="preserve"> also highlighted variability in evidence quality. More recent reviews indicate that social prescribing can improve wellbeing </w:t>
      </w:r>
      <w:r w:rsidR="00DB3484" w:rsidRPr="00830D28">
        <w:rPr>
          <w:rFonts w:cs="Arial"/>
        </w:rPr>
        <w:t>of</w:t>
      </w:r>
      <w:r w:rsidRPr="00830D28">
        <w:rPr>
          <w:rFonts w:cs="Arial"/>
        </w:rPr>
        <w:t xml:space="preserve"> some groups, especially when </w:t>
      </w:r>
      <w:proofErr w:type="spellStart"/>
      <w:r w:rsidR="00C523F6">
        <w:rPr>
          <w:rFonts w:cs="Arial"/>
        </w:rPr>
        <w:t>programmes</w:t>
      </w:r>
      <w:proofErr w:type="spellEnd"/>
      <w:r w:rsidRPr="00830D28">
        <w:rPr>
          <w:rFonts w:cs="Arial"/>
        </w:rPr>
        <w:t xml:space="preserve"> are </w:t>
      </w:r>
      <w:r w:rsidR="00A61159">
        <w:rPr>
          <w:rFonts w:cs="Arial"/>
        </w:rPr>
        <w:t>well-designed</w:t>
      </w:r>
      <w:r w:rsidRPr="00830D28">
        <w:rPr>
          <w:rFonts w:cs="Arial"/>
        </w:rPr>
        <w:t xml:space="preserve"> and supported by strong community infrastructure (Cooper et al., 2022). This means the initiative has promise, but its effectiveness depends heavily on what services </w:t>
      </w:r>
      <w:r w:rsidR="00830D28" w:rsidRPr="00830D28">
        <w:rPr>
          <w:rFonts w:cs="Arial"/>
        </w:rPr>
        <w:t>exist</w:t>
      </w:r>
      <w:r w:rsidRPr="00830D28">
        <w:rPr>
          <w:rFonts w:cs="Arial"/>
        </w:rPr>
        <w:t xml:space="preserve"> locally. In under-resourced areas, referral alone cannot compensate for the absence of community capacity.</w:t>
      </w:r>
    </w:p>
    <w:p w14:paraId="21DC60DB" w14:textId="7BD60421" w:rsidR="00AD7ED0" w:rsidRPr="00830D28" w:rsidRDefault="00C12944" w:rsidP="002E29D8">
      <w:pPr>
        <w:spacing w:after="120" w:line="360" w:lineRule="auto"/>
        <w:rPr>
          <w:rFonts w:cs="Arial"/>
        </w:rPr>
      </w:pPr>
      <w:r w:rsidRPr="00830D28">
        <w:rPr>
          <w:rFonts w:cs="Arial"/>
        </w:rPr>
        <w:t xml:space="preserve">Urban green space is another important local initiative because access to parks, trees and recreational areas supports both physical and mental </w:t>
      </w:r>
      <w:r w:rsidR="00117454" w:rsidRPr="00830D28">
        <w:rPr>
          <w:rFonts w:cs="Arial"/>
        </w:rPr>
        <w:t>wellbeing</w:t>
      </w:r>
      <w:r w:rsidRPr="00830D28">
        <w:rPr>
          <w:rFonts w:cs="Arial"/>
        </w:rPr>
        <w:t>. WHO evidence shows that green spaces can promote physical activity, reduce stress</w:t>
      </w:r>
      <w:r w:rsidR="00952EBF" w:rsidRPr="00830D28">
        <w:rPr>
          <w:rFonts w:cs="Arial"/>
        </w:rPr>
        <w:t>, and provide wider health benefits when they are accessible and well-designed (World Health Organization</w:t>
      </w:r>
      <w:r w:rsidRPr="00830D28">
        <w:rPr>
          <w:rFonts w:cs="Arial"/>
        </w:rPr>
        <w:t xml:space="preserve"> Regional Office for Europe, 2016). Green spaces also align with SDG 13 because they can support climate adaptation, improve urban cooling and enhance local environmental quality. However, access is unequally distributed. People in deprived urban areas are often less likely to have safe, high-quality green spaces near home, which means the health benefits are not shared fairly.</w:t>
      </w:r>
    </w:p>
    <w:p w14:paraId="68B5BDF9" w14:textId="38752341" w:rsidR="005854CE" w:rsidRPr="005854CE" w:rsidRDefault="005854CE" w:rsidP="002E29D8">
      <w:pPr>
        <w:pStyle w:val="Heading1"/>
        <w:spacing w:line="360" w:lineRule="auto"/>
        <w:rPr>
          <w:rFonts w:ascii="Arial" w:eastAsia="Arial" w:hAnsi="Arial" w:cs="Arial"/>
          <w:b w:val="0"/>
          <w:bCs w:val="0"/>
          <w:color w:val="000000" w:themeColor="text1"/>
          <w:sz w:val="22"/>
          <w:szCs w:val="22"/>
        </w:rPr>
      </w:pPr>
      <w:bookmarkStart w:id="5" w:name="_Toc227147218"/>
      <w:r w:rsidRPr="005854CE">
        <w:rPr>
          <w:rFonts w:ascii="Arial" w:eastAsia="Arial" w:hAnsi="Arial" w:cs="Arial"/>
          <w:b w:val="0"/>
          <w:bCs w:val="0"/>
          <w:color w:val="000000" w:themeColor="text1"/>
          <w:sz w:val="22"/>
          <w:szCs w:val="22"/>
        </w:rPr>
        <w:lastRenderedPageBreak/>
        <w:t>To enhance the effectiveness of local wellbeing and sustainability initiatives,</w:t>
      </w:r>
      <w:r w:rsidRPr="005854CE">
        <w:rPr>
          <w:rFonts w:ascii="Arial" w:hAnsi="Arial" w:cs="Arial"/>
          <w:b w:val="0"/>
          <w:bCs w:val="0"/>
          <w:color w:val="000000" w:themeColor="text1"/>
        </w:rPr>
        <w:t xml:space="preserve"> </w:t>
      </w:r>
      <w:r w:rsidRPr="005854CE">
        <w:rPr>
          <w:rFonts w:ascii="Arial" w:hAnsi="Arial" w:cs="Arial"/>
          <w:b w:val="0"/>
          <w:bCs w:val="0"/>
          <w:color w:val="000000" w:themeColor="text1"/>
          <w:sz w:val="22"/>
          <w:szCs w:val="22"/>
        </w:rPr>
        <w:t xml:space="preserve">these </w:t>
      </w:r>
      <w:r w:rsidRPr="005854CE">
        <w:rPr>
          <w:rFonts w:ascii="Arial" w:eastAsia="Arial" w:hAnsi="Arial" w:cs="Arial"/>
          <w:b w:val="0"/>
          <w:bCs w:val="0"/>
          <w:color w:val="000000" w:themeColor="text1"/>
          <w:sz w:val="22"/>
          <w:szCs w:val="22"/>
        </w:rPr>
        <w:t>should be supported through sustained funding, stronger cross-sector collaboration, and equitable resource allocation, with particular focus on deprived communities. Investment in social prescribing infrastructure and accessible, well-maintained green spaces, alongside clear accountability mechanisms, is essential to ensure that such initiatives effectively reduce health inequalities (Morris et al., 2020).</w:t>
      </w:r>
    </w:p>
    <w:p w14:paraId="25F4D3AB" w14:textId="0F527095" w:rsidR="00AD7ED0" w:rsidRPr="00830D28" w:rsidRDefault="00C12944" w:rsidP="002E29D8">
      <w:pPr>
        <w:pStyle w:val="Heading1"/>
        <w:spacing w:line="360" w:lineRule="auto"/>
        <w:rPr>
          <w:rFonts w:ascii="Arial" w:hAnsi="Arial" w:cs="Arial"/>
          <w:sz w:val="22"/>
          <w:szCs w:val="22"/>
        </w:rPr>
      </w:pPr>
      <w:r w:rsidRPr="00830D28">
        <w:rPr>
          <w:rFonts w:ascii="Arial" w:hAnsi="Arial" w:cs="Arial"/>
          <w:sz w:val="22"/>
          <w:szCs w:val="22"/>
        </w:rPr>
        <w:t>6. Conclusion</w:t>
      </w:r>
      <w:bookmarkEnd w:id="5"/>
    </w:p>
    <w:p w14:paraId="001F6972" w14:textId="79EEC221" w:rsidR="00A96F4E" w:rsidRDefault="00B64FD7" w:rsidP="002E29D8">
      <w:pPr>
        <w:spacing w:after="120" w:line="360" w:lineRule="auto"/>
        <w:rPr>
          <w:rFonts w:cs="Arial"/>
        </w:rPr>
      </w:pPr>
      <w:r w:rsidRPr="00B64FD7">
        <w:rPr>
          <w:rFonts w:cs="Arial"/>
        </w:rPr>
        <w:t xml:space="preserve">In conclusion, SDGs 3 and 13 significantly impact health and wellbeing, but their effectiveness depends on policy implementation. SDG 3 </w:t>
      </w:r>
      <w:proofErr w:type="spellStart"/>
      <w:r w:rsidRPr="00B64FD7">
        <w:rPr>
          <w:rFonts w:cs="Arial"/>
        </w:rPr>
        <w:t>emphasi</w:t>
      </w:r>
      <w:r>
        <w:rPr>
          <w:rFonts w:cs="Arial"/>
        </w:rPr>
        <w:t>s</w:t>
      </w:r>
      <w:r w:rsidRPr="00B64FD7">
        <w:rPr>
          <w:rFonts w:cs="Arial"/>
        </w:rPr>
        <w:t>es</w:t>
      </w:r>
      <w:proofErr w:type="spellEnd"/>
      <w:r w:rsidRPr="00B64FD7">
        <w:rPr>
          <w:rFonts w:cs="Arial"/>
        </w:rPr>
        <w:t xml:space="preserve"> prevention, mental health, and universal access, yet disparities in life expectancy and service access persist. SDG 13 shows climate change as a major health threat, though climate policies often overlook its public health aspect. In the UK, initiatives like the NHS Long Term Plan, Net Zero Strategy, social prescribing, and green space projects show progress but also face issues of fragmentation, uneven adoption, and inequality. Future efforts should integrate health, environmental sustainability, and social justice, with stronger workforce capacity, equitable investment, improved access to community resources, and clearer health goals within climate actions to better support long-term wellbeing.</w:t>
      </w:r>
    </w:p>
    <w:p w14:paraId="0199ED19" w14:textId="77777777" w:rsidR="00A96F4E" w:rsidRDefault="00A96F4E" w:rsidP="002E29D8">
      <w:pPr>
        <w:spacing w:after="120" w:line="360" w:lineRule="auto"/>
        <w:rPr>
          <w:rFonts w:cs="Arial"/>
        </w:rPr>
      </w:pPr>
    </w:p>
    <w:p w14:paraId="1F82529E" w14:textId="77777777" w:rsidR="00A96F4E" w:rsidRDefault="00A96F4E" w:rsidP="002E29D8">
      <w:pPr>
        <w:spacing w:after="120" w:line="360" w:lineRule="auto"/>
        <w:rPr>
          <w:rFonts w:cs="Arial"/>
        </w:rPr>
      </w:pPr>
    </w:p>
    <w:p w14:paraId="694CD496" w14:textId="77777777" w:rsidR="00A96F4E" w:rsidRDefault="00A96F4E" w:rsidP="002E29D8">
      <w:pPr>
        <w:spacing w:after="120" w:line="360" w:lineRule="auto"/>
        <w:rPr>
          <w:rFonts w:cs="Arial"/>
        </w:rPr>
      </w:pPr>
    </w:p>
    <w:p w14:paraId="37D10A43" w14:textId="77777777" w:rsidR="00A96F4E" w:rsidRDefault="00A96F4E" w:rsidP="002E29D8">
      <w:pPr>
        <w:spacing w:after="120" w:line="360" w:lineRule="auto"/>
        <w:rPr>
          <w:rFonts w:cs="Arial"/>
        </w:rPr>
      </w:pPr>
    </w:p>
    <w:p w14:paraId="0BB8D6A4" w14:textId="77777777" w:rsidR="00A96F4E" w:rsidRDefault="00A96F4E" w:rsidP="002E29D8">
      <w:pPr>
        <w:spacing w:after="120" w:line="360" w:lineRule="auto"/>
        <w:rPr>
          <w:rFonts w:cs="Arial"/>
        </w:rPr>
      </w:pPr>
    </w:p>
    <w:p w14:paraId="2A17679D" w14:textId="77777777" w:rsidR="00A96F4E" w:rsidRDefault="00A96F4E" w:rsidP="002E29D8">
      <w:pPr>
        <w:spacing w:after="120" w:line="360" w:lineRule="auto"/>
        <w:rPr>
          <w:rFonts w:cs="Arial"/>
        </w:rPr>
      </w:pPr>
    </w:p>
    <w:p w14:paraId="07FAF049" w14:textId="77777777" w:rsidR="00A96F4E" w:rsidRDefault="00A96F4E" w:rsidP="002E29D8">
      <w:pPr>
        <w:spacing w:after="120" w:line="360" w:lineRule="auto"/>
        <w:rPr>
          <w:rFonts w:cs="Arial"/>
        </w:rPr>
      </w:pPr>
    </w:p>
    <w:p w14:paraId="5B3819E8" w14:textId="77777777" w:rsidR="00B64FD7" w:rsidRDefault="00B64FD7" w:rsidP="002E29D8">
      <w:pPr>
        <w:spacing w:after="120" w:line="360" w:lineRule="auto"/>
        <w:rPr>
          <w:rFonts w:cs="Arial"/>
        </w:rPr>
      </w:pPr>
    </w:p>
    <w:p w14:paraId="40353CB2" w14:textId="77777777" w:rsidR="00B64FD7" w:rsidRDefault="00B64FD7" w:rsidP="002E29D8">
      <w:pPr>
        <w:spacing w:after="120" w:line="360" w:lineRule="auto"/>
        <w:rPr>
          <w:rFonts w:cs="Arial"/>
        </w:rPr>
      </w:pPr>
    </w:p>
    <w:p w14:paraId="53A87751" w14:textId="77777777" w:rsidR="00B64FD7" w:rsidRDefault="00B64FD7" w:rsidP="002E29D8">
      <w:pPr>
        <w:spacing w:after="120" w:line="360" w:lineRule="auto"/>
        <w:rPr>
          <w:rFonts w:cs="Arial"/>
        </w:rPr>
      </w:pPr>
    </w:p>
    <w:p w14:paraId="0115B7AA" w14:textId="77777777" w:rsidR="00B64FD7" w:rsidRDefault="00B64FD7" w:rsidP="002E29D8">
      <w:pPr>
        <w:spacing w:after="120" w:line="360" w:lineRule="auto"/>
        <w:rPr>
          <w:rFonts w:cs="Arial"/>
        </w:rPr>
      </w:pPr>
    </w:p>
    <w:p w14:paraId="0C4014B0" w14:textId="77777777" w:rsidR="00B64FD7" w:rsidRDefault="00B64FD7" w:rsidP="002E29D8">
      <w:pPr>
        <w:spacing w:after="120" w:line="360" w:lineRule="auto"/>
        <w:rPr>
          <w:rFonts w:cs="Arial"/>
        </w:rPr>
      </w:pPr>
    </w:p>
    <w:p w14:paraId="640CDAF8" w14:textId="77777777" w:rsidR="00A96F4E" w:rsidRPr="00830D28" w:rsidRDefault="00A96F4E" w:rsidP="002E29D8">
      <w:pPr>
        <w:spacing w:after="120" w:line="360" w:lineRule="auto"/>
        <w:rPr>
          <w:rFonts w:cs="Arial"/>
        </w:rPr>
      </w:pPr>
    </w:p>
    <w:p w14:paraId="230949C1" w14:textId="77777777" w:rsidR="00AD7ED0" w:rsidRDefault="00C12944">
      <w:pPr>
        <w:pStyle w:val="Heading1"/>
      </w:pPr>
      <w:bookmarkStart w:id="6" w:name="_Toc227147219"/>
      <w:r>
        <w:lastRenderedPageBreak/>
        <w:t>References</w:t>
      </w:r>
      <w:bookmarkEnd w:id="6"/>
    </w:p>
    <w:p w14:paraId="4DA4AF1A" w14:textId="71166DCC" w:rsidR="009D2B34" w:rsidRPr="009D2B34" w:rsidRDefault="009D2B34" w:rsidP="00952EBF">
      <w:pPr>
        <w:spacing w:after="120" w:line="360" w:lineRule="auto"/>
        <w:rPr>
          <w:lang w:val="en-GB"/>
        </w:rPr>
      </w:pPr>
      <w:r w:rsidRPr="009D2B34">
        <w:rPr>
          <w:lang w:val="en-GB"/>
        </w:rPr>
        <w:t>Acharya, S., Lin, V. and Dhingra, N. (2018)</w:t>
      </w:r>
      <w:r w:rsidR="00B64FD7">
        <w:rPr>
          <w:lang w:val="en-GB"/>
        </w:rPr>
        <w:t xml:space="preserve"> ‘</w:t>
      </w:r>
      <w:r w:rsidRPr="009D2B34">
        <w:rPr>
          <w:lang w:val="en-GB"/>
        </w:rPr>
        <w:t>The Role of Health in Achieving the Sustainable Development Goals</w:t>
      </w:r>
      <w:r w:rsidR="00B64FD7">
        <w:rPr>
          <w:lang w:val="en-GB"/>
        </w:rPr>
        <w:t xml:space="preserve">’, </w:t>
      </w:r>
      <w:r w:rsidRPr="009D2B34">
        <w:rPr>
          <w:i/>
          <w:iCs/>
          <w:lang w:val="en-GB"/>
        </w:rPr>
        <w:t>Bulletin of the World Health Organization</w:t>
      </w:r>
      <w:r w:rsidRPr="009D2B34">
        <w:rPr>
          <w:lang w:val="en-GB"/>
        </w:rPr>
        <w:t xml:space="preserve">, [online] 96(9), pp.591–591A. </w:t>
      </w:r>
      <w:proofErr w:type="spellStart"/>
      <w:r w:rsidRPr="009D2B34">
        <w:rPr>
          <w:lang w:val="en-GB"/>
        </w:rPr>
        <w:t>doi:https</w:t>
      </w:r>
      <w:proofErr w:type="spellEnd"/>
      <w:r w:rsidRPr="009D2B34">
        <w:rPr>
          <w:lang w:val="en-GB"/>
        </w:rPr>
        <w:t>://doi.org/10.2471/blt.18.221432.</w:t>
      </w:r>
    </w:p>
    <w:p w14:paraId="365F41AA" w14:textId="1636C15C" w:rsidR="00AD7ED0" w:rsidRDefault="00C12944" w:rsidP="00952EBF">
      <w:pPr>
        <w:spacing w:after="120" w:line="360" w:lineRule="auto"/>
      </w:pPr>
      <w:r>
        <w:t xml:space="preserve">Allen, J., Goldblatt, P., Morrison, J., Boyce, T. and Marmot, M. (2020) </w:t>
      </w:r>
      <w:r w:rsidRPr="00B64FD7">
        <w:rPr>
          <w:i/>
          <w:iCs/>
        </w:rPr>
        <w:t xml:space="preserve">Health Equity in England: The Marmot Review 10 Years On. London: Institute of Health Equity. </w:t>
      </w:r>
      <w:r>
        <w:t xml:space="preserve">Available at: </w:t>
      </w:r>
      <w:hyperlink r:id="rId8" w:history="1">
        <w:r w:rsidR="00952EBF" w:rsidRPr="00F33778">
          <w:rPr>
            <w:rStyle w:val="Hyperlink"/>
          </w:rPr>
          <w:t>https://www.instituteofhealthequity.org/resources-reports/marmot-review-10-years-on/the-marmot-review-10-years-on-full-report.pdf</w:t>
        </w:r>
      </w:hyperlink>
      <w:r w:rsidR="00952EBF">
        <w:t xml:space="preserve"> </w:t>
      </w:r>
      <w:r>
        <w:t>(Accessed: 1 April 2026).</w:t>
      </w:r>
    </w:p>
    <w:p w14:paraId="7F66D458" w14:textId="11C30CB3" w:rsidR="00AD7ED0" w:rsidRDefault="00C12944" w:rsidP="00952EBF">
      <w:pPr>
        <w:spacing w:after="120" w:line="360" w:lineRule="auto"/>
      </w:pPr>
      <w:r>
        <w:t xml:space="preserve">Bickerdike, L., Booth, A., Wilson, P.M., Farley, K. and Wright, K. (2017) ‘Social prescribing: less rhetoric and more reality. A systematic review of the evidence, </w:t>
      </w:r>
      <w:r w:rsidRPr="00B64FD7">
        <w:rPr>
          <w:i/>
          <w:iCs/>
        </w:rPr>
        <w:t>BMJ Open</w:t>
      </w:r>
      <w:r>
        <w:t xml:space="preserve">, 7(4), e013384. Available at: </w:t>
      </w:r>
      <w:hyperlink r:id="rId9" w:history="1">
        <w:r w:rsidR="00952EBF" w:rsidRPr="00F33778">
          <w:rPr>
            <w:rStyle w:val="Hyperlink"/>
          </w:rPr>
          <w:t>https://bmjopen.bmj.com/content/7/4/e013384</w:t>
        </w:r>
      </w:hyperlink>
      <w:r w:rsidR="00952EBF">
        <w:t xml:space="preserve"> </w:t>
      </w:r>
      <w:r>
        <w:t xml:space="preserve">(Accessed: </w:t>
      </w:r>
      <w:r w:rsidR="00952EBF">
        <w:t>05</w:t>
      </w:r>
      <w:r>
        <w:t xml:space="preserve"> April 2026).</w:t>
      </w:r>
    </w:p>
    <w:p w14:paraId="5B83CE9C" w14:textId="2D96C835" w:rsidR="00D55D0C" w:rsidRDefault="00C12944" w:rsidP="00952EBF">
      <w:pPr>
        <w:spacing w:after="120" w:line="360" w:lineRule="auto"/>
      </w:pPr>
      <w:r>
        <w:t xml:space="preserve">Cooper, M., Beswick, J., Alexander, N., et al. (2022) ‘Effectiveness and active ingredients of social prescribing interventions targeting mental health and wellbeing: a systematic review’, </w:t>
      </w:r>
      <w:r w:rsidRPr="00B64FD7">
        <w:rPr>
          <w:i/>
          <w:iCs/>
        </w:rPr>
        <w:t>BMJ Open,</w:t>
      </w:r>
      <w:r>
        <w:t xml:space="preserve"> 12(7), e060214. Available at: </w:t>
      </w:r>
      <w:hyperlink r:id="rId10" w:history="1">
        <w:r w:rsidR="00952EBF" w:rsidRPr="00F33778">
          <w:rPr>
            <w:rStyle w:val="Hyperlink"/>
          </w:rPr>
          <w:t>https://bmjopen.bmj.com/content/12/7/e060214</w:t>
        </w:r>
      </w:hyperlink>
      <w:r w:rsidR="00952EBF">
        <w:t xml:space="preserve"> </w:t>
      </w:r>
      <w:r>
        <w:t xml:space="preserve">(Accessed: </w:t>
      </w:r>
      <w:r w:rsidR="00952EBF">
        <w:t>05</w:t>
      </w:r>
      <w:r>
        <w:t xml:space="preserve"> April 2026).</w:t>
      </w:r>
    </w:p>
    <w:p w14:paraId="1E40F81D" w14:textId="308E96CF" w:rsidR="00146214" w:rsidRDefault="00146214" w:rsidP="00952EBF">
      <w:pPr>
        <w:spacing w:after="120" w:line="360" w:lineRule="auto"/>
        <w:rPr>
          <w:lang w:val="en-GB"/>
        </w:rPr>
      </w:pPr>
      <w:r w:rsidRPr="00146214">
        <w:rPr>
          <w:lang w:val="en-GB"/>
        </w:rPr>
        <w:t xml:space="preserve">Haines, A., McMichael, A.J., Smith, K.R., Roberts, I., Woodcock, J., </w:t>
      </w:r>
      <w:proofErr w:type="spellStart"/>
      <w:r w:rsidRPr="00146214">
        <w:rPr>
          <w:lang w:val="en-GB"/>
        </w:rPr>
        <w:t>Markandya</w:t>
      </w:r>
      <w:proofErr w:type="spellEnd"/>
      <w:r w:rsidRPr="00146214">
        <w:rPr>
          <w:lang w:val="en-GB"/>
        </w:rPr>
        <w:t xml:space="preserve">, A., Armstrong, B.G., Campbell-Lendrum, D., </w:t>
      </w:r>
      <w:proofErr w:type="spellStart"/>
      <w:r w:rsidRPr="00146214">
        <w:rPr>
          <w:lang w:val="en-GB"/>
        </w:rPr>
        <w:t>Dangour</w:t>
      </w:r>
      <w:proofErr w:type="spellEnd"/>
      <w:r w:rsidRPr="00146214">
        <w:rPr>
          <w:lang w:val="en-GB"/>
        </w:rPr>
        <w:t>, A.D., Davies, M., Bruce, N., Tonne, C., Barrett, M. and Wilkinson, P. (2009)</w:t>
      </w:r>
      <w:r w:rsidR="00B64FD7">
        <w:rPr>
          <w:lang w:val="en-GB"/>
        </w:rPr>
        <w:t xml:space="preserve"> ‘</w:t>
      </w:r>
      <w:r w:rsidRPr="00146214">
        <w:rPr>
          <w:lang w:val="en-GB"/>
        </w:rPr>
        <w:t>Public health benefits of strategies to reduce greenhouse-gas emissions: overview and implications for policy makers</w:t>
      </w:r>
      <w:r w:rsidR="00B64FD7">
        <w:rPr>
          <w:lang w:val="en-GB"/>
        </w:rPr>
        <w:t xml:space="preserve">’, </w:t>
      </w:r>
      <w:r w:rsidRPr="00146214">
        <w:rPr>
          <w:i/>
          <w:iCs/>
          <w:lang w:val="en-GB"/>
        </w:rPr>
        <w:t>The Lancet</w:t>
      </w:r>
      <w:r w:rsidRPr="00146214">
        <w:rPr>
          <w:lang w:val="en-GB"/>
        </w:rPr>
        <w:t xml:space="preserve">, 374(9707), pp.2104–2114. </w:t>
      </w:r>
      <w:proofErr w:type="spellStart"/>
      <w:r w:rsidRPr="00146214">
        <w:rPr>
          <w:lang w:val="en-GB"/>
        </w:rPr>
        <w:t>doi:https</w:t>
      </w:r>
      <w:proofErr w:type="spellEnd"/>
      <w:r w:rsidRPr="00146214">
        <w:rPr>
          <w:lang w:val="en-GB"/>
        </w:rPr>
        <w:t>://doi.org/10.1016/s0140-6736(09)61759-</w:t>
      </w:r>
      <w:r>
        <w:rPr>
          <w:lang w:val="en-GB"/>
        </w:rPr>
        <w:t>1.</w:t>
      </w:r>
      <w:r w:rsidR="00A96F4E">
        <w:rPr>
          <w:lang w:val="en-GB"/>
        </w:rPr>
        <w:t xml:space="preserve"> </w:t>
      </w:r>
      <w:r>
        <w:rPr>
          <w:lang w:val="en-GB"/>
        </w:rPr>
        <w:t xml:space="preserve"> </w:t>
      </w:r>
    </w:p>
    <w:p w14:paraId="20CAD9AE" w14:textId="77F3E7ED" w:rsidR="003D5841" w:rsidRPr="003D5841" w:rsidRDefault="003D5841" w:rsidP="003D5841">
      <w:pPr>
        <w:spacing w:after="120" w:line="360" w:lineRule="auto"/>
        <w:rPr>
          <w:lang w:val="en-GB"/>
        </w:rPr>
      </w:pPr>
      <w:r w:rsidRPr="003D5841">
        <w:rPr>
          <w:lang w:val="en-GB"/>
        </w:rPr>
        <w:t>Holmes, I.A. and Willison, C.E. (2024)</w:t>
      </w:r>
      <w:r w:rsidR="00B64FD7">
        <w:rPr>
          <w:lang w:val="en-GB"/>
        </w:rPr>
        <w:t xml:space="preserve"> </w:t>
      </w:r>
      <w:r w:rsidRPr="00B64FD7">
        <w:rPr>
          <w:i/>
          <w:iCs/>
          <w:lang w:val="en-GB"/>
        </w:rPr>
        <w:t>SDG13, climate action: health systems as stakeholders and implementors in climate policy change.</w:t>
      </w:r>
      <w:r w:rsidRPr="003D5841">
        <w:rPr>
          <w:lang w:val="en-GB"/>
        </w:rPr>
        <w:t xml:space="preserve"> </w:t>
      </w:r>
      <w:r w:rsidRPr="003D5841">
        <w:rPr>
          <w:i/>
          <w:iCs/>
          <w:lang w:val="en-GB"/>
        </w:rPr>
        <w:t xml:space="preserve">Health </w:t>
      </w:r>
      <w:r w:rsidRPr="003D5841">
        <w:rPr>
          <w:lang w:val="en-GB"/>
        </w:rPr>
        <w:t>for</w:t>
      </w:r>
      <w:r w:rsidRPr="003D5841">
        <w:rPr>
          <w:i/>
          <w:iCs/>
          <w:lang w:val="en-GB"/>
        </w:rPr>
        <w:t xml:space="preserve"> All Policies</w:t>
      </w:r>
      <w:r w:rsidRPr="003D5841">
        <w:rPr>
          <w:lang w:val="en-GB"/>
        </w:rPr>
        <w:t xml:space="preserve">, [online] pp.219–246. </w:t>
      </w:r>
      <w:proofErr w:type="spellStart"/>
      <w:r w:rsidRPr="003D5841">
        <w:rPr>
          <w:lang w:val="en-GB"/>
        </w:rPr>
        <w:t>doi:https</w:t>
      </w:r>
      <w:proofErr w:type="spellEnd"/>
      <w:r w:rsidRPr="003D5841">
        <w:rPr>
          <w:lang w:val="en-GB"/>
        </w:rPr>
        <w:t>://doi.org/10.1017/9781009467766.012.</w:t>
      </w:r>
    </w:p>
    <w:p w14:paraId="59B794D3" w14:textId="6315778A" w:rsidR="00D55D0C" w:rsidRDefault="00D55D0C" w:rsidP="00952EBF">
      <w:pPr>
        <w:spacing w:after="120" w:line="360" w:lineRule="auto"/>
        <w:rPr>
          <w:lang w:val="en-GB"/>
        </w:rPr>
      </w:pPr>
      <w:r w:rsidRPr="00D55D0C">
        <w:rPr>
          <w:lang w:val="en-GB"/>
        </w:rPr>
        <w:t xml:space="preserve">Fernando, T., </w:t>
      </w:r>
      <w:proofErr w:type="spellStart"/>
      <w:r w:rsidRPr="00D55D0C">
        <w:rPr>
          <w:lang w:val="en-GB"/>
        </w:rPr>
        <w:t>Shamsad</w:t>
      </w:r>
      <w:proofErr w:type="spellEnd"/>
      <w:r w:rsidRPr="00D55D0C">
        <w:rPr>
          <w:lang w:val="en-GB"/>
        </w:rPr>
        <w:t xml:space="preserve">, N. and World Economic Forum (2024) </w:t>
      </w:r>
      <w:r w:rsidRPr="00D55D0C">
        <w:rPr>
          <w:i/>
          <w:iCs/>
          <w:lang w:val="en-GB"/>
        </w:rPr>
        <w:t xml:space="preserve">How do we ensure the green transition doesn’t </w:t>
      </w:r>
      <w:r w:rsidR="00DB51CB">
        <w:rPr>
          <w:i/>
          <w:iCs/>
          <w:lang w:val="en-GB"/>
        </w:rPr>
        <w:t>penalise</w:t>
      </w:r>
      <w:r w:rsidRPr="00D55D0C">
        <w:rPr>
          <w:i/>
          <w:iCs/>
          <w:lang w:val="en-GB"/>
        </w:rPr>
        <w:t xml:space="preserve"> the poorest?</w:t>
      </w:r>
      <w:r w:rsidRPr="00D55D0C">
        <w:rPr>
          <w:lang w:val="en-GB"/>
        </w:rPr>
        <w:t xml:space="preserve"> [online] World Economic Forum. Available at: </w:t>
      </w:r>
      <w:hyperlink r:id="rId11" w:history="1">
        <w:r w:rsidRPr="00D55D0C">
          <w:rPr>
            <w:rStyle w:val="Hyperlink"/>
            <w:lang w:val="en-GB"/>
          </w:rPr>
          <w:t>https://www.weforum.org/stories/2024/07/green-transition-equity-energy-report/</w:t>
        </w:r>
      </w:hyperlink>
      <w:r>
        <w:rPr>
          <w:lang w:val="en-GB"/>
        </w:rPr>
        <w:t xml:space="preserve"> </w:t>
      </w:r>
      <w:r w:rsidRPr="00D55D0C">
        <w:rPr>
          <w:lang w:val="en-GB"/>
        </w:rPr>
        <w:t>[Accessed 11 Apr. 2026].</w:t>
      </w:r>
    </w:p>
    <w:p w14:paraId="6E415CC7" w14:textId="0ECE976E" w:rsidR="00A96F4E" w:rsidRDefault="005854CE" w:rsidP="005854CE">
      <w:pPr>
        <w:spacing w:after="120" w:line="360" w:lineRule="auto"/>
        <w:rPr>
          <w:lang w:val="en-GB"/>
        </w:rPr>
      </w:pPr>
      <w:r w:rsidRPr="005854CE">
        <w:rPr>
          <w:lang w:val="en-GB"/>
        </w:rPr>
        <w:t xml:space="preserve">Germain, S. and Veronesi, G. (2025) </w:t>
      </w:r>
      <w:r>
        <w:rPr>
          <w:lang w:val="en-GB"/>
        </w:rPr>
        <w:t>‘</w:t>
      </w:r>
      <w:r w:rsidRPr="005854CE">
        <w:rPr>
          <w:lang w:val="en-GB"/>
        </w:rPr>
        <w:t>Harnessing deliberative regulation to address inequities in accessing healthcare services in England</w:t>
      </w:r>
      <w:r>
        <w:rPr>
          <w:lang w:val="en-GB"/>
        </w:rPr>
        <w:t xml:space="preserve">’, </w:t>
      </w:r>
      <w:r w:rsidRPr="005854CE">
        <w:rPr>
          <w:i/>
          <w:iCs/>
          <w:lang w:val="en-GB"/>
        </w:rPr>
        <w:t>Medical law review</w:t>
      </w:r>
      <w:r w:rsidRPr="005854CE">
        <w:rPr>
          <w:lang w:val="en-GB"/>
        </w:rPr>
        <w:t xml:space="preserve">, 33(1). Available at: </w:t>
      </w:r>
      <w:hyperlink r:id="rId12" w:history="1">
        <w:r w:rsidRPr="008E0C39">
          <w:rPr>
            <w:rStyle w:val="Hyperlink"/>
            <w:lang w:val="en-GB"/>
          </w:rPr>
          <w:t>https://doi.org/10.1093/medlaw/fwae042</w:t>
        </w:r>
      </w:hyperlink>
      <w:r w:rsidRPr="005854CE">
        <w:rPr>
          <w:lang w:val="en-GB"/>
        </w:rPr>
        <w:t>.</w:t>
      </w:r>
      <w:r>
        <w:rPr>
          <w:lang w:val="en-GB"/>
        </w:rPr>
        <w:t xml:space="preserve"> </w:t>
      </w:r>
    </w:p>
    <w:p w14:paraId="58BD606B" w14:textId="098B6C7D" w:rsidR="00A96F4E" w:rsidRDefault="00A96F4E" w:rsidP="00A96F4E">
      <w:pPr>
        <w:spacing w:after="120" w:line="360" w:lineRule="auto"/>
      </w:pPr>
      <w:r>
        <w:t xml:space="preserve">Masoud Sajjadian, S. (2023) ‘A critique on the UK’s net zero strategy’, </w:t>
      </w:r>
      <w:r w:rsidRPr="005854CE">
        <w:rPr>
          <w:i/>
          <w:iCs/>
        </w:rPr>
        <w:t>Sustainable energy technologies and assessments,</w:t>
      </w:r>
      <w:r>
        <w:t xml:space="preserve"> 56. Available at: </w:t>
      </w:r>
      <w:hyperlink r:id="rId13" w:history="1">
        <w:r w:rsidRPr="008E0C39">
          <w:rPr>
            <w:rStyle w:val="Hyperlink"/>
          </w:rPr>
          <w:t>https://doi.org/10.1016/j.seta.2022.103003</w:t>
        </w:r>
      </w:hyperlink>
      <w:r>
        <w:t xml:space="preserve">. </w:t>
      </w:r>
    </w:p>
    <w:p w14:paraId="4B6ABC0F" w14:textId="7428C1F5" w:rsidR="00A96F4E" w:rsidRDefault="00A96F4E" w:rsidP="005854CE">
      <w:pPr>
        <w:spacing w:after="120" w:line="360" w:lineRule="auto"/>
        <w:rPr>
          <w:lang w:val="en-GB"/>
        </w:rPr>
      </w:pPr>
      <w:r>
        <w:rPr>
          <w:lang w:val="en-GB"/>
        </w:rPr>
        <w:t xml:space="preserve"> </w:t>
      </w:r>
    </w:p>
    <w:p w14:paraId="2F5B8B64" w14:textId="77777777" w:rsidR="00A96F4E" w:rsidRPr="00A96F4E" w:rsidRDefault="00A96F4E" w:rsidP="00A96F4E">
      <w:pPr>
        <w:spacing w:after="120" w:line="360" w:lineRule="auto"/>
        <w:rPr>
          <w:lang w:val="en-GB"/>
        </w:rPr>
      </w:pPr>
    </w:p>
    <w:p w14:paraId="57494D52" w14:textId="63340A65" w:rsidR="00A96F4E" w:rsidRDefault="00A96F4E" w:rsidP="00A96F4E">
      <w:pPr>
        <w:spacing w:after="120" w:line="360" w:lineRule="auto"/>
        <w:rPr>
          <w:lang w:val="en-GB"/>
        </w:rPr>
      </w:pPr>
      <w:r w:rsidRPr="00A96F4E">
        <w:rPr>
          <w:lang w:val="en-GB"/>
        </w:rPr>
        <w:t xml:space="preserve">Michaeli, D.T. et al. (2024) </w:t>
      </w:r>
      <w:r>
        <w:rPr>
          <w:lang w:val="en-GB"/>
        </w:rPr>
        <w:t>‘</w:t>
      </w:r>
      <w:r w:rsidRPr="00A96F4E">
        <w:rPr>
          <w:lang w:val="en-GB"/>
        </w:rPr>
        <w:t>The Healthcare Workforce Shortage of Nurses and Physicians: Practice, Theory, Evidence, and Ways Forward</w:t>
      </w:r>
      <w:r>
        <w:rPr>
          <w:lang w:val="en-GB"/>
        </w:rPr>
        <w:t>’,</w:t>
      </w:r>
      <w:r w:rsidRPr="00A96F4E">
        <w:rPr>
          <w:lang w:val="en-GB"/>
        </w:rPr>
        <w:t xml:space="preserve"> </w:t>
      </w:r>
      <w:r w:rsidRPr="00A96F4E">
        <w:rPr>
          <w:i/>
          <w:iCs/>
          <w:lang w:val="en-GB"/>
        </w:rPr>
        <w:t>Policy, politics &amp; nursing practice,</w:t>
      </w:r>
      <w:r w:rsidRPr="00A96F4E">
        <w:rPr>
          <w:lang w:val="en-GB"/>
        </w:rPr>
        <w:t xml:space="preserve"> 25(4), pp. 216–227. Available at: </w:t>
      </w:r>
      <w:hyperlink r:id="rId14" w:history="1">
        <w:r w:rsidRPr="008E0C39">
          <w:rPr>
            <w:rStyle w:val="Hyperlink"/>
            <w:lang w:val="en-GB"/>
          </w:rPr>
          <w:t>https://doi.org/10.1177/15271544241286083</w:t>
        </w:r>
      </w:hyperlink>
      <w:r w:rsidRPr="00A96F4E">
        <w:rPr>
          <w:lang w:val="en-GB"/>
        </w:rPr>
        <w:t>.</w:t>
      </w:r>
      <w:r>
        <w:rPr>
          <w:lang w:val="en-GB"/>
        </w:rPr>
        <w:t xml:space="preserve"> </w:t>
      </w:r>
    </w:p>
    <w:p w14:paraId="11057342" w14:textId="1DD6936C" w:rsidR="00532D44" w:rsidRPr="00532D44" w:rsidRDefault="00532D44" w:rsidP="00532D44">
      <w:pPr>
        <w:spacing w:after="120" w:line="360" w:lineRule="auto"/>
        <w:rPr>
          <w:lang w:val="en-GB"/>
        </w:rPr>
      </w:pPr>
      <w:r w:rsidRPr="00532D44">
        <w:rPr>
          <w:lang w:val="en-GB"/>
        </w:rPr>
        <w:t xml:space="preserve">Morris, D., Thomas, P., Ridley, J. and Webber, M. (2020) </w:t>
      </w:r>
      <w:r w:rsidR="00B64FD7">
        <w:rPr>
          <w:lang w:val="en-GB"/>
        </w:rPr>
        <w:t>‘</w:t>
      </w:r>
      <w:r w:rsidRPr="00532D44">
        <w:rPr>
          <w:lang w:val="en-GB"/>
        </w:rPr>
        <w:t>Community-Enhanced social prescribing: Integrating community in policy and practice</w:t>
      </w:r>
      <w:r w:rsidR="00B64FD7">
        <w:rPr>
          <w:lang w:val="en-GB"/>
        </w:rPr>
        <w:t xml:space="preserve">’, </w:t>
      </w:r>
      <w:r w:rsidRPr="00532D44">
        <w:rPr>
          <w:i/>
          <w:iCs/>
          <w:lang w:val="en-GB"/>
        </w:rPr>
        <w:t>International Journal of Community Well-Being</w:t>
      </w:r>
      <w:r w:rsidRPr="00532D44">
        <w:rPr>
          <w:lang w:val="en-GB"/>
        </w:rPr>
        <w:t xml:space="preserve">, 5(1). </w:t>
      </w:r>
      <w:proofErr w:type="spellStart"/>
      <w:r w:rsidRPr="00532D44">
        <w:rPr>
          <w:lang w:val="en-GB"/>
        </w:rPr>
        <w:t>doi:https</w:t>
      </w:r>
      <w:proofErr w:type="spellEnd"/>
      <w:r w:rsidRPr="00532D44">
        <w:rPr>
          <w:lang w:val="en-GB"/>
        </w:rPr>
        <w:t>://doi.org/10.1007/s42413-020-00080-9.</w:t>
      </w:r>
      <w:r w:rsidR="00B64FD7">
        <w:rPr>
          <w:lang w:val="en-GB"/>
        </w:rPr>
        <w:t xml:space="preserve"> </w:t>
      </w:r>
    </w:p>
    <w:p w14:paraId="76BD794B" w14:textId="4BE24657" w:rsidR="00AD7ED0" w:rsidRDefault="00C12944" w:rsidP="00952EBF">
      <w:pPr>
        <w:spacing w:after="120" w:line="360" w:lineRule="auto"/>
      </w:pPr>
      <w:r>
        <w:t xml:space="preserve">NHS England (2019) </w:t>
      </w:r>
      <w:r w:rsidRPr="00B64FD7">
        <w:rPr>
          <w:i/>
          <w:iCs/>
        </w:rPr>
        <w:t>The NHS Long Term Plan.</w:t>
      </w:r>
      <w:r>
        <w:t xml:space="preserve"> London: NHS England. Available at: </w:t>
      </w:r>
      <w:hyperlink r:id="rId15" w:history="1">
        <w:r w:rsidR="00952EBF" w:rsidRPr="00F50DB5">
          <w:rPr>
            <w:rStyle w:val="Hyperlink"/>
          </w:rPr>
          <w:t>https://www.england.nhs.uk/long-term-plan/</w:t>
        </w:r>
      </w:hyperlink>
      <w:r w:rsidR="00952EBF">
        <w:t xml:space="preserve"> </w:t>
      </w:r>
      <w:r>
        <w:t xml:space="preserve">(Accessed: </w:t>
      </w:r>
      <w:r w:rsidR="00952EBF">
        <w:t>01</w:t>
      </w:r>
      <w:r>
        <w:t xml:space="preserve"> April 2026).</w:t>
      </w:r>
    </w:p>
    <w:p w14:paraId="5DE33A04" w14:textId="6BF1BFCF" w:rsidR="00AD7ED0" w:rsidRDefault="00C12944" w:rsidP="00952EBF">
      <w:pPr>
        <w:spacing w:after="120" w:line="360" w:lineRule="auto"/>
      </w:pPr>
      <w:r>
        <w:t xml:space="preserve">NHS England (2023) </w:t>
      </w:r>
      <w:r w:rsidRPr="00B64FD7">
        <w:rPr>
          <w:i/>
          <w:iCs/>
        </w:rPr>
        <w:t>NHS Long Term Workforce Plan</w:t>
      </w:r>
      <w:r>
        <w:t xml:space="preserve">. London: NHS England. Available at: </w:t>
      </w:r>
      <w:hyperlink r:id="rId16" w:history="1">
        <w:r w:rsidR="00952EBF" w:rsidRPr="00F50DB5">
          <w:rPr>
            <w:rStyle w:val="Hyperlink"/>
          </w:rPr>
          <w:t>https://www.england.nhs.uk/long-read/nhs-long-term-workforce-plan-2/</w:t>
        </w:r>
      </w:hyperlink>
      <w:r w:rsidR="00952EBF">
        <w:t xml:space="preserve"> </w:t>
      </w:r>
      <w:r>
        <w:t xml:space="preserve">(Accessed: </w:t>
      </w:r>
      <w:r w:rsidR="00952EBF">
        <w:t>01</w:t>
      </w:r>
      <w:r>
        <w:t xml:space="preserve"> April 2026).</w:t>
      </w:r>
    </w:p>
    <w:p w14:paraId="71358A62" w14:textId="46794C1B" w:rsidR="00AD7ED0" w:rsidRDefault="00C12944" w:rsidP="00952EBF">
      <w:pPr>
        <w:spacing w:after="120" w:line="360" w:lineRule="auto"/>
      </w:pPr>
      <w:r>
        <w:t>NHS England (</w:t>
      </w:r>
      <w:r w:rsidR="0032665F">
        <w:t>2026</w:t>
      </w:r>
      <w:r>
        <w:t xml:space="preserve">) </w:t>
      </w:r>
      <w:r w:rsidRPr="00B64FD7">
        <w:rPr>
          <w:i/>
          <w:iCs/>
        </w:rPr>
        <w:t>Social prescribing</w:t>
      </w:r>
      <w:r>
        <w:t xml:space="preserve">. Available at: </w:t>
      </w:r>
      <w:hyperlink r:id="rId17" w:history="1">
        <w:r w:rsidR="00952EBF" w:rsidRPr="00F50DB5">
          <w:rPr>
            <w:rStyle w:val="Hyperlink"/>
          </w:rPr>
          <w:t>https://www.england.nhs.uk/personalisedcare/social-prescribing/</w:t>
        </w:r>
      </w:hyperlink>
      <w:r w:rsidR="00952EBF">
        <w:t xml:space="preserve"> </w:t>
      </w:r>
      <w:r>
        <w:t>(Accessed: 1</w:t>
      </w:r>
      <w:r w:rsidR="00952EBF">
        <w:t>1</w:t>
      </w:r>
      <w:r>
        <w:t xml:space="preserve"> April 2026).</w:t>
      </w:r>
    </w:p>
    <w:p w14:paraId="2E0AD720" w14:textId="42B1429C" w:rsidR="00AD7ED0" w:rsidRDefault="00C12944" w:rsidP="00952EBF">
      <w:pPr>
        <w:spacing w:after="120" w:line="360" w:lineRule="auto"/>
      </w:pPr>
      <w:r>
        <w:t xml:space="preserve">Office for Health Improvement and Disparities (2024) </w:t>
      </w:r>
      <w:r w:rsidRPr="00B64FD7">
        <w:rPr>
          <w:i/>
          <w:iCs/>
        </w:rPr>
        <w:t>Health trends in England</w:t>
      </w:r>
      <w:r>
        <w:t xml:space="preserve">. London: Department of Health and Social Care. Available at: </w:t>
      </w:r>
      <w:hyperlink r:id="rId18" w:history="1">
        <w:r w:rsidR="00952EBF" w:rsidRPr="00F50DB5">
          <w:rPr>
            <w:rStyle w:val="Hyperlink"/>
          </w:rPr>
          <w:t>https://www.gov.uk/government/statistics/health-trends-in-england</w:t>
        </w:r>
      </w:hyperlink>
      <w:r w:rsidR="00952EBF">
        <w:t xml:space="preserve"> </w:t>
      </w:r>
      <w:r>
        <w:t>(Accessed: 1</w:t>
      </w:r>
      <w:r w:rsidR="00952EBF">
        <w:t>1</w:t>
      </w:r>
      <w:r>
        <w:t xml:space="preserve"> April 2026).</w:t>
      </w:r>
    </w:p>
    <w:p w14:paraId="70EBB479" w14:textId="1734DAAF" w:rsidR="00AD7ED0" w:rsidRDefault="00C12944" w:rsidP="00952EBF">
      <w:pPr>
        <w:spacing w:after="120" w:line="360" w:lineRule="auto"/>
      </w:pPr>
      <w:r>
        <w:t>Office for National Statistics (2024a)</w:t>
      </w:r>
      <w:r w:rsidR="00B64FD7">
        <w:t xml:space="preserve"> </w:t>
      </w:r>
      <w:r w:rsidRPr="00B64FD7">
        <w:rPr>
          <w:i/>
          <w:iCs/>
        </w:rPr>
        <w:t>Healthy life expectancy in England and Wales: between 2011 to 2013 and 2021 to 2023.</w:t>
      </w:r>
      <w:r>
        <w:t xml:space="preserve"> Newport: ONS. Available at: </w:t>
      </w:r>
      <w:hyperlink r:id="rId19" w:history="1">
        <w:r w:rsidR="00952EBF" w:rsidRPr="00F50DB5">
          <w:rPr>
            <w:rStyle w:val="Hyperlink"/>
          </w:rPr>
          <w:t>https://www.ons.gov.uk/peoplepopulationandcommunity/healthandsocialcare/healthandlifeexpectancies/bulletins/healthstatelifeexpectanciesuk/between2011to2013and2021to2023</w:t>
        </w:r>
      </w:hyperlink>
      <w:r w:rsidR="00952EBF">
        <w:t xml:space="preserve"> </w:t>
      </w:r>
      <w:r>
        <w:t xml:space="preserve">(Accessed: </w:t>
      </w:r>
      <w:r w:rsidR="00952EBF">
        <w:t>09</w:t>
      </w:r>
      <w:r>
        <w:t xml:space="preserve"> April 2026).</w:t>
      </w:r>
    </w:p>
    <w:p w14:paraId="1D777B99" w14:textId="5925A015" w:rsidR="00AD7ED0" w:rsidRDefault="00C12944" w:rsidP="00952EBF">
      <w:pPr>
        <w:spacing w:after="120" w:line="360" w:lineRule="auto"/>
      </w:pPr>
      <w:r w:rsidRPr="009674A4">
        <w:rPr>
          <w:lang w:val="nl-NL"/>
        </w:rPr>
        <w:t xml:space="preserve">Romanello, M., Di Napoli, C., Green, C., et al. </w:t>
      </w:r>
      <w:r>
        <w:t xml:space="preserve">(2024) ‘The 2024 report of the Lancet Countdown on health and climate change: facing record-breaking threats from delayed action’, </w:t>
      </w:r>
      <w:r w:rsidRPr="00B64FD7">
        <w:rPr>
          <w:i/>
          <w:iCs/>
        </w:rPr>
        <w:t>The Lancet,</w:t>
      </w:r>
      <w:r>
        <w:t xml:space="preserve"> 404(10467), pp. 1841–1878. Available at: </w:t>
      </w:r>
      <w:hyperlink r:id="rId20" w:history="1">
        <w:r w:rsidR="00952EBF" w:rsidRPr="00F50DB5">
          <w:rPr>
            <w:rStyle w:val="Hyperlink"/>
          </w:rPr>
          <w:t>https://www.thelancet.com/journals/lancet/article/PIIS0140-6736(24)01822-1/fulltext</w:t>
        </w:r>
      </w:hyperlink>
      <w:r w:rsidR="00952EBF">
        <w:t xml:space="preserve"> </w:t>
      </w:r>
      <w:r>
        <w:t xml:space="preserve">(Accessed: </w:t>
      </w:r>
      <w:r w:rsidR="00952EBF">
        <w:t>07</w:t>
      </w:r>
      <w:r>
        <w:t xml:space="preserve"> April 2026).</w:t>
      </w:r>
    </w:p>
    <w:p w14:paraId="1A120956" w14:textId="377DFDCC" w:rsidR="00816D46" w:rsidRPr="00B90940" w:rsidRDefault="00B90940" w:rsidP="00952EBF">
      <w:pPr>
        <w:spacing w:after="120" w:line="360" w:lineRule="auto"/>
        <w:rPr>
          <w:lang w:val="en-GB"/>
        </w:rPr>
      </w:pPr>
      <w:r w:rsidRPr="00B90940">
        <w:rPr>
          <w:lang w:val="en-GB"/>
        </w:rPr>
        <w:t>Scotland, P.H. (2024)</w:t>
      </w:r>
      <w:r w:rsidR="00B64FD7">
        <w:rPr>
          <w:lang w:val="en-GB"/>
        </w:rPr>
        <w:t xml:space="preserve"> </w:t>
      </w:r>
      <w:r w:rsidRPr="00B90940">
        <w:rPr>
          <w:i/>
          <w:iCs/>
          <w:lang w:val="en-GB"/>
        </w:rPr>
        <w:t>Direct and indirect health impacts - Health impacts of climate change - Climate Emergency - Environmental health impacts - Population health - Public Health Scotland</w:t>
      </w:r>
      <w:r w:rsidRPr="00B90940">
        <w:rPr>
          <w:lang w:val="en-GB"/>
        </w:rPr>
        <w:t xml:space="preserve">. [online] </w:t>
      </w:r>
      <w:proofErr w:type="spellStart"/>
      <w:r w:rsidRPr="00B90940">
        <w:rPr>
          <w:lang w:val="en-GB"/>
        </w:rPr>
        <w:t>Publichealthscotland.scot</w:t>
      </w:r>
      <w:proofErr w:type="spellEnd"/>
      <w:r w:rsidRPr="00B90940">
        <w:rPr>
          <w:lang w:val="en-GB"/>
        </w:rPr>
        <w:t xml:space="preserve">. Available at: </w:t>
      </w:r>
      <w:hyperlink r:id="rId21" w:history="1">
        <w:r w:rsidRPr="00B90940">
          <w:rPr>
            <w:rStyle w:val="Hyperlink"/>
            <w:lang w:val="en-GB"/>
          </w:rPr>
          <w:t>https://publichealthscotland.scot/population-health/environmental-health-impacts/climate-emergency/health-impacts-of-climate-change/direct-and-indirect-health-impacts/</w:t>
        </w:r>
      </w:hyperlink>
      <w:r w:rsidRPr="00B90940">
        <w:rPr>
          <w:lang w:val="en-GB"/>
        </w:rPr>
        <w:t>.</w:t>
      </w:r>
      <w:r>
        <w:rPr>
          <w:lang w:val="en-GB"/>
        </w:rPr>
        <w:t xml:space="preserve"> </w:t>
      </w:r>
    </w:p>
    <w:p w14:paraId="0BCD56F4" w14:textId="62B2C7CA" w:rsidR="00AD7ED0" w:rsidRDefault="00C12944" w:rsidP="00952EBF">
      <w:pPr>
        <w:spacing w:after="120" w:line="360" w:lineRule="auto"/>
      </w:pPr>
      <w:r>
        <w:lastRenderedPageBreak/>
        <w:t xml:space="preserve">UK Government (2021) </w:t>
      </w:r>
      <w:r w:rsidRPr="00B64FD7">
        <w:rPr>
          <w:i/>
          <w:iCs/>
        </w:rPr>
        <w:t xml:space="preserve">Net Zero Strategy: Build Back Greener. </w:t>
      </w:r>
      <w:r>
        <w:t xml:space="preserve">London: HM Government. Available at: </w:t>
      </w:r>
      <w:hyperlink r:id="rId22" w:history="1">
        <w:r w:rsidR="00952EBF" w:rsidRPr="00F50DB5">
          <w:rPr>
            <w:rStyle w:val="Hyperlink"/>
          </w:rPr>
          <w:t>https://www.gov.uk/government/publications/net-zero-strategy</w:t>
        </w:r>
      </w:hyperlink>
      <w:r w:rsidR="00952EBF">
        <w:t xml:space="preserve"> </w:t>
      </w:r>
      <w:r>
        <w:t xml:space="preserve">(Accessed: </w:t>
      </w:r>
      <w:r w:rsidR="00952EBF">
        <w:t>10</w:t>
      </w:r>
      <w:r>
        <w:t xml:space="preserve"> April 2026).</w:t>
      </w:r>
    </w:p>
    <w:p w14:paraId="3F7A32BB" w14:textId="091F2F31" w:rsidR="00816D46" w:rsidRPr="00816D46" w:rsidRDefault="00816D46" w:rsidP="00952EBF">
      <w:pPr>
        <w:spacing w:after="120" w:line="360" w:lineRule="auto"/>
      </w:pPr>
      <w:r w:rsidRPr="00816D46">
        <w:rPr>
          <w:rFonts w:cs="Arial"/>
        </w:rPr>
        <w:t>UK Health Alliance on Climate Change</w:t>
      </w:r>
      <w:r>
        <w:rPr>
          <w:rFonts w:cs="Arial"/>
        </w:rPr>
        <w:t xml:space="preserve"> (2025) </w:t>
      </w:r>
      <w:r w:rsidRPr="00816D46">
        <w:rPr>
          <w:rFonts w:cs="Arial"/>
          <w:i/>
          <w:iCs/>
        </w:rPr>
        <w:t>NHS England’s five</w:t>
      </w:r>
      <w:r>
        <w:rPr>
          <w:rFonts w:cs="Arial"/>
          <w:i/>
          <w:iCs/>
        </w:rPr>
        <w:t>-</w:t>
      </w:r>
      <w:r w:rsidRPr="00816D46">
        <w:rPr>
          <w:rFonts w:cs="Arial"/>
          <w:i/>
          <w:iCs/>
        </w:rPr>
        <w:t>year report on net zero brings welcome progress, but much more needs to be done</w:t>
      </w:r>
      <w:r>
        <w:rPr>
          <w:rFonts w:cs="Arial"/>
          <w:i/>
          <w:iCs/>
        </w:rPr>
        <w:t xml:space="preserve">. </w:t>
      </w:r>
      <w:r>
        <w:t xml:space="preserve">Available at: </w:t>
      </w:r>
      <w:hyperlink r:id="rId23" w:history="1">
        <w:r w:rsidRPr="008E0C39">
          <w:rPr>
            <w:rStyle w:val="Hyperlink"/>
          </w:rPr>
          <w:t>https://ukhealthalliance.org/news-item/nhs-englands-five-year-report-on-net-zero-brings-welcome-progress-but-much-more-needs-to-be-done/</w:t>
        </w:r>
      </w:hyperlink>
      <w:r>
        <w:t xml:space="preserve"> (Accessed: 24 April 2026).</w:t>
      </w:r>
    </w:p>
    <w:p w14:paraId="5F8D9539" w14:textId="637E12B3" w:rsidR="00AD7ED0" w:rsidRDefault="00C12944" w:rsidP="00952EBF">
      <w:pPr>
        <w:spacing w:after="120" w:line="360" w:lineRule="auto"/>
      </w:pPr>
      <w:r>
        <w:t xml:space="preserve">UNICEF (2025) </w:t>
      </w:r>
      <w:r w:rsidRPr="00B64FD7">
        <w:rPr>
          <w:i/>
          <w:iCs/>
        </w:rPr>
        <w:t>Levels and trends in child mortality 2024.</w:t>
      </w:r>
      <w:r>
        <w:t xml:space="preserve"> New York: UNICEF. Available at: </w:t>
      </w:r>
      <w:hyperlink r:id="rId24" w:history="1">
        <w:r w:rsidR="00952EBF" w:rsidRPr="00F50DB5">
          <w:rPr>
            <w:rStyle w:val="Hyperlink"/>
          </w:rPr>
          <w:t>https://data.unicef.org/resources/levels-and-trends-in-child-mortality-2024/</w:t>
        </w:r>
      </w:hyperlink>
      <w:r w:rsidR="00952EBF">
        <w:t xml:space="preserve"> </w:t>
      </w:r>
      <w:r>
        <w:t xml:space="preserve">(Accessed: </w:t>
      </w:r>
      <w:r w:rsidR="00952EBF">
        <w:t>09</w:t>
      </w:r>
      <w:r>
        <w:t xml:space="preserve"> April 2026).</w:t>
      </w:r>
    </w:p>
    <w:p w14:paraId="55A28997" w14:textId="6B8D03E9" w:rsidR="00AD7ED0" w:rsidRDefault="00C12944" w:rsidP="00952EBF">
      <w:pPr>
        <w:spacing w:after="120" w:line="360" w:lineRule="auto"/>
      </w:pPr>
      <w:r>
        <w:t xml:space="preserve">United Nations (2015) </w:t>
      </w:r>
      <w:r w:rsidRPr="00B64FD7">
        <w:rPr>
          <w:i/>
          <w:iCs/>
        </w:rPr>
        <w:t xml:space="preserve">Transforming our world: the 2030 Agenda for Sustainable Development. </w:t>
      </w:r>
      <w:r>
        <w:t xml:space="preserve">New York: United Nations. Available at: </w:t>
      </w:r>
      <w:hyperlink r:id="rId25" w:history="1">
        <w:r w:rsidR="00952EBF" w:rsidRPr="00F50DB5">
          <w:rPr>
            <w:rStyle w:val="Hyperlink"/>
          </w:rPr>
          <w:t>https://sdgs.un.org/2030agenda</w:t>
        </w:r>
      </w:hyperlink>
      <w:r w:rsidR="00952EBF">
        <w:t xml:space="preserve"> </w:t>
      </w:r>
      <w:r>
        <w:t>(Accessed: 14 April 2026).</w:t>
      </w:r>
    </w:p>
    <w:p w14:paraId="4FAAE157" w14:textId="784B2AE7" w:rsidR="00A96F4E" w:rsidRDefault="00A96F4E" w:rsidP="00A96F4E">
      <w:pPr>
        <w:spacing w:after="120" w:line="360" w:lineRule="auto"/>
      </w:pPr>
      <w:r>
        <w:t xml:space="preserve">White, B.P. et al. (2023) ‘Mental Health Impacts of Climate Change Among Vulnerable Populations Globally: An Integrative Review’, </w:t>
      </w:r>
      <w:r w:rsidRPr="00B64FD7">
        <w:rPr>
          <w:i/>
          <w:iCs/>
        </w:rPr>
        <w:t>Annals of global health,</w:t>
      </w:r>
      <w:r>
        <w:t xml:space="preserve"> 89(1), pp. 66–66. Available at: </w:t>
      </w:r>
      <w:hyperlink r:id="rId26" w:history="1">
        <w:r w:rsidRPr="008E0C39">
          <w:rPr>
            <w:rStyle w:val="Hyperlink"/>
          </w:rPr>
          <w:t>https://doi.org/10.5334/aogh.4105</w:t>
        </w:r>
      </w:hyperlink>
      <w:r>
        <w:t xml:space="preserve">. </w:t>
      </w:r>
    </w:p>
    <w:p w14:paraId="5785568C" w14:textId="4B7E2938" w:rsidR="00AD7ED0" w:rsidRDefault="00C12944" w:rsidP="00952EBF">
      <w:pPr>
        <w:spacing w:after="120" w:line="360" w:lineRule="auto"/>
      </w:pPr>
      <w:r>
        <w:t xml:space="preserve">World Health Organization (2022) </w:t>
      </w:r>
      <w:r w:rsidRPr="00B64FD7">
        <w:rPr>
          <w:i/>
          <w:iCs/>
        </w:rPr>
        <w:t xml:space="preserve">SDG 3: Good health and </w:t>
      </w:r>
      <w:r w:rsidR="00117454" w:rsidRPr="00B64FD7">
        <w:rPr>
          <w:i/>
          <w:iCs/>
        </w:rPr>
        <w:t>wellbeing</w:t>
      </w:r>
      <w:r w:rsidRPr="00B64FD7">
        <w:rPr>
          <w:i/>
          <w:iCs/>
        </w:rPr>
        <w:t>.</w:t>
      </w:r>
      <w:r>
        <w:t xml:space="preserve"> Geneva: WHO. Available at: </w:t>
      </w:r>
      <w:hyperlink r:id="rId27" w:history="1">
        <w:r w:rsidR="00952EBF" w:rsidRPr="00F50DB5">
          <w:rPr>
            <w:rStyle w:val="Hyperlink"/>
          </w:rPr>
          <w:t>https://www.who.int/data/gho/data/themes/sdgs/goal-3-good-health-and-</w:t>
        </w:r>
        <w:r w:rsidR="00117454">
          <w:rPr>
            <w:rStyle w:val="Hyperlink"/>
          </w:rPr>
          <w:t>wellbeing</w:t>
        </w:r>
      </w:hyperlink>
      <w:r w:rsidR="00952EBF">
        <w:t xml:space="preserve"> </w:t>
      </w:r>
      <w:r>
        <w:t>(Accessed: 1</w:t>
      </w:r>
      <w:r w:rsidR="00952EBF">
        <w:t>2</w:t>
      </w:r>
      <w:r>
        <w:t xml:space="preserve"> April 2026).</w:t>
      </w:r>
    </w:p>
    <w:p w14:paraId="315619E5" w14:textId="2208D84D" w:rsidR="00AD7ED0" w:rsidRDefault="00C12944" w:rsidP="00952EBF">
      <w:pPr>
        <w:spacing w:after="120" w:line="360" w:lineRule="auto"/>
      </w:pPr>
      <w:r>
        <w:t xml:space="preserve">World Health Organization (2023a) </w:t>
      </w:r>
      <w:r w:rsidRPr="00B64FD7">
        <w:rPr>
          <w:i/>
          <w:iCs/>
        </w:rPr>
        <w:t xml:space="preserve">Climate change and health. </w:t>
      </w:r>
      <w:r>
        <w:t xml:space="preserve">Geneva: WHO. Available at: </w:t>
      </w:r>
      <w:hyperlink r:id="rId28" w:history="1">
        <w:r w:rsidR="00952EBF" w:rsidRPr="00F50DB5">
          <w:rPr>
            <w:rStyle w:val="Hyperlink"/>
          </w:rPr>
          <w:t>https://www.who.int/news-room/fact-sheets/detail/climate-change-and-health</w:t>
        </w:r>
      </w:hyperlink>
      <w:r w:rsidR="00952EBF">
        <w:t xml:space="preserve"> </w:t>
      </w:r>
      <w:r>
        <w:t>(Accessed: 1</w:t>
      </w:r>
      <w:r w:rsidR="00952EBF">
        <w:t>1</w:t>
      </w:r>
      <w:r>
        <w:t xml:space="preserve"> April 2026).</w:t>
      </w:r>
    </w:p>
    <w:p w14:paraId="4F2C2249" w14:textId="264CE639" w:rsidR="00AD7ED0" w:rsidRDefault="00C12944" w:rsidP="00952EBF">
      <w:pPr>
        <w:spacing w:after="120" w:line="360" w:lineRule="auto"/>
      </w:pPr>
      <w:r>
        <w:t xml:space="preserve">World Health Organization (2023b) </w:t>
      </w:r>
      <w:r w:rsidRPr="00B64FD7">
        <w:rPr>
          <w:i/>
          <w:iCs/>
        </w:rPr>
        <w:t>Climate change.</w:t>
      </w:r>
      <w:r>
        <w:t xml:space="preserve"> Geneva: WHO. Available at: </w:t>
      </w:r>
      <w:hyperlink r:id="rId29" w:history="1">
        <w:r w:rsidR="00952EBF" w:rsidRPr="00F50DB5">
          <w:rPr>
            <w:rStyle w:val="Hyperlink"/>
          </w:rPr>
          <w:t>https://www.who.int/health-topics/climate-change</w:t>
        </w:r>
      </w:hyperlink>
      <w:r w:rsidR="00952EBF">
        <w:t xml:space="preserve"> </w:t>
      </w:r>
      <w:r>
        <w:t xml:space="preserve">(Accessed: </w:t>
      </w:r>
      <w:r w:rsidR="00952EBF">
        <w:t>09</w:t>
      </w:r>
      <w:r>
        <w:t xml:space="preserve"> April 2026).</w:t>
      </w:r>
    </w:p>
    <w:p w14:paraId="6B2C17EB" w14:textId="4274A349" w:rsidR="00AD7ED0" w:rsidRDefault="00C12944" w:rsidP="00952EBF">
      <w:pPr>
        <w:spacing w:after="120" w:line="360" w:lineRule="auto"/>
      </w:pPr>
      <w:r>
        <w:t>World Health Organization (2024)</w:t>
      </w:r>
      <w:r w:rsidR="00B64FD7">
        <w:t xml:space="preserve"> </w:t>
      </w:r>
      <w:r w:rsidRPr="00B64FD7">
        <w:rPr>
          <w:i/>
          <w:iCs/>
        </w:rPr>
        <w:t>World health statistics 2024: monitoring health for the SDGs, Sustainable Development Goals</w:t>
      </w:r>
      <w:r>
        <w:t xml:space="preserve">. Geneva: WHO. Available at: </w:t>
      </w:r>
      <w:hyperlink r:id="rId30" w:history="1">
        <w:r w:rsidR="00952EBF" w:rsidRPr="00F50DB5">
          <w:rPr>
            <w:rStyle w:val="Hyperlink"/>
          </w:rPr>
          <w:t>https://www.who.int/publications/i/item/9789240094703</w:t>
        </w:r>
      </w:hyperlink>
      <w:r w:rsidR="00952EBF">
        <w:t xml:space="preserve"> </w:t>
      </w:r>
      <w:r>
        <w:t xml:space="preserve">(Accessed: </w:t>
      </w:r>
      <w:r w:rsidR="00952EBF">
        <w:t>09</w:t>
      </w:r>
      <w:r>
        <w:t xml:space="preserve"> April 2026).</w:t>
      </w:r>
    </w:p>
    <w:p w14:paraId="159E8491" w14:textId="4699C70B" w:rsidR="00AD7ED0" w:rsidRDefault="00C12944" w:rsidP="00952EBF">
      <w:pPr>
        <w:spacing w:after="120" w:line="360" w:lineRule="auto"/>
      </w:pPr>
      <w:r>
        <w:t xml:space="preserve">World Health Organization Regional Office for Europe (2016) </w:t>
      </w:r>
      <w:r w:rsidRPr="00B64FD7">
        <w:rPr>
          <w:i/>
          <w:iCs/>
        </w:rPr>
        <w:t xml:space="preserve">Urban green spaces and health. </w:t>
      </w:r>
      <w:r>
        <w:t xml:space="preserve">Copenhagen: WHO Regional Office for Europe. Available at: </w:t>
      </w:r>
      <w:hyperlink r:id="rId31" w:history="1">
        <w:r w:rsidR="00952EBF" w:rsidRPr="00F50DB5">
          <w:rPr>
            <w:rStyle w:val="Hyperlink"/>
          </w:rPr>
          <w:t>https://www.who.int/europe/publications/i/item/WHO-EURO-2016-3352-43111-60341</w:t>
        </w:r>
      </w:hyperlink>
      <w:r w:rsidR="00952EBF">
        <w:t xml:space="preserve"> </w:t>
      </w:r>
      <w:r>
        <w:t>(Accessed: 1</w:t>
      </w:r>
      <w:r w:rsidR="00952EBF">
        <w:t>0</w:t>
      </w:r>
      <w:r>
        <w:t xml:space="preserve"> April 2026).</w:t>
      </w:r>
    </w:p>
    <w:sectPr w:rsidR="00AD7ED0" w:rsidSect="00034616">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646FD" w14:textId="77777777" w:rsidR="009361A6" w:rsidRDefault="009361A6" w:rsidP="006E44E4">
      <w:pPr>
        <w:spacing w:after="0" w:line="240" w:lineRule="auto"/>
      </w:pPr>
      <w:r>
        <w:separator/>
      </w:r>
    </w:p>
  </w:endnote>
  <w:endnote w:type="continuationSeparator" w:id="0">
    <w:p w14:paraId="385DDC9B" w14:textId="77777777" w:rsidR="009361A6" w:rsidRDefault="009361A6" w:rsidP="006E4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F90AFA" w14:textId="77777777" w:rsidR="009361A6" w:rsidRDefault="009361A6" w:rsidP="006E44E4">
      <w:pPr>
        <w:spacing w:after="0" w:line="240" w:lineRule="auto"/>
      </w:pPr>
      <w:r>
        <w:separator/>
      </w:r>
    </w:p>
  </w:footnote>
  <w:footnote w:type="continuationSeparator" w:id="0">
    <w:p w14:paraId="21E404EE" w14:textId="77777777" w:rsidR="009361A6" w:rsidRDefault="009361A6" w:rsidP="006E44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97925236">
    <w:abstractNumId w:val="8"/>
  </w:num>
  <w:num w:numId="2" w16cid:durableId="1846163237">
    <w:abstractNumId w:val="6"/>
  </w:num>
  <w:num w:numId="3" w16cid:durableId="1429229460">
    <w:abstractNumId w:val="5"/>
  </w:num>
  <w:num w:numId="4" w16cid:durableId="1271164211">
    <w:abstractNumId w:val="4"/>
  </w:num>
  <w:num w:numId="5" w16cid:durableId="1845825097">
    <w:abstractNumId w:val="7"/>
  </w:num>
  <w:num w:numId="6" w16cid:durableId="1558053504">
    <w:abstractNumId w:val="3"/>
  </w:num>
  <w:num w:numId="7" w16cid:durableId="847062328">
    <w:abstractNumId w:val="2"/>
  </w:num>
  <w:num w:numId="8" w16cid:durableId="97871418">
    <w:abstractNumId w:val="1"/>
  </w:num>
  <w:num w:numId="9" w16cid:durableId="876236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0DF3"/>
    <w:rsid w:val="00034616"/>
    <w:rsid w:val="0006063C"/>
    <w:rsid w:val="00117454"/>
    <w:rsid w:val="00125A51"/>
    <w:rsid w:val="00146214"/>
    <w:rsid w:val="0015074B"/>
    <w:rsid w:val="00165546"/>
    <w:rsid w:val="00172E66"/>
    <w:rsid w:val="00192D04"/>
    <w:rsid w:val="001B03EC"/>
    <w:rsid w:val="002026CE"/>
    <w:rsid w:val="002146C3"/>
    <w:rsid w:val="0029639D"/>
    <w:rsid w:val="002E29D8"/>
    <w:rsid w:val="002E2C9F"/>
    <w:rsid w:val="00322047"/>
    <w:rsid w:val="0032665F"/>
    <w:rsid w:val="00326F90"/>
    <w:rsid w:val="003606F6"/>
    <w:rsid w:val="003D5841"/>
    <w:rsid w:val="00482306"/>
    <w:rsid w:val="00492383"/>
    <w:rsid w:val="00530ACC"/>
    <w:rsid w:val="00532D44"/>
    <w:rsid w:val="00547664"/>
    <w:rsid w:val="00556A27"/>
    <w:rsid w:val="005574D3"/>
    <w:rsid w:val="005854CE"/>
    <w:rsid w:val="005F25ED"/>
    <w:rsid w:val="00634FD4"/>
    <w:rsid w:val="006E44E4"/>
    <w:rsid w:val="00735898"/>
    <w:rsid w:val="00784D35"/>
    <w:rsid w:val="007B09FF"/>
    <w:rsid w:val="007D3E3B"/>
    <w:rsid w:val="00801669"/>
    <w:rsid w:val="008034A6"/>
    <w:rsid w:val="00816D46"/>
    <w:rsid w:val="00830D28"/>
    <w:rsid w:val="009361A6"/>
    <w:rsid w:val="00952EBF"/>
    <w:rsid w:val="009674A4"/>
    <w:rsid w:val="009D2B34"/>
    <w:rsid w:val="009E4624"/>
    <w:rsid w:val="009F0478"/>
    <w:rsid w:val="009F6EEB"/>
    <w:rsid w:val="00A33522"/>
    <w:rsid w:val="00A41FF9"/>
    <w:rsid w:val="00A61159"/>
    <w:rsid w:val="00A96F4E"/>
    <w:rsid w:val="00AA1D8D"/>
    <w:rsid w:val="00AD7ED0"/>
    <w:rsid w:val="00AF3365"/>
    <w:rsid w:val="00AF3562"/>
    <w:rsid w:val="00B47730"/>
    <w:rsid w:val="00B506CD"/>
    <w:rsid w:val="00B54AB2"/>
    <w:rsid w:val="00B64FD7"/>
    <w:rsid w:val="00B66B2F"/>
    <w:rsid w:val="00B90940"/>
    <w:rsid w:val="00BA054A"/>
    <w:rsid w:val="00BC24FB"/>
    <w:rsid w:val="00BC2709"/>
    <w:rsid w:val="00BD5432"/>
    <w:rsid w:val="00BD6095"/>
    <w:rsid w:val="00BD6112"/>
    <w:rsid w:val="00BE38B6"/>
    <w:rsid w:val="00BE5B66"/>
    <w:rsid w:val="00C12944"/>
    <w:rsid w:val="00C523F6"/>
    <w:rsid w:val="00C57BC1"/>
    <w:rsid w:val="00CB0664"/>
    <w:rsid w:val="00CB21E1"/>
    <w:rsid w:val="00CB5483"/>
    <w:rsid w:val="00D55D0C"/>
    <w:rsid w:val="00D92601"/>
    <w:rsid w:val="00DB3484"/>
    <w:rsid w:val="00DB51CB"/>
    <w:rsid w:val="00E92124"/>
    <w:rsid w:val="00ED579B"/>
    <w:rsid w:val="00FC33B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2B8B73"/>
  <w14:defaultImageDpi w14:val="300"/>
  <w15:docId w15:val="{34B1754F-DF4D-4425-A7B1-D9F5F87F1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F5496"/>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52EBF"/>
    <w:rPr>
      <w:color w:val="0000FF" w:themeColor="hyperlink"/>
      <w:u w:val="single"/>
    </w:rPr>
  </w:style>
  <w:style w:type="character" w:styleId="UnresolvedMention">
    <w:name w:val="Unresolved Mention"/>
    <w:basedOn w:val="DefaultParagraphFont"/>
    <w:uiPriority w:val="99"/>
    <w:semiHidden/>
    <w:unhideWhenUsed/>
    <w:rsid w:val="00952EBF"/>
    <w:rPr>
      <w:color w:val="605E5C"/>
      <w:shd w:val="clear" w:color="auto" w:fill="E1DFDD"/>
    </w:rPr>
  </w:style>
  <w:style w:type="paragraph" w:styleId="TOC1">
    <w:name w:val="toc 1"/>
    <w:basedOn w:val="Normal"/>
    <w:next w:val="Normal"/>
    <w:autoRedefine/>
    <w:uiPriority w:val="39"/>
    <w:unhideWhenUsed/>
    <w:rsid w:val="00952EBF"/>
    <w:pPr>
      <w:spacing w:after="100"/>
    </w:pPr>
  </w:style>
  <w:style w:type="character" w:styleId="FollowedHyperlink">
    <w:name w:val="FollowedHyperlink"/>
    <w:basedOn w:val="DefaultParagraphFont"/>
    <w:uiPriority w:val="99"/>
    <w:semiHidden/>
    <w:unhideWhenUsed/>
    <w:rsid w:val="0032665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eta.2022.103003" TargetMode="External"/><Relationship Id="rId18" Type="http://schemas.openxmlformats.org/officeDocument/2006/relationships/hyperlink" Target="https://www.gov.uk/government/statistics/health-trends-in-england" TargetMode="External"/><Relationship Id="rId26" Type="http://schemas.openxmlformats.org/officeDocument/2006/relationships/hyperlink" Target="https://doi.org/10.5334/aogh.4105" TargetMode="External"/><Relationship Id="rId3" Type="http://schemas.openxmlformats.org/officeDocument/2006/relationships/styles" Target="styles.xml"/><Relationship Id="rId21" Type="http://schemas.openxmlformats.org/officeDocument/2006/relationships/hyperlink" Target="https://publichealthscotland.scot/population-health/environmental-health-impacts/climate-emergency/health-impacts-of-climate-change/direct-and-indirect-health-impacts/" TargetMode="External"/><Relationship Id="rId7" Type="http://schemas.openxmlformats.org/officeDocument/2006/relationships/endnotes" Target="endnotes.xml"/><Relationship Id="rId12" Type="http://schemas.openxmlformats.org/officeDocument/2006/relationships/hyperlink" Target="https://doi.org/10.1093/medlaw/fwae042" TargetMode="External"/><Relationship Id="rId17" Type="http://schemas.openxmlformats.org/officeDocument/2006/relationships/hyperlink" Target="https://www.england.nhs.uk/personalisedcare/social-prescribing/" TargetMode="External"/><Relationship Id="rId25" Type="http://schemas.openxmlformats.org/officeDocument/2006/relationships/hyperlink" Target="https://sdgs.un.org/2030agenda"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ngland.nhs.uk/long-read/nhs-long-term-workforce-plan-2/" TargetMode="External"/><Relationship Id="rId20" Type="http://schemas.openxmlformats.org/officeDocument/2006/relationships/hyperlink" Target="https://www.thelancet.com/journals/lancet/article/PIIS0140-6736(24)01822-1/fulltext" TargetMode="External"/><Relationship Id="rId29" Type="http://schemas.openxmlformats.org/officeDocument/2006/relationships/hyperlink" Target="https://www.who.int/health-topics/climate-chan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eforum.org/stories/2024/07/green-transition-equity-energy-report/" TargetMode="External"/><Relationship Id="rId24" Type="http://schemas.openxmlformats.org/officeDocument/2006/relationships/hyperlink" Target="https://data.unicef.org/resources/levels-and-trends-in-child-mortality-202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gland.nhs.uk/long-term-plan/" TargetMode="External"/><Relationship Id="rId23" Type="http://schemas.openxmlformats.org/officeDocument/2006/relationships/hyperlink" Target="https://ukhealthalliance.org/news-item/nhs-englands-five-year-report-on-net-zero-brings-welcome-progress-but-much-more-needs-to-be-done/" TargetMode="External"/><Relationship Id="rId28" Type="http://schemas.openxmlformats.org/officeDocument/2006/relationships/hyperlink" Target="https://www.who.int/news-room/fact-sheets/detail/climate-change-and-health" TargetMode="External"/><Relationship Id="rId10" Type="http://schemas.openxmlformats.org/officeDocument/2006/relationships/hyperlink" Target="https://bmjopen.bmj.com/content/12/7/e060214" TargetMode="External"/><Relationship Id="rId19" Type="http://schemas.openxmlformats.org/officeDocument/2006/relationships/hyperlink" Target="https://www.ons.gov.uk/peoplepopulationandcommunity/healthandsocialcare/healthandlifeexpectancies/bulletins/healthstatelifeexpectanciesuk/between2011to2013and2021to2023" TargetMode="External"/><Relationship Id="rId31" Type="http://schemas.openxmlformats.org/officeDocument/2006/relationships/hyperlink" Target="https://www.who.int/europe/publications/i/item/WHO-EURO-2016-3352-43111-60341" TargetMode="External"/><Relationship Id="rId4" Type="http://schemas.openxmlformats.org/officeDocument/2006/relationships/settings" Target="settings.xml"/><Relationship Id="rId9" Type="http://schemas.openxmlformats.org/officeDocument/2006/relationships/hyperlink" Target="https://bmjopen.bmj.com/content/7/4/e013384" TargetMode="External"/><Relationship Id="rId14" Type="http://schemas.openxmlformats.org/officeDocument/2006/relationships/hyperlink" Target="https://doi.org/10.1177/15271544241286083" TargetMode="External"/><Relationship Id="rId22" Type="http://schemas.openxmlformats.org/officeDocument/2006/relationships/hyperlink" Target="https://www.gov.uk/government/publications/net-zero-strategy" TargetMode="External"/><Relationship Id="rId27" Type="http://schemas.openxmlformats.org/officeDocument/2006/relationships/hyperlink" Target="https://www.who.int/data/gho/data/themes/sdgs/goal-3-good-health-and-well-being" TargetMode="External"/><Relationship Id="rId30" Type="http://schemas.openxmlformats.org/officeDocument/2006/relationships/hyperlink" Target="https://www.who.int/publications/i/item/9789240094703" TargetMode="External"/><Relationship Id="rId8" Type="http://schemas.openxmlformats.org/officeDocument/2006/relationships/hyperlink" Target="https://www.instituteofhealthequity.org/resources-reports/marmot-review-10-years-on/the-marmot-review-10-years-on-ful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3808</Words>
  <Characters>21711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25469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Emilia Milewska (2245525)</cp:lastModifiedBy>
  <cp:revision>2</cp:revision>
  <dcterms:created xsi:type="dcterms:W3CDTF">2026-04-24T11:53:00Z</dcterms:created>
  <dcterms:modified xsi:type="dcterms:W3CDTF">2026-04-24T11:53:00Z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dea0695d-ac7c-4312-a408-2de7a4ee27cc</vt:lpwstr>
  </property>
</Properties>
</file>