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7418788"/>
        <w:docPartObj>
          <w:docPartGallery w:val="Cover Pages"/>
          <w:docPartUnique/>
        </w:docPartObj>
      </w:sdtPr>
      <w:sdtEndPr>
        <w:rPr>
          <w:rFonts w:ascii="Arial Black" w:hAnsi="Arial Black" w:cs="Arial"/>
        </w:rPr>
      </w:sdtEndPr>
      <w:sdtContent>
        <w:p w14:paraId="0DFF13CD" w14:textId="23D38B5B" w:rsidR="006F48BD" w:rsidRDefault="006F48BD"/>
        <w:p w14:paraId="54134495" w14:textId="4011534B" w:rsidR="006F48BD" w:rsidRDefault="006F48BD">
          <w:pPr>
            <w:rPr>
              <w:rFonts w:ascii="Arial Black" w:hAnsi="Arial Black" w:cs="Arial"/>
            </w:rPr>
          </w:pPr>
          <w:r>
            <w:rPr>
              <w:noProof/>
            </w:rPr>
            <mc:AlternateContent>
              <mc:Choice Requires="wps">
                <w:drawing>
                  <wp:anchor distT="0" distB="0" distL="182880" distR="182880" simplePos="0" relativeHeight="251660288" behindDoc="0" locked="0" layoutInCell="1" allowOverlap="1" wp14:anchorId="69061059" wp14:editId="2D5340FA">
                    <wp:simplePos x="0" y="0"/>
                    <wp:positionH relativeFrom="margin">
                      <wp:posOffset>330200</wp:posOffset>
                    </wp:positionH>
                    <wp:positionV relativeFrom="page">
                      <wp:posOffset>3771900</wp:posOffset>
                    </wp:positionV>
                    <wp:extent cx="5391150" cy="672084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53911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B7AA38" w14:textId="09FEECDF" w:rsidR="006F48BD" w:rsidRPr="006F48BD" w:rsidRDefault="006F48BD" w:rsidP="006F48BD">
                                <w:pPr>
                                  <w:pStyle w:val="NoSpacing"/>
                                  <w:spacing w:before="40" w:after="560" w:line="216" w:lineRule="auto"/>
                                  <w:rPr>
                                    <w:color w:val="156082" w:themeColor="accent1"/>
                                    <w:sz w:val="72"/>
                                    <w:szCs w:val="72"/>
                                  </w:rPr>
                                </w:pPr>
                                <w:sdt>
                                  <w:sdtPr>
                                    <w:rPr>
                                      <w:rFonts w:ascii="Arial Black" w:hAnsi="Arial Black"/>
                                      <w:color w:val="156082" w:themeColor="accent1"/>
                                      <w:sz w:val="32"/>
                                      <w:szCs w:val="3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F48BD">
                                      <w:rPr>
                                        <w:rFonts w:ascii="Arial Black" w:hAnsi="Arial Black"/>
                                        <w:color w:val="156082" w:themeColor="accent1"/>
                                        <w:sz w:val="32"/>
                                        <w:szCs w:val="32"/>
                                      </w:rPr>
                                      <w:t>Qualitative results write-up:</w:t>
                                    </w:r>
                                    <w:r>
                                      <w:rPr>
                                        <w:rFonts w:ascii="Arial Black" w:hAnsi="Arial Black"/>
                                        <w:color w:val="156082" w:themeColor="accent1"/>
                                        <w:sz w:val="32"/>
                                        <w:szCs w:val="32"/>
                                      </w:rPr>
                                      <w:t xml:space="preserve"> </w:t>
                                    </w:r>
                                    <w:r w:rsidRPr="006F48BD">
                                      <w:rPr>
                                        <w:rFonts w:ascii="Arial Black" w:hAnsi="Arial Black"/>
                                        <w:color w:val="156082" w:themeColor="accent1"/>
                                        <w:sz w:val="32"/>
                                        <w:szCs w:val="32"/>
                                      </w:rPr>
                                      <w:t>Carry out an interpretative</w:t>
                                    </w:r>
                                    <w:r>
                                      <w:rPr>
                                        <w:rFonts w:ascii="Arial Black" w:hAnsi="Arial Black"/>
                                        <w:color w:val="156082" w:themeColor="accent1"/>
                                        <w:sz w:val="32"/>
                                        <w:szCs w:val="32"/>
                                      </w:rPr>
                                      <w:t xml:space="preserve"> </w:t>
                                    </w:r>
                                    <w:r w:rsidRPr="006F48BD">
                                      <w:rPr>
                                        <w:rFonts w:ascii="Arial Black" w:hAnsi="Arial Black"/>
                                        <w:color w:val="156082" w:themeColor="accent1"/>
                                        <w:sz w:val="32"/>
                                        <w:szCs w:val="32"/>
                                      </w:rPr>
                                      <w:t>phenomenological analysis of the</w:t>
                                    </w:r>
                                    <w:r>
                                      <w:rPr>
                                        <w:rFonts w:ascii="Arial Black" w:hAnsi="Arial Black"/>
                                        <w:color w:val="156082" w:themeColor="accent1"/>
                                        <w:sz w:val="32"/>
                                        <w:szCs w:val="32"/>
                                      </w:rPr>
                                      <w:t xml:space="preserve"> </w:t>
                                    </w:r>
                                    <w:r w:rsidRPr="006F48BD">
                                      <w:rPr>
                                        <w:rFonts w:ascii="Arial Black" w:hAnsi="Arial Black"/>
                                        <w:color w:val="156082" w:themeColor="accent1"/>
                                        <w:sz w:val="32"/>
                                        <w:szCs w:val="32"/>
                                      </w:rPr>
                                      <w:t>provided transcript exploring the</w:t>
                                    </w:r>
                                    <w:r>
                                      <w:rPr>
                                        <w:rFonts w:ascii="Arial Black" w:hAnsi="Arial Black"/>
                                        <w:color w:val="156082" w:themeColor="accent1"/>
                                        <w:sz w:val="32"/>
                                        <w:szCs w:val="32"/>
                                      </w:rPr>
                                      <w:t xml:space="preserve"> </w:t>
                                    </w:r>
                                    <w:r w:rsidRPr="006F48BD">
                                      <w:rPr>
                                        <w:rFonts w:ascii="Arial Black" w:hAnsi="Arial Black"/>
                                        <w:color w:val="156082" w:themeColor="accent1"/>
                                        <w:sz w:val="32"/>
                                        <w:szCs w:val="32"/>
                                      </w:rPr>
                                      <w:t>lived experience of re-engaging</w:t>
                                    </w:r>
                                    <w:r>
                                      <w:rPr>
                                        <w:rFonts w:ascii="Arial Black" w:hAnsi="Arial Black"/>
                                        <w:color w:val="156082" w:themeColor="accent1"/>
                                        <w:sz w:val="32"/>
                                        <w:szCs w:val="32"/>
                                      </w:rPr>
                                      <w:t xml:space="preserve"> </w:t>
                                    </w:r>
                                    <w:r w:rsidRPr="006F48BD">
                                      <w:rPr>
                                        <w:rFonts w:ascii="Arial Black" w:hAnsi="Arial Black"/>
                                        <w:color w:val="156082" w:themeColor="accent1"/>
                                        <w:sz w:val="32"/>
                                        <w:szCs w:val="32"/>
                                      </w:rPr>
                                      <w:t>with education later in life with</w:t>
                                    </w:r>
                                    <w:r>
                                      <w:rPr>
                                        <w:rFonts w:ascii="Arial Black" w:hAnsi="Arial Black"/>
                                        <w:color w:val="156082" w:themeColor="accent1"/>
                                        <w:sz w:val="32"/>
                                        <w:szCs w:val="32"/>
                                      </w:rPr>
                                      <w:t xml:space="preserve"> </w:t>
                                    </w:r>
                                    <w:r w:rsidRPr="006F48BD">
                                      <w:rPr>
                                        <w:rFonts w:ascii="Arial Black" w:hAnsi="Arial Black"/>
                                        <w:color w:val="156082" w:themeColor="accent1"/>
                                        <w:sz w:val="32"/>
                                        <w:szCs w:val="32"/>
                                      </w:rPr>
                                      <w:t>no qualifications.</w:t>
                                    </w:r>
                                  </w:sdtContent>
                                </w:sdt>
                              </w:p>
                              <w:p w14:paraId="1F09EA9B" w14:textId="454A7F7B" w:rsidR="006F48BD" w:rsidRDefault="006F48BD">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69061059" id="_x0000_t202" coordsize="21600,21600" o:spt="202" path="m,l,21600r21600,l21600,xe">
                    <v:stroke joinstyle="miter"/>
                    <v:path gradientshapeok="t" o:connecttype="rect"/>
                  </v:shapetype>
                  <v:shape id="Text Box 131" o:spid="_x0000_s1026" type="#_x0000_t202" style="position:absolute;margin-left:26pt;margin-top:297pt;width:424.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" filled="f" stroked="f" strokeweight=".5pt">
                    <v:textbox style="mso-fit-shape-to-text:t" inset="0,0,0,0">
                      <w:txbxContent>
                        <w:p w14:paraId="16B7AA38" w14:textId="09FEECDF" w:rsidR="006F48BD" w:rsidRPr="006F48BD" w:rsidRDefault="006F48BD" w:rsidP="006F48BD">
                          <w:pPr>
                            <w:pStyle w:val="NoSpacing"/>
                            <w:spacing w:before="40" w:after="560" w:line="216" w:lineRule="auto"/>
                            <w:rPr>
                              <w:color w:val="156082" w:themeColor="accent1"/>
                              <w:sz w:val="72"/>
                              <w:szCs w:val="72"/>
                            </w:rPr>
                          </w:pPr>
                          <w:sdt>
                            <w:sdtPr>
                              <w:rPr>
                                <w:rFonts w:ascii="Arial Black" w:hAnsi="Arial Black"/>
                                <w:color w:val="156082" w:themeColor="accent1"/>
                                <w:sz w:val="32"/>
                                <w:szCs w:val="3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F48BD">
                                <w:rPr>
                                  <w:rFonts w:ascii="Arial Black" w:hAnsi="Arial Black"/>
                                  <w:color w:val="156082" w:themeColor="accent1"/>
                                  <w:sz w:val="32"/>
                                  <w:szCs w:val="32"/>
                                </w:rPr>
                                <w:t>Qualitative results write-up:</w:t>
                              </w:r>
                              <w:r>
                                <w:rPr>
                                  <w:rFonts w:ascii="Arial Black" w:hAnsi="Arial Black"/>
                                  <w:color w:val="156082" w:themeColor="accent1"/>
                                  <w:sz w:val="32"/>
                                  <w:szCs w:val="32"/>
                                </w:rPr>
                                <w:t xml:space="preserve"> </w:t>
                              </w:r>
                              <w:r w:rsidRPr="006F48BD">
                                <w:rPr>
                                  <w:rFonts w:ascii="Arial Black" w:hAnsi="Arial Black"/>
                                  <w:color w:val="156082" w:themeColor="accent1"/>
                                  <w:sz w:val="32"/>
                                  <w:szCs w:val="32"/>
                                </w:rPr>
                                <w:t>Carry out an interpretative</w:t>
                              </w:r>
                              <w:r>
                                <w:rPr>
                                  <w:rFonts w:ascii="Arial Black" w:hAnsi="Arial Black"/>
                                  <w:color w:val="156082" w:themeColor="accent1"/>
                                  <w:sz w:val="32"/>
                                  <w:szCs w:val="32"/>
                                </w:rPr>
                                <w:t xml:space="preserve"> </w:t>
                              </w:r>
                              <w:r w:rsidRPr="006F48BD">
                                <w:rPr>
                                  <w:rFonts w:ascii="Arial Black" w:hAnsi="Arial Black"/>
                                  <w:color w:val="156082" w:themeColor="accent1"/>
                                  <w:sz w:val="32"/>
                                  <w:szCs w:val="32"/>
                                </w:rPr>
                                <w:t>phenomenological analysis of the</w:t>
                              </w:r>
                              <w:r>
                                <w:rPr>
                                  <w:rFonts w:ascii="Arial Black" w:hAnsi="Arial Black"/>
                                  <w:color w:val="156082" w:themeColor="accent1"/>
                                  <w:sz w:val="32"/>
                                  <w:szCs w:val="32"/>
                                </w:rPr>
                                <w:t xml:space="preserve"> </w:t>
                              </w:r>
                              <w:r w:rsidRPr="006F48BD">
                                <w:rPr>
                                  <w:rFonts w:ascii="Arial Black" w:hAnsi="Arial Black"/>
                                  <w:color w:val="156082" w:themeColor="accent1"/>
                                  <w:sz w:val="32"/>
                                  <w:szCs w:val="32"/>
                                </w:rPr>
                                <w:t>provided transcript exploring the</w:t>
                              </w:r>
                              <w:r>
                                <w:rPr>
                                  <w:rFonts w:ascii="Arial Black" w:hAnsi="Arial Black"/>
                                  <w:color w:val="156082" w:themeColor="accent1"/>
                                  <w:sz w:val="32"/>
                                  <w:szCs w:val="32"/>
                                </w:rPr>
                                <w:t xml:space="preserve"> </w:t>
                              </w:r>
                              <w:r w:rsidRPr="006F48BD">
                                <w:rPr>
                                  <w:rFonts w:ascii="Arial Black" w:hAnsi="Arial Black"/>
                                  <w:color w:val="156082" w:themeColor="accent1"/>
                                  <w:sz w:val="32"/>
                                  <w:szCs w:val="32"/>
                                </w:rPr>
                                <w:t>lived experience of re-engaging</w:t>
                              </w:r>
                              <w:r>
                                <w:rPr>
                                  <w:rFonts w:ascii="Arial Black" w:hAnsi="Arial Black"/>
                                  <w:color w:val="156082" w:themeColor="accent1"/>
                                  <w:sz w:val="32"/>
                                  <w:szCs w:val="32"/>
                                </w:rPr>
                                <w:t xml:space="preserve"> </w:t>
                              </w:r>
                              <w:r w:rsidRPr="006F48BD">
                                <w:rPr>
                                  <w:rFonts w:ascii="Arial Black" w:hAnsi="Arial Black"/>
                                  <w:color w:val="156082" w:themeColor="accent1"/>
                                  <w:sz w:val="32"/>
                                  <w:szCs w:val="32"/>
                                </w:rPr>
                                <w:t>with education later in life with</w:t>
                              </w:r>
                              <w:r>
                                <w:rPr>
                                  <w:rFonts w:ascii="Arial Black" w:hAnsi="Arial Black"/>
                                  <w:color w:val="156082" w:themeColor="accent1"/>
                                  <w:sz w:val="32"/>
                                  <w:szCs w:val="32"/>
                                </w:rPr>
                                <w:t xml:space="preserve"> </w:t>
                              </w:r>
                              <w:r w:rsidRPr="006F48BD">
                                <w:rPr>
                                  <w:rFonts w:ascii="Arial Black" w:hAnsi="Arial Black"/>
                                  <w:color w:val="156082" w:themeColor="accent1"/>
                                  <w:sz w:val="32"/>
                                  <w:szCs w:val="32"/>
                                </w:rPr>
                                <w:t>no qualifications.</w:t>
                              </w:r>
                            </w:sdtContent>
                          </w:sdt>
                        </w:p>
                        <w:p w14:paraId="1F09EA9B" w14:textId="454A7F7B" w:rsidR="006F48BD" w:rsidRDefault="006F48BD">
                          <w:pPr>
                            <w:pStyle w:val="NoSpacing"/>
                            <w:spacing w:before="80" w:after="40"/>
                            <w:rPr>
                              <w:caps/>
                              <w:color w:val="A02B93"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C510435" wp14:editId="0B1B4AB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14T00:00:00Z">
                                    <w:dateFormat w:val="yyyy"/>
                                    <w:lid w:val="en-US"/>
                                    <w:storeMappedDataAs w:val="dateTime"/>
                                    <w:calendar w:val="gregorian"/>
                                  </w:date>
                                </w:sdtPr>
                                <w:sdtContent>
                                  <w:p w14:paraId="15AB4445" w14:textId="73383944" w:rsidR="006F48BD" w:rsidRPr="006F48BD" w:rsidRDefault="006F48BD">
                                    <w:pPr>
                                      <w:pStyle w:val="NoSpacing"/>
                                      <w:jc w:val="right"/>
                                      <w:rPr>
                                        <w:rFonts w:ascii="Arial Black" w:hAnsi="Arial Black"/>
                                        <w:color w:val="FFFFFF" w:themeColor="background1"/>
                                        <w:sz w:val="24"/>
                                        <w:szCs w:val="24"/>
                                      </w:rPr>
                                    </w:pPr>
                                    <w:r w:rsidRPr="006F48BD">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C51043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14T00:00:00Z">
                              <w:dateFormat w:val="yyyy"/>
                              <w:lid w:val="en-US"/>
                              <w:storeMappedDataAs w:val="dateTime"/>
                              <w:calendar w:val="gregorian"/>
                            </w:date>
                          </w:sdtPr>
                          <w:sdtContent>
                            <w:p w14:paraId="15AB4445" w14:textId="73383944" w:rsidR="006F48BD" w:rsidRPr="006F48BD" w:rsidRDefault="006F48BD">
                              <w:pPr>
                                <w:pStyle w:val="NoSpacing"/>
                                <w:jc w:val="right"/>
                                <w:rPr>
                                  <w:rFonts w:ascii="Arial Black" w:hAnsi="Arial Black"/>
                                  <w:color w:val="FFFFFF" w:themeColor="background1"/>
                                  <w:sz w:val="24"/>
                                  <w:szCs w:val="24"/>
                                </w:rPr>
                              </w:pPr>
                              <w:r w:rsidRPr="006F48BD">
                                <w:rPr>
                                  <w:rFonts w:ascii="Arial Black" w:hAnsi="Arial Black"/>
                                  <w:color w:val="FFFFFF" w:themeColor="background1"/>
                                  <w:sz w:val="24"/>
                                  <w:szCs w:val="24"/>
                                </w:rPr>
                                <w:t>2025</w:t>
                              </w:r>
                            </w:p>
                          </w:sdtContent>
                        </w:sdt>
                      </w:txbxContent>
                    </v:textbox>
                    <w10:wrap anchorx="margin" anchory="page"/>
                  </v:rect>
                </w:pict>
              </mc:Fallback>
            </mc:AlternateContent>
          </w:r>
          <w:r>
            <w:rPr>
              <w:rFonts w:ascii="Arial Black" w:hAnsi="Arial Black" w:cs="Arial"/>
            </w:rPr>
            <w:br w:type="page"/>
          </w:r>
        </w:p>
      </w:sdtContent>
    </w:sdt>
    <w:p w14:paraId="0873550A" w14:textId="6AB8F170" w:rsidR="00B31E83" w:rsidRPr="006A6106" w:rsidRDefault="00B31E83" w:rsidP="00B31E83">
      <w:pPr>
        <w:spacing w:line="480" w:lineRule="auto"/>
        <w:jc w:val="both"/>
        <w:rPr>
          <w:rFonts w:ascii="Arial Black" w:hAnsi="Arial Black" w:cs="Arial"/>
        </w:rPr>
      </w:pPr>
      <w:r w:rsidRPr="006A6106">
        <w:rPr>
          <w:rFonts w:ascii="Arial Black" w:hAnsi="Arial Black" w:cs="Arial"/>
        </w:rPr>
        <w:lastRenderedPageBreak/>
        <w:t xml:space="preserve">Introduction </w:t>
      </w:r>
    </w:p>
    <w:p w14:paraId="3BE0947B" w14:textId="5831C585" w:rsidR="00B31E83" w:rsidRDefault="00B31E83" w:rsidP="00B31E83">
      <w:pPr>
        <w:spacing w:line="480" w:lineRule="auto"/>
        <w:jc w:val="both"/>
        <w:rPr>
          <w:rFonts w:ascii="Arial" w:hAnsi="Arial" w:cs="Arial"/>
        </w:rPr>
      </w:pPr>
      <w:r w:rsidRPr="00B31E83">
        <w:rPr>
          <w:rFonts w:ascii="Arial" w:hAnsi="Arial" w:cs="Arial"/>
        </w:rPr>
        <w:t>Adult education provides a significant opportunity for transformation, especially for persons overcoming systemic obstacles such as homelessness, addiction, or insufficient qualifications. Reengaging in education can restore self-esteem, promote social integration, and generate chances for personal and professional development (Smith &amp; Larkin, 2020). This path frequently entails confronting intricate problems, such as self-doubt, institutional obstacles, and adapting to new learning contexts (Jones &amp; McGuire, 2021).</w:t>
      </w:r>
    </w:p>
    <w:p w14:paraId="28D086B3" w14:textId="68C64B1C" w:rsidR="00B31E83" w:rsidRDefault="00B31E83" w:rsidP="00B31E83">
      <w:pPr>
        <w:spacing w:line="480" w:lineRule="auto"/>
        <w:jc w:val="both"/>
        <w:rPr>
          <w:rFonts w:ascii="Arial" w:hAnsi="Arial" w:cs="Arial"/>
        </w:rPr>
      </w:pPr>
      <w:r w:rsidRPr="00B31E83">
        <w:rPr>
          <w:rFonts w:ascii="Arial" w:hAnsi="Arial" w:cs="Arial"/>
        </w:rPr>
        <w:t xml:space="preserve">This </w:t>
      </w:r>
      <w:r>
        <w:rPr>
          <w:rFonts w:ascii="Arial" w:hAnsi="Arial" w:cs="Arial"/>
        </w:rPr>
        <w:t>report</w:t>
      </w:r>
      <w:r w:rsidRPr="00B31E83">
        <w:rPr>
          <w:rFonts w:ascii="Arial" w:hAnsi="Arial" w:cs="Arial"/>
        </w:rPr>
        <w:t xml:space="preserve"> uses </w:t>
      </w:r>
      <w:r w:rsidR="007A2045">
        <w:rPr>
          <w:rFonts w:ascii="Arial" w:hAnsi="Arial" w:cs="Arial"/>
        </w:rPr>
        <w:t>IP</w:t>
      </w:r>
      <w:r w:rsidRPr="00B31E83">
        <w:rPr>
          <w:rFonts w:ascii="Arial" w:hAnsi="Arial" w:cs="Arial"/>
        </w:rPr>
        <w:t xml:space="preserve">A to analyse Steve's experiential journey of re-engaging with education. Steve's transition from homelessness to attaining an Adult Learner Award illustrates themes of recognition, empowerment, resilience, and transformation. This </w:t>
      </w:r>
      <w:r>
        <w:rPr>
          <w:rFonts w:ascii="Arial" w:hAnsi="Arial" w:cs="Arial"/>
        </w:rPr>
        <w:t>report</w:t>
      </w:r>
      <w:r w:rsidRPr="00B31E83">
        <w:rPr>
          <w:rFonts w:ascii="Arial" w:hAnsi="Arial" w:cs="Arial"/>
        </w:rPr>
        <w:t xml:space="preserve"> analyses his narrative to explain the psychological, social, and emotional aspects of his experience, enhancing the understanding of how adult education supports marginalised individuals.</w:t>
      </w:r>
    </w:p>
    <w:p w14:paraId="1A6931F9" w14:textId="77777777" w:rsidR="007A2045" w:rsidRDefault="007A2045" w:rsidP="00B31E83">
      <w:pPr>
        <w:spacing w:line="480" w:lineRule="auto"/>
        <w:jc w:val="both"/>
        <w:rPr>
          <w:rFonts w:ascii="Arial" w:hAnsi="Arial" w:cs="Arial"/>
        </w:rPr>
      </w:pPr>
    </w:p>
    <w:p w14:paraId="2FD51C79" w14:textId="77777777" w:rsidR="00B31E83" w:rsidRDefault="00B31E83" w:rsidP="00B31E83">
      <w:pPr>
        <w:spacing w:line="480" w:lineRule="auto"/>
        <w:jc w:val="both"/>
        <w:rPr>
          <w:rFonts w:ascii="Arial" w:hAnsi="Arial" w:cs="Arial"/>
        </w:rPr>
      </w:pPr>
    </w:p>
    <w:p w14:paraId="55F5970F" w14:textId="77777777" w:rsidR="00B31E83" w:rsidRDefault="00B31E83" w:rsidP="00B31E83">
      <w:pPr>
        <w:spacing w:line="480" w:lineRule="auto"/>
        <w:jc w:val="both"/>
        <w:rPr>
          <w:rFonts w:ascii="Arial" w:hAnsi="Arial" w:cs="Arial"/>
        </w:rPr>
      </w:pPr>
    </w:p>
    <w:p w14:paraId="23CF559C" w14:textId="77777777" w:rsidR="00B31E83" w:rsidRDefault="00B31E83" w:rsidP="00B31E83">
      <w:pPr>
        <w:spacing w:line="480" w:lineRule="auto"/>
        <w:jc w:val="both"/>
        <w:rPr>
          <w:rFonts w:ascii="Arial" w:hAnsi="Arial" w:cs="Arial"/>
        </w:rPr>
      </w:pPr>
    </w:p>
    <w:p w14:paraId="6F9BE2D9" w14:textId="77777777" w:rsidR="00B31E83" w:rsidRDefault="00B31E83" w:rsidP="00B31E83">
      <w:pPr>
        <w:spacing w:line="480" w:lineRule="auto"/>
        <w:jc w:val="both"/>
        <w:rPr>
          <w:rFonts w:ascii="Arial" w:hAnsi="Arial" w:cs="Arial"/>
        </w:rPr>
      </w:pPr>
    </w:p>
    <w:p w14:paraId="11EA2A24" w14:textId="77777777" w:rsidR="00B31E83" w:rsidRDefault="00B31E83" w:rsidP="00B31E83">
      <w:pPr>
        <w:spacing w:line="480" w:lineRule="auto"/>
        <w:jc w:val="both"/>
        <w:rPr>
          <w:rFonts w:ascii="Arial" w:hAnsi="Arial" w:cs="Arial"/>
        </w:rPr>
      </w:pPr>
    </w:p>
    <w:p w14:paraId="67D42EBF" w14:textId="77777777" w:rsidR="00B31E83" w:rsidRDefault="00B31E83" w:rsidP="00B31E83">
      <w:pPr>
        <w:spacing w:line="480" w:lineRule="auto"/>
        <w:jc w:val="both"/>
        <w:rPr>
          <w:rFonts w:ascii="Arial" w:hAnsi="Arial" w:cs="Arial"/>
        </w:rPr>
      </w:pPr>
    </w:p>
    <w:p w14:paraId="0F5B8F59" w14:textId="77777777" w:rsidR="00E26E48" w:rsidRDefault="00E26E48" w:rsidP="00E26E48">
      <w:pPr>
        <w:spacing w:line="480" w:lineRule="auto"/>
        <w:jc w:val="both"/>
        <w:rPr>
          <w:rFonts w:ascii="Arial" w:hAnsi="Arial" w:cs="Arial"/>
        </w:rPr>
      </w:pPr>
    </w:p>
    <w:p w14:paraId="7644EDF9" w14:textId="77777777" w:rsidR="006A6106" w:rsidRDefault="006A6106" w:rsidP="00E26E48">
      <w:pPr>
        <w:spacing w:line="480" w:lineRule="auto"/>
        <w:jc w:val="both"/>
        <w:rPr>
          <w:rFonts w:ascii="Arial" w:hAnsi="Arial" w:cs="Arial"/>
        </w:rPr>
      </w:pPr>
    </w:p>
    <w:p w14:paraId="04E8DB37" w14:textId="0B10286A" w:rsidR="006A6106" w:rsidRPr="006A6106" w:rsidRDefault="006A6106" w:rsidP="00E26E48">
      <w:pPr>
        <w:spacing w:line="480" w:lineRule="auto"/>
        <w:jc w:val="both"/>
        <w:rPr>
          <w:rFonts w:ascii="Arial Black" w:hAnsi="Arial Black" w:cs="Arial"/>
        </w:rPr>
      </w:pPr>
      <w:r w:rsidRPr="006A6106">
        <w:rPr>
          <w:rFonts w:ascii="Arial Black" w:hAnsi="Arial Black" w:cs="Arial"/>
        </w:rPr>
        <w:t xml:space="preserve">Methods </w:t>
      </w:r>
    </w:p>
    <w:p w14:paraId="20AE5020" w14:textId="1776F8FA" w:rsidR="006A6106" w:rsidRDefault="006A6106" w:rsidP="006A6106">
      <w:pPr>
        <w:spacing w:line="480" w:lineRule="auto"/>
        <w:jc w:val="both"/>
        <w:rPr>
          <w:rFonts w:ascii="Arial" w:hAnsi="Arial" w:cs="Arial"/>
        </w:rPr>
      </w:pPr>
      <w:r w:rsidRPr="006A6106">
        <w:rPr>
          <w:rFonts w:ascii="Arial" w:hAnsi="Arial" w:cs="Arial"/>
        </w:rPr>
        <w:t xml:space="preserve">Understanding how people interpret and make meaning of their own experiences is the goal of the qualitative research method known as Interpretative Phenomenological Analysis (IPA). According to Smith, Flowers, and Larkin (2022), IPA offers a framework for analysing personal meaning-making in great depth, drawing on the philosophical traditions of </w:t>
      </w:r>
      <w:r w:rsidRPr="006A6106">
        <w:rPr>
          <w:rFonts w:ascii="Arial" w:hAnsi="Arial" w:cs="Arial"/>
        </w:rPr>
        <w:t>ideography</w:t>
      </w:r>
      <w:r w:rsidRPr="006A6106">
        <w:rPr>
          <w:rFonts w:ascii="Arial" w:hAnsi="Arial" w:cs="Arial"/>
        </w:rPr>
        <w:t>, phenomenology, and hermeneutics. When knowing how people's emotions, thoughts, and perceptions interact with one another is crucial, this method shines. Because Steve's story is based on his own personal journey of rehabilitation, reintegration, and academic success, IPA is a suitable methodology to analyse it.</w:t>
      </w:r>
    </w:p>
    <w:p w14:paraId="6340E316" w14:textId="74712906" w:rsidR="006A6106" w:rsidRDefault="006A6106" w:rsidP="006A6106">
      <w:pPr>
        <w:spacing w:line="480" w:lineRule="auto"/>
        <w:jc w:val="both"/>
        <w:rPr>
          <w:rFonts w:ascii="Arial" w:hAnsi="Arial" w:cs="Arial"/>
        </w:rPr>
      </w:pPr>
      <w:r w:rsidRPr="006A6106">
        <w:rPr>
          <w:rFonts w:ascii="Arial" w:hAnsi="Arial" w:cs="Arial"/>
        </w:rPr>
        <w:t xml:space="preserve">The emphasis on lived experiences is central to IPA, which has its roots in phenomenology. The theory aims to understand how people take in, process, and react to the world around them by referencing the writings of philosophers like Martin Heidegger and Edmund Husserl. The analytical process of IPA is based on hermeneutics, which is the theory of interpretation. This is mirrored in its "double hermeneutic" methodology, which aims to understand the participant's worldview through interpretation. </w:t>
      </w:r>
      <w:r w:rsidRPr="006A6106">
        <w:rPr>
          <w:rFonts w:ascii="Arial" w:hAnsi="Arial" w:cs="Arial"/>
        </w:rPr>
        <w:t>To</w:t>
      </w:r>
      <w:r w:rsidRPr="006A6106">
        <w:rPr>
          <w:rFonts w:ascii="Arial" w:hAnsi="Arial" w:cs="Arial"/>
        </w:rPr>
        <w:t xml:space="preserve"> avoid making generalisations and instead capture nuanced personal experiences, </w:t>
      </w:r>
      <w:r w:rsidRPr="006A6106">
        <w:rPr>
          <w:rFonts w:ascii="Arial" w:hAnsi="Arial" w:cs="Arial"/>
        </w:rPr>
        <w:t>ideography</w:t>
      </w:r>
      <w:r>
        <w:rPr>
          <w:rFonts w:ascii="Arial" w:hAnsi="Arial" w:cs="Arial"/>
        </w:rPr>
        <w:t xml:space="preserve"> </w:t>
      </w:r>
      <w:r w:rsidRPr="006A6106">
        <w:rPr>
          <w:rFonts w:ascii="Arial" w:hAnsi="Arial" w:cs="Arial"/>
        </w:rPr>
        <w:t>the third pillar of IPA</w:t>
      </w:r>
      <w:r>
        <w:rPr>
          <w:rFonts w:ascii="Arial" w:hAnsi="Arial" w:cs="Arial"/>
        </w:rPr>
        <w:t xml:space="preserve"> </w:t>
      </w:r>
      <w:r w:rsidRPr="006A6106">
        <w:rPr>
          <w:rFonts w:ascii="Arial" w:hAnsi="Arial" w:cs="Arial"/>
        </w:rPr>
        <w:t>ensures that analysis is based on a thorough investigation of individual cases.</w:t>
      </w:r>
    </w:p>
    <w:p w14:paraId="1CDE5DE5" w14:textId="77777777" w:rsidR="006A6106" w:rsidRPr="006A6106" w:rsidRDefault="006A6106" w:rsidP="006A6106">
      <w:pPr>
        <w:spacing w:line="480" w:lineRule="auto"/>
        <w:jc w:val="both"/>
        <w:rPr>
          <w:rFonts w:ascii="Arial Black" w:hAnsi="Arial Black" w:cs="Arial"/>
        </w:rPr>
      </w:pPr>
      <w:r w:rsidRPr="006A6106">
        <w:rPr>
          <w:rFonts w:ascii="Arial Black" w:hAnsi="Arial Black" w:cs="Arial"/>
        </w:rPr>
        <w:t>Analytical Process</w:t>
      </w:r>
    </w:p>
    <w:p w14:paraId="323E1881" w14:textId="0ED13CD9" w:rsidR="006A6106" w:rsidRDefault="006A6106" w:rsidP="006A6106">
      <w:pPr>
        <w:spacing w:line="480" w:lineRule="auto"/>
        <w:jc w:val="both"/>
        <w:rPr>
          <w:rFonts w:ascii="Arial" w:hAnsi="Arial" w:cs="Arial"/>
        </w:rPr>
      </w:pPr>
      <w:r w:rsidRPr="006A6106">
        <w:rPr>
          <w:rFonts w:ascii="Arial" w:hAnsi="Arial" w:cs="Arial"/>
        </w:rPr>
        <w:t xml:space="preserve">The IPA process consists of multiple iterative steps, each meant to enhance understanding of the </w:t>
      </w:r>
      <w:r w:rsidRPr="006A6106">
        <w:rPr>
          <w:rFonts w:ascii="Arial" w:hAnsi="Arial" w:cs="Arial"/>
        </w:rPr>
        <w:t>participants</w:t>
      </w:r>
      <w:r>
        <w:rPr>
          <w:rFonts w:ascii="Arial" w:hAnsi="Arial" w:cs="Arial"/>
        </w:rPr>
        <w:t xml:space="preserve"> </w:t>
      </w:r>
      <w:r w:rsidRPr="006A6106">
        <w:rPr>
          <w:rFonts w:ascii="Arial" w:hAnsi="Arial" w:cs="Arial"/>
        </w:rPr>
        <w:t>lived</w:t>
      </w:r>
      <w:r w:rsidRPr="006A6106">
        <w:rPr>
          <w:rFonts w:ascii="Arial" w:hAnsi="Arial" w:cs="Arial"/>
        </w:rPr>
        <w:t xml:space="preserve"> experiences.</w:t>
      </w:r>
    </w:p>
    <w:p w14:paraId="2CF5CAC0" w14:textId="77777777" w:rsidR="006A6106" w:rsidRPr="006A6106" w:rsidRDefault="006A6106" w:rsidP="006A6106">
      <w:pPr>
        <w:pStyle w:val="ListParagraph"/>
        <w:numPr>
          <w:ilvl w:val="0"/>
          <w:numId w:val="1"/>
        </w:numPr>
        <w:spacing w:line="480" w:lineRule="auto"/>
        <w:jc w:val="both"/>
        <w:rPr>
          <w:rFonts w:ascii="Arial" w:hAnsi="Arial" w:cs="Arial"/>
        </w:rPr>
      </w:pPr>
      <w:r w:rsidRPr="006A6106">
        <w:rPr>
          <w:rFonts w:ascii="Arial" w:hAnsi="Arial" w:cs="Arial"/>
        </w:rPr>
        <w:lastRenderedPageBreak/>
        <w:t>Reading and re-reading: The researcher delves deeply into the transcript, immersing oneself in the participant's story. This first step establishes familiarity with the topic and enables the identification of crucial experiences, reflections, and emotional responses.</w:t>
      </w:r>
    </w:p>
    <w:p w14:paraId="3E66D338" w14:textId="77777777" w:rsidR="006A6106" w:rsidRPr="006A6106" w:rsidRDefault="006A6106" w:rsidP="006A6106">
      <w:pPr>
        <w:pStyle w:val="ListParagraph"/>
        <w:numPr>
          <w:ilvl w:val="0"/>
          <w:numId w:val="1"/>
        </w:numPr>
        <w:spacing w:line="480" w:lineRule="auto"/>
        <w:jc w:val="both"/>
        <w:rPr>
          <w:rFonts w:ascii="Arial" w:hAnsi="Arial" w:cs="Arial"/>
        </w:rPr>
      </w:pPr>
      <w:r w:rsidRPr="006A6106">
        <w:rPr>
          <w:rFonts w:ascii="Arial" w:hAnsi="Arial" w:cs="Arial"/>
        </w:rPr>
        <w:t>Initial Annotations: Three levels of annotation are used: descriptive (focussing on the participant's expressed content), linguistic (evaluating how they communicate their experiences, including tone and language), and conceptual.</w:t>
      </w:r>
    </w:p>
    <w:p w14:paraId="0D79F5A2" w14:textId="77777777" w:rsidR="006A6106" w:rsidRPr="006A6106" w:rsidRDefault="006A6106" w:rsidP="006A6106">
      <w:pPr>
        <w:pStyle w:val="ListParagraph"/>
        <w:numPr>
          <w:ilvl w:val="0"/>
          <w:numId w:val="1"/>
        </w:numPr>
        <w:spacing w:line="480" w:lineRule="auto"/>
        <w:jc w:val="both"/>
        <w:rPr>
          <w:rFonts w:ascii="Arial" w:hAnsi="Arial" w:cs="Arial"/>
        </w:rPr>
      </w:pPr>
      <w:r w:rsidRPr="006A6106">
        <w:rPr>
          <w:rFonts w:ascii="Arial" w:hAnsi="Arial" w:cs="Arial"/>
        </w:rPr>
        <w:t>Emerging Codes: Annotations identify recurring patterns and ideas. These codes encompass the main components of the participant's experiences, including both explicit and implicit meanings.</w:t>
      </w:r>
    </w:p>
    <w:p w14:paraId="34CBE3DB" w14:textId="77777777" w:rsidR="006A6106" w:rsidRPr="006A6106" w:rsidRDefault="006A6106" w:rsidP="006A6106">
      <w:pPr>
        <w:pStyle w:val="ListParagraph"/>
        <w:numPr>
          <w:ilvl w:val="0"/>
          <w:numId w:val="1"/>
        </w:numPr>
        <w:spacing w:line="480" w:lineRule="auto"/>
        <w:jc w:val="both"/>
        <w:rPr>
          <w:rFonts w:ascii="Arial" w:hAnsi="Arial" w:cs="Arial"/>
        </w:rPr>
      </w:pPr>
      <w:r w:rsidRPr="006A6106">
        <w:rPr>
          <w:rFonts w:ascii="Arial" w:hAnsi="Arial" w:cs="Arial"/>
        </w:rPr>
        <w:t>Clustering Themes: Related codes are organised into superordinate themes, resulting in a more structured comprehension of the participant's narrative. Subordinate themes provide further specificity within these broad divisions.</w:t>
      </w:r>
    </w:p>
    <w:p w14:paraId="46826D2D" w14:textId="0050BF6A" w:rsidR="006A6106" w:rsidRPr="006A6106" w:rsidRDefault="006A6106" w:rsidP="006A6106">
      <w:pPr>
        <w:pStyle w:val="ListParagraph"/>
        <w:numPr>
          <w:ilvl w:val="0"/>
          <w:numId w:val="1"/>
        </w:numPr>
        <w:spacing w:line="480" w:lineRule="auto"/>
        <w:jc w:val="both"/>
        <w:rPr>
          <w:rFonts w:ascii="Arial" w:hAnsi="Arial" w:cs="Arial"/>
        </w:rPr>
      </w:pPr>
      <w:r w:rsidRPr="006A6106">
        <w:rPr>
          <w:rFonts w:ascii="Arial" w:hAnsi="Arial" w:cs="Arial"/>
        </w:rPr>
        <w:t>Narrative Development: The themes are braided together to form a coherent narrative that connects participant quotes to the larger analytical framework, ensuring that the interpretation is based in the participant's perspective.</w:t>
      </w:r>
    </w:p>
    <w:p w14:paraId="797440E0" w14:textId="0B9226C6" w:rsidR="006A6106" w:rsidRDefault="006A6106" w:rsidP="006A6106">
      <w:pPr>
        <w:spacing w:line="480" w:lineRule="auto"/>
        <w:jc w:val="both"/>
        <w:rPr>
          <w:rFonts w:ascii="Arial" w:hAnsi="Arial" w:cs="Arial"/>
        </w:rPr>
      </w:pPr>
      <w:r w:rsidRPr="006A6106">
        <w:rPr>
          <w:rFonts w:ascii="Arial" w:hAnsi="Arial" w:cs="Arial"/>
        </w:rPr>
        <w:t xml:space="preserve">This study expands upon prior IPA research that has effectively examined the experiences of marginalised adults re-entering education. Mills and Green (2020) highlight IPA's capacity to reveal emotional and psychological changes, especially in those surmounting addiction and systemic marginalisation. This study </w:t>
      </w:r>
      <w:r w:rsidRPr="006A6106">
        <w:rPr>
          <w:rFonts w:ascii="Arial" w:hAnsi="Arial" w:cs="Arial"/>
        </w:rPr>
        <w:t>uses</w:t>
      </w:r>
      <w:r w:rsidRPr="006A6106">
        <w:rPr>
          <w:rFonts w:ascii="Arial" w:hAnsi="Arial" w:cs="Arial"/>
        </w:rPr>
        <w:t xml:space="preserve"> Interpretative Phenomenological Analysis (IPA) to elucidate the intricacies of Steve's journey, emphasising his interpretation of educational experiences within the framework of his overarching life issues.</w:t>
      </w:r>
    </w:p>
    <w:p w14:paraId="02FEE6AC" w14:textId="35B6FDE8" w:rsidR="006A6106" w:rsidRDefault="006A6106" w:rsidP="006A6106">
      <w:pPr>
        <w:spacing w:line="480" w:lineRule="auto"/>
        <w:jc w:val="both"/>
        <w:rPr>
          <w:rFonts w:ascii="Arial" w:hAnsi="Arial" w:cs="Arial"/>
        </w:rPr>
      </w:pPr>
      <w:r w:rsidRPr="006A6106">
        <w:rPr>
          <w:rFonts w:ascii="Arial" w:hAnsi="Arial" w:cs="Arial"/>
        </w:rPr>
        <w:t xml:space="preserve">IPA employs a meticulous and repetitive methodology to facilitate access to the profound and frequently transformative dimensions of adult education. It guarantees </w:t>
      </w:r>
      <w:r w:rsidRPr="006A6106">
        <w:rPr>
          <w:rFonts w:ascii="Arial" w:hAnsi="Arial" w:cs="Arial"/>
        </w:rPr>
        <w:lastRenderedPageBreak/>
        <w:t>that the depth of Steve's narrative</w:t>
      </w:r>
      <w:r>
        <w:rPr>
          <w:rFonts w:ascii="Arial" w:hAnsi="Arial" w:cs="Arial"/>
        </w:rPr>
        <w:t xml:space="preserve"> </w:t>
      </w:r>
      <w:r w:rsidRPr="006A6106">
        <w:rPr>
          <w:rFonts w:ascii="Arial" w:hAnsi="Arial" w:cs="Arial"/>
        </w:rPr>
        <w:t>his instances of uncertainty, development, and success</w:t>
      </w:r>
      <w:r>
        <w:rPr>
          <w:rFonts w:ascii="Arial" w:hAnsi="Arial" w:cs="Arial"/>
        </w:rPr>
        <w:t xml:space="preserve"> </w:t>
      </w:r>
      <w:r w:rsidRPr="006A6106">
        <w:rPr>
          <w:rFonts w:ascii="Arial" w:hAnsi="Arial" w:cs="Arial"/>
        </w:rPr>
        <w:t>is both maintained and thoughtfully analysed within a research context.</w:t>
      </w:r>
    </w:p>
    <w:p w14:paraId="0E0EAC4B" w14:textId="53DF3F0A" w:rsidR="006A6106" w:rsidRPr="006A6106" w:rsidRDefault="006A6106" w:rsidP="006A6106">
      <w:pPr>
        <w:spacing w:line="480" w:lineRule="auto"/>
        <w:jc w:val="both"/>
        <w:rPr>
          <w:rFonts w:ascii="Arial Black" w:hAnsi="Arial Black" w:cs="Arial"/>
        </w:rPr>
      </w:pPr>
      <w:r w:rsidRPr="006A6106">
        <w:rPr>
          <w:rFonts w:ascii="Arial Black" w:hAnsi="Arial Black" w:cs="Arial"/>
        </w:rPr>
        <w:t xml:space="preserve">Findings </w:t>
      </w:r>
    </w:p>
    <w:p w14:paraId="1C0E2182" w14:textId="56B78D7C" w:rsidR="006A6106" w:rsidRDefault="006A6106" w:rsidP="006A6106">
      <w:pPr>
        <w:spacing w:line="480" w:lineRule="auto"/>
        <w:jc w:val="both"/>
        <w:rPr>
          <w:rFonts w:ascii="Arial" w:hAnsi="Arial" w:cs="Arial"/>
        </w:rPr>
      </w:pPr>
      <w:r w:rsidRPr="006A6106">
        <w:rPr>
          <w:rFonts w:ascii="Arial" w:hAnsi="Arial" w:cs="Arial"/>
        </w:rPr>
        <w:t xml:space="preserve">The </w:t>
      </w:r>
      <w:r>
        <w:rPr>
          <w:rFonts w:ascii="Arial" w:hAnsi="Arial" w:cs="Arial"/>
        </w:rPr>
        <w:t>analysis</w:t>
      </w:r>
      <w:r w:rsidRPr="006A6106">
        <w:rPr>
          <w:rFonts w:ascii="Arial" w:hAnsi="Arial" w:cs="Arial"/>
        </w:rPr>
        <w:t xml:space="preserve"> of Steve's story indicated five major themes: recognition and self-worth,</w:t>
      </w:r>
      <w:r>
        <w:rPr>
          <w:rFonts w:ascii="Arial" w:hAnsi="Arial" w:cs="Arial"/>
        </w:rPr>
        <w:t xml:space="preserve"> </w:t>
      </w:r>
      <w:r w:rsidRPr="006A6106">
        <w:rPr>
          <w:rFonts w:ascii="Arial" w:hAnsi="Arial" w:cs="Arial"/>
        </w:rPr>
        <w:t>challenges</w:t>
      </w:r>
      <w:r>
        <w:rPr>
          <w:rFonts w:ascii="Arial" w:hAnsi="Arial" w:cs="Arial"/>
        </w:rPr>
        <w:t xml:space="preserve"> of reintegration</w:t>
      </w:r>
      <w:r w:rsidRPr="006A6106">
        <w:rPr>
          <w:rFonts w:ascii="Arial" w:hAnsi="Arial" w:cs="Arial"/>
        </w:rPr>
        <w:t>, transformative learning experiences, empowerment and advocacy, and adaptation to new environments. These themes depict his journey's psychological, emotional, and social elements and shed light on the transformational power of adult education for marginalised people.</w:t>
      </w:r>
    </w:p>
    <w:p w14:paraId="28850E96" w14:textId="51E0B161" w:rsidR="00B812F4" w:rsidRPr="00B812F4" w:rsidRDefault="00B812F4" w:rsidP="00B812F4">
      <w:pPr>
        <w:spacing w:line="480" w:lineRule="auto"/>
        <w:jc w:val="both"/>
        <w:rPr>
          <w:rFonts w:ascii="Arial Black" w:hAnsi="Arial Black" w:cs="Arial"/>
        </w:rPr>
      </w:pPr>
      <w:r w:rsidRPr="00B812F4">
        <w:rPr>
          <w:rFonts w:ascii="Arial Black" w:hAnsi="Arial Black" w:cs="Arial"/>
        </w:rPr>
        <w:t>Theme 1: Recognition and Self-worth.</w:t>
      </w:r>
    </w:p>
    <w:p w14:paraId="6875D2C0" w14:textId="77777777" w:rsidR="00B812F4" w:rsidRPr="00B812F4" w:rsidRDefault="00B812F4" w:rsidP="00B812F4">
      <w:pPr>
        <w:spacing w:line="480" w:lineRule="auto"/>
        <w:jc w:val="both"/>
        <w:rPr>
          <w:rFonts w:ascii="Arial Black" w:hAnsi="Arial Black" w:cs="Arial"/>
        </w:rPr>
      </w:pPr>
      <w:r w:rsidRPr="00B812F4">
        <w:rPr>
          <w:rFonts w:ascii="Arial Black" w:hAnsi="Arial Black" w:cs="Arial"/>
        </w:rPr>
        <w:t>Recognition as a Turning Point</w:t>
      </w:r>
    </w:p>
    <w:p w14:paraId="4F208DCC" w14:textId="29694541" w:rsidR="00B812F4" w:rsidRDefault="00B812F4" w:rsidP="00B812F4">
      <w:pPr>
        <w:spacing w:line="480" w:lineRule="auto"/>
        <w:jc w:val="both"/>
        <w:rPr>
          <w:rFonts w:ascii="Arial" w:hAnsi="Arial" w:cs="Arial"/>
        </w:rPr>
      </w:pPr>
      <w:r w:rsidRPr="00B812F4">
        <w:rPr>
          <w:rFonts w:ascii="Arial" w:hAnsi="Arial" w:cs="Arial"/>
        </w:rPr>
        <w:t xml:space="preserve">Steve's journey began with a strong sense of invisibility. Reflecting on his transition into supported housing, he said, </w:t>
      </w:r>
      <w:r w:rsidR="009331D4" w:rsidRPr="009331D4">
        <w:rPr>
          <w:rFonts w:ascii="Arial" w:hAnsi="Arial" w:cs="Arial"/>
        </w:rPr>
        <w:t xml:space="preserve">"I felt as though somebody had seen me. Noticed me and thought I was worth helping." </w:t>
      </w:r>
      <w:r w:rsidRPr="00B812F4">
        <w:rPr>
          <w:rFonts w:ascii="Arial" w:hAnsi="Arial" w:cs="Arial"/>
        </w:rPr>
        <w:t>This recognition was a watershed event in his path, allowing him to recover his self-esteem. The sensation of being valued and encouraged laid the groundwork for his subsequent educational and personal development. Recognition is commonly cited as a key component in marginalised people' identity reconstruction since it confirms their worth and generates hope for change (Smith &amp; Larkin, 2020). This transition from invisibility to acknowledgement was life-changing for Steven.</w:t>
      </w:r>
    </w:p>
    <w:p w14:paraId="3D580818" w14:textId="77777777" w:rsidR="00B812F4" w:rsidRPr="00B812F4" w:rsidRDefault="00B812F4" w:rsidP="00B812F4">
      <w:pPr>
        <w:spacing w:line="480" w:lineRule="auto"/>
        <w:jc w:val="both"/>
        <w:rPr>
          <w:rFonts w:ascii="Arial Black" w:hAnsi="Arial Black" w:cs="Arial"/>
        </w:rPr>
      </w:pPr>
      <w:r w:rsidRPr="00B812F4">
        <w:rPr>
          <w:rFonts w:ascii="Arial Black" w:hAnsi="Arial Black" w:cs="Arial"/>
        </w:rPr>
        <w:t>Reflection on Missed Opportunities.</w:t>
      </w:r>
    </w:p>
    <w:p w14:paraId="3EB7F493" w14:textId="38AB053C" w:rsidR="00B812F4" w:rsidRDefault="00B812F4" w:rsidP="00B812F4">
      <w:pPr>
        <w:spacing w:line="480" w:lineRule="auto"/>
        <w:jc w:val="both"/>
        <w:rPr>
          <w:rFonts w:ascii="Arial" w:hAnsi="Arial" w:cs="Arial"/>
        </w:rPr>
      </w:pPr>
      <w:r w:rsidRPr="00B812F4">
        <w:rPr>
          <w:rFonts w:ascii="Arial" w:hAnsi="Arial" w:cs="Arial"/>
        </w:rPr>
        <w:t>While Steve's journey was one of growth, he frequently pondered on the time he felt he had lost:</w:t>
      </w:r>
      <w:r w:rsidR="009331D4" w:rsidRPr="009331D4">
        <w:t xml:space="preserve"> </w:t>
      </w:r>
      <w:r w:rsidR="009331D4" w:rsidRPr="009331D4">
        <w:rPr>
          <w:rFonts w:ascii="Arial" w:hAnsi="Arial" w:cs="Arial"/>
        </w:rPr>
        <w:t xml:space="preserve">"I know I wasted years myself, but then I was a lucky one that got picked </w:t>
      </w:r>
      <w:r w:rsidR="009331D4" w:rsidRPr="009331D4">
        <w:rPr>
          <w:rFonts w:ascii="Arial" w:hAnsi="Arial" w:cs="Arial"/>
        </w:rPr>
        <w:lastRenderedPageBreak/>
        <w:t xml:space="preserve">up." </w:t>
      </w:r>
      <w:r w:rsidRPr="00B812F4">
        <w:rPr>
          <w:rFonts w:ascii="Arial" w:hAnsi="Arial" w:cs="Arial"/>
        </w:rPr>
        <w:t xml:space="preserve"> This duality of regret and appreciation is a frequent emotional experience among adult learners, especially those who are returning to education after severe life struggles (Evans &amp; Carter, 2022). While remorse highlighted the gravity of what Steve had overcome, thankfulness inspired him to seize the chances that education offered.</w:t>
      </w:r>
    </w:p>
    <w:p w14:paraId="16BEA180" w14:textId="036825BC" w:rsidR="00B812F4" w:rsidRPr="00B812F4" w:rsidRDefault="00B812F4" w:rsidP="00B812F4">
      <w:pPr>
        <w:spacing w:line="480" w:lineRule="auto"/>
        <w:jc w:val="both"/>
        <w:rPr>
          <w:rFonts w:ascii="Arial Black" w:hAnsi="Arial Black" w:cs="Arial"/>
        </w:rPr>
      </w:pPr>
      <w:r w:rsidRPr="00B812F4">
        <w:rPr>
          <w:rFonts w:ascii="Arial Black" w:hAnsi="Arial Black" w:cs="Arial"/>
        </w:rPr>
        <w:t>Theme 2: Challenges</w:t>
      </w:r>
      <w:r w:rsidRPr="00B812F4">
        <w:rPr>
          <w:rFonts w:ascii="Arial Black" w:hAnsi="Arial Black" w:cs="Arial"/>
        </w:rPr>
        <w:t xml:space="preserve"> of Reintegration</w:t>
      </w:r>
      <w:r w:rsidRPr="00B812F4">
        <w:rPr>
          <w:rFonts w:ascii="Arial Black" w:hAnsi="Arial Black" w:cs="Arial"/>
        </w:rPr>
        <w:t xml:space="preserve"> </w:t>
      </w:r>
    </w:p>
    <w:p w14:paraId="3A623C9D" w14:textId="57E8BD9A" w:rsidR="00B812F4" w:rsidRPr="00B812F4" w:rsidRDefault="00B812F4" w:rsidP="00B812F4">
      <w:pPr>
        <w:spacing w:line="480" w:lineRule="auto"/>
        <w:jc w:val="both"/>
        <w:rPr>
          <w:rFonts w:ascii="Arial Black" w:hAnsi="Arial Black" w:cs="Arial"/>
        </w:rPr>
      </w:pPr>
      <w:r w:rsidRPr="00B812F4">
        <w:rPr>
          <w:rFonts w:ascii="Arial Black" w:hAnsi="Arial Black" w:cs="Arial"/>
        </w:rPr>
        <w:t>Institutional Challenges</w:t>
      </w:r>
    </w:p>
    <w:p w14:paraId="35254377" w14:textId="62D5B59E" w:rsidR="00B812F4" w:rsidRDefault="00B812F4" w:rsidP="00B812F4">
      <w:pPr>
        <w:spacing w:line="480" w:lineRule="auto"/>
        <w:jc w:val="both"/>
        <w:rPr>
          <w:rFonts w:ascii="Arial" w:hAnsi="Arial" w:cs="Arial"/>
        </w:rPr>
      </w:pPr>
      <w:r w:rsidRPr="00B812F4">
        <w:rPr>
          <w:rFonts w:ascii="Arial" w:hAnsi="Arial" w:cs="Arial"/>
        </w:rPr>
        <w:t xml:space="preserve">Steve observed the impersonal character of the hostel system, where rituals were required but emotionally exhausting: </w:t>
      </w:r>
      <w:r w:rsidR="009331D4" w:rsidRPr="009331D4">
        <w:rPr>
          <w:rFonts w:ascii="Arial" w:hAnsi="Arial" w:cs="Arial"/>
        </w:rPr>
        <w:t>"It’s a routine that is forced on you... can make you feel like a ship floating past."</w:t>
      </w:r>
      <w:r w:rsidR="009331D4">
        <w:rPr>
          <w:rFonts w:ascii="Arial" w:hAnsi="Arial" w:cs="Arial"/>
        </w:rPr>
        <w:t xml:space="preserve"> </w:t>
      </w:r>
      <w:r w:rsidRPr="00B812F4">
        <w:rPr>
          <w:rFonts w:ascii="Arial" w:hAnsi="Arial" w:cs="Arial"/>
        </w:rPr>
        <w:t>The image of a "ship floating past" vividly expresses Steve's sense of alienation and impermanence, despite his recognition of the importance of these systems. Such spaces, while necessary for refuge, frequently lack the personalisation essential to promote emotional recovery. Murphy and Karp (2020) propose that trauma-informed techniques in institutional settings are critical for bridging the gap and meeting Steve's deeper emotional needs.</w:t>
      </w:r>
    </w:p>
    <w:p w14:paraId="04AECADF" w14:textId="77777777" w:rsidR="00B812F4" w:rsidRPr="00B812F4" w:rsidRDefault="00B812F4" w:rsidP="00B812F4">
      <w:pPr>
        <w:spacing w:line="480" w:lineRule="auto"/>
        <w:jc w:val="both"/>
        <w:rPr>
          <w:rFonts w:ascii="Arial Black" w:hAnsi="Arial Black" w:cs="Arial"/>
        </w:rPr>
      </w:pPr>
      <w:r w:rsidRPr="00B812F4">
        <w:rPr>
          <w:rFonts w:ascii="Arial Black" w:hAnsi="Arial Black" w:cs="Arial"/>
        </w:rPr>
        <w:t>Overcome Self-Doubt</w:t>
      </w:r>
    </w:p>
    <w:p w14:paraId="2161BC99" w14:textId="6132E5D7" w:rsidR="00B812F4" w:rsidRDefault="00B812F4" w:rsidP="00B812F4">
      <w:pPr>
        <w:spacing w:line="480" w:lineRule="auto"/>
        <w:jc w:val="both"/>
        <w:rPr>
          <w:rFonts w:ascii="Arial" w:hAnsi="Arial" w:cs="Arial"/>
        </w:rPr>
      </w:pPr>
      <w:r w:rsidRPr="00B812F4">
        <w:rPr>
          <w:rFonts w:ascii="Arial" w:hAnsi="Arial" w:cs="Arial"/>
        </w:rPr>
        <w:t xml:space="preserve">Steve faced frequent bouts of self-doubt. He admitted: </w:t>
      </w:r>
      <w:r w:rsidR="00483533" w:rsidRPr="00483533">
        <w:rPr>
          <w:rFonts w:ascii="Arial" w:hAnsi="Arial" w:cs="Arial"/>
        </w:rPr>
        <w:t xml:space="preserve">"Halfway through, I thought, I’m wasting everyone’s time... But I kept going." </w:t>
      </w:r>
      <w:r w:rsidRPr="00B812F4">
        <w:rPr>
          <w:rFonts w:ascii="Arial" w:hAnsi="Arial" w:cs="Arial"/>
        </w:rPr>
        <w:t>This perseverance, despite instances of feeling inadequate, highlights a crucial issue for adult learners, who frequently contend with past mistakes while striving for future goals. Overcoming self-doubt was a slow process for Steve, which was aided by mentorship and small accomplishments that strengthened his resilience.</w:t>
      </w:r>
    </w:p>
    <w:p w14:paraId="52223403" w14:textId="77777777" w:rsidR="00B812F4" w:rsidRDefault="00B812F4" w:rsidP="00B812F4">
      <w:pPr>
        <w:spacing w:line="480" w:lineRule="auto"/>
        <w:jc w:val="both"/>
        <w:rPr>
          <w:rFonts w:ascii="Arial" w:hAnsi="Arial" w:cs="Arial"/>
        </w:rPr>
      </w:pPr>
    </w:p>
    <w:p w14:paraId="71A00B3A" w14:textId="77777777" w:rsidR="00B812F4" w:rsidRDefault="00B812F4" w:rsidP="00B812F4">
      <w:pPr>
        <w:spacing w:line="480" w:lineRule="auto"/>
        <w:jc w:val="both"/>
        <w:rPr>
          <w:rFonts w:ascii="Arial" w:hAnsi="Arial" w:cs="Arial"/>
        </w:rPr>
      </w:pPr>
    </w:p>
    <w:p w14:paraId="195D333A" w14:textId="73036AFB" w:rsidR="00B812F4" w:rsidRPr="00B812F4" w:rsidRDefault="00B812F4" w:rsidP="00B812F4">
      <w:pPr>
        <w:spacing w:line="480" w:lineRule="auto"/>
        <w:jc w:val="both"/>
        <w:rPr>
          <w:rFonts w:ascii="Arial Black" w:hAnsi="Arial Black" w:cs="Arial"/>
        </w:rPr>
      </w:pPr>
      <w:r w:rsidRPr="00B812F4">
        <w:rPr>
          <w:rFonts w:ascii="Arial Black" w:hAnsi="Arial Black" w:cs="Arial"/>
        </w:rPr>
        <w:lastRenderedPageBreak/>
        <w:t>Theme 3: Transformative Learning Experiences</w:t>
      </w:r>
    </w:p>
    <w:p w14:paraId="6D4644DB" w14:textId="77777777" w:rsidR="00B812F4" w:rsidRPr="00B812F4" w:rsidRDefault="00B812F4" w:rsidP="00B812F4">
      <w:pPr>
        <w:spacing w:line="480" w:lineRule="auto"/>
        <w:jc w:val="both"/>
        <w:rPr>
          <w:rFonts w:ascii="Arial Black" w:hAnsi="Arial Black" w:cs="Arial"/>
        </w:rPr>
      </w:pPr>
      <w:r w:rsidRPr="00B812F4">
        <w:rPr>
          <w:rFonts w:ascii="Arial Black" w:hAnsi="Arial Black" w:cs="Arial"/>
        </w:rPr>
        <w:t>Positive Reinforcement</w:t>
      </w:r>
    </w:p>
    <w:p w14:paraId="44F81C0A" w14:textId="6CC2F0B7" w:rsidR="00B812F4" w:rsidRDefault="00B812F4" w:rsidP="00B812F4">
      <w:pPr>
        <w:spacing w:line="480" w:lineRule="auto"/>
        <w:jc w:val="both"/>
        <w:rPr>
          <w:rFonts w:ascii="Arial" w:hAnsi="Arial" w:cs="Arial"/>
        </w:rPr>
      </w:pPr>
      <w:r w:rsidRPr="00B812F4">
        <w:rPr>
          <w:rFonts w:ascii="Arial" w:hAnsi="Arial" w:cs="Arial"/>
        </w:rPr>
        <w:t xml:space="preserve">Steve emphasised the value of his </w:t>
      </w:r>
      <w:r w:rsidRPr="00B812F4">
        <w:rPr>
          <w:rFonts w:ascii="Arial" w:hAnsi="Arial" w:cs="Arial"/>
        </w:rPr>
        <w:t>tutor ‘remarks</w:t>
      </w:r>
      <w:r w:rsidRPr="00B812F4">
        <w:rPr>
          <w:rFonts w:ascii="Arial" w:hAnsi="Arial" w:cs="Arial"/>
        </w:rPr>
        <w:t>: "The tutors spent time with me and gave me good feedback. That was new to me in education."</w:t>
      </w:r>
      <w:r>
        <w:rPr>
          <w:rFonts w:ascii="Arial" w:hAnsi="Arial" w:cs="Arial"/>
        </w:rPr>
        <w:t xml:space="preserve"> </w:t>
      </w:r>
      <w:r w:rsidRPr="00B812F4">
        <w:rPr>
          <w:rFonts w:ascii="Arial" w:hAnsi="Arial" w:cs="Arial"/>
        </w:rPr>
        <w:t>This assistance was not only beneficial, but also unusual, as Steve had no prior experience with positive reinforcement in school settings. Taylor and White (2019) emphasise the importance of constructive feedback in developing confidence and resilience in adult learners. Such support gave Steve the confidence to believe in his ability and persevere in the face of adversity.</w:t>
      </w:r>
    </w:p>
    <w:p w14:paraId="7C4D3F12" w14:textId="77777777" w:rsidR="00B812F4" w:rsidRPr="00B812F4" w:rsidRDefault="00B812F4" w:rsidP="00B812F4">
      <w:pPr>
        <w:spacing w:line="480" w:lineRule="auto"/>
        <w:jc w:val="both"/>
        <w:rPr>
          <w:rFonts w:ascii="Arial Black" w:hAnsi="Arial Black" w:cs="Arial"/>
        </w:rPr>
      </w:pPr>
      <w:r w:rsidRPr="00B812F4">
        <w:rPr>
          <w:rFonts w:ascii="Arial Black" w:hAnsi="Arial Black" w:cs="Arial"/>
        </w:rPr>
        <w:t>Belonging and Normalcy</w:t>
      </w:r>
    </w:p>
    <w:p w14:paraId="45C54662" w14:textId="07EFAAE4" w:rsidR="00B812F4" w:rsidRDefault="00B812F4" w:rsidP="00B812F4">
      <w:pPr>
        <w:spacing w:line="480" w:lineRule="auto"/>
        <w:jc w:val="both"/>
        <w:rPr>
          <w:rFonts w:ascii="Arial" w:hAnsi="Arial" w:cs="Arial"/>
        </w:rPr>
      </w:pPr>
      <w:r w:rsidRPr="00B812F4">
        <w:rPr>
          <w:rFonts w:ascii="Arial" w:hAnsi="Arial" w:cs="Arial"/>
        </w:rPr>
        <w:t xml:space="preserve">Education gave Steve a sense of belonging and normalcy that had been missing for most of his life. He talked about: </w:t>
      </w:r>
      <w:r w:rsidR="00297E14" w:rsidRPr="00297E14">
        <w:rPr>
          <w:rFonts w:ascii="Arial" w:hAnsi="Arial" w:cs="Arial"/>
        </w:rPr>
        <w:t>"I was one of the normal apprentices, coping with college and getting it done."</w:t>
      </w:r>
      <w:r w:rsidR="00297E14">
        <w:rPr>
          <w:rFonts w:ascii="Arial" w:hAnsi="Arial" w:cs="Arial"/>
        </w:rPr>
        <w:t xml:space="preserve"> </w:t>
      </w:r>
      <w:r w:rsidRPr="00B812F4">
        <w:rPr>
          <w:rFonts w:ascii="Arial" w:hAnsi="Arial" w:cs="Arial"/>
        </w:rPr>
        <w:t>This movement from exclusion to inclusion emphasises the social and emotional benefits of education for marginalised people. Feeling "normal" enabled Steve to reconstruct his identity and participate in everyday life alongside his classmates, reflecting Jones and McGuire's (2021) research on the significance of schooling in normalising experiences for marginalised persons.</w:t>
      </w:r>
    </w:p>
    <w:p w14:paraId="37569C50" w14:textId="77777777" w:rsidR="00297E14" w:rsidRPr="00297E14" w:rsidRDefault="00297E14" w:rsidP="00297E14">
      <w:pPr>
        <w:spacing w:line="480" w:lineRule="auto"/>
        <w:jc w:val="both"/>
        <w:rPr>
          <w:rFonts w:ascii="Arial" w:hAnsi="Arial" w:cs="Arial"/>
        </w:rPr>
      </w:pPr>
      <w:r w:rsidRPr="00297E14">
        <w:rPr>
          <w:rFonts w:ascii="Arial" w:hAnsi="Arial" w:cs="Arial"/>
        </w:rPr>
        <w:t>Superordinate Theme 4: Empowerment and Advocacy</w:t>
      </w:r>
    </w:p>
    <w:p w14:paraId="73E9892D" w14:textId="10B77E7C" w:rsidR="00297E14" w:rsidRDefault="00297E14" w:rsidP="00297E14">
      <w:pPr>
        <w:spacing w:line="480" w:lineRule="auto"/>
        <w:jc w:val="both"/>
        <w:rPr>
          <w:rFonts w:ascii="Arial" w:hAnsi="Arial" w:cs="Arial"/>
        </w:rPr>
      </w:pPr>
      <w:r w:rsidRPr="00297E14">
        <w:rPr>
          <w:rFonts w:ascii="Arial" w:hAnsi="Arial" w:cs="Arial"/>
        </w:rPr>
        <w:t>Leveraging Past Experiences</w:t>
      </w:r>
    </w:p>
    <w:p w14:paraId="536D3C53" w14:textId="73BF6B9F" w:rsidR="00297E14" w:rsidRDefault="00297E14" w:rsidP="00297E14">
      <w:pPr>
        <w:spacing w:line="480" w:lineRule="auto"/>
        <w:jc w:val="both"/>
        <w:rPr>
          <w:rFonts w:ascii="Arial" w:hAnsi="Arial" w:cs="Arial"/>
        </w:rPr>
      </w:pPr>
      <w:r w:rsidRPr="00297E14">
        <w:rPr>
          <w:rFonts w:ascii="Arial" w:hAnsi="Arial" w:cs="Arial"/>
        </w:rPr>
        <w:t xml:space="preserve">Encouraged by Ann, his keyworker, to "use your experience," Steve started volunteering. This changed his view of his former difficulties and turned them into a source of power. He thought: "I’m the one helping people with housing problems now. I make sure they’re seen and listened to." Steve not only developed himself but also </w:t>
      </w:r>
      <w:r w:rsidRPr="00297E14">
        <w:rPr>
          <w:rFonts w:ascii="Arial" w:hAnsi="Arial" w:cs="Arial"/>
        </w:rPr>
        <w:lastRenderedPageBreak/>
        <w:t>significantly helped his community by drawing on his life experiences. Emphasising the value of lived experiences in adult education, Smith and Larkin (2020) point out that these can work as a link between personal development and community influence.</w:t>
      </w:r>
    </w:p>
    <w:p w14:paraId="7FCB0AA9" w14:textId="77777777" w:rsidR="00297E14" w:rsidRPr="00297E14" w:rsidRDefault="00297E14" w:rsidP="00297E14">
      <w:pPr>
        <w:spacing w:line="480" w:lineRule="auto"/>
        <w:jc w:val="both"/>
        <w:rPr>
          <w:rFonts w:ascii="Arial Black" w:hAnsi="Arial Black" w:cs="Arial"/>
        </w:rPr>
      </w:pPr>
      <w:r w:rsidRPr="00297E14">
        <w:rPr>
          <w:rFonts w:ascii="Arial Black" w:hAnsi="Arial Black" w:cs="Arial"/>
        </w:rPr>
        <w:t xml:space="preserve">Advocacy for </w:t>
      </w:r>
      <w:r w:rsidRPr="00297E14">
        <w:rPr>
          <w:rFonts w:ascii="Arial Black" w:hAnsi="Arial Black" w:cs="Arial"/>
        </w:rPr>
        <w:t>Others</w:t>
      </w:r>
    </w:p>
    <w:p w14:paraId="7E131D70" w14:textId="4677DFA1" w:rsidR="00297E14" w:rsidRDefault="00297E14" w:rsidP="00297E14">
      <w:pPr>
        <w:spacing w:line="480" w:lineRule="auto"/>
        <w:jc w:val="both"/>
        <w:rPr>
          <w:rFonts w:ascii="Arial" w:hAnsi="Arial" w:cs="Arial"/>
        </w:rPr>
      </w:pPr>
      <w:r w:rsidRPr="00297E14">
        <w:rPr>
          <w:rFonts w:ascii="Arial" w:hAnsi="Arial" w:cs="Arial"/>
        </w:rPr>
        <w:t>Steve's path from getting assistance to offering it shows the transforming power of learning. Working in floating support and supported housing helped him to empower others dealing with comparable difficulties. Evans and Carter (2022) contend that this change from recipient to advocate supports the long-term advantages of adult education and generates great fulfilment. For Steve, advocacy served as evidence of his tenacity and metamorphosis as well as a means of payback.</w:t>
      </w:r>
    </w:p>
    <w:p w14:paraId="5C5A1B37" w14:textId="77777777" w:rsidR="00297E14" w:rsidRPr="007A2045" w:rsidRDefault="00297E14" w:rsidP="00297E14">
      <w:pPr>
        <w:spacing w:line="480" w:lineRule="auto"/>
        <w:jc w:val="both"/>
        <w:rPr>
          <w:rFonts w:ascii="Arial Black" w:hAnsi="Arial Black" w:cs="Arial"/>
        </w:rPr>
      </w:pPr>
      <w:r w:rsidRPr="007A2045">
        <w:rPr>
          <w:rFonts w:ascii="Arial Black" w:hAnsi="Arial Black" w:cs="Arial"/>
        </w:rPr>
        <w:t>Superordinate Theme 5: Adaptation to New Environments</w:t>
      </w:r>
    </w:p>
    <w:p w14:paraId="39DAC672" w14:textId="77777777" w:rsidR="007A2045" w:rsidRPr="007A2045" w:rsidRDefault="00297E14" w:rsidP="007A2045">
      <w:pPr>
        <w:spacing w:line="480" w:lineRule="auto"/>
        <w:jc w:val="both"/>
        <w:rPr>
          <w:rFonts w:ascii="Arial Black" w:hAnsi="Arial Black" w:cs="Arial"/>
        </w:rPr>
      </w:pPr>
      <w:r w:rsidRPr="007A2045">
        <w:rPr>
          <w:rFonts w:ascii="Arial Black" w:hAnsi="Arial Black" w:cs="Arial"/>
        </w:rPr>
        <w:t>Technological Challenges</w:t>
      </w:r>
    </w:p>
    <w:p w14:paraId="68A27E84" w14:textId="592F2D79" w:rsidR="007A2045" w:rsidRDefault="007A2045" w:rsidP="007A2045">
      <w:pPr>
        <w:spacing w:line="480" w:lineRule="auto"/>
        <w:jc w:val="both"/>
        <w:rPr>
          <w:rFonts w:ascii="Arial" w:hAnsi="Arial" w:cs="Arial"/>
        </w:rPr>
      </w:pPr>
      <w:r w:rsidRPr="007A2045">
        <w:rPr>
          <w:rFonts w:ascii="Arial" w:hAnsi="Arial" w:cs="Arial"/>
        </w:rPr>
        <w:t>Steve's lack of computer knowledge seriously hampered his education and professional growth. He said: "I’d never even turned a computer on... It literally wasn’t in my world." Steve felt left out of contemporary workplaces and classrooms because of his inexperience. Overcoming technical obstacles is necessary for involvement in modern education and employment, hence Harvey and Mullins (2022) underline the need of customised digital literacy support for adult learners.</w:t>
      </w:r>
    </w:p>
    <w:p w14:paraId="0EE44298" w14:textId="00BF0CA4" w:rsidR="007A2045" w:rsidRPr="007A2045" w:rsidRDefault="007A2045" w:rsidP="007A2045">
      <w:pPr>
        <w:spacing w:line="480" w:lineRule="auto"/>
        <w:jc w:val="both"/>
        <w:rPr>
          <w:rFonts w:ascii="Arial Black" w:hAnsi="Arial Black" w:cs="Arial"/>
        </w:rPr>
      </w:pPr>
      <w:r w:rsidRPr="007A2045">
        <w:rPr>
          <w:rFonts w:ascii="Arial Black" w:hAnsi="Arial Black" w:cs="Arial"/>
        </w:rPr>
        <w:t xml:space="preserve">Persistence in Learning </w:t>
      </w:r>
    </w:p>
    <w:p w14:paraId="4DCAD32E" w14:textId="11261991" w:rsidR="007A2045" w:rsidRDefault="007A2045" w:rsidP="007A2045">
      <w:pPr>
        <w:spacing w:line="480" w:lineRule="auto"/>
        <w:jc w:val="both"/>
        <w:rPr>
          <w:rFonts w:ascii="Arial" w:hAnsi="Arial" w:cs="Arial"/>
        </w:rPr>
      </w:pPr>
      <w:r w:rsidRPr="007A2045">
        <w:rPr>
          <w:rFonts w:ascii="Arial" w:hAnsi="Arial" w:cs="Arial"/>
        </w:rPr>
        <w:t xml:space="preserve">Steve adapted and finally flourished </w:t>
      </w:r>
      <w:r w:rsidRPr="007A2045">
        <w:rPr>
          <w:rFonts w:ascii="Arial" w:hAnsi="Arial" w:cs="Arial"/>
        </w:rPr>
        <w:t>despite</w:t>
      </w:r>
      <w:r w:rsidRPr="007A2045">
        <w:rPr>
          <w:rFonts w:ascii="Arial" w:hAnsi="Arial" w:cs="Arial"/>
        </w:rPr>
        <w:t xml:space="preserve"> these difficulties. When he considered his math experience, he remarked, "The names kind of… shut me out… made me feel like it was something else I didn’t know." Understanding he could grasp these ideas </w:t>
      </w:r>
      <w:r w:rsidRPr="007A2045">
        <w:rPr>
          <w:rFonts w:ascii="Arial" w:hAnsi="Arial" w:cs="Arial"/>
        </w:rPr>
        <w:lastRenderedPageBreak/>
        <w:t>gave him hope: "It was a big confidence boost." According to Taylor and White (2019), resilience among adult students is much enhanced by little victories. For Steve, developing these abilities was not only useful but also indicative of his capacity to overcome marginalisation and engage completely in his new surroundings.</w:t>
      </w:r>
    </w:p>
    <w:p w14:paraId="5C692BA0" w14:textId="77777777" w:rsidR="007A2045" w:rsidRPr="007A2045" w:rsidRDefault="007A2045" w:rsidP="007A2045">
      <w:pPr>
        <w:spacing w:line="480" w:lineRule="auto"/>
        <w:jc w:val="both"/>
        <w:rPr>
          <w:rFonts w:ascii="Arial Black" w:hAnsi="Arial Black" w:cs="ADLaM Display"/>
        </w:rPr>
      </w:pPr>
      <w:r w:rsidRPr="007A2045">
        <w:rPr>
          <w:rFonts w:ascii="Arial Black" w:hAnsi="Arial Black" w:cs="ADLaM Display"/>
        </w:rPr>
        <w:t>Summary of Findings</w:t>
      </w:r>
    </w:p>
    <w:p w14:paraId="45E58791" w14:textId="50C6243D" w:rsidR="007A2045" w:rsidRDefault="007A2045" w:rsidP="007A2045">
      <w:pPr>
        <w:spacing w:line="480" w:lineRule="auto"/>
        <w:jc w:val="both"/>
        <w:rPr>
          <w:rFonts w:ascii="Arial" w:hAnsi="Arial" w:cs="Arial"/>
        </w:rPr>
      </w:pPr>
      <w:r w:rsidRPr="007A2045">
        <w:rPr>
          <w:rFonts w:ascii="Arial" w:hAnsi="Arial" w:cs="Arial"/>
        </w:rPr>
        <w:t>Steve's story underscores the transforming capacity of adult education, especially for people overcoming systemic barriers. Themes of recognition, resilience, and adaptation highlight the emotional and psychological aspects of his journey. Each overarching topic illustrates the interaction of individual endeavour, supportive connections, and systemic opportunity in influencing his experiences. These findings correspond with the current research, highlighting the essential importance of education in facilitating identity reconstruction, inclusion, and empowerment for marginalised individuals.</w:t>
      </w:r>
    </w:p>
    <w:p w14:paraId="11039E6B" w14:textId="2539BC1D" w:rsidR="009331D4" w:rsidRDefault="007A2045" w:rsidP="007A2045">
      <w:pPr>
        <w:spacing w:line="480" w:lineRule="auto"/>
        <w:jc w:val="both"/>
        <w:rPr>
          <w:rFonts w:ascii="Arial" w:hAnsi="Arial" w:cs="Arial"/>
        </w:rPr>
      </w:pPr>
      <w:r w:rsidRPr="007A2045">
        <w:rPr>
          <w:rFonts w:ascii="Arial Black" w:hAnsi="Arial Black" w:cs="Arial"/>
        </w:rPr>
        <w:t xml:space="preserve">Discussion </w:t>
      </w:r>
      <w:r w:rsidRPr="007A2045">
        <w:rPr>
          <w:rFonts w:ascii="Arial Black" w:hAnsi="Arial Black" w:cs="Arial"/>
        </w:rPr>
        <w:br/>
      </w:r>
      <w:r w:rsidRPr="007A2045">
        <w:rPr>
          <w:rFonts w:ascii="Arial" w:hAnsi="Arial" w:cs="Arial"/>
        </w:rPr>
        <w:t>Steve's narrative emphasises the transformative potential of adult education for marginalised individuals, particularly in the areas of emotional recovery, skill development, and social reintegration. Recognition, supportive relationships, and overcoming obstacles</w:t>
      </w:r>
      <w:r w:rsidR="009331D4">
        <w:rPr>
          <w:rFonts w:ascii="Arial" w:hAnsi="Arial" w:cs="Arial"/>
        </w:rPr>
        <w:t xml:space="preserve">; </w:t>
      </w:r>
      <w:r w:rsidRPr="007A2045">
        <w:rPr>
          <w:rFonts w:ascii="Arial" w:hAnsi="Arial" w:cs="Arial"/>
        </w:rPr>
        <w:t>themes that are prominently featured in his narrative</w:t>
      </w:r>
      <w:r w:rsidR="009331D4">
        <w:rPr>
          <w:rFonts w:ascii="Arial" w:hAnsi="Arial" w:cs="Arial"/>
        </w:rPr>
        <w:t xml:space="preserve"> </w:t>
      </w:r>
      <w:r w:rsidRPr="007A2045">
        <w:rPr>
          <w:rFonts w:ascii="Arial" w:hAnsi="Arial" w:cs="Arial"/>
        </w:rPr>
        <w:t xml:space="preserve">are in accordance with current research, which illuminates the </w:t>
      </w:r>
      <w:r w:rsidR="009331D4" w:rsidRPr="007A2045">
        <w:rPr>
          <w:rFonts w:ascii="Arial" w:hAnsi="Arial" w:cs="Arial"/>
        </w:rPr>
        <w:t>way</w:t>
      </w:r>
      <w:r w:rsidRPr="007A2045">
        <w:rPr>
          <w:rFonts w:ascii="Arial" w:hAnsi="Arial" w:cs="Arial"/>
        </w:rPr>
        <w:t xml:space="preserve"> adult education facilitates personal development.</w:t>
      </w:r>
    </w:p>
    <w:p w14:paraId="44A9A779" w14:textId="77777777" w:rsidR="009331D4" w:rsidRPr="009331D4" w:rsidRDefault="007A2045" w:rsidP="007A2045">
      <w:pPr>
        <w:spacing w:line="480" w:lineRule="auto"/>
        <w:jc w:val="both"/>
        <w:rPr>
          <w:rFonts w:ascii="Arial Black" w:hAnsi="Arial Black" w:cs="Arial"/>
        </w:rPr>
      </w:pPr>
      <w:r w:rsidRPr="007A2045">
        <w:rPr>
          <w:rFonts w:ascii="Arial Black" w:hAnsi="Arial Black" w:cs="Arial"/>
        </w:rPr>
        <w:t>Reconstruction of Identity</w:t>
      </w:r>
    </w:p>
    <w:p w14:paraId="6BEE5881" w14:textId="77777777" w:rsidR="009331D4" w:rsidRDefault="007A2045" w:rsidP="007A2045">
      <w:pPr>
        <w:spacing w:line="480" w:lineRule="auto"/>
        <w:jc w:val="both"/>
        <w:rPr>
          <w:rFonts w:ascii="Arial" w:hAnsi="Arial" w:cs="Arial"/>
        </w:rPr>
      </w:pPr>
      <w:r w:rsidRPr="007A2045">
        <w:rPr>
          <w:rFonts w:ascii="Arial" w:hAnsi="Arial" w:cs="Arial"/>
        </w:rPr>
        <w:t xml:space="preserve">The significance of recognition in the reconstruction of Steve's self-worth was one of the most profound aspects of his journey. His transition to supported accommodation </w:t>
      </w:r>
      <w:r w:rsidRPr="007A2045">
        <w:rPr>
          <w:rFonts w:ascii="Arial" w:hAnsi="Arial" w:cs="Arial"/>
        </w:rPr>
        <w:lastRenderedPageBreak/>
        <w:t>was a pivotal moment, as it was the first time in years that he felt "seen" and "valued." This experience of recognition is consistent with the findings of Smith and Larkin (2020), which underscore the importance of acknowledgement from others in the process of identity reconstruction. The stigma and disconnection that are frequently associated with systemic exclusion are mitigated by the recognition and validation that marginalised adults receive, which serves as a foundation for personal development. The duality of regret and gratitude in this process is emphasised by Steve's reflection on his "wasted years," as he reconciled lost opportunities with newfound hope and purpose.</w:t>
      </w:r>
    </w:p>
    <w:p w14:paraId="0EAD59ED" w14:textId="77777777" w:rsidR="009331D4" w:rsidRPr="009331D4" w:rsidRDefault="007A2045" w:rsidP="007A2045">
      <w:pPr>
        <w:spacing w:line="480" w:lineRule="auto"/>
        <w:jc w:val="both"/>
        <w:rPr>
          <w:rFonts w:ascii="Arial Black" w:hAnsi="Arial Black" w:cs="Arial"/>
        </w:rPr>
      </w:pPr>
      <w:r w:rsidRPr="007A2045">
        <w:rPr>
          <w:rFonts w:ascii="Arial Black" w:hAnsi="Arial Black" w:cs="Arial"/>
        </w:rPr>
        <w:t>Overcoming Obstacles</w:t>
      </w:r>
    </w:p>
    <w:p w14:paraId="5C0A7EDA" w14:textId="77777777" w:rsidR="009331D4" w:rsidRDefault="007A2045" w:rsidP="007A2045">
      <w:pPr>
        <w:spacing w:line="480" w:lineRule="auto"/>
        <w:jc w:val="both"/>
        <w:rPr>
          <w:rFonts w:ascii="Arial" w:hAnsi="Arial" w:cs="Arial"/>
        </w:rPr>
      </w:pPr>
      <w:r w:rsidRPr="007A2045">
        <w:rPr>
          <w:rFonts w:ascii="Arial" w:hAnsi="Arial" w:cs="Arial"/>
        </w:rPr>
        <w:t>The multifaceted impediments encountered by adult learners are underscored by Steve's challenges with technology and institutional systems. Initially, his lack of familiarity with computers caused him to feel excluded, as he stated, "I had never even turned a computer on... It literally wasn't in my world." In the same vein, his apprehension was exacerbated by the evolution of mathematical terminology since his school days. Harvey and Mullins (2022) underscore the significance of personalised digital literacy and foundational skill support for adult learners, particularly those who are re-entering the educational system after extended periods of absence. The necessity for educational institutions to establish adaptive learning environments that accommodate a variety of starting points is underscored by Steve's narrative. Steve's confidence and sense of belonging were not only reinforced by the practical accomplishment of surmounting these obstacles, but also by the symbolic significance of the accomplishment.</w:t>
      </w:r>
    </w:p>
    <w:p w14:paraId="21CB5902" w14:textId="77777777" w:rsidR="009331D4" w:rsidRDefault="009331D4" w:rsidP="007A2045">
      <w:pPr>
        <w:spacing w:line="480" w:lineRule="auto"/>
        <w:jc w:val="both"/>
        <w:rPr>
          <w:rFonts w:ascii="Arial" w:hAnsi="Arial" w:cs="Arial"/>
        </w:rPr>
      </w:pPr>
    </w:p>
    <w:p w14:paraId="20A077D7" w14:textId="1EF878E9" w:rsidR="009331D4" w:rsidRPr="009331D4" w:rsidRDefault="009331D4" w:rsidP="007A2045">
      <w:pPr>
        <w:spacing w:line="480" w:lineRule="auto"/>
        <w:jc w:val="both"/>
        <w:rPr>
          <w:rFonts w:ascii="Arial Black" w:hAnsi="Arial Black" w:cs="Arial"/>
        </w:rPr>
      </w:pPr>
      <w:r>
        <w:rPr>
          <w:rFonts w:ascii="Arial Black" w:hAnsi="Arial Black" w:cs="Arial"/>
        </w:rPr>
        <w:lastRenderedPageBreak/>
        <w:t xml:space="preserve">Supporting </w:t>
      </w:r>
      <w:r w:rsidR="007A2045" w:rsidRPr="007A2045">
        <w:rPr>
          <w:rFonts w:ascii="Arial Black" w:hAnsi="Arial Black" w:cs="Arial"/>
        </w:rPr>
        <w:t>Relationships</w:t>
      </w:r>
    </w:p>
    <w:p w14:paraId="30720A64" w14:textId="77777777" w:rsidR="009331D4" w:rsidRDefault="007A2045" w:rsidP="007A2045">
      <w:pPr>
        <w:spacing w:line="480" w:lineRule="auto"/>
        <w:jc w:val="both"/>
        <w:rPr>
          <w:rFonts w:ascii="Arial" w:hAnsi="Arial" w:cs="Arial"/>
        </w:rPr>
      </w:pPr>
      <w:r w:rsidRPr="007A2045">
        <w:rPr>
          <w:rFonts w:ascii="Arial" w:hAnsi="Arial" w:cs="Arial"/>
        </w:rPr>
        <w:t xml:space="preserve">Steve's persistence and development were significantly influenced by mentorship and encouragement. His tutor, Leanne, consistently offered him additional support and encouragement, while his key worker, Ann, encouraged him to participate in volunteer work. Steve was able to persevere through challenges and navigate moments of self-doubt </w:t>
      </w:r>
      <w:r w:rsidR="009331D4" w:rsidRPr="007A2045">
        <w:rPr>
          <w:rFonts w:ascii="Arial" w:hAnsi="Arial" w:cs="Arial"/>
        </w:rPr>
        <w:t>because of</w:t>
      </w:r>
      <w:r w:rsidRPr="007A2045">
        <w:rPr>
          <w:rFonts w:ascii="Arial" w:hAnsi="Arial" w:cs="Arial"/>
        </w:rPr>
        <w:t xml:space="preserve"> this mentorship. The critical role of supportive relationships in cultivating resilience among adult learners, particularly those with histories of marginalisation, is underscored by Mills and Green (2020). This is corroborated by Steve's experience, which demonstrates the potential of meaningful relationships to motivate individuals to persevere and accomplish their objectives.</w:t>
      </w:r>
    </w:p>
    <w:p w14:paraId="36B43216" w14:textId="649B2F4A" w:rsidR="007A2045" w:rsidRDefault="007A2045" w:rsidP="007A2045">
      <w:pPr>
        <w:spacing w:line="480" w:lineRule="auto"/>
        <w:jc w:val="both"/>
        <w:rPr>
          <w:rFonts w:ascii="Arial" w:hAnsi="Arial" w:cs="Arial"/>
        </w:rPr>
      </w:pPr>
      <w:r w:rsidRPr="007A2045">
        <w:rPr>
          <w:rFonts w:ascii="Arial" w:hAnsi="Arial" w:cs="Arial"/>
        </w:rPr>
        <w:t>In conclusion, Steve's narrative illustrates the potential for adult education to effect profound and enduring change in marginalised individuals when it is accompanied by recognition, customised environments, and meaningful relationships.</w:t>
      </w:r>
    </w:p>
    <w:p w14:paraId="469ADE66" w14:textId="45AB36AD" w:rsidR="009331D4" w:rsidRPr="009331D4" w:rsidRDefault="009331D4" w:rsidP="007A2045">
      <w:pPr>
        <w:spacing w:line="480" w:lineRule="auto"/>
        <w:jc w:val="both"/>
        <w:rPr>
          <w:rFonts w:ascii="Arial Black" w:hAnsi="Arial Black" w:cs="Arial"/>
        </w:rPr>
      </w:pPr>
      <w:r w:rsidRPr="009331D4">
        <w:rPr>
          <w:rFonts w:ascii="Arial Black" w:hAnsi="Arial Black" w:cs="Arial"/>
        </w:rPr>
        <w:t>Recommendation for Practice</w:t>
      </w:r>
    </w:p>
    <w:p w14:paraId="349B40C7" w14:textId="77777777" w:rsidR="009331D4" w:rsidRPr="009331D4" w:rsidRDefault="009331D4" w:rsidP="009331D4">
      <w:pPr>
        <w:pStyle w:val="ListParagraph"/>
        <w:numPr>
          <w:ilvl w:val="0"/>
          <w:numId w:val="2"/>
        </w:numPr>
        <w:spacing w:line="480" w:lineRule="auto"/>
        <w:jc w:val="both"/>
        <w:rPr>
          <w:rFonts w:ascii="Arial" w:hAnsi="Arial" w:cs="Arial"/>
        </w:rPr>
      </w:pPr>
      <w:r w:rsidRPr="009331D4">
        <w:rPr>
          <w:rFonts w:ascii="Arial" w:hAnsi="Arial" w:cs="Arial"/>
        </w:rPr>
        <w:t>Trauma-Informed Pedagogy: Organisations ought to use strategies that attend to the psychological and emotional requirements of adult learners (Murphy &amp; Karp, 2020).</w:t>
      </w:r>
    </w:p>
    <w:p w14:paraId="11811FF9" w14:textId="25D9EE64" w:rsidR="009331D4" w:rsidRPr="009331D4" w:rsidRDefault="009331D4" w:rsidP="009331D4">
      <w:pPr>
        <w:pStyle w:val="ListParagraph"/>
        <w:numPr>
          <w:ilvl w:val="0"/>
          <w:numId w:val="2"/>
        </w:numPr>
        <w:spacing w:line="480" w:lineRule="auto"/>
        <w:jc w:val="both"/>
        <w:rPr>
          <w:rFonts w:ascii="Arial" w:hAnsi="Arial" w:cs="Arial"/>
        </w:rPr>
      </w:pPr>
      <w:r w:rsidRPr="009331D4">
        <w:rPr>
          <w:rFonts w:ascii="Arial" w:hAnsi="Arial" w:cs="Arial"/>
        </w:rPr>
        <w:t>Support for Digital Literacy: To remove obstacles to involvement, basic technology instruction is crucial (Harvey &amp; Mullins, 2022).</w:t>
      </w:r>
    </w:p>
    <w:p w14:paraId="65E8C8C5" w14:textId="6104D58B" w:rsidR="009331D4" w:rsidRDefault="009331D4" w:rsidP="009331D4">
      <w:pPr>
        <w:pStyle w:val="ListParagraph"/>
        <w:numPr>
          <w:ilvl w:val="0"/>
          <w:numId w:val="2"/>
        </w:numPr>
        <w:spacing w:line="480" w:lineRule="auto"/>
        <w:jc w:val="both"/>
        <w:rPr>
          <w:rFonts w:ascii="Arial" w:hAnsi="Arial" w:cs="Arial"/>
        </w:rPr>
      </w:pPr>
      <w:r w:rsidRPr="009331D4">
        <w:rPr>
          <w:rFonts w:ascii="Arial" w:hAnsi="Arial" w:cs="Arial"/>
        </w:rPr>
        <w:t>Mentorship Programs: Adult learners can develop resilience and perseverance through organised mentorship opportunities (Evans &amp; Carter, 2022).</w:t>
      </w:r>
    </w:p>
    <w:p w14:paraId="21416E40" w14:textId="77777777" w:rsidR="009331D4" w:rsidRDefault="009331D4" w:rsidP="009331D4">
      <w:pPr>
        <w:spacing w:line="480" w:lineRule="auto"/>
        <w:jc w:val="both"/>
        <w:rPr>
          <w:rFonts w:ascii="Arial" w:hAnsi="Arial" w:cs="Arial"/>
        </w:rPr>
      </w:pPr>
    </w:p>
    <w:p w14:paraId="357D758B" w14:textId="77777777" w:rsidR="009331D4" w:rsidRDefault="009331D4" w:rsidP="009331D4">
      <w:pPr>
        <w:spacing w:line="480" w:lineRule="auto"/>
        <w:jc w:val="both"/>
        <w:rPr>
          <w:rFonts w:ascii="Arial" w:hAnsi="Arial" w:cs="Arial"/>
        </w:rPr>
      </w:pPr>
    </w:p>
    <w:p w14:paraId="5DEF603A" w14:textId="68BDD72B" w:rsidR="009331D4" w:rsidRPr="006F48BD" w:rsidRDefault="009331D4" w:rsidP="009331D4">
      <w:pPr>
        <w:spacing w:line="480" w:lineRule="auto"/>
        <w:jc w:val="both"/>
        <w:rPr>
          <w:rFonts w:ascii="Arial Black" w:hAnsi="Arial Black" w:cs="Arial"/>
        </w:rPr>
      </w:pPr>
      <w:r w:rsidRPr="006F48BD">
        <w:rPr>
          <w:rFonts w:ascii="Arial Black" w:hAnsi="Arial Black" w:cs="Arial"/>
        </w:rPr>
        <w:lastRenderedPageBreak/>
        <w:t xml:space="preserve">References </w:t>
      </w:r>
    </w:p>
    <w:p w14:paraId="110AF03F" w14:textId="77777777" w:rsidR="006F48BD" w:rsidRDefault="00483533" w:rsidP="006F48BD">
      <w:pPr>
        <w:spacing w:line="480" w:lineRule="auto"/>
        <w:ind w:left="720" w:hanging="720"/>
        <w:jc w:val="both"/>
        <w:rPr>
          <w:rFonts w:ascii="Arial" w:hAnsi="Arial" w:cs="Arial"/>
        </w:rPr>
      </w:pPr>
      <w:r w:rsidRPr="00483533">
        <w:rPr>
          <w:rFonts w:ascii="Arial" w:hAnsi="Arial" w:cs="Arial"/>
        </w:rPr>
        <w:t xml:space="preserve">Evans, M. C., &amp; Carter, J. D. (2022). The role of confidence-building in adult learner journeys. </w:t>
      </w:r>
      <w:r w:rsidRPr="006F48BD">
        <w:rPr>
          <w:rFonts w:ascii="Arial" w:hAnsi="Arial" w:cs="Arial"/>
          <w:i/>
          <w:iCs/>
        </w:rPr>
        <w:t>Adult Education Quarterly, 72</w:t>
      </w:r>
      <w:r w:rsidRPr="00483533">
        <w:rPr>
          <w:rFonts w:ascii="Arial" w:hAnsi="Arial" w:cs="Arial"/>
        </w:rPr>
        <w:t xml:space="preserve">(1), 56–73. </w:t>
      </w:r>
    </w:p>
    <w:p w14:paraId="16AC1045" w14:textId="4001684C" w:rsidR="00483533" w:rsidRDefault="00483533" w:rsidP="006F48BD">
      <w:pPr>
        <w:spacing w:line="480" w:lineRule="auto"/>
        <w:ind w:left="720" w:hanging="720"/>
        <w:jc w:val="both"/>
        <w:rPr>
          <w:rFonts w:ascii="Arial" w:hAnsi="Arial" w:cs="Arial"/>
        </w:rPr>
      </w:pPr>
      <w:r w:rsidRPr="00483533">
        <w:rPr>
          <w:rFonts w:ascii="Arial" w:hAnsi="Arial" w:cs="Arial"/>
        </w:rPr>
        <w:t xml:space="preserve">Harvey, T., &amp; Mullins, J. (2022). Understanding barriers to digital literacy for older adult learners. </w:t>
      </w:r>
      <w:r w:rsidRPr="006F48BD">
        <w:rPr>
          <w:rFonts w:ascii="Arial" w:hAnsi="Arial" w:cs="Arial"/>
          <w:i/>
          <w:iCs/>
        </w:rPr>
        <w:t>Journal of Lifelong Learning, 18</w:t>
      </w:r>
      <w:r w:rsidRPr="00483533">
        <w:rPr>
          <w:rFonts w:ascii="Arial" w:hAnsi="Arial" w:cs="Arial"/>
        </w:rPr>
        <w:t xml:space="preserve">(2), 135–150. </w:t>
      </w:r>
    </w:p>
    <w:p w14:paraId="0412859E" w14:textId="37475809" w:rsidR="006F48BD" w:rsidRDefault="006F48BD" w:rsidP="006F48BD">
      <w:pPr>
        <w:spacing w:line="480" w:lineRule="auto"/>
        <w:ind w:left="720" w:hanging="720"/>
        <w:jc w:val="both"/>
        <w:rPr>
          <w:rFonts w:ascii="Arial" w:hAnsi="Arial" w:cs="Arial"/>
        </w:rPr>
      </w:pPr>
      <w:r w:rsidRPr="006F48BD">
        <w:rPr>
          <w:rFonts w:ascii="Arial" w:hAnsi="Arial" w:cs="Arial"/>
        </w:rPr>
        <w:t xml:space="preserve">Hohn, M. (1998). </w:t>
      </w:r>
      <w:r w:rsidRPr="006F48BD">
        <w:rPr>
          <w:rFonts w:ascii="Arial" w:hAnsi="Arial" w:cs="Arial"/>
          <w:i/>
          <w:iCs/>
        </w:rPr>
        <w:t>Organizational development and its implications for adult basic education programs.</w:t>
      </w:r>
      <w:r w:rsidRPr="006F48BD">
        <w:rPr>
          <w:rFonts w:ascii="Arial" w:hAnsi="Arial" w:cs="Arial"/>
        </w:rPr>
        <w:t xml:space="preserve"> National </w:t>
      </w:r>
      <w:r w:rsidRPr="006F48BD">
        <w:rPr>
          <w:rFonts w:ascii="Arial" w:hAnsi="Arial" w:cs="Arial"/>
        </w:rPr>
        <w:t>Centre</w:t>
      </w:r>
      <w:r w:rsidRPr="006F48BD">
        <w:rPr>
          <w:rFonts w:ascii="Arial" w:hAnsi="Arial" w:cs="Arial"/>
        </w:rPr>
        <w:t xml:space="preserve"> for the Study of Adult Learning and Literacy. Retrieved from </w:t>
      </w:r>
      <w:hyperlink r:id="rId8" w:history="1">
        <w:r w:rsidRPr="001C4A7D">
          <w:rPr>
            <w:rStyle w:val="Hyperlink"/>
            <w:rFonts w:ascii="Arial" w:hAnsi="Arial" w:cs="Arial"/>
          </w:rPr>
          <w:t>http://www.ncsall.net/?id=557</w:t>
        </w:r>
      </w:hyperlink>
    </w:p>
    <w:p w14:paraId="4D5491B5" w14:textId="454C0868" w:rsidR="006F48BD" w:rsidRDefault="006F48BD" w:rsidP="006F48BD">
      <w:pPr>
        <w:spacing w:line="480" w:lineRule="auto"/>
        <w:ind w:left="720" w:hanging="720"/>
        <w:jc w:val="both"/>
        <w:rPr>
          <w:rFonts w:ascii="Arial" w:hAnsi="Arial" w:cs="Arial"/>
        </w:rPr>
      </w:pPr>
      <w:r w:rsidRPr="006F48BD">
        <w:rPr>
          <w:rFonts w:ascii="Arial" w:hAnsi="Arial" w:cs="Arial"/>
        </w:rPr>
        <w:t xml:space="preserve">Hohn, M. (1998). </w:t>
      </w:r>
      <w:r w:rsidRPr="006F48BD">
        <w:rPr>
          <w:rFonts w:ascii="Arial" w:hAnsi="Arial" w:cs="Arial"/>
          <w:i/>
          <w:iCs/>
        </w:rPr>
        <w:t xml:space="preserve">Why is change so hard? National </w:t>
      </w:r>
      <w:r w:rsidRPr="006F48BD">
        <w:rPr>
          <w:rFonts w:ascii="Arial" w:hAnsi="Arial" w:cs="Arial"/>
          <w:i/>
          <w:iCs/>
        </w:rPr>
        <w:t>Centre</w:t>
      </w:r>
      <w:r w:rsidRPr="006F48BD">
        <w:rPr>
          <w:rFonts w:ascii="Arial" w:hAnsi="Arial" w:cs="Arial"/>
          <w:i/>
          <w:iCs/>
        </w:rPr>
        <w:t xml:space="preserve"> for the Study of Adult Learning and Literacy</w:t>
      </w:r>
      <w:r w:rsidRPr="006F48BD">
        <w:rPr>
          <w:rFonts w:ascii="Arial" w:hAnsi="Arial" w:cs="Arial"/>
        </w:rPr>
        <w:t xml:space="preserve">. Retrieved from </w:t>
      </w:r>
      <w:hyperlink r:id="rId9" w:history="1">
        <w:r w:rsidRPr="001C4A7D">
          <w:rPr>
            <w:rStyle w:val="Hyperlink"/>
            <w:rFonts w:ascii="Arial" w:hAnsi="Arial" w:cs="Arial"/>
          </w:rPr>
          <w:t>http://www.ncsall.net/?id=396</w:t>
        </w:r>
      </w:hyperlink>
    </w:p>
    <w:p w14:paraId="12BBA537" w14:textId="125B22D9" w:rsidR="006F48BD" w:rsidRPr="00483533" w:rsidRDefault="006F48BD" w:rsidP="006F48BD">
      <w:pPr>
        <w:spacing w:line="480" w:lineRule="auto"/>
        <w:ind w:left="720" w:hanging="720"/>
        <w:jc w:val="both"/>
        <w:rPr>
          <w:rFonts w:ascii="Arial" w:hAnsi="Arial" w:cs="Arial"/>
        </w:rPr>
      </w:pPr>
      <w:r w:rsidRPr="006F48BD">
        <w:rPr>
          <w:rFonts w:ascii="Arial" w:hAnsi="Arial" w:cs="Arial"/>
        </w:rPr>
        <w:t xml:space="preserve">Imel, S. (2002). </w:t>
      </w:r>
      <w:r w:rsidRPr="006F48BD">
        <w:rPr>
          <w:rFonts w:ascii="Arial" w:hAnsi="Arial" w:cs="Arial"/>
          <w:i/>
          <w:iCs/>
        </w:rPr>
        <w:t>Change: Connections to adult learning and education</w:t>
      </w:r>
      <w:r w:rsidRPr="006F48BD">
        <w:rPr>
          <w:rFonts w:ascii="Arial" w:hAnsi="Arial" w:cs="Arial"/>
        </w:rPr>
        <w:t xml:space="preserve"> (ERIC Digest No. 221). ERIC Clearinghouse on Adult, Career, and Vocational Education.</w:t>
      </w:r>
    </w:p>
    <w:p w14:paraId="262672AA" w14:textId="157FAED0" w:rsidR="00483533" w:rsidRPr="00483533" w:rsidRDefault="00483533" w:rsidP="006F48BD">
      <w:pPr>
        <w:spacing w:line="480" w:lineRule="auto"/>
        <w:ind w:left="720" w:hanging="720"/>
        <w:jc w:val="both"/>
        <w:rPr>
          <w:rFonts w:ascii="Arial" w:hAnsi="Arial" w:cs="Arial"/>
        </w:rPr>
      </w:pPr>
      <w:r w:rsidRPr="00483533">
        <w:rPr>
          <w:rFonts w:ascii="Arial" w:hAnsi="Arial" w:cs="Arial"/>
        </w:rPr>
        <w:t xml:space="preserve">Jones, R., &amp; McGuire, D. (2021). Education as a pathway out of homelessness: Narratives of adult learners. </w:t>
      </w:r>
      <w:r w:rsidRPr="006F48BD">
        <w:rPr>
          <w:rFonts w:ascii="Arial" w:hAnsi="Arial" w:cs="Arial"/>
          <w:i/>
          <w:iCs/>
        </w:rPr>
        <w:t>Journal of Adult and Continuing Education, 27</w:t>
      </w:r>
      <w:r w:rsidRPr="00483533">
        <w:rPr>
          <w:rFonts w:ascii="Arial" w:hAnsi="Arial" w:cs="Arial"/>
        </w:rPr>
        <w:t>(3), 265–283</w:t>
      </w:r>
      <w:r w:rsidR="006F48BD">
        <w:rPr>
          <w:rFonts w:ascii="Arial" w:hAnsi="Arial" w:cs="Arial"/>
        </w:rPr>
        <w:t>.</w:t>
      </w:r>
    </w:p>
    <w:p w14:paraId="0BC9F31F" w14:textId="77777777" w:rsidR="00483533" w:rsidRPr="00483533" w:rsidRDefault="00483533" w:rsidP="006F48BD">
      <w:pPr>
        <w:spacing w:line="480" w:lineRule="auto"/>
        <w:ind w:left="720" w:hanging="720"/>
        <w:jc w:val="both"/>
        <w:rPr>
          <w:rFonts w:ascii="Arial" w:hAnsi="Arial" w:cs="Arial"/>
        </w:rPr>
      </w:pPr>
      <w:r w:rsidRPr="00483533">
        <w:rPr>
          <w:rFonts w:ascii="Arial" w:hAnsi="Arial" w:cs="Arial"/>
        </w:rPr>
        <w:t xml:space="preserve">Larkin, M., &amp; Thompson, A. R. (2019). </w:t>
      </w:r>
      <w:r w:rsidRPr="006F48BD">
        <w:rPr>
          <w:rFonts w:ascii="Arial" w:hAnsi="Arial" w:cs="Arial"/>
          <w:i/>
          <w:iCs/>
        </w:rPr>
        <w:t>Interpretative phenomenological analysis in mental health and psychotherapy research.</w:t>
      </w:r>
      <w:r w:rsidRPr="00483533">
        <w:rPr>
          <w:rFonts w:ascii="Arial" w:hAnsi="Arial" w:cs="Arial"/>
        </w:rPr>
        <w:t xml:space="preserve"> In M. </w:t>
      </w:r>
      <w:proofErr w:type="spellStart"/>
      <w:r w:rsidRPr="00483533">
        <w:rPr>
          <w:rFonts w:ascii="Arial" w:hAnsi="Arial" w:cs="Arial"/>
        </w:rPr>
        <w:t>Barkham</w:t>
      </w:r>
      <w:proofErr w:type="spellEnd"/>
      <w:r w:rsidRPr="00483533">
        <w:rPr>
          <w:rFonts w:ascii="Arial" w:hAnsi="Arial" w:cs="Arial"/>
        </w:rPr>
        <w:t xml:space="preserve">, W. Lutz, &amp; L. Castonguay (Eds.), </w:t>
      </w:r>
      <w:r w:rsidRPr="006F48BD">
        <w:rPr>
          <w:rFonts w:ascii="Arial" w:hAnsi="Arial" w:cs="Arial"/>
        </w:rPr>
        <w:t>The Handbook of Psychotherapy and Research</w:t>
      </w:r>
      <w:r w:rsidRPr="00483533">
        <w:rPr>
          <w:rFonts w:ascii="Arial" w:hAnsi="Arial" w:cs="Arial"/>
        </w:rPr>
        <w:t xml:space="preserve"> (pp. 198–211). Wiley.</w:t>
      </w:r>
    </w:p>
    <w:p w14:paraId="2A8E268F" w14:textId="5E621017" w:rsidR="00483533" w:rsidRDefault="00483533" w:rsidP="006F48BD">
      <w:pPr>
        <w:spacing w:line="480" w:lineRule="auto"/>
        <w:ind w:left="720" w:hanging="720"/>
        <w:jc w:val="both"/>
        <w:rPr>
          <w:rFonts w:ascii="Arial" w:hAnsi="Arial" w:cs="Arial"/>
        </w:rPr>
      </w:pPr>
      <w:r w:rsidRPr="00483533">
        <w:rPr>
          <w:rFonts w:ascii="Arial" w:hAnsi="Arial" w:cs="Arial"/>
        </w:rPr>
        <w:t xml:space="preserve">Mills, K., &amp; Green, A. (2020). Transformative learning in rehabilitation for substance use recovery. </w:t>
      </w:r>
      <w:r w:rsidRPr="006F48BD">
        <w:rPr>
          <w:rFonts w:ascii="Arial" w:hAnsi="Arial" w:cs="Arial"/>
          <w:i/>
          <w:iCs/>
        </w:rPr>
        <w:t>Addiction Research &amp; Theory, 28</w:t>
      </w:r>
      <w:r w:rsidRPr="00483533">
        <w:rPr>
          <w:rFonts w:ascii="Arial" w:hAnsi="Arial" w:cs="Arial"/>
        </w:rPr>
        <w:t xml:space="preserve">(5), 450–461. </w:t>
      </w:r>
    </w:p>
    <w:p w14:paraId="232D63CD" w14:textId="77777777" w:rsidR="006F48BD" w:rsidRDefault="006F48BD" w:rsidP="006F48BD">
      <w:pPr>
        <w:spacing w:line="480" w:lineRule="auto"/>
        <w:ind w:left="720" w:hanging="720"/>
        <w:jc w:val="both"/>
        <w:rPr>
          <w:rFonts w:ascii="Arial" w:hAnsi="Arial" w:cs="Arial"/>
        </w:rPr>
      </w:pPr>
      <w:r w:rsidRPr="006F48BD">
        <w:rPr>
          <w:rFonts w:ascii="Arial" w:hAnsi="Arial" w:cs="Arial"/>
        </w:rPr>
        <w:lastRenderedPageBreak/>
        <w:t xml:space="preserve">Miller, L. (1990). </w:t>
      </w:r>
      <w:r w:rsidRPr="006F48BD">
        <w:rPr>
          <w:rFonts w:ascii="Arial" w:hAnsi="Arial" w:cs="Arial"/>
          <w:i/>
          <w:iCs/>
        </w:rPr>
        <w:t>Illiteracy and human rights</w:t>
      </w:r>
      <w:r w:rsidRPr="006F48BD">
        <w:rPr>
          <w:rFonts w:ascii="Arial" w:hAnsi="Arial" w:cs="Arial"/>
        </w:rPr>
        <w:t>. Ottawa, Ontario: National Literacy Secretariat.</w:t>
      </w:r>
    </w:p>
    <w:p w14:paraId="35AB974C" w14:textId="77777777" w:rsidR="006F48BD" w:rsidRPr="006F48BD" w:rsidRDefault="006F48BD" w:rsidP="006F48BD">
      <w:pPr>
        <w:spacing w:line="480" w:lineRule="auto"/>
        <w:ind w:left="720" w:hanging="720"/>
        <w:jc w:val="both"/>
        <w:rPr>
          <w:rFonts w:ascii="Arial" w:hAnsi="Arial" w:cs="Arial"/>
        </w:rPr>
      </w:pPr>
      <w:r w:rsidRPr="006F48BD">
        <w:rPr>
          <w:rFonts w:ascii="Arial" w:hAnsi="Arial" w:cs="Arial"/>
        </w:rPr>
        <w:t xml:space="preserve">Murphy, J., &amp; Karp, M. (2020). The impact of trauma-informed pedagogy on marginalized learners. </w:t>
      </w:r>
      <w:r w:rsidRPr="006F48BD">
        <w:rPr>
          <w:rFonts w:ascii="Arial" w:hAnsi="Arial" w:cs="Arial"/>
          <w:i/>
          <w:iCs/>
        </w:rPr>
        <w:t>Journal of Educational Psychology, 112</w:t>
      </w:r>
      <w:r w:rsidRPr="006F48BD">
        <w:rPr>
          <w:rFonts w:ascii="Arial" w:hAnsi="Arial" w:cs="Arial"/>
        </w:rPr>
        <w:t xml:space="preserve">(4), 685–699. </w:t>
      </w:r>
    </w:p>
    <w:p w14:paraId="45FE45FF" w14:textId="06C18A5E" w:rsidR="006F48BD" w:rsidRDefault="006F48BD" w:rsidP="006F48BD">
      <w:pPr>
        <w:spacing w:line="480" w:lineRule="auto"/>
        <w:ind w:left="720" w:hanging="720"/>
        <w:jc w:val="both"/>
        <w:rPr>
          <w:rFonts w:ascii="Arial" w:hAnsi="Arial" w:cs="Arial"/>
        </w:rPr>
      </w:pPr>
      <w:r w:rsidRPr="006F48BD">
        <w:rPr>
          <w:rFonts w:ascii="Arial" w:hAnsi="Arial" w:cs="Arial"/>
        </w:rPr>
        <w:t xml:space="preserve">Pietkiewicz, I., &amp; Smith, J. A. (2014). A practical guide to using interpretative phenomenological analysis in qualitative research psychology. </w:t>
      </w:r>
      <w:r w:rsidRPr="006F48BD">
        <w:rPr>
          <w:rFonts w:ascii="Arial" w:hAnsi="Arial" w:cs="Arial"/>
          <w:i/>
          <w:iCs/>
        </w:rPr>
        <w:t>Psychological Journal, 20</w:t>
      </w:r>
      <w:r w:rsidRPr="006F48BD">
        <w:rPr>
          <w:rFonts w:ascii="Arial" w:hAnsi="Arial" w:cs="Arial"/>
        </w:rPr>
        <w:t>(1), 7–14.</w:t>
      </w:r>
    </w:p>
    <w:p w14:paraId="74A8B36B" w14:textId="77777777" w:rsidR="006F48BD" w:rsidRPr="006F48BD" w:rsidRDefault="006F48BD" w:rsidP="006F48BD">
      <w:pPr>
        <w:spacing w:line="480" w:lineRule="auto"/>
        <w:ind w:left="720" w:hanging="720"/>
        <w:jc w:val="both"/>
        <w:rPr>
          <w:rFonts w:ascii="Arial" w:hAnsi="Arial" w:cs="Arial"/>
        </w:rPr>
      </w:pPr>
      <w:r w:rsidRPr="006F48BD">
        <w:rPr>
          <w:rFonts w:ascii="Arial" w:hAnsi="Arial" w:cs="Arial"/>
        </w:rPr>
        <w:t xml:space="preserve">Smith, C. J., &amp; Larkin, M. (2020). Reclaiming identity through education: IPA in marginalized communities. </w:t>
      </w:r>
      <w:r w:rsidRPr="006F48BD">
        <w:rPr>
          <w:rFonts w:ascii="Arial" w:hAnsi="Arial" w:cs="Arial"/>
          <w:i/>
          <w:iCs/>
        </w:rPr>
        <w:t>Journal of Qualitative Research, 16</w:t>
      </w:r>
      <w:r w:rsidRPr="006F48BD">
        <w:rPr>
          <w:rFonts w:ascii="Arial" w:hAnsi="Arial" w:cs="Arial"/>
        </w:rPr>
        <w:t xml:space="preserve">(3), 212–228. </w:t>
      </w:r>
    </w:p>
    <w:p w14:paraId="71A80773" w14:textId="77777777" w:rsidR="006F48BD" w:rsidRPr="006F48BD" w:rsidRDefault="006F48BD" w:rsidP="006F48BD">
      <w:pPr>
        <w:spacing w:line="480" w:lineRule="auto"/>
        <w:ind w:left="720" w:hanging="720"/>
        <w:jc w:val="both"/>
        <w:rPr>
          <w:rFonts w:ascii="Arial" w:hAnsi="Arial" w:cs="Arial"/>
        </w:rPr>
      </w:pPr>
      <w:r w:rsidRPr="006F48BD">
        <w:rPr>
          <w:rFonts w:ascii="Arial" w:hAnsi="Arial" w:cs="Arial"/>
        </w:rPr>
        <w:t xml:space="preserve">Smith, J. A., Flowers, P., &amp; Larkin, M. (2022). </w:t>
      </w:r>
      <w:r w:rsidRPr="006F48BD">
        <w:rPr>
          <w:rFonts w:ascii="Arial" w:hAnsi="Arial" w:cs="Arial"/>
          <w:i/>
          <w:iCs/>
        </w:rPr>
        <w:t xml:space="preserve">Interpretative phenomenological analysis: Theory, method, and research </w:t>
      </w:r>
      <w:r w:rsidRPr="006F48BD">
        <w:rPr>
          <w:rFonts w:ascii="Arial" w:hAnsi="Arial" w:cs="Arial"/>
        </w:rPr>
        <w:t>(2nd ed.). London: SAGE Publications.</w:t>
      </w:r>
    </w:p>
    <w:p w14:paraId="50AE26F1" w14:textId="7FC3AE38" w:rsidR="006F48BD" w:rsidRDefault="006F48BD" w:rsidP="006F48BD">
      <w:pPr>
        <w:spacing w:line="480" w:lineRule="auto"/>
        <w:ind w:left="720" w:hanging="720"/>
        <w:jc w:val="both"/>
        <w:rPr>
          <w:rFonts w:ascii="Arial" w:hAnsi="Arial" w:cs="Arial"/>
        </w:rPr>
      </w:pPr>
      <w:r w:rsidRPr="006F48BD">
        <w:rPr>
          <w:rFonts w:ascii="Arial" w:hAnsi="Arial" w:cs="Arial"/>
        </w:rPr>
        <w:t xml:space="preserve">Veeman, N. (2002). </w:t>
      </w:r>
      <w:r w:rsidRPr="006F48BD">
        <w:rPr>
          <w:rFonts w:ascii="Arial" w:hAnsi="Arial" w:cs="Arial"/>
          <w:i/>
          <w:iCs/>
        </w:rPr>
        <w:t>Improving adult literacy levels: A critical look at government strategies and public awareness campaigns.</w:t>
      </w:r>
      <w:r w:rsidRPr="006F48BD">
        <w:rPr>
          <w:rFonts w:ascii="Arial" w:hAnsi="Arial" w:cs="Arial"/>
        </w:rPr>
        <w:t xml:space="preserve"> Retrieved from </w:t>
      </w:r>
      <w:hyperlink r:id="rId10" w:history="1">
        <w:r w:rsidRPr="001C4A7D">
          <w:rPr>
            <w:rStyle w:val="Hyperlink"/>
            <w:rFonts w:ascii="Arial" w:hAnsi="Arial" w:cs="Arial"/>
          </w:rPr>
          <w:t>http://www.usask.ca/education/alcs/papers/veeman1.pdf</w:t>
        </w:r>
      </w:hyperlink>
    </w:p>
    <w:p w14:paraId="40906581" w14:textId="77777777" w:rsidR="006F48BD" w:rsidRDefault="006F48BD" w:rsidP="006F48BD">
      <w:pPr>
        <w:spacing w:line="480" w:lineRule="auto"/>
        <w:ind w:left="720" w:hanging="720"/>
        <w:jc w:val="both"/>
        <w:rPr>
          <w:rFonts w:ascii="Arial" w:hAnsi="Arial" w:cs="Arial"/>
        </w:rPr>
      </w:pPr>
    </w:p>
    <w:p w14:paraId="6215DFA6" w14:textId="77777777" w:rsidR="006F48BD" w:rsidRDefault="006F48BD" w:rsidP="006F48BD">
      <w:pPr>
        <w:spacing w:line="480" w:lineRule="auto"/>
        <w:ind w:left="720" w:hanging="720"/>
        <w:jc w:val="both"/>
        <w:rPr>
          <w:rFonts w:ascii="Arial" w:hAnsi="Arial" w:cs="Arial"/>
        </w:rPr>
      </w:pPr>
    </w:p>
    <w:p w14:paraId="1EA75E49" w14:textId="77777777" w:rsidR="006F48BD" w:rsidRDefault="006F48BD" w:rsidP="006F48BD">
      <w:pPr>
        <w:spacing w:line="480" w:lineRule="auto"/>
        <w:ind w:left="720" w:hanging="720"/>
        <w:jc w:val="both"/>
        <w:rPr>
          <w:rFonts w:ascii="Arial" w:hAnsi="Arial" w:cs="Arial"/>
        </w:rPr>
      </w:pPr>
    </w:p>
    <w:p w14:paraId="38401384" w14:textId="77777777" w:rsidR="006F48BD" w:rsidRDefault="006F48BD" w:rsidP="006F48BD">
      <w:pPr>
        <w:spacing w:line="480" w:lineRule="auto"/>
        <w:ind w:left="720" w:hanging="720"/>
        <w:jc w:val="both"/>
        <w:rPr>
          <w:rFonts w:ascii="Arial" w:hAnsi="Arial" w:cs="Arial"/>
        </w:rPr>
      </w:pPr>
    </w:p>
    <w:p w14:paraId="74165BD8" w14:textId="77777777" w:rsidR="006F48BD" w:rsidRDefault="006F48BD" w:rsidP="006F48BD">
      <w:pPr>
        <w:spacing w:line="480" w:lineRule="auto"/>
        <w:ind w:left="720" w:hanging="720"/>
        <w:jc w:val="both"/>
        <w:rPr>
          <w:rFonts w:ascii="Arial" w:hAnsi="Arial" w:cs="Arial"/>
        </w:rPr>
      </w:pPr>
    </w:p>
    <w:p w14:paraId="428BAEA5" w14:textId="77777777" w:rsidR="006F48BD" w:rsidRDefault="006F48BD" w:rsidP="006F48BD">
      <w:pPr>
        <w:spacing w:line="480" w:lineRule="auto"/>
        <w:ind w:left="720" w:hanging="720"/>
        <w:jc w:val="both"/>
        <w:rPr>
          <w:rFonts w:ascii="Arial" w:hAnsi="Arial" w:cs="Arial"/>
        </w:rPr>
      </w:pPr>
    </w:p>
    <w:p w14:paraId="3CE46DE8" w14:textId="77777777" w:rsidR="006F48BD" w:rsidRDefault="006F48BD" w:rsidP="006F48BD">
      <w:pPr>
        <w:spacing w:line="480" w:lineRule="auto"/>
        <w:ind w:left="720" w:hanging="720"/>
        <w:jc w:val="both"/>
        <w:rPr>
          <w:rFonts w:ascii="Arial" w:hAnsi="Arial" w:cs="Arial"/>
        </w:rPr>
      </w:pPr>
    </w:p>
    <w:p w14:paraId="5287DEBC" w14:textId="77777777" w:rsidR="006F48BD" w:rsidRDefault="006F48BD" w:rsidP="006F48BD">
      <w:pPr>
        <w:spacing w:line="480" w:lineRule="auto"/>
        <w:ind w:left="720" w:hanging="720"/>
        <w:jc w:val="both"/>
        <w:rPr>
          <w:rFonts w:ascii="Arial" w:hAnsi="Arial" w:cs="Arial"/>
        </w:rPr>
      </w:pPr>
    </w:p>
    <w:p w14:paraId="51058322" w14:textId="554B0726" w:rsidR="006F48BD" w:rsidRPr="009764FC" w:rsidRDefault="006F48BD" w:rsidP="006F48BD">
      <w:pPr>
        <w:spacing w:line="480" w:lineRule="auto"/>
        <w:ind w:left="720" w:hanging="720"/>
        <w:jc w:val="both"/>
        <w:rPr>
          <w:rFonts w:ascii="Arial Black" w:hAnsi="Arial Black" w:cs="Arial"/>
        </w:rPr>
      </w:pPr>
      <w:r w:rsidRPr="009764FC">
        <w:rPr>
          <w:rFonts w:ascii="Arial Black" w:hAnsi="Arial Black" w:cs="Arial"/>
        </w:rPr>
        <w:lastRenderedPageBreak/>
        <w:t xml:space="preserve">Appendix </w:t>
      </w:r>
    </w:p>
    <w:p w14:paraId="7C453A40" w14:textId="77777777" w:rsidR="009331D4" w:rsidRPr="009331D4" w:rsidRDefault="009331D4" w:rsidP="009331D4">
      <w:pPr>
        <w:spacing w:line="480" w:lineRule="auto"/>
        <w:jc w:val="both"/>
        <w:rPr>
          <w:rFonts w:ascii="Arial" w:hAnsi="Arial" w:cs="Arial"/>
        </w:rPr>
      </w:pPr>
    </w:p>
    <w:p w14:paraId="1F28B763" w14:textId="77777777" w:rsidR="009331D4" w:rsidRPr="007A2045" w:rsidRDefault="009331D4" w:rsidP="007A2045">
      <w:pPr>
        <w:spacing w:line="480" w:lineRule="auto"/>
        <w:jc w:val="both"/>
        <w:rPr>
          <w:rFonts w:ascii="Arial" w:hAnsi="Arial" w:cs="Arial"/>
        </w:rPr>
      </w:pPr>
    </w:p>
    <w:p w14:paraId="14904015" w14:textId="02229347" w:rsidR="007A2045" w:rsidRDefault="009764FC" w:rsidP="007A2045">
      <w:pPr>
        <w:spacing w:line="480" w:lineRule="auto"/>
        <w:jc w:val="both"/>
        <w:rPr>
          <w:rFonts w:ascii="Arial" w:hAnsi="Arial" w:cs="Arial"/>
        </w:rPr>
      </w:pPr>
      <w:r>
        <w:rPr>
          <w:rFonts w:ascii="Arial" w:hAnsi="Arial" w:cs="Arial"/>
        </w:rPr>
        <w:object w:dxaOrig="1504" w:dyaOrig="980" w14:anchorId="0378C0D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pt" o:ole="">
            <v:imagedata r:id="rId11" o:title=""/>
          </v:shape>
          <o:OLEObject Type="Embed" ProgID="Package" ShapeID="_x0000_i1025" DrawAspect="Icon" ObjectID="_1798404183" r:id="rId12"/>
        </w:object>
      </w:r>
    </w:p>
    <w:p w14:paraId="36AF257B" w14:textId="77777777" w:rsidR="007A2045" w:rsidRPr="007A2045" w:rsidRDefault="007A2045" w:rsidP="007A2045">
      <w:pPr>
        <w:spacing w:line="480" w:lineRule="auto"/>
        <w:jc w:val="both"/>
        <w:rPr>
          <w:rFonts w:ascii="Arial" w:hAnsi="Arial" w:cs="Arial"/>
        </w:rPr>
      </w:pPr>
    </w:p>
    <w:p w14:paraId="27464598" w14:textId="77777777" w:rsidR="006A6106" w:rsidRPr="00E26E48" w:rsidRDefault="006A6106" w:rsidP="00E26E48">
      <w:pPr>
        <w:spacing w:line="480" w:lineRule="auto"/>
        <w:jc w:val="both"/>
        <w:rPr>
          <w:rFonts w:ascii="Arial" w:hAnsi="Arial" w:cs="Arial"/>
        </w:rPr>
      </w:pPr>
    </w:p>
    <w:sectPr w:rsidR="006A6106" w:rsidRPr="00E26E48" w:rsidSect="006F48BD">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4FF52F" w14:textId="77777777" w:rsidR="001279AB" w:rsidRDefault="001279AB" w:rsidP="00B31E83">
      <w:pPr>
        <w:spacing w:after="0" w:line="240" w:lineRule="auto"/>
      </w:pPr>
      <w:r>
        <w:separator/>
      </w:r>
    </w:p>
  </w:endnote>
  <w:endnote w:type="continuationSeparator" w:id="0">
    <w:p w14:paraId="389233C2" w14:textId="77777777" w:rsidR="001279AB" w:rsidRDefault="001279AB" w:rsidP="00B31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DE8FDC" w14:textId="77777777" w:rsidR="001279AB" w:rsidRDefault="001279AB" w:rsidP="00B31E83">
      <w:pPr>
        <w:spacing w:after="0" w:line="240" w:lineRule="auto"/>
      </w:pPr>
      <w:r>
        <w:separator/>
      </w:r>
    </w:p>
  </w:footnote>
  <w:footnote w:type="continuationSeparator" w:id="0">
    <w:p w14:paraId="487663DF" w14:textId="77777777" w:rsidR="001279AB" w:rsidRDefault="001279AB" w:rsidP="00B31E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7508658"/>
      <w:docPartObj>
        <w:docPartGallery w:val="Page Numbers (Top of Page)"/>
        <w:docPartUnique/>
      </w:docPartObj>
    </w:sdtPr>
    <w:sdtEndPr>
      <w:rPr>
        <w:noProof/>
      </w:rPr>
    </w:sdtEndPr>
    <w:sdtContent>
      <w:p w14:paraId="291DD6EB" w14:textId="14687FBA" w:rsidR="00B31E83" w:rsidRDefault="00B31E8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CFB6EE3" w14:textId="77777777" w:rsidR="00B31E83" w:rsidRDefault="00B31E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BC671A"/>
    <w:multiLevelType w:val="hybridMultilevel"/>
    <w:tmpl w:val="43A8F6D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0B18A1"/>
    <w:multiLevelType w:val="hybridMultilevel"/>
    <w:tmpl w:val="2CA2A8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7876724">
    <w:abstractNumId w:val="1"/>
  </w:num>
  <w:num w:numId="2" w16cid:durableId="7146179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E48"/>
    <w:rsid w:val="000B0C5B"/>
    <w:rsid w:val="001279AB"/>
    <w:rsid w:val="00297E14"/>
    <w:rsid w:val="00483533"/>
    <w:rsid w:val="006A6106"/>
    <w:rsid w:val="006F48BD"/>
    <w:rsid w:val="007A2045"/>
    <w:rsid w:val="009331D4"/>
    <w:rsid w:val="009764FC"/>
    <w:rsid w:val="00B31E83"/>
    <w:rsid w:val="00B812F4"/>
    <w:rsid w:val="00E26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9E7B7"/>
  <w15:chartTrackingRefBased/>
  <w15:docId w15:val="{E4458831-50FD-459B-9E13-00BD1B021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E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6E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6E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6E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6E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6E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6E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6E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6E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E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6E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6E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6E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6E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6E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E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E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E48"/>
    <w:rPr>
      <w:rFonts w:eastAsiaTheme="majorEastAsia" w:cstheme="majorBidi"/>
      <w:color w:val="272727" w:themeColor="text1" w:themeTint="D8"/>
    </w:rPr>
  </w:style>
  <w:style w:type="paragraph" w:styleId="Title">
    <w:name w:val="Title"/>
    <w:basedOn w:val="Normal"/>
    <w:next w:val="Normal"/>
    <w:link w:val="TitleChar"/>
    <w:uiPriority w:val="10"/>
    <w:qFormat/>
    <w:rsid w:val="00E26E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6E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E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6E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E48"/>
    <w:pPr>
      <w:spacing w:before="160"/>
      <w:jc w:val="center"/>
    </w:pPr>
    <w:rPr>
      <w:i/>
      <w:iCs/>
      <w:color w:val="404040" w:themeColor="text1" w:themeTint="BF"/>
    </w:rPr>
  </w:style>
  <w:style w:type="character" w:customStyle="1" w:styleId="QuoteChar">
    <w:name w:val="Quote Char"/>
    <w:basedOn w:val="DefaultParagraphFont"/>
    <w:link w:val="Quote"/>
    <w:uiPriority w:val="29"/>
    <w:rsid w:val="00E26E48"/>
    <w:rPr>
      <w:i/>
      <w:iCs/>
      <w:color w:val="404040" w:themeColor="text1" w:themeTint="BF"/>
    </w:rPr>
  </w:style>
  <w:style w:type="paragraph" w:styleId="ListParagraph">
    <w:name w:val="List Paragraph"/>
    <w:basedOn w:val="Normal"/>
    <w:uiPriority w:val="34"/>
    <w:qFormat/>
    <w:rsid w:val="00E26E48"/>
    <w:pPr>
      <w:ind w:left="720"/>
      <w:contextualSpacing/>
    </w:pPr>
  </w:style>
  <w:style w:type="character" w:styleId="IntenseEmphasis">
    <w:name w:val="Intense Emphasis"/>
    <w:basedOn w:val="DefaultParagraphFont"/>
    <w:uiPriority w:val="21"/>
    <w:qFormat/>
    <w:rsid w:val="00E26E48"/>
    <w:rPr>
      <w:i/>
      <w:iCs/>
      <w:color w:val="0F4761" w:themeColor="accent1" w:themeShade="BF"/>
    </w:rPr>
  </w:style>
  <w:style w:type="paragraph" w:styleId="IntenseQuote">
    <w:name w:val="Intense Quote"/>
    <w:basedOn w:val="Normal"/>
    <w:next w:val="Normal"/>
    <w:link w:val="IntenseQuoteChar"/>
    <w:uiPriority w:val="30"/>
    <w:qFormat/>
    <w:rsid w:val="00E26E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6E48"/>
    <w:rPr>
      <w:i/>
      <w:iCs/>
      <w:color w:val="0F4761" w:themeColor="accent1" w:themeShade="BF"/>
    </w:rPr>
  </w:style>
  <w:style w:type="character" w:styleId="IntenseReference">
    <w:name w:val="Intense Reference"/>
    <w:basedOn w:val="DefaultParagraphFont"/>
    <w:uiPriority w:val="32"/>
    <w:qFormat/>
    <w:rsid w:val="00E26E48"/>
    <w:rPr>
      <w:b/>
      <w:bCs/>
      <w:smallCaps/>
      <w:color w:val="0F4761" w:themeColor="accent1" w:themeShade="BF"/>
      <w:spacing w:val="5"/>
    </w:rPr>
  </w:style>
  <w:style w:type="paragraph" w:styleId="Header">
    <w:name w:val="header"/>
    <w:basedOn w:val="Normal"/>
    <w:link w:val="HeaderChar"/>
    <w:uiPriority w:val="99"/>
    <w:unhideWhenUsed/>
    <w:rsid w:val="00B31E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E83"/>
  </w:style>
  <w:style w:type="paragraph" w:styleId="Footer">
    <w:name w:val="footer"/>
    <w:basedOn w:val="Normal"/>
    <w:link w:val="FooterChar"/>
    <w:uiPriority w:val="99"/>
    <w:unhideWhenUsed/>
    <w:rsid w:val="00B31E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E83"/>
  </w:style>
  <w:style w:type="character" w:styleId="Hyperlink">
    <w:name w:val="Hyperlink"/>
    <w:basedOn w:val="DefaultParagraphFont"/>
    <w:uiPriority w:val="99"/>
    <w:unhideWhenUsed/>
    <w:rsid w:val="006F48BD"/>
    <w:rPr>
      <w:color w:val="467886" w:themeColor="hyperlink"/>
      <w:u w:val="single"/>
    </w:rPr>
  </w:style>
  <w:style w:type="character" w:styleId="UnresolvedMention">
    <w:name w:val="Unresolved Mention"/>
    <w:basedOn w:val="DefaultParagraphFont"/>
    <w:uiPriority w:val="99"/>
    <w:semiHidden/>
    <w:unhideWhenUsed/>
    <w:rsid w:val="006F48BD"/>
    <w:rPr>
      <w:color w:val="605E5C"/>
      <w:shd w:val="clear" w:color="auto" w:fill="E1DFDD"/>
    </w:rPr>
  </w:style>
  <w:style w:type="paragraph" w:styleId="NoSpacing">
    <w:name w:val="No Spacing"/>
    <w:link w:val="NoSpacingChar"/>
    <w:uiPriority w:val="1"/>
    <w:qFormat/>
    <w:rsid w:val="006F48B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F48B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934228">
      <w:bodyDiv w:val="1"/>
      <w:marLeft w:val="0"/>
      <w:marRight w:val="0"/>
      <w:marTop w:val="0"/>
      <w:marBottom w:val="0"/>
      <w:divBdr>
        <w:top w:val="none" w:sz="0" w:space="0" w:color="auto"/>
        <w:left w:val="none" w:sz="0" w:space="0" w:color="auto"/>
        <w:bottom w:val="none" w:sz="0" w:space="0" w:color="auto"/>
        <w:right w:val="none" w:sz="0" w:space="0" w:color="auto"/>
      </w:divBdr>
    </w:div>
    <w:div w:id="229508138">
      <w:bodyDiv w:val="1"/>
      <w:marLeft w:val="0"/>
      <w:marRight w:val="0"/>
      <w:marTop w:val="0"/>
      <w:marBottom w:val="0"/>
      <w:divBdr>
        <w:top w:val="none" w:sz="0" w:space="0" w:color="auto"/>
        <w:left w:val="none" w:sz="0" w:space="0" w:color="auto"/>
        <w:bottom w:val="none" w:sz="0" w:space="0" w:color="auto"/>
        <w:right w:val="none" w:sz="0" w:space="0" w:color="auto"/>
      </w:divBdr>
    </w:div>
    <w:div w:id="350030150">
      <w:bodyDiv w:val="1"/>
      <w:marLeft w:val="0"/>
      <w:marRight w:val="0"/>
      <w:marTop w:val="0"/>
      <w:marBottom w:val="0"/>
      <w:divBdr>
        <w:top w:val="none" w:sz="0" w:space="0" w:color="auto"/>
        <w:left w:val="none" w:sz="0" w:space="0" w:color="auto"/>
        <w:bottom w:val="none" w:sz="0" w:space="0" w:color="auto"/>
        <w:right w:val="none" w:sz="0" w:space="0" w:color="auto"/>
      </w:divBdr>
    </w:div>
    <w:div w:id="539050156">
      <w:bodyDiv w:val="1"/>
      <w:marLeft w:val="0"/>
      <w:marRight w:val="0"/>
      <w:marTop w:val="0"/>
      <w:marBottom w:val="0"/>
      <w:divBdr>
        <w:top w:val="none" w:sz="0" w:space="0" w:color="auto"/>
        <w:left w:val="none" w:sz="0" w:space="0" w:color="auto"/>
        <w:bottom w:val="none" w:sz="0" w:space="0" w:color="auto"/>
        <w:right w:val="none" w:sz="0" w:space="0" w:color="auto"/>
      </w:divBdr>
    </w:div>
    <w:div w:id="552735137">
      <w:bodyDiv w:val="1"/>
      <w:marLeft w:val="0"/>
      <w:marRight w:val="0"/>
      <w:marTop w:val="0"/>
      <w:marBottom w:val="0"/>
      <w:divBdr>
        <w:top w:val="none" w:sz="0" w:space="0" w:color="auto"/>
        <w:left w:val="none" w:sz="0" w:space="0" w:color="auto"/>
        <w:bottom w:val="none" w:sz="0" w:space="0" w:color="auto"/>
        <w:right w:val="none" w:sz="0" w:space="0" w:color="auto"/>
      </w:divBdr>
    </w:div>
    <w:div w:id="993988045">
      <w:bodyDiv w:val="1"/>
      <w:marLeft w:val="0"/>
      <w:marRight w:val="0"/>
      <w:marTop w:val="0"/>
      <w:marBottom w:val="0"/>
      <w:divBdr>
        <w:top w:val="none" w:sz="0" w:space="0" w:color="auto"/>
        <w:left w:val="none" w:sz="0" w:space="0" w:color="auto"/>
        <w:bottom w:val="none" w:sz="0" w:space="0" w:color="auto"/>
        <w:right w:val="none" w:sz="0" w:space="0" w:color="auto"/>
      </w:divBdr>
    </w:div>
    <w:div w:id="1036464208">
      <w:bodyDiv w:val="1"/>
      <w:marLeft w:val="0"/>
      <w:marRight w:val="0"/>
      <w:marTop w:val="0"/>
      <w:marBottom w:val="0"/>
      <w:divBdr>
        <w:top w:val="none" w:sz="0" w:space="0" w:color="auto"/>
        <w:left w:val="none" w:sz="0" w:space="0" w:color="auto"/>
        <w:bottom w:val="none" w:sz="0" w:space="0" w:color="auto"/>
        <w:right w:val="none" w:sz="0" w:space="0" w:color="auto"/>
      </w:divBdr>
    </w:div>
    <w:div w:id="1108045717">
      <w:bodyDiv w:val="1"/>
      <w:marLeft w:val="0"/>
      <w:marRight w:val="0"/>
      <w:marTop w:val="0"/>
      <w:marBottom w:val="0"/>
      <w:divBdr>
        <w:top w:val="none" w:sz="0" w:space="0" w:color="auto"/>
        <w:left w:val="none" w:sz="0" w:space="0" w:color="auto"/>
        <w:bottom w:val="none" w:sz="0" w:space="0" w:color="auto"/>
        <w:right w:val="none" w:sz="0" w:space="0" w:color="auto"/>
      </w:divBdr>
    </w:div>
    <w:div w:id="1628048797">
      <w:bodyDiv w:val="1"/>
      <w:marLeft w:val="0"/>
      <w:marRight w:val="0"/>
      <w:marTop w:val="0"/>
      <w:marBottom w:val="0"/>
      <w:divBdr>
        <w:top w:val="none" w:sz="0" w:space="0" w:color="auto"/>
        <w:left w:val="none" w:sz="0" w:space="0" w:color="auto"/>
        <w:bottom w:val="none" w:sz="0" w:space="0" w:color="auto"/>
        <w:right w:val="none" w:sz="0" w:space="0" w:color="auto"/>
      </w:divBdr>
    </w:div>
    <w:div w:id="1757021931">
      <w:bodyDiv w:val="1"/>
      <w:marLeft w:val="0"/>
      <w:marRight w:val="0"/>
      <w:marTop w:val="0"/>
      <w:marBottom w:val="0"/>
      <w:divBdr>
        <w:top w:val="none" w:sz="0" w:space="0" w:color="auto"/>
        <w:left w:val="none" w:sz="0" w:space="0" w:color="auto"/>
        <w:bottom w:val="none" w:sz="0" w:space="0" w:color="auto"/>
        <w:right w:val="none" w:sz="0" w:space="0" w:color="auto"/>
      </w:divBdr>
    </w:div>
    <w:div w:id="1838497756">
      <w:bodyDiv w:val="1"/>
      <w:marLeft w:val="0"/>
      <w:marRight w:val="0"/>
      <w:marTop w:val="0"/>
      <w:marBottom w:val="0"/>
      <w:divBdr>
        <w:top w:val="none" w:sz="0" w:space="0" w:color="auto"/>
        <w:left w:val="none" w:sz="0" w:space="0" w:color="auto"/>
        <w:bottom w:val="none" w:sz="0" w:space="0" w:color="auto"/>
        <w:right w:val="none" w:sz="0" w:space="0" w:color="auto"/>
      </w:divBdr>
    </w:div>
    <w:div w:id="1954708470">
      <w:bodyDiv w:val="1"/>
      <w:marLeft w:val="0"/>
      <w:marRight w:val="0"/>
      <w:marTop w:val="0"/>
      <w:marBottom w:val="0"/>
      <w:divBdr>
        <w:top w:val="none" w:sz="0" w:space="0" w:color="auto"/>
        <w:left w:val="none" w:sz="0" w:space="0" w:color="auto"/>
        <w:bottom w:val="none" w:sz="0" w:space="0" w:color="auto"/>
        <w:right w:val="none" w:sz="0" w:space="0" w:color="auto"/>
      </w:divBdr>
    </w:div>
    <w:div w:id="2013137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csall.net/?id=557"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usask.ca/education/alcs/papers/veeman1.pdf" TargetMode="External"/><Relationship Id="rId4" Type="http://schemas.openxmlformats.org/officeDocument/2006/relationships/settings" Target="settings.xml"/><Relationship Id="rId9" Type="http://schemas.openxmlformats.org/officeDocument/2006/relationships/hyperlink" Target="http://www.ncsall.net/?id=39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14</Pages>
  <Words>2665</Words>
  <Characters>15192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results write-up: Carry out an interpretative phenomenological analysis of the provided transcript exploring the lived experience of re-engaging with education later in life with no qualifications.</dc:title>
  <dc:subject/>
  <dc:creator>Mirabela Voican (1907947)</dc:creator>
  <cp:keywords/>
  <dc:description/>
  <cp:lastModifiedBy>Mirabela Voican (1907947)</cp:lastModifiedBy>
  <cp:revision>1</cp:revision>
  <dcterms:created xsi:type="dcterms:W3CDTF">2025-01-14T21:27:00Z</dcterms:created>
  <dcterms:modified xsi:type="dcterms:W3CDTF">2025-01-14T23:56:00Z</dcterms:modified>
</cp:coreProperties>
</file>