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4E22E" w14:textId="77777777" w:rsidR="00DD6BE9" w:rsidRDefault="00DD6BE9" w:rsidP="00DD6BE9">
      <w:pPr>
        <w:spacing w:line="360" w:lineRule="auto"/>
        <w:rPr>
          <w:b/>
          <w:bCs/>
          <w:sz w:val="52"/>
          <w:lang w:val="en-US"/>
        </w:rPr>
      </w:pPr>
    </w:p>
    <w:p w14:paraId="781B5421" w14:textId="77777777" w:rsidR="00DD6BE9" w:rsidRDefault="00DD6BE9" w:rsidP="00DD6BE9">
      <w:pPr>
        <w:spacing w:line="360" w:lineRule="auto"/>
        <w:rPr>
          <w:b/>
          <w:bCs/>
          <w:sz w:val="52"/>
          <w:lang w:val="en-US"/>
        </w:rPr>
      </w:pPr>
    </w:p>
    <w:p w14:paraId="46D16F95" w14:textId="1915E5BD" w:rsidR="00DD6BE9" w:rsidRPr="00DD6BE9" w:rsidRDefault="00DD6BE9" w:rsidP="00DD6BE9">
      <w:pPr>
        <w:spacing w:line="360" w:lineRule="auto"/>
        <w:rPr>
          <w:b/>
          <w:sz w:val="52"/>
          <w:szCs w:val="52"/>
          <w:lang w:val="en-US"/>
        </w:rPr>
      </w:pPr>
      <w:r w:rsidRPr="00DD6BE9">
        <w:rPr>
          <w:b/>
          <w:bCs/>
          <w:sz w:val="52"/>
          <w:szCs w:val="52"/>
          <w:lang w:val="en-US"/>
        </w:rPr>
        <w:t>Student: Calin Matei</w:t>
      </w:r>
    </w:p>
    <w:p w14:paraId="6BB27880" w14:textId="77777777" w:rsidR="00DD6BE9" w:rsidRPr="00DD6BE9" w:rsidRDefault="00DD6BE9" w:rsidP="00DD6BE9">
      <w:pPr>
        <w:spacing w:line="360" w:lineRule="auto"/>
        <w:rPr>
          <w:b/>
          <w:sz w:val="52"/>
          <w:szCs w:val="52"/>
          <w:lang w:val="en-US"/>
        </w:rPr>
      </w:pPr>
      <w:r w:rsidRPr="00DD6BE9">
        <w:rPr>
          <w:b/>
          <w:bCs/>
          <w:sz w:val="52"/>
          <w:szCs w:val="52"/>
          <w:lang w:val="en-US"/>
        </w:rPr>
        <w:t>Student ID: 1916953</w:t>
      </w:r>
    </w:p>
    <w:p w14:paraId="38C5AA61" w14:textId="77777777" w:rsidR="00DD6BE9" w:rsidRPr="00DD6BE9" w:rsidRDefault="00DD6BE9" w:rsidP="00DD6BE9">
      <w:pPr>
        <w:spacing w:line="360" w:lineRule="auto"/>
        <w:rPr>
          <w:b/>
          <w:bCs/>
          <w:sz w:val="52"/>
          <w:szCs w:val="52"/>
          <w:lang w:val="en-US"/>
        </w:rPr>
      </w:pPr>
      <w:r w:rsidRPr="00DD6BE9">
        <w:rPr>
          <w:b/>
          <w:bCs/>
          <w:sz w:val="52"/>
          <w:szCs w:val="52"/>
          <w:lang w:val="en-US"/>
        </w:rPr>
        <w:t>Module: LCBB5012 Principles of Human Resource Management</w:t>
      </w:r>
    </w:p>
    <w:p w14:paraId="12262A07" w14:textId="07C2B3AF" w:rsidR="00DD6BE9" w:rsidRPr="00DD6BE9" w:rsidRDefault="00DD6BE9" w:rsidP="00DD6BE9">
      <w:pPr>
        <w:spacing w:line="360" w:lineRule="auto"/>
        <w:rPr>
          <w:b/>
          <w:sz w:val="52"/>
          <w:szCs w:val="52"/>
          <w:lang w:val="en-US"/>
        </w:rPr>
      </w:pPr>
      <w:r w:rsidRPr="00DD6BE9">
        <w:rPr>
          <w:b/>
          <w:bCs/>
          <w:sz w:val="52"/>
          <w:szCs w:val="52"/>
          <w:lang w:val="en-US"/>
        </w:rPr>
        <w:t xml:space="preserve">Assignment:   Component </w:t>
      </w:r>
      <w:r w:rsidRPr="00DD6BE9">
        <w:rPr>
          <w:b/>
          <w:bCs/>
          <w:sz w:val="52"/>
          <w:szCs w:val="52"/>
          <w:lang w:val="en-US"/>
        </w:rPr>
        <w:t xml:space="preserve">2: </w:t>
      </w:r>
      <w:r w:rsidRPr="00DD6BE9">
        <w:rPr>
          <w:b/>
          <w:bCs/>
          <w:sz w:val="52"/>
          <w:szCs w:val="52"/>
          <w:lang w:val="en-US"/>
        </w:rPr>
        <w:t>Coursework: Individual Report</w:t>
      </w:r>
    </w:p>
    <w:p w14:paraId="5C8B044F" w14:textId="5D26F967" w:rsidR="009024A5" w:rsidRPr="00DD6BE9" w:rsidRDefault="00DD6BE9" w:rsidP="00DD6BE9">
      <w:pPr>
        <w:spacing w:before="240" w:after="240" w:line="360" w:lineRule="auto"/>
        <w:jc w:val="both"/>
        <w:rPr>
          <w:rFonts w:ascii="Times New Roman" w:eastAsiaTheme="majorEastAsia" w:hAnsi="Times New Roman" w:cs="Times New Roman"/>
          <w:b/>
          <w:bCs/>
          <w:color w:val="365F91" w:themeColor="accent1" w:themeShade="BF"/>
          <w:sz w:val="24"/>
          <w:szCs w:val="24"/>
          <w:lang w:val="en-ZW"/>
        </w:rPr>
      </w:pPr>
      <w:r w:rsidRPr="00DD6BE9">
        <w:rPr>
          <w:b/>
          <w:bCs/>
          <w:color w:val="000000" w:themeColor="text1"/>
          <w:sz w:val="52"/>
          <w:szCs w:val="52"/>
        </w:rPr>
        <w:t xml:space="preserve">Lecturer: Dr </w:t>
      </w:r>
      <w:proofErr w:type="spellStart"/>
      <w:r w:rsidRPr="00DD6BE9">
        <w:rPr>
          <w:b/>
          <w:bCs/>
          <w:color w:val="000000" w:themeColor="text1"/>
          <w:sz w:val="52"/>
          <w:szCs w:val="52"/>
        </w:rPr>
        <w:t>Ramases</w:t>
      </w:r>
      <w:proofErr w:type="spellEnd"/>
      <w:r w:rsidRPr="00DD6BE9">
        <w:rPr>
          <w:b/>
          <w:bCs/>
          <w:color w:val="000000" w:themeColor="text1"/>
          <w:sz w:val="52"/>
          <w:szCs w:val="52"/>
        </w:rPr>
        <w:t xml:space="preserve"> Manalang</w:t>
      </w:r>
      <w:r w:rsidR="004D1794" w:rsidRPr="00DD6BE9">
        <w:rPr>
          <w:rFonts w:ascii="Times New Roman" w:hAnsi="Times New Roman" w:cs="Times New Roman"/>
          <w:b/>
          <w:bCs/>
          <w:sz w:val="24"/>
          <w:szCs w:val="24"/>
          <w:lang w:val="en-ZW"/>
        </w:rPr>
        <w:br w:type="page"/>
      </w:r>
    </w:p>
    <w:sdt>
      <w:sdtPr>
        <w:rPr>
          <w:rFonts w:ascii="Times New Roman" w:eastAsiaTheme="minorHAnsi" w:hAnsi="Times New Roman" w:cs="Times New Roman"/>
          <w:b w:val="0"/>
          <w:bCs w:val="0"/>
          <w:color w:val="auto"/>
          <w:sz w:val="24"/>
          <w:szCs w:val="24"/>
          <w:lang w:val="en-GB" w:eastAsia="en-US"/>
        </w:rPr>
        <w:id w:val="-1085915722"/>
        <w:docPartObj>
          <w:docPartGallery w:val="Table of Contents"/>
          <w:docPartUnique/>
        </w:docPartObj>
      </w:sdtPr>
      <w:sdtEndPr>
        <w:rPr>
          <w:noProof/>
        </w:rPr>
      </w:sdtEndPr>
      <w:sdtContent>
        <w:p w14:paraId="5C3130FA" w14:textId="77777777" w:rsidR="009024A5" w:rsidRPr="000D4677" w:rsidRDefault="004D1794" w:rsidP="000D4677">
          <w:pPr>
            <w:pStyle w:val="TOCHeading"/>
            <w:spacing w:before="240" w:after="240" w:line="360" w:lineRule="auto"/>
            <w:jc w:val="both"/>
            <w:rPr>
              <w:rFonts w:ascii="Times New Roman" w:hAnsi="Times New Roman" w:cs="Times New Roman"/>
              <w:sz w:val="24"/>
              <w:szCs w:val="24"/>
            </w:rPr>
          </w:pPr>
          <w:r w:rsidRPr="000D4677">
            <w:rPr>
              <w:rFonts w:ascii="Times New Roman" w:hAnsi="Times New Roman" w:cs="Times New Roman"/>
              <w:sz w:val="24"/>
              <w:szCs w:val="24"/>
            </w:rPr>
            <w:t>Table of Contents</w:t>
          </w:r>
        </w:p>
        <w:p w14:paraId="6630BE56" w14:textId="77777777" w:rsidR="009024A5" w:rsidRPr="000D4677" w:rsidRDefault="004D1794" w:rsidP="000D4677">
          <w:pPr>
            <w:pStyle w:val="TOC1"/>
            <w:tabs>
              <w:tab w:val="right" w:leader="dot" w:pos="9016"/>
            </w:tabs>
            <w:spacing w:before="240" w:after="240" w:line="360" w:lineRule="auto"/>
            <w:jc w:val="both"/>
            <w:rPr>
              <w:rFonts w:ascii="Times New Roman" w:hAnsi="Times New Roman" w:cs="Times New Roman"/>
              <w:noProof/>
              <w:sz w:val="24"/>
              <w:szCs w:val="24"/>
            </w:rPr>
          </w:pPr>
          <w:r w:rsidRPr="000D4677">
            <w:rPr>
              <w:rFonts w:ascii="Times New Roman" w:hAnsi="Times New Roman" w:cs="Times New Roman"/>
              <w:sz w:val="24"/>
              <w:szCs w:val="24"/>
            </w:rPr>
            <w:fldChar w:fldCharType="begin"/>
          </w:r>
          <w:r w:rsidRPr="000D4677">
            <w:rPr>
              <w:rFonts w:ascii="Times New Roman" w:hAnsi="Times New Roman" w:cs="Times New Roman"/>
              <w:sz w:val="24"/>
              <w:szCs w:val="24"/>
            </w:rPr>
            <w:instrText xml:space="preserve"> TOC \o "1-3" \h \z \u </w:instrText>
          </w:r>
          <w:r w:rsidRPr="000D4677">
            <w:rPr>
              <w:rFonts w:ascii="Times New Roman" w:hAnsi="Times New Roman" w:cs="Times New Roman"/>
              <w:sz w:val="24"/>
              <w:szCs w:val="24"/>
            </w:rPr>
            <w:fldChar w:fldCharType="separate"/>
          </w:r>
          <w:hyperlink w:anchor="_Toc223966278" w:history="1">
            <w:r w:rsidRPr="000D4677">
              <w:rPr>
                <w:rStyle w:val="Hyperlink"/>
                <w:rFonts w:ascii="Times New Roman" w:hAnsi="Times New Roman" w:cs="Times New Roman"/>
                <w:noProof/>
                <w:sz w:val="24"/>
                <w:szCs w:val="24"/>
                <w:lang w:val="en-ZW"/>
              </w:rPr>
              <w:t>1. Introduction</w:t>
            </w:r>
            <w:r w:rsidRPr="000D4677">
              <w:rPr>
                <w:rFonts w:ascii="Times New Roman" w:hAnsi="Times New Roman" w:cs="Times New Roman"/>
                <w:noProof/>
                <w:webHidden/>
                <w:sz w:val="24"/>
                <w:szCs w:val="24"/>
              </w:rPr>
              <w:tab/>
            </w:r>
            <w:r w:rsidRPr="000D4677">
              <w:rPr>
                <w:rFonts w:ascii="Times New Roman" w:hAnsi="Times New Roman" w:cs="Times New Roman"/>
                <w:noProof/>
                <w:webHidden/>
                <w:sz w:val="24"/>
                <w:szCs w:val="24"/>
              </w:rPr>
              <w:fldChar w:fldCharType="begin"/>
            </w:r>
            <w:r w:rsidRPr="000D4677">
              <w:rPr>
                <w:rFonts w:ascii="Times New Roman" w:hAnsi="Times New Roman" w:cs="Times New Roman"/>
                <w:noProof/>
                <w:webHidden/>
                <w:sz w:val="24"/>
                <w:szCs w:val="24"/>
              </w:rPr>
              <w:instrText xml:space="preserve"> PAGEREF _Toc223966278 \h </w:instrText>
            </w:r>
            <w:r w:rsidRPr="000D4677">
              <w:rPr>
                <w:rFonts w:ascii="Times New Roman" w:hAnsi="Times New Roman" w:cs="Times New Roman"/>
                <w:noProof/>
                <w:webHidden/>
                <w:sz w:val="24"/>
                <w:szCs w:val="24"/>
              </w:rPr>
            </w:r>
            <w:r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3</w:t>
            </w:r>
            <w:r w:rsidRPr="000D4677">
              <w:rPr>
                <w:rFonts w:ascii="Times New Roman" w:hAnsi="Times New Roman" w:cs="Times New Roman"/>
                <w:noProof/>
                <w:webHidden/>
                <w:sz w:val="24"/>
                <w:szCs w:val="24"/>
              </w:rPr>
              <w:fldChar w:fldCharType="end"/>
            </w:r>
          </w:hyperlink>
        </w:p>
        <w:p w14:paraId="7702C913" w14:textId="77777777" w:rsidR="009024A5" w:rsidRPr="000D4677" w:rsidRDefault="00000000" w:rsidP="000D4677">
          <w:pPr>
            <w:pStyle w:val="TOC1"/>
            <w:tabs>
              <w:tab w:val="right" w:leader="dot" w:pos="9016"/>
            </w:tabs>
            <w:spacing w:before="240" w:after="240" w:line="360" w:lineRule="auto"/>
            <w:jc w:val="both"/>
            <w:rPr>
              <w:rFonts w:ascii="Times New Roman" w:hAnsi="Times New Roman" w:cs="Times New Roman"/>
              <w:noProof/>
              <w:sz w:val="24"/>
              <w:szCs w:val="24"/>
            </w:rPr>
          </w:pPr>
          <w:hyperlink w:anchor="_Toc223966279" w:history="1">
            <w:r w:rsidR="004D1794" w:rsidRPr="000D4677">
              <w:rPr>
                <w:rStyle w:val="Hyperlink"/>
                <w:rFonts w:ascii="Times New Roman" w:hAnsi="Times New Roman" w:cs="Times New Roman"/>
                <w:noProof/>
                <w:sz w:val="24"/>
                <w:szCs w:val="24"/>
                <w:lang w:val="en-ZW"/>
              </w:rPr>
              <w:t>2. Internal and External Environment</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_Toc223966279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4</w:t>
            </w:r>
            <w:r w:rsidR="004D1794" w:rsidRPr="000D4677">
              <w:rPr>
                <w:rFonts w:ascii="Times New Roman" w:hAnsi="Times New Roman" w:cs="Times New Roman"/>
                <w:noProof/>
                <w:webHidden/>
                <w:sz w:val="24"/>
                <w:szCs w:val="24"/>
              </w:rPr>
              <w:fldChar w:fldCharType="end"/>
            </w:r>
          </w:hyperlink>
        </w:p>
        <w:p w14:paraId="40E8C3F4" w14:textId="77777777" w:rsidR="009024A5" w:rsidRPr="000D4677" w:rsidRDefault="00000000" w:rsidP="000D4677">
          <w:pPr>
            <w:pStyle w:val="TOC1"/>
            <w:tabs>
              <w:tab w:val="right" w:leader="dot" w:pos="9016"/>
            </w:tabs>
            <w:spacing w:before="240" w:after="240" w:line="360" w:lineRule="auto"/>
            <w:jc w:val="both"/>
            <w:rPr>
              <w:rFonts w:ascii="Times New Roman" w:hAnsi="Times New Roman" w:cs="Times New Roman"/>
              <w:noProof/>
              <w:sz w:val="24"/>
              <w:szCs w:val="24"/>
            </w:rPr>
          </w:pPr>
          <w:hyperlink w:anchor="_Toc223966280" w:history="1">
            <w:r w:rsidR="004D1794" w:rsidRPr="000D4677">
              <w:rPr>
                <w:rStyle w:val="Hyperlink"/>
                <w:rFonts w:ascii="Times New Roman" w:hAnsi="Times New Roman" w:cs="Times New Roman"/>
                <w:noProof/>
                <w:sz w:val="24"/>
                <w:szCs w:val="24"/>
                <w:lang w:val="en-ZW"/>
              </w:rPr>
              <w:t>3. Organisation Application</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_Toc223966280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5</w:t>
            </w:r>
            <w:r w:rsidR="004D1794" w:rsidRPr="000D4677">
              <w:rPr>
                <w:rFonts w:ascii="Times New Roman" w:hAnsi="Times New Roman" w:cs="Times New Roman"/>
                <w:noProof/>
                <w:webHidden/>
                <w:sz w:val="24"/>
                <w:szCs w:val="24"/>
              </w:rPr>
              <w:fldChar w:fldCharType="end"/>
            </w:r>
          </w:hyperlink>
        </w:p>
        <w:p w14:paraId="3CB250C4" w14:textId="77777777" w:rsidR="009024A5" w:rsidRPr="000D4677" w:rsidRDefault="00000000" w:rsidP="000D4677">
          <w:pPr>
            <w:pStyle w:val="TOC1"/>
            <w:tabs>
              <w:tab w:val="right" w:leader="dot" w:pos="9016"/>
            </w:tabs>
            <w:spacing w:before="240" w:after="240" w:line="360" w:lineRule="auto"/>
            <w:jc w:val="both"/>
            <w:rPr>
              <w:rFonts w:ascii="Times New Roman" w:hAnsi="Times New Roman" w:cs="Times New Roman"/>
              <w:noProof/>
              <w:sz w:val="24"/>
              <w:szCs w:val="24"/>
            </w:rPr>
          </w:pPr>
          <w:hyperlink w:anchor="_Toc223966281" w:history="1">
            <w:r w:rsidR="004D1794" w:rsidRPr="000D4677">
              <w:rPr>
                <w:rStyle w:val="Hyperlink"/>
                <w:rFonts w:ascii="Times New Roman" w:hAnsi="Times New Roman" w:cs="Times New Roman"/>
                <w:noProof/>
                <w:sz w:val="24"/>
                <w:szCs w:val="24"/>
                <w:lang w:val="en-ZW"/>
              </w:rPr>
              <w:t>4. Application of the PESTLE Model</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_Toc223966281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6</w:t>
            </w:r>
            <w:r w:rsidR="004D1794" w:rsidRPr="000D4677">
              <w:rPr>
                <w:rFonts w:ascii="Times New Roman" w:hAnsi="Times New Roman" w:cs="Times New Roman"/>
                <w:noProof/>
                <w:webHidden/>
                <w:sz w:val="24"/>
                <w:szCs w:val="24"/>
              </w:rPr>
              <w:fldChar w:fldCharType="end"/>
            </w:r>
          </w:hyperlink>
        </w:p>
        <w:p w14:paraId="1FD142FA" w14:textId="77777777" w:rsidR="009024A5" w:rsidRPr="000D4677" w:rsidRDefault="00000000" w:rsidP="000D4677">
          <w:pPr>
            <w:pStyle w:val="TOC2"/>
            <w:tabs>
              <w:tab w:val="right" w:leader="dot" w:pos="9016"/>
            </w:tabs>
            <w:spacing w:before="240" w:after="240" w:line="360" w:lineRule="auto"/>
            <w:jc w:val="both"/>
            <w:rPr>
              <w:rFonts w:ascii="Times New Roman" w:hAnsi="Times New Roman" w:cs="Times New Roman"/>
              <w:noProof/>
              <w:sz w:val="24"/>
              <w:szCs w:val="24"/>
            </w:rPr>
          </w:pPr>
          <w:hyperlink w:anchor="_Toc223966282" w:history="1">
            <w:r w:rsidR="004D1794" w:rsidRPr="000D4677">
              <w:rPr>
                <w:rStyle w:val="Hyperlink"/>
                <w:rFonts w:ascii="Times New Roman" w:hAnsi="Times New Roman" w:cs="Times New Roman"/>
                <w:noProof/>
                <w:sz w:val="24"/>
                <w:szCs w:val="24"/>
              </w:rPr>
              <w:t>4.1 Impact on Organisation</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_Toc223966282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6</w:t>
            </w:r>
            <w:r w:rsidR="004D1794" w:rsidRPr="000D4677">
              <w:rPr>
                <w:rFonts w:ascii="Times New Roman" w:hAnsi="Times New Roman" w:cs="Times New Roman"/>
                <w:noProof/>
                <w:webHidden/>
                <w:sz w:val="24"/>
                <w:szCs w:val="24"/>
              </w:rPr>
              <w:fldChar w:fldCharType="end"/>
            </w:r>
          </w:hyperlink>
        </w:p>
        <w:p w14:paraId="3A032725" w14:textId="77777777" w:rsidR="009024A5" w:rsidRPr="000D4677" w:rsidRDefault="00000000" w:rsidP="000D4677">
          <w:pPr>
            <w:pStyle w:val="TOC2"/>
            <w:tabs>
              <w:tab w:val="right" w:leader="dot" w:pos="9016"/>
            </w:tabs>
            <w:spacing w:before="240" w:after="240" w:line="360" w:lineRule="auto"/>
            <w:jc w:val="both"/>
            <w:rPr>
              <w:rFonts w:ascii="Times New Roman" w:hAnsi="Times New Roman" w:cs="Times New Roman"/>
              <w:noProof/>
              <w:sz w:val="24"/>
              <w:szCs w:val="24"/>
            </w:rPr>
          </w:pPr>
          <w:hyperlink w:anchor="_Toc223966283" w:history="1">
            <w:r w:rsidR="004D1794" w:rsidRPr="000D4677">
              <w:rPr>
                <w:rStyle w:val="Hyperlink"/>
                <w:rFonts w:ascii="Times New Roman" w:hAnsi="Times New Roman" w:cs="Times New Roman"/>
                <w:noProof/>
                <w:sz w:val="24"/>
                <w:szCs w:val="24"/>
              </w:rPr>
              <w:t>4.2 Country Differences</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_Toc223966283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7</w:t>
            </w:r>
            <w:r w:rsidR="004D1794" w:rsidRPr="000D4677">
              <w:rPr>
                <w:rFonts w:ascii="Times New Roman" w:hAnsi="Times New Roman" w:cs="Times New Roman"/>
                <w:noProof/>
                <w:webHidden/>
                <w:sz w:val="24"/>
                <w:szCs w:val="24"/>
              </w:rPr>
              <w:fldChar w:fldCharType="end"/>
            </w:r>
          </w:hyperlink>
        </w:p>
        <w:p w14:paraId="2601845E" w14:textId="77777777" w:rsidR="009024A5" w:rsidRPr="000D4677" w:rsidRDefault="00000000" w:rsidP="000D4677">
          <w:pPr>
            <w:pStyle w:val="TOC1"/>
            <w:tabs>
              <w:tab w:val="right" w:leader="dot" w:pos="9016"/>
            </w:tabs>
            <w:spacing w:before="240" w:after="240" w:line="360" w:lineRule="auto"/>
            <w:jc w:val="both"/>
            <w:rPr>
              <w:rFonts w:ascii="Times New Roman" w:hAnsi="Times New Roman" w:cs="Times New Roman"/>
              <w:noProof/>
              <w:sz w:val="24"/>
              <w:szCs w:val="24"/>
            </w:rPr>
          </w:pPr>
          <w:hyperlink w:anchor="_Toc223966284" w:history="1">
            <w:r w:rsidR="004D1794" w:rsidRPr="000D4677">
              <w:rPr>
                <w:rStyle w:val="Hyperlink"/>
                <w:rFonts w:ascii="Times New Roman" w:hAnsi="Times New Roman" w:cs="Times New Roman"/>
                <w:noProof/>
                <w:sz w:val="24"/>
                <w:szCs w:val="24"/>
                <w:lang w:val="en-ZW"/>
              </w:rPr>
              <w:t>5. Conclusion</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_Toc223966284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9</w:t>
            </w:r>
            <w:r w:rsidR="004D1794" w:rsidRPr="000D4677">
              <w:rPr>
                <w:rFonts w:ascii="Times New Roman" w:hAnsi="Times New Roman" w:cs="Times New Roman"/>
                <w:noProof/>
                <w:webHidden/>
                <w:sz w:val="24"/>
                <w:szCs w:val="24"/>
              </w:rPr>
              <w:fldChar w:fldCharType="end"/>
            </w:r>
          </w:hyperlink>
        </w:p>
        <w:p w14:paraId="233FE065" w14:textId="77777777" w:rsidR="009024A5" w:rsidRPr="000D4677" w:rsidRDefault="00000000" w:rsidP="000D4677">
          <w:pPr>
            <w:pStyle w:val="TOC1"/>
            <w:tabs>
              <w:tab w:val="right" w:leader="dot" w:pos="9016"/>
            </w:tabs>
            <w:spacing w:before="240" w:after="240" w:line="360" w:lineRule="auto"/>
            <w:jc w:val="both"/>
            <w:rPr>
              <w:rFonts w:ascii="Times New Roman" w:hAnsi="Times New Roman" w:cs="Times New Roman"/>
              <w:noProof/>
              <w:sz w:val="24"/>
              <w:szCs w:val="24"/>
            </w:rPr>
          </w:pPr>
          <w:hyperlink w:anchor="_Toc223966285" w:history="1">
            <w:r w:rsidR="004D1794" w:rsidRPr="000D4677">
              <w:rPr>
                <w:rStyle w:val="Hyperlink"/>
                <w:rFonts w:ascii="Times New Roman" w:hAnsi="Times New Roman" w:cs="Times New Roman"/>
                <w:noProof/>
                <w:sz w:val="24"/>
                <w:szCs w:val="24"/>
              </w:rPr>
              <w:t>References</w:t>
            </w:r>
            <w:r w:rsidR="004D1794" w:rsidRPr="000D4677">
              <w:rPr>
                <w:rFonts w:ascii="Times New Roman" w:hAnsi="Times New Roman" w:cs="Times New Roman"/>
                <w:noProof/>
                <w:webHidden/>
                <w:sz w:val="24"/>
                <w:szCs w:val="24"/>
              </w:rPr>
              <w:tab/>
            </w:r>
            <w:r w:rsidR="004D1794" w:rsidRPr="000D4677">
              <w:rPr>
                <w:rFonts w:ascii="Times New Roman" w:hAnsi="Times New Roman" w:cs="Times New Roman"/>
                <w:noProof/>
                <w:webHidden/>
                <w:sz w:val="24"/>
                <w:szCs w:val="24"/>
              </w:rPr>
              <w:fldChar w:fldCharType="begin"/>
            </w:r>
            <w:r w:rsidR="004D1794" w:rsidRPr="000D4677">
              <w:rPr>
                <w:rFonts w:ascii="Times New Roman" w:hAnsi="Times New Roman" w:cs="Times New Roman"/>
                <w:noProof/>
                <w:webHidden/>
                <w:sz w:val="24"/>
                <w:szCs w:val="24"/>
              </w:rPr>
              <w:instrText xml:space="preserve"> PAGEREF _Toc223966285 \h </w:instrText>
            </w:r>
            <w:r w:rsidR="004D1794" w:rsidRPr="000D4677">
              <w:rPr>
                <w:rFonts w:ascii="Times New Roman" w:hAnsi="Times New Roman" w:cs="Times New Roman"/>
                <w:noProof/>
                <w:webHidden/>
                <w:sz w:val="24"/>
                <w:szCs w:val="24"/>
              </w:rPr>
            </w:r>
            <w:r w:rsidR="004D1794" w:rsidRPr="000D4677">
              <w:rPr>
                <w:rFonts w:ascii="Times New Roman" w:hAnsi="Times New Roman" w:cs="Times New Roman"/>
                <w:noProof/>
                <w:webHidden/>
                <w:sz w:val="24"/>
                <w:szCs w:val="24"/>
              </w:rPr>
              <w:fldChar w:fldCharType="separate"/>
            </w:r>
            <w:r w:rsidR="0070024C">
              <w:rPr>
                <w:rFonts w:ascii="Times New Roman" w:hAnsi="Times New Roman" w:cs="Times New Roman"/>
                <w:noProof/>
                <w:webHidden/>
                <w:sz w:val="24"/>
                <w:szCs w:val="24"/>
              </w:rPr>
              <w:t>10</w:t>
            </w:r>
            <w:r w:rsidR="004D1794" w:rsidRPr="000D4677">
              <w:rPr>
                <w:rFonts w:ascii="Times New Roman" w:hAnsi="Times New Roman" w:cs="Times New Roman"/>
                <w:noProof/>
                <w:webHidden/>
                <w:sz w:val="24"/>
                <w:szCs w:val="24"/>
              </w:rPr>
              <w:fldChar w:fldCharType="end"/>
            </w:r>
          </w:hyperlink>
        </w:p>
        <w:p w14:paraId="649038CA" w14:textId="77777777" w:rsidR="009024A5" w:rsidRPr="000D4677" w:rsidRDefault="004D1794" w:rsidP="000D4677">
          <w:pPr>
            <w:spacing w:before="240" w:after="240" w:line="360" w:lineRule="auto"/>
            <w:jc w:val="both"/>
            <w:rPr>
              <w:rFonts w:ascii="Times New Roman" w:hAnsi="Times New Roman" w:cs="Times New Roman"/>
              <w:sz w:val="24"/>
              <w:szCs w:val="24"/>
            </w:rPr>
          </w:pPr>
          <w:r w:rsidRPr="000D4677">
            <w:rPr>
              <w:rFonts w:ascii="Times New Roman" w:hAnsi="Times New Roman" w:cs="Times New Roman"/>
              <w:b/>
              <w:bCs/>
              <w:noProof/>
              <w:sz w:val="24"/>
              <w:szCs w:val="24"/>
            </w:rPr>
            <w:fldChar w:fldCharType="end"/>
          </w:r>
        </w:p>
      </w:sdtContent>
    </w:sdt>
    <w:p w14:paraId="0BDF7CC5" w14:textId="77777777" w:rsidR="009024A5" w:rsidRPr="000D4677" w:rsidRDefault="004D1794" w:rsidP="000D4677">
      <w:pPr>
        <w:spacing w:before="240" w:after="240" w:line="360" w:lineRule="auto"/>
        <w:jc w:val="both"/>
        <w:rPr>
          <w:rFonts w:ascii="Times New Roman" w:eastAsiaTheme="majorEastAsia" w:hAnsi="Times New Roman" w:cs="Times New Roman"/>
          <w:b/>
          <w:bCs/>
          <w:color w:val="365F91" w:themeColor="accent1" w:themeShade="BF"/>
          <w:sz w:val="24"/>
          <w:szCs w:val="24"/>
          <w:lang w:val="en-ZW"/>
        </w:rPr>
      </w:pPr>
      <w:r w:rsidRPr="000D4677">
        <w:rPr>
          <w:rFonts w:ascii="Times New Roman" w:hAnsi="Times New Roman" w:cs="Times New Roman"/>
          <w:sz w:val="24"/>
          <w:szCs w:val="24"/>
          <w:lang w:val="en-ZW"/>
        </w:rPr>
        <w:br w:type="page"/>
      </w:r>
    </w:p>
    <w:p w14:paraId="17C24DD0" w14:textId="77777777" w:rsidR="00EF0AEC" w:rsidRPr="000D4677" w:rsidRDefault="004D1794" w:rsidP="000D4677">
      <w:pPr>
        <w:pStyle w:val="Heading1"/>
        <w:spacing w:before="240" w:after="240" w:line="360" w:lineRule="auto"/>
        <w:jc w:val="both"/>
        <w:rPr>
          <w:rFonts w:ascii="Times New Roman" w:hAnsi="Times New Roman" w:cs="Times New Roman"/>
          <w:sz w:val="24"/>
          <w:szCs w:val="24"/>
          <w:lang w:val="en-ZW"/>
        </w:rPr>
      </w:pPr>
      <w:bookmarkStart w:id="0" w:name="_Toc223966278"/>
      <w:r w:rsidRPr="000D4677">
        <w:rPr>
          <w:rFonts w:ascii="Times New Roman" w:hAnsi="Times New Roman" w:cs="Times New Roman"/>
          <w:sz w:val="24"/>
          <w:szCs w:val="24"/>
          <w:lang w:val="en-ZW"/>
        </w:rPr>
        <w:lastRenderedPageBreak/>
        <w:t>1. Introduction</w:t>
      </w:r>
      <w:bookmarkEnd w:id="0"/>
    </w:p>
    <w:p w14:paraId="142FD98A" w14:textId="77777777" w:rsidR="00743604" w:rsidRPr="000D4677" w:rsidRDefault="004D1794" w:rsidP="000D4677">
      <w:pPr>
        <w:spacing w:before="240" w:after="240" w:line="360" w:lineRule="auto"/>
        <w:jc w:val="both"/>
        <w:rPr>
          <w:rFonts w:ascii="Times New Roman" w:hAnsi="Times New Roman" w:cs="Times New Roman"/>
          <w:sz w:val="24"/>
          <w:szCs w:val="24"/>
        </w:rPr>
      </w:pPr>
      <w:r w:rsidRPr="000D4677">
        <w:rPr>
          <w:rFonts w:ascii="Times New Roman" w:hAnsi="Times New Roman" w:cs="Times New Roman"/>
          <w:sz w:val="24"/>
          <w:szCs w:val="24"/>
        </w:rPr>
        <w:t xml:space="preserve">The </w:t>
      </w:r>
      <w:r w:rsidR="00385017" w:rsidRPr="000D4677">
        <w:rPr>
          <w:rFonts w:ascii="Times New Roman" w:hAnsi="Times New Roman" w:cs="Times New Roman"/>
          <w:sz w:val="24"/>
          <w:szCs w:val="24"/>
        </w:rPr>
        <w:t>term Human Resource Management (HRM) refers</w:t>
      </w:r>
      <w:r w:rsidRPr="000D4677">
        <w:rPr>
          <w:rFonts w:ascii="Times New Roman" w:hAnsi="Times New Roman" w:cs="Times New Roman"/>
          <w:sz w:val="24"/>
          <w:szCs w:val="24"/>
        </w:rPr>
        <w:t xml:space="preserve"> to the organisational </w:t>
      </w:r>
      <w:r w:rsidR="00946806">
        <w:rPr>
          <w:rFonts w:ascii="Times New Roman" w:hAnsi="Times New Roman" w:cs="Times New Roman"/>
          <w:sz w:val="24"/>
          <w:szCs w:val="24"/>
        </w:rPr>
        <w:t>practices</w:t>
      </w:r>
      <w:r w:rsidRPr="000D4677">
        <w:rPr>
          <w:rFonts w:ascii="Times New Roman" w:hAnsi="Times New Roman" w:cs="Times New Roman"/>
          <w:sz w:val="24"/>
          <w:szCs w:val="24"/>
        </w:rPr>
        <w:t xml:space="preserve"> adopted </w:t>
      </w:r>
      <w:r w:rsidR="00CA18A9" w:rsidRPr="00CA18A9">
        <w:rPr>
          <w:rFonts w:ascii="Times New Roman" w:hAnsi="Times New Roman" w:cs="Times New Roman"/>
          <w:sz w:val="24"/>
          <w:szCs w:val="24"/>
        </w:rPr>
        <w:t>to manage employees</w:t>
      </w:r>
      <w:r w:rsidR="00CA18A9">
        <w:rPr>
          <w:rFonts w:ascii="Times New Roman" w:hAnsi="Times New Roman" w:cs="Times New Roman"/>
          <w:sz w:val="24"/>
          <w:szCs w:val="24"/>
        </w:rPr>
        <w:t xml:space="preserve"> </w:t>
      </w:r>
      <w:r w:rsidRPr="000D4677">
        <w:rPr>
          <w:rFonts w:ascii="Times New Roman" w:hAnsi="Times New Roman" w:cs="Times New Roman"/>
          <w:sz w:val="24"/>
          <w:szCs w:val="24"/>
        </w:rPr>
        <w:t xml:space="preserve">as well as aligning the potential of the employees with the organisational objectives (Armstrong and Taylor, 2023). The significance of the HR functions is that they have enabled organisations to attract, develop and retain employees who drive organisational performance. Recruitment and selection involve the identification and hiring of the appropriate individuals; </w:t>
      </w:r>
      <w:r w:rsidR="00CA18A9" w:rsidRPr="00CA18A9">
        <w:rPr>
          <w:rFonts w:ascii="Times New Roman" w:hAnsi="Times New Roman" w:cs="Times New Roman"/>
          <w:sz w:val="24"/>
          <w:szCs w:val="24"/>
        </w:rPr>
        <w:t xml:space="preserve">individuals </w:t>
      </w:r>
      <w:r w:rsidRPr="000D4677">
        <w:rPr>
          <w:rFonts w:ascii="Times New Roman" w:hAnsi="Times New Roman" w:cs="Times New Roman"/>
          <w:sz w:val="24"/>
          <w:szCs w:val="24"/>
        </w:rPr>
        <w:t>with skills and competence demanded in organisational jobs that directly affect the quality and the productivity of the workforce. Training and development are meant to improve the knowledge and skills of the organisation's employees in a manner that they can adapt to change in technology and new job requirements (Lussier and Hendon, 2025). Performance management involves evaluating the performance of an employee, setting goals and providing feedback to a person to improve personal and organisational performance. In addition, employee relations are geared towards good employee relations with the management, which enables employee engagement and downplays conflict at the workplace (Armstrong and Taylor, 2023).</w:t>
      </w:r>
    </w:p>
    <w:p w14:paraId="0AB946B9" w14:textId="77777777" w:rsidR="00EF0AEC" w:rsidRPr="000D4677" w:rsidRDefault="004D1794" w:rsidP="000D4677">
      <w:pPr>
        <w:spacing w:before="240" w:after="240" w:line="360" w:lineRule="auto"/>
        <w:jc w:val="both"/>
        <w:rPr>
          <w:rFonts w:ascii="Times New Roman" w:hAnsi="Times New Roman" w:cs="Times New Roman"/>
          <w:sz w:val="24"/>
          <w:szCs w:val="24"/>
        </w:rPr>
      </w:pPr>
      <w:r w:rsidRPr="000D4677">
        <w:rPr>
          <w:rFonts w:ascii="Times New Roman" w:hAnsi="Times New Roman" w:cs="Times New Roman"/>
          <w:sz w:val="24"/>
          <w:szCs w:val="24"/>
        </w:rPr>
        <w:t xml:space="preserve">The environmental factors have been evaluated in this report in relation to their impact on HR effectiveness in the international organisations. It begins with </w:t>
      </w:r>
      <w:r w:rsidR="0039074F" w:rsidRPr="0039074F">
        <w:rPr>
          <w:rFonts w:ascii="Times New Roman" w:hAnsi="Times New Roman" w:cs="Times New Roman"/>
          <w:sz w:val="24"/>
          <w:szCs w:val="24"/>
        </w:rPr>
        <w:t>analysis of the external env</w:t>
      </w:r>
      <w:r w:rsidR="0039074F">
        <w:rPr>
          <w:rFonts w:ascii="Times New Roman" w:hAnsi="Times New Roman" w:cs="Times New Roman"/>
          <w:sz w:val="24"/>
          <w:szCs w:val="24"/>
        </w:rPr>
        <w:t>ironment using the PESTLE model</w:t>
      </w:r>
      <w:r w:rsidRPr="000D4677">
        <w:rPr>
          <w:rFonts w:ascii="Times New Roman" w:hAnsi="Times New Roman" w:cs="Times New Roman"/>
          <w:sz w:val="24"/>
          <w:szCs w:val="24"/>
        </w:rPr>
        <w:t xml:space="preserve">. The next element in the report is that of the Amazon and the HR </w:t>
      </w:r>
      <w:r w:rsidR="00946806">
        <w:rPr>
          <w:rFonts w:ascii="Times New Roman" w:hAnsi="Times New Roman" w:cs="Times New Roman"/>
          <w:sz w:val="24"/>
          <w:szCs w:val="24"/>
        </w:rPr>
        <w:t>practices</w:t>
      </w:r>
      <w:r w:rsidRPr="000D4677">
        <w:rPr>
          <w:rFonts w:ascii="Times New Roman" w:hAnsi="Times New Roman" w:cs="Times New Roman"/>
          <w:sz w:val="24"/>
          <w:szCs w:val="24"/>
        </w:rPr>
        <w:t xml:space="preserve"> and the analysis of the international effects of the environmental factors on HR management. Finally, the conclusion is provided in the report.</w:t>
      </w:r>
    </w:p>
    <w:p w14:paraId="00DAD48B" w14:textId="77777777" w:rsidR="009024A5" w:rsidRPr="000D4677" w:rsidRDefault="004D1794" w:rsidP="000D4677">
      <w:pPr>
        <w:spacing w:before="240" w:after="240" w:line="360" w:lineRule="auto"/>
        <w:jc w:val="both"/>
        <w:rPr>
          <w:rFonts w:ascii="Times New Roman" w:eastAsiaTheme="majorEastAsia" w:hAnsi="Times New Roman" w:cs="Times New Roman"/>
          <w:b/>
          <w:bCs/>
          <w:color w:val="365F91" w:themeColor="accent1" w:themeShade="BF"/>
          <w:sz w:val="24"/>
          <w:szCs w:val="24"/>
          <w:lang w:val="en-ZW"/>
        </w:rPr>
      </w:pPr>
      <w:bookmarkStart w:id="1" w:name="_Toc223966279"/>
      <w:r w:rsidRPr="000D4677">
        <w:rPr>
          <w:rFonts w:ascii="Times New Roman" w:hAnsi="Times New Roman" w:cs="Times New Roman"/>
          <w:sz w:val="24"/>
          <w:szCs w:val="24"/>
          <w:lang w:val="en-ZW"/>
        </w:rPr>
        <w:br w:type="page"/>
      </w:r>
    </w:p>
    <w:p w14:paraId="661887D9" w14:textId="77777777" w:rsidR="005E3506" w:rsidRPr="000D4677" w:rsidRDefault="004D1794" w:rsidP="000D4677">
      <w:pPr>
        <w:pStyle w:val="Heading1"/>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lastRenderedPageBreak/>
        <w:t>2. Internal and External Environment</w:t>
      </w:r>
      <w:bookmarkEnd w:id="1"/>
    </w:p>
    <w:p w14:paraId="5620883E" w14:textId="77777777" w:rsidR="00743604"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Organisational environment is quite challenging and influences the strategic choices and management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The business environment models help organisations to examine such forces and understand how the external environment and internal environment can influence their operations. One of the most common models of the external environment analysis is the PESTLE model. A model which examines six macro elements of the environment is the PESTLE model, which includes political, economic, social, technological, legal and environmental factors influencing organisational activity and strategic decision-making (Akhere et al., 2023). These factors would enable the organisations to identify the opportunities and threats within the business environment and redefine strategies. The applicability of such environmental scanning models as PESTLE is grounded on the fact that organisations do not operate in a vacuum and they are always obliged to adapt to the external forces that always affect markets, regulation and control of workforces.</w:t>
      </w:r>
    </w:p>
    <w:p w14:paraId="391793DB" w14:textId="77777777" w:rsidR="00743604"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 PESTLE model can be effective because it has an opportunity to receive a guided approach to studying the parameters of the macro-environment that influence the performance of organisations and strategic planning (Qadri and Tariq, 2025). The political factors include government policies, labour rules and acts that govern employment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that will directly affect the human resource management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Workforce, remuneration and recruitment decisions of employees are influenced by economic variables such as inflation, labour markets and economic developments. Social factors which may affect the engagement of the employees include demographic processes, organisational cultural values and expectations of the employees and the organisational culture and strategy of talent management. Technological developments also impact the HR functions because organisations require new skills, optimisation, and recruitment of staff, and </w:t>
      </w:r>
      <w:r w:rsidR="005E5001" w:rsidRPr="00DF17BE">
        <w:rPr>
          <w:rFonts w:ascii="Times New Roman" w:hAnsi="Times New Roman" w:cs="Times New Roman"/>
          <w:sz w:val="24"/>
          <w:szCs w:val="24"/>
        </w:rPr>
        <w:t xml:space="preserve">implementation </w:t>
      </w:r>
      <w:r w:rsidR="005E5001">
        <w:rPr>
          <w:rFonts w:ascii="Times New Roman" w:hAnsi="Times New Roman" w:cs="Times New Roman"/>
          <w:sz w:val="24"/>
          <w:szCs w:val="24"/>
        </w:rPr>
        <w:t>of</w:t>
      </w:r>
      <w:r w:rsidRPr="000D4677">
        <w:rPr>
          <w:rFonts w:ascii="Times New Roman" w:hAnsi="Times New Roman" w:cs="Times New Roman"/>
          <w:sz w:val="24"/>
          <w:szCs w:val="24"/>
          <w:lang w:val="en-ZW"/>
        </w:rPr>
        <w:t xml:space="preserve"> digital HR systems to remain in the competitive environ</w:t>
      </w:r>
      <w:r w:rsidR="0019786E">
        <w:rPr>
          <w:rFonts w:ascii="Times New Roman" w:hAnsi="Times New Roman" w:cs="Times New Roman"/>
          <w:sz w:val="24"/>
          <w:szCs w:val="24"/>
          <w:lang w:val="en-ZW"/>
        </w:rPr>
        <w:t>ment (Verma and Gustafsson, 2020</w:t>
      </w:r>
      <w:r w:rsidRPr="000D4677">
        <w:rPr>
          <w:rFonts w:ascii="Times New Roman" w:hAnsi="Times New Roman" w:cs="Times New Roman"/>
          <w:sz w:val="24"/>
          <w:szCs w:val="24"/>
          <w:lang w:val="en-ZW"/>
        </w:rPr>
        <w:t xml:space="preserve">). The compliance issues in terms of employment rights, health and safety legislation and workplace precautions are determined by legal issues. The sustainable workforce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and green HR are increasing and having a stronger effect on the HR strategies, including the environmental aspects and sustainability pressures.</w:t>
      </w:r>
    </w:p>
    <w:p w14:paraId="58901086" w14:textId="77777777" w:rsidR="00743604"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Despite being a good tool, the PESTLE model possesses a series of limitations as well. The model gives more emphasis on the macro-environmental factors and does not provide a detailed insight into the internal organisational capability and competition in industries. It </w:t>
      </w:r>
      <w:r w:rsidRPr="000D4677">
        <w:rPr>
          <w:rFonts w:ascii="Times New Roman" w:hAnsi="Times New Roman" w:cs="Times New Roman"/>
          <w:sz w:val="24"/>
          <w:szCs w:val="24"/>
          <w:lang w:val="en-ZW"/>
        </w:rPr>
        <w:lastRenderedPageBreak/>
        <w:t>means that organisations often need to combine PESTLE with the other strategic tools to conduct a deeper analysis of the business environment (Buye, 2021). Additionally, the state of the environment may change at an incredibly rapid rate; the PESTLE analysis can quickly become obsolete unless the organisations update the analysis actively.</w:t>
      </w:r>
    </w:p>
    <w:p w14:paraId="29D6C7F6" w14:textId="77777777" w:rsidR="005E3506"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PEST</w:t>
      </w:r>
      <w:r w:rsidR="00B753A5">
        <w:rPr>
          <w:rFonts w:ascii="Times New Roman" w:hAnsi="Times New Roman" w:cs="Times New Roman"/>
          <w:sz w:val="24"/>
          <w:szCs w:val="24"/>
          <w:lang w:val="en-ZW"/>
        </w:rPr>
        <w:t>LE</w:t>
      </w:r>
      <w:r w:rsidRPr="000D4677">
        <w:rPr>
          <w:rFonts w:ascii="Times New Roman" w:hAnsi="Times New Roman" w:cs="Times New Roman"/>
          <w:sz w:val="24"/>
          <w:szCs w:val="24"/>
          <w:lang w:val="en-ZW"/>
        </w:rPr>
        <w:t xml:space="preserve"> model is closely linked with the HR functions where the environmental factors directly affect the HR strategies and employment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Policies are determined by legal and political policies on policies of recruitment, employment agreements and rights in the workplace. The economic conditions have a bearing on the amount of staffing, wage regulations and labour requirements (Buye, 2021). The social developments influence issues related to diversity management and expectations of the employees, as compared to the technological developments, which require organisations to expand the benefits of training and reskilling to their employees. This implies that the HR managers must be keen on the environmental conditions to make sure that the HR policies are never out of sync with the organisational goals and international business environment.</w:t>
      </w:r>
    </w:p>
    <w:p w14:paraId="2FC1F5B2" w14:textId="77777777" w:rsidR="00F41EDE" w:rsidRPr="000D4677" w:rsidRDefault="004D1794" w:rsidP="000D4677">
      <w:pPr>
        <w:pStyle w:val="Heading1"/>
        <w:spacing w:before="240" w:after="240" w:line="360" w:lineRule="auto"/>
        <w:jc w:val="both"/>
        <w:rPr>
          <w:rFonts w:ascii="Times New Roman" w:hAnsi="Times New Roman" w:cs="Times New Roman"/>
          <w:sz w:val="24"/>
          <w:szCs w:val="24"/>
          <w:lang w:val="en-ZW"/>
        </w:rPr>
      </w:pPr>
      <w:bookmarkStart w:id="2" w:name="_Toc223966280"/>
      <w:r w:rsidRPr="000D4677">
        <w:rPr>
          <w:rFonts w:ascii="Times New Roman" w:hAnsi="Times New Roman" w:cs="Times New Roman"/>
          <w:sz w:val="24"/>
          <w:szCs w:val="24"/>
          <w:lang w:val="en-ZW"/>
        </w:rPr>
        <w:t>3. Organisation Application</w:t>
      </w:r>
      <w:bookmarkEnd w:id="2"/>
    </w:p>
    <w:p w14:paraId="3EFB7286" w14:textId="77777777" w:rsidR="00743604"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Amazon is a multinational technology and e-commerce company in the world, given that it conducts business in various countries in North America, Europe, and Asia, among other countries worldwide. It was launched in 1994 and expanded to become an online bookstore to a global organisation that delivers services like e-commerce retail, cloud computing under the Amazon Web Services (AWS) brand, digital streaming service and logistics service (Stone, 2022). Amazon employs more than 1 million people to serve its global workforce, and it has fulfilment-centres, technology-centres and customer care-centres in different countries, and this implies that the company requires superior human resource management to manage the global workforce.</w:t>
      </w:r>
    </w:p>
    <w:p w14:paraId="4F6555BF" w14:textId="77777777" w:rsidR="00F41EDE"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 </w:t>
      </w:r>
      <w:r w:rsidR="00EB62B2">
        <w:rPr>
          <w:rFonts w:ascii="Times New Roman" w:hAnsi="Times New Roman" w:cs="Times New Roman"/>
          <w:sz w:val="24"/>
          <w:szCs w:val="24"/>
          <w:lang w:val="en-ZW"/>
        </w:rPr>
        <w:t>HR</w:t>
      </w:r>
      <w:r w:rsidR="00EB62B2" w:rsidRPr="000D4677">
        <w:rPr>
          <w:rFonts w:ascii="Times New Roman" w:hAnsi="Times New Roman" w:cs="Times New Roman"/>
          <w:sz w:val="24"/>
          <w:szCs w:val="24"/>
          <w:lang w:val="en-ZW"/>
        </w:rPr>
        <w:t xml:space="preserve">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at Amazon are based on the huge and distant employees. The recruitment strategies revolve around the use of digital recruitment platforms and data-driven hiring processes that help to attract talent to operate in the different geographical locations and occupations (</w:t>
      </w:r>
      <w:proofErr w:type="spellStart"/>
      <w:r w:rsidRPr="000D4677">
        <w:rPr>
          <w:rFonts w:ascii="Times New Roman" w:hAnsi="Times New Roman" w:cs="Times New Roman"/>
          <w:sz w:val="24"/>
          <w:szCs w:val="24"/>
          <w:lang w:val="en-ZW"/>
        </w:rPr>
        <w:t>Rismayadi</w:t>
      </w:r>
      <w:proofErr w:type="spellEnd"/>
      <w:r w:rsidRPr="000D4677">
        <w:rPr>
          <w:rFonts w:ascii="Times New Roman" w:hAnsi="Times New Roman" w:cs="Times New Roman"/>
          <w:sz w:val="24"/>
          <w:szCs w:val="24"/>
          <w:lang w:val="en-ZW"/>
        </w:rPr>
        <w:t xml:space="preserve">, 2024). The training and development (employee up-skilling and technical training programmes) operation is targeted at enhancing employee capabilities and enabling innovation in the organisation (Amazon, 2020). Performance management systems also exist wherein employees are assessed and instructed on the decisions according to the </w:t>
      </w:r>
      <w:r w:rsidRPr="000D4677">
        <w:rPr>
          <w:rFonts w:ascii="Times New Roman" w:hAnsi="Times New Roman" w:cs="Times New Roman"/>
          <w:sz w:val="24"/>
          <w:szCs w:val="24"/>
          <w:lang w:val="en-ZW"/>
        </w:rPr>
        <w:lastRenderedPageBreak/>
        <w:t xml:space="preserve">measures of performance and the principles of leadership applied at Amazon (Ilhan, 2025). In addition to that, the employee relations strategies are also aimed at managing communication within the workplace with the aim of curbing labour challenges and fostering worker involvement at the workplace in diverse national environments. </w:t>
      </w:r>
    </w:p>
    <w:p w14:paraId="7D975CC5" w14:textId="77777777" w:rsidR="008108C3" w:rsidRPr="000D4677" w:rsidRDefault="004D1794" w:rsidP="000D4677">
      <w:pPr>
        <w:pStyle w:val="Heading1"/>
        <w:spacing w:before="240" w:after="240" w:line="360" w:lineRule="auto"/>
        <w:jc w:val="both"/>
        <w:rPr>
          <w:rFonts w:ascii="Times New Roman" w:hAnsi="Times New Roman" w:cs="Times New Roman"/>
          <w:sz w:val="24"/>
          <w:szCs w:val="24"/>
          <w:lang w:val="en-ZW"/>
        </w:rPr>
      </w:pPr>
      <w:bookmarkStart w:id="3" w:name="_Toc223966281"/>
      <w:r w:rsidRPr="000D4677">
        <w:rPr>
          <w:rFonts w:ascii="Times New Roman" w:hAnsi="Times New Roman" w:cs="Times New Roman"/>
          <w:sz w:val="24"/>
          <w:szCs w:val="24"/>
          <w:lang w:val="en-ZW"/>
        </w:rPr>
        <w:t xml:space="preserve">4. </w:t>
      </w:r>
      <w:r w:rsidR="00286C91" w:rsidRPr="000D4677">
        <w:rPr>
          <w:rFonts w:ascii="Times New Roman" w:hAnsi="Times New Roman" w:cs="Times New Roman"/>
          <w:sz w:val="24"/>
          <w:szCs w:val="24"/>
          <w:lang w:val="en-ZW"/>
        </w:rPr>
        <w:t>Application of the PESTLE Model</w:t>
      </w:r>
      <w:bookmarkEnd w:id="3"/>
    </w:p>
    <w:p w14:paraId="32CEF059" w14:textId="77777777" w:rsidR="008108C3" w:rsidRPr="000D4677" w:rsidRDefault="004D1794" w:rsidP="000D4677">
      <w:pPr>
        <w:pStyle w:val="Heading2"/>
        <w:spacing w:before="240" w:after="240" w:line="360" w:lineRule="auto"/>
        <w:jc w:val="both"/>
        <w:rPr>
          <w:rFonts w:ascii="Times New Roman" w:hAnsi="Times New Roman" w:cs="Times New Roman"/>
          <w:sz w:val="24"/>
          <w:szCs w:val="24"/>
        </w:rPr>
      </w:pPr>
      <w:bookmarkStart w:id="4" w:name="_Toc223966282"/>
      <w:r w:rsidRPr="000D4677">
        <w:rPr>
          <w:rFonts w:ascii="Times New Roman" w:hAnsi="Times New Roman" w:cs="Times New Roman"/>
          <w:sz w:val="24"/>
          <w:szCs w:val="24"/>
        </w:rPr>
        <w:t>4.1 Impact on Organisation</w:t>
      </w:r>
      <w:bookmarkEnd w:id="4"/>
    </w:p>
    <w:p w14:paraId="47E746B2"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 </w:t>
      </w:r>
      <w:r w:rsidRPr="00B753A5">
        <w:rPr>
          <w:rFonts w:ascii="Times New Roman" w:hAnsi="Times New Roman" w:cs="Times New Roman"/>
          <w:sz w:val="24"/>
          <w:szCs w:val="24"/>
          <w:lang w:val="en-ZW"/>
        </w:rPr>
        <w:t>PESTLE</w:t>
      </w:r>
      <w:r w:rsidRPr="000D4677">
        <w:rPr>
          <w:rFonts w:ascii="Times New Roman" w:hAnsi="Times New Roman" w:cs="Times New Roman"/>
          <w:sz w:val="24"/>
          <w:szCs w:val="24"/>
          <w:lang w:val="en-ZW"/>
        </w:rPr>
        <w:t xml:space="preserve"> model helps organisations to determine the role of the macro environmental factors in defining business operations and management decisions. In the example of the international organisations such as Amazon, key external factors contributing to human resource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are reflected through the fact that the firm has branches in many countries and is exposed to structural, economic and cultural conditions that are diverse. The responsibility to learn about such environmental conditions in different knowledge assists the HR managers in crafting policies that align with organisational strategy and at the same time respond to external demands (Buye, 2021). </w:t>
      </w:r>
    </w:p>
    <w:p w14:paraId="0E8FF5A1"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Political aspects influence the HR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since the government policies affect the terms of employment as stipulated in labour laws. Governments have established labour laws in different states that require companies to focus on minimum wage and safety problems, which should be complied with by the organisations (</w:t>
      </w:r>
      <w:proofErr w:type="spellStart"/>
      <w:r w:rsidRPr="000D4677">
        <w:rPr>
          <w:rFonts w:ascii="Times New Roman" w:hAnsi="Times New Roman" w:cs="Times New Roman"/>
          <w:sz w:val="24"/>
          <w:szCs w:val="24"/>
          <w:lang w:val="en-ZW"/>
        </w:rPr>
        <w:t>Dreval</w:t>
      </w:r>
      <w:proofErr w:type="spellEnd"/>
      <w:r w:rsidRPr="000D4677">
        <w:rPr>
          <w:rFonts w:ascii="Times New Roman" w:hAnsi="Times New Roman" w:cs="Times New Roman"/>
          <w:sz w:val="24"/>
          <w:szCs w:val="24"/>
          <w:lang w:val="en-ZW"/>
        </w:rPr>
        <w:t xml:space="preserve"> et al., 2025). These policies also impinge on the employment contracts, employment hours and rights of employees that directly influence recruitment and employee relations policies. In multinational corporations such as Amazon, the HR managers need to </w:t>
      </w:r>
      <w:r w:rsidR="000F6493" w:rsidRPr="000F6493">
        <w:rPr>
          <w:rFonts w:ascii="Times New Roman" w:hAnsi="Times New Roman" w:cs="Times New Roman"/>
          <w:sz w:val="24"/>
          <w:szCs w:val="24"/>
        </w:rPr>
        <w:t xml:space="preserve">adapt </w:t>
      </w:r>
      <w:r w:rsidRPr="000D4677">
        <w:rPr>
          <w:rFonts w:ascii="Times New Roman" w:hAnsi="Times New Roman" w:cs="Times New Roman"/>
          <w:sz w:val="24"/>
          <w:szCs w:val="24"/>
          <w:lang w:val="en-ZW"/>
        </w:rPr>
        <w:t>policies to ensure that the national laws in different countries are followed in hiring and appointing workers.</w:t>
      </w:r>
    </w:p>
    <w:p w14:paraId="43CEE898"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Economic states also affect the HR decision-making in global organisations. Some of the factors that dictate the workforce planning and workforce compensation strategies include labour market conditions, inflation and economic growth (Karimov and </w:t>
      </w:r>
      <w:proofErr w:type="spellStart"/>
      <w:r w:rsidRPr="000D4677">
        <w:rPr>
          <w:rFonts w:ascii="Times New Roman" w:hAnsi="Times New Roman" w:cs="Times New Roman"/>
          <w:sz w:val="24"/>
          <w:szCs w:val="24"/>
          <w:lang w:val="en-ZW"/>
        </w:rPr>
        <w:t>Babirzade</w:t>
      </w:r>
      <w:proofErr w:type="spellEnd"/>
      <w:r w:rsidRPr="000D4677">
        <w:rPr>
          <w:rFonts w:ascii="Times New Roman" w:hAnsi="Times New Roman" w:cs="Times New Roman"/>
          <w:sz w:val="24"/>
          <w:szCs w:val="24"/>
          <w:lang w:val="en-ZW"/>
        </w:rPr>
        <w:t>, 2025). It is also possible that the organisations employ more workers and recruit more during the economic boom times to enable the expansion of the business. On the other hand, a recession may initiate redesign approaches to the workforce or cost-reduction measures that have a bearing on the HR policies.</w:t>
      </w:r>
    </w:p>
    <w:p w14:paraId="73BDF784"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lastRenderedPageBreak/>
        <w:t xml:space="preserve">Social factors also influence the HR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as they determine the expectations of the employee, diversity of the workforce and the workplace of a specific culture. The working population changes, cultural orientations and preference towards work by the employees influence the HR policies design of organisations. The increasing need for flexible working patterns and work-life balance has facilitated speediness in most organisational employment customs (Boehm et al., 2021). Another factor that HR managers of multinational organisations should take into consideration when embracing leadership styles and employee engagement strategies is cultural differences.</w:t>
      </w:r>
    </w:p>
    <w:p w14:paraId="59CD7D29"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 technological factors also affect the HR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in organisations in which technology is the driving force. Digital and automation have implications for the recruitment system, workforce management and training programmes of employees. In most organisations, there is now the presentation of digital recruitment platforms, data analytics and artificial intelligence, which are helpful in the work of talent acquisition and workforce planning (Olaniyi et al., 2024). As Amazon widely uses complex technologies, the HR managers should check whether their staff possess the required digital skills to perform their job in the posts that require the use of technologies.</w:t>
      </w:r>
    </w:p>
    <w:p w14:paraId="3B4771A0"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The legal factors have a massive influence on HR management in multinational organisations. This is explained by the fact that the employment regulations differ in different countries and include the regulations of work-related rights, safety, and non-discrimination (</w:t>
      </w:r>
      <w:proofErr w:type="spellStart"/>
      <w:r w:rsidRPr="000D4677">
        <w:rPr>
          <w:rFonts w:ascii="Times New Roman" w:hAnsi="Times New Roman" w:cs="Times New Roman"/>
          <w:sz w:val="24"/>
          <w:szCs w:val="24"/>
          <w:lang w:val="en-ZW"/>
        </w:rPr>
        <w:t>Dreval</w:t>
      </w:r>
      <w:proofErr w:type="spellEnd"/>
      <w:r w:rsidRPr="000D4677">
        <w:rPr>
          <w:rFonts w:ascii="Times New Roman" w:hAnsi="Times New Roman" w:cs="Times New Roman"/>
          <w:sz w:val="24"/>
          <w:szCs w:val="24"/>
          <w:lang w:val="en-ZW"/>
        </w:rPr>
        <w:t xml:space="preserve"> et al., 2025). To avoid any legal risks and ensure ethical employment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Hr managers must ensure that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embraced by an organisation do not work against these rules.</w:t>
      </w:r>
    </w:p>
    <w:p w14:paraId="3EDED7E6" w14:textId="77777777" w:rsidR="008108C3"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The HR policies and the organisational strategies are also being influenced by the environmental factors. The recent attention on sustainability around the world has led organisations to integrate environmental business interests into their business activities. The green human resource management programmes enable the delivery of eco-friendly behaviour of employees through the sustainability training and the environmental awareness programme (Molina-</w:t>
      </w:r>
      <w:proofErr w:type="spellStart"/>
      <w:r w:rsidRPr="000D4677">
        <w:rPr>
          <w:rFonts w:ascii="Times New Roman" w:hAnsi="Times New Roman" w:cs="Times New Roman"/>
          <w:sz w:val="24"/>
          <w:szCs w:val="24"/>
          <w:lang w:val="en-ZW"/>
        </w:rPr>
        <w:t>Azorin</w:t>
      </w:r>
      <w:proofErr w:type="spellEnd"/>
      <w:r w:rsidRPr="000D4677">
        <w:rPr>
          <w:rFonts w:ascii="Times New Roman" w:hAnsi="Times New Roman" w:cs="Times New Roman"/>
          <w:sz w:val="24"/>
          <w:szCs w:val="24"/>
          <w:lang w:val="en-ZW"/>
        </w:rPr>
        <w:t xml:space="preserve"> et al., 2021).</w:t>
      </w:r>
      <w:r w:rsidR="00B368CB" w:rsidRPr="000D4677">
        <w:rPr>
          <w:rFonts w:ascii="Times New Roman" w:hAnsi="Times New Roman" w:cs="Times New Roman"/>
          <w:sz w:val="24"/>
          <w:szCs w:val="24"/>
          <w:lang w:val="en-ZW"/>
        </w:rPr>
        <w:t xml:space="preserve"> </w:t>
      </w:r>
    </w:p>
    <w:p w14:paraId="060D650E" w14:textId="77777777" w:rsidR="008108C3" w:rsidRPr="000D4677" w:rsidRDefault="004D1794" w:rsidP="000D4677">
      <w:pPr>
        <w:pStyle w:val="Heading2"/>
        <w:spacing w:before="240" w:after="240" w:line="360" w:lineRule="auto"/>
        <w:jc w:val="both"/>
        <w:rPr>
          <w:rFonts w:ascii="Times New Roman" w:hAnsi="Times New Roman" w:cs="Times New Roman"/>
          <w:sz w:val="24"/>
          <w:szCs w:val="24"/>
        </w:rPr>
      </w:pPr>
      <w:bookmarkStart w:id="5" w:name="_Toc223966283"/>
      <w:r w:rsidRPr="000D4677">
        <w:rPr>
          <w:rFonts w:ascii="Times New Roman" w:hAnsi="Times New Roman" w:cs="Times New Roman"/>
          <w:sz w:val="24"/>
          <w:szCs w:val="24"/>
        </w:rPr>
        <w:t>4.2 Country Differences</w:t>
      </w:r>
      <w:bookmarkEnd w:id="5"/>
    </w:p>
    <w:p w14:paraId="4AEA7D09"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These environmental variables vary enormously in their impact in various countries because of the cultural variations, legislation, and economic contexts. Different styles are used in </w:t>
      </w:r>
      <w:r w:rsidRPr="000D4677">
        <w:rPr>
          <w:rFonts w:ascii="Times New Roman" w:hAnsi="Times New Roman" w:cs="Times New Roman"/>
          <w:sz w:val="24"/>
          <w:szCs w:val="24"/>
          <w:lang w:val="en-ZW"/>
        </w:rPr>
        <w:lastRenderedPageBreak/>
        <w:t>leadership, patterns of communication, and expectations of workers due to cultural differences (</w:t>
      </w:r>
      <w:proofErr w:type="spellStart"/>
      <w:r w:rsidRPr="000D4677">
        <w:rPr>
          <w:rFonts w:ascii="Times New Roman" w:hAnsi="Times New Roman" w:cs="Times New Roman"/>
          <w:sz w:val="24"/>
          <w:szCs w:val="24"/>
          <w:lang w:val="en-ZW"/>
        </w:rPr>
        <w:t>Dreval</w:t>
      </w:r>
      <w:proofErr w:type="spellEnd"/>
      <w:r w:rsidRPr="000D4677">
        <w:rPr>
          <w:rFonts w:ascii="Times New Roman" w:hAnsi="Times New Roman" w:cs="Times New Roman"/>
          <w:sz w:val="24"/>
          <w:szCs w:val="24"/>
          <w:lang w:val="en-ZW"/>
        </w:rPr>
        <w:t xml:space="preserve"> et al., 2025). Indicatively, some cultures emphasise hierarchical types of organisational designs as compared to others that allow cooperative decision-making styles. The management and leadership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should also be embraced by the HR managers of multinational organisations, especially to meet the local cultural expectations. </w:t>
      </w:r>
    </w:p>
    <w:p w14:paraId="20CBAFE4"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Legal differences also influence the HR policies of different countries. All this implies that employment contracts and dispute resolution processes, and employee representation in organisations are mostly stronger in European countries than in the United States, which has fewer protection laws for employees and unions. Another aspect of economic difference that affects the HR strategies on an intercountry basis is the economic differences. There are a very high number of labour costs, unemployment rate and skill supply differences among economies (Olaniyi et al., 2024). This means that multinational organisations need to shift their recruiting policy, staffing and compensating policy to suit national benchmarks of economic performance.</w:t>
      </w:r>
    </w:p>
    <w:p w14:paraId="41278DB4" w14:textId="77777777" w:rsidR="008108C3"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Overall, the </w:t>
      </w:r>
      <w:r w:rsidRPr="00B753A5">
        <w:rPr>
          <w:rFonts w:ascii="Times New Roman" w:hAnsi="Times New Roman" w:cs="Times New Roman"/>
          <w:sz w:val="24"/>
          <w:szCs w:val="24"/>
          <w:lang w:val="en-ZW"/>
        </w:rPr>
        <w:t>PEST</w:t>
      </w:r>
      <w:r w:rsidR="00B753A5">
        <w:rPr>
          <w:rFonts w:ascii="Times New Roman" w:hAnsi="Times New Roman" w:cs="Times New Roman"/>
          <w:sz w:val="24"/>
          <w:szCs w:val="24"/>
          <w:lang w:val="en-ZW"/>
        </w:rPr>
        <w:t>LE</w:t>
      </w:r>
      <w:r w:rsidRPr="000D4677">
        <w:rPr>
          <w:rFonts w:ascii="Times New Roman" w:hAnsi="Times New Roman" w:cs="Times New Roman"/>
          <w:sz w:val="24"/>
          <w:szCs w:val="24"/>
          <w:lang w:val="en-ZW"/>
        </w:rPr>
        <w:t xml:space="preserve"> model can prove to be a good method of realising the influence of the environmental factors on HR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of the globalisation-driven organisations, such as Amazon. </w:t>
      </w:r>
    </w:p>
    <w:p w14:paraId="2573FDFF" w14:textId="77777777" w:rsidR="009024A5" w:rsidRPr="000D4677" w:rsidRDefault="004D1794" w:rsidP="000D4677">
      <w:pPr>
        <w:spacing w:before="240" w:after="240" w:line="360" w:lineRule="auto"/>
        <w:jc w:val="both"/>
        <w:rPr>
          <w:rFonts w:ascii="Times New Roman" w:eastAsiaTheme="majorEastAsia" w:hAnsi="Times New Roman" w:cs="Times New Roman"/>
          <w:b/>
          <w:bCs/>
          <w:color w:val="365F91" w:themeColor="accent1" w:themeShade="BF"/>
          <w:sz w:val="24"/>
          <w:szCs w:val="24"/>
          <w:lang w:val="en-ZW"/>
        </w:rPr>
      </w:pPr>
      <w:bookmarkStart w:id="6" w:name="_Toc223966284"/>
      <w:r w:rsidRPr="000D4677">
        <w:rPr>
          <w:rFonts w:ascii="Times New Roman" w:hAnsi="Times New Roman" w:cs="Times New Roman"/>
          <w:sz w:val="24"/>
          <w:szCs w:val="24"/>
          <w:lang w:val="en-ZW"/>
        </w:rPr>
        <w:br w:type="page"/>
      </w:r>
    </w:p>
    <w:p w14:paraId="6DE3DDAD" w14:textId="77777777" w:rsidR="00C51F1C" w:rsidRPr="000D4677" w:rsidRDefault="004D1794" w:rsidP="000D4677">
      <w:pPr>
        <w:pStyle w:val="Heading1"/>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lastRenderedPageBreak/>
        <w:t>5. Conclusion</w:t>
      </w:r>
      <w:bookmarkEnd w:id="6"/>
      <w:r w:rsidRPr="000D4677">
        <w:rPr>
          <w:rFonts w:ascii="Times New Roman" w:hAnsi="Times New Roman" w:cs="Times New Roman"/>
          <w:sz w:val="24"/>
          <w:szCs w:val="24"/>
          <w:lang w:val="en-ZW"/>
        </w:rPr>
        <w:t xml:space="preserve"> </w:t>
      </w:r>
    </w:p>
    <w:p w14:paraId="59BC1EF9"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The report has examined how the environmental factors have impacted the human resource management of global organisations using the PESTLE model. It has also been observed that the critical HR functions, which are the recruitment, training and development, performance management and employee relations, are significant in supporting organisational effectiveness and workforce management. The functions enable organisations to recruit great employees, develop workforce potential, and build good working relationships within the workplace.</w:t>
      </w:r>
    </w:p>
    <w:p w14:paraId="20FD0A4E" w14:textId="77777777" w:rsidR="007E19E1"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 report went further to explain the role of the PESTLE model in helping organisations to analyse the forces of the external environment that encompasses political, economic, social, technological, legal and environmental forces that affect the operations of organisations. When the model was implemented on Amazon, the fact was that these environmental conditions have far-reaching effects on the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of HR within the different nations. The economic conditions influence the workforce planning and compensation policy, but the political and laws offer regulations that influence the employment policy and the labour compliance policy. Their social and cultural expectations and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are also found in multinational organisations, which affect the management </w:t>
      </w:r>
      <w:r w:rsidR="00946806">
        <w:rPr>
          <w:rFonts w:ascii="Times New Roman" w:hAnsi="Times New Roman" w:cs="Times New Roman"/>
          <w:sz w:val="24"/>
          <w:szCs w:val="24"/>
          <w:lang w:val="en-ZW"/>
        </w:rPr>
        <w:t>practices</w:t>
      </w:r>
      <w:r w:rsidRPr="000D4677">
        <w:rPr>
          <w:rFonts w:ascii="Times New Roman" w:hAnsi="Times New Roman" w:cs="Times New Roman"/>
          <w:sz w:val="24"/>
          <w:szCs w:val="24"/>
          <w:lang w:val="en-ZW"/>
        </w:rPr>
        <w:t xml:space="preserve"> and expectations of employees.</w:t>
      </w:r>
    </w:p>
    <w:p w14:paraId="26810FA1" w14:textId="77777777" w:rsidR="00C51F1C"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There is a need, therefore, that the HR managers of international organisations are aware of environmental factors. As the business environment continues to evolve with globalisation and sustainability issues altering the very fabric of the business environment, the HR managers are always under pressure to modify the HR ability to keep organisations on the right track to significant competitiveness and relevance in different circumstances with foreign business conditions. </w:t>
      </w:r>
      <w:r w:rsidR="00B368CB" w:rsidRPr="000D4677">
        <w:rPr>
          <w:rFonts w:ascii="Times New Roman" w:hAnsi="Times New Roman" w:cs="Times New Roman"/>
          <w:sz w:val="24"/>
          <w:szCs w:val="24"/>
          <w:lang w:val="en-ZW"/>
        </w:rPr>
        <w:t xml:space="preserve"> </w:t>
      </w:r>
    </w:p>
    <w:p w14:paraId="40415D4B" w14:textId="77777777" w:rsidR="00BD30A3"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br w:type="page"/>
      </w:r>
    </w:p>
    <w:p w14:paraId="26A4DCDD" w14:textId="77777777" w:rsidR="00BD30A3" w:rsidRPr="000D4677" w:rsidRDefault="004D1794" w:rsidP="000D4677">
      <w:pPr>
        <w:pStyle w:val="Heading1"/>
        <w:spacing w:before="240" w:after="240" w:line="360" w:lineRule="auto"/>
        <w:jc w:val="both"/>
        <w:rPr>
          <w:rFonts w:ascii="Times New Roman" w:hAnsi="Times New Roman" w:cs="Times New Roman"/>
          <w:sz w:val="24"/>
          <w:szCs w:val="24"/>
        </w:rPr>
      </w:pPr>
      <w:bookmarkStart w:id="7" w:name="_Toc223966285"/>
      <w:r w:rsidRPr="000D4677">
        <w:rPr>
          <w:rFonts w:ascii="Times New Roman" w:hAnsi="Times New Roman" w:cs="Times New Roman"/>
          <w:sz w:val="24"/>
          <w:szCs w:val="24"/>
        </w:rPr>
        <w:lastRenderedPageBreak/>
        <w:t>References</w:t>
      </w:r>
      <w:bookmarkEnd w:id="7"/>
    </w:p>
    <w:p w14:paraId="1DB9E33A"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 xml:space="preserve">Akhere, A.R., Blessing, A.O. and </w:t>
      </w:r>
      <w:proofErr w:type="spellStart"/>
      <w:r w:rsidRPr="000D4677">
        <w:rPr>
          <w:rFonts w:ascii="Times New Roman" w:hAnsi="Times New Roman" w:cs="Times New Roman"/>
          <w:bCs/>
          <w:sz w:val="24"/>
          <w:szCs w:val="24"/>
        </w:rPr>
        <w:t>Otuhoni</w:t>
      </w:r>
      <w:proofErr w:type="spellEnd"/>
      <w:r w:rsidRPr="000D4677">
        <w:rPr>
          <w:rFonts w:ascii="Times New Roman" w:hAnsi="Times New Roman" w:cs="Times New Roman"/>
          <w:bCs/>
          <w:sz w:val="24"/>
          <w:szCs w:val="24"/>
        </w:rPr>
        <w:t>, E.A., 2023 MANAGING EXTERNAL ENVIRONMENT AND ORGANISATIONAL CULTURE. Available at:</w:t>
      </w:r>
      <w:r w:rsidRPr="000D4677">
        <w:rPr>
          <w:rFonts w:ascii="Times New Roman" w:hAnsi="Times New Roman" w:cs="Times New Roman"/>
          <w:sz w:val="24"/>
          <w:szCs w:val="24"/>
        </w:rPr>
        <w:t xml:space="preserve"> </w:t>
      </w:r>
      <w:hyperlink r:id="rId8" w:history="1">
        <w:r w:rsidRPr="000D4677">
          <w:rPr>
            <w:rStyle w:val="Hyperlink"/>
            <w:rFonts w:ascii="Times New Roman" w:hAnsi="Times New Roman" w:cs="Times New Roman"/>
            <w:bCs/>
            <w:sz w:val="24"/>
            <w:szCs w:val="24"/>
          </w:rPr>
          <w:t>https://publications.ujhrm.org.ng/sites/default/files/2024-05/UJHRM%20Articles%20Vol.2%20No.2%202023%20%5B31122023%5D%20FINAL-73-88.pdf</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7F4EF2D8" w14:textId="77777777" w:rsidR="001A49D2"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lang w:val="en-ZW"/>
        </w:rPr>
        <w:t xml:space="preserve">Amazon, 2020. </w:t>
      </w:r>
      <w:r w:rsidRPr="000D4677">
        <w:rPr>
          <w:rFonts w:ascii="Times New Roman" w:hAnsi="Times New Roman" w:cs="Times New Roman"/>
          <w:i/>
          <w:iCs/>
          <w:sz w:val="24"/>
          <w:szCs w:val="24"/>
          <w:lang w:val="en-ZW"/>
        </w:rPr>
        <w:t>Amazon Upskilling 2025 Report</w:t>
      </w:r>
      <w:r w:rsidRPr="000D4677">
        <w:rPr>
          <w:rFonts w:ascii="Times New Roman" w:hAnsi="Times New Roman" w:cs="Times New Roman"/>
          <w:sz w:val="24"/>
          <w:szCs w:val="24"/>
          <w:lang w:val="en-ZW"/>
        </w:rPr>
        <w:t xml:space="preserve">. Available at: </w:t>
      </w:r>
      <w:hyperlink r:id="rId9" w:history="1">
        <w:r w:rsidRPr="000D4677">
          <w:rPr>
            <w:rStyle w:val="Hyperlink"/>
            <w:rFonts w:ascii="Times New Roman" w:hAnsi="Times New Roman" w:cs="Times New Roman"/>
            <w:sz w:val="24"/>
            <w:szCs w:val="24"/>
            <w:lang w:val="en-ZW"/>
          </w:rPr>
          <w:t>https://d1.awsstatic.com/training-and-certification/resources/amazon-upskillingreport-2020.pdf</w:t>
        </w:r>
      </w:hyperlink>
      <w:r w:rsidRPr="000D4677">
        <w:rPr>
          <w:rFonts w:ascii="Times New Roman" w:hAnsi="Times New Roman" w:cs="Times New Roman"/>
          <w:sz w:val="24"/>
          <w:szCs w:val="24"/>
          <w:lang w:val="en-ZW"/>
        </w:rPr>
        <w:t xml:space="preserve"> (Accessed: 9 March 2026).</w:t>
      </w:r>
    </w:p>
    <w:p w14:paraId="12C75350"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Armstrong, M. and Taylor, S., 2023. </w:t>
      </w:r>
      <w:r w:rsidRPr="000D4677">
        <w:rPr>
          <w:rFonts w:ascii="Times New Roman" w:hAnsi="Times New Roman" w:cs="Times New Roman"/>
          <w:bCs/>
          <w:i/>
          <w:iCs/>
          <w:sz w:val="24"/>
          <w:szCs w:val="24"/>
        </w:rPr>
        <w:t>Armstrong's handbook of human resource management practice: A guide to the theory and practice of people management</w:t>
      </w:r>
      <w:r w:rsidRPr="000D4677">
        <w:rPr>
          <w:rFonts w:ascii="Times New Roman" w:hAnsi="Times New Roman" w:cs="Times New Roman"/>
          <w:bCs/>
          <w:sz w:val="24"/>
          <w:szCs w:val="24"/>
        </w:rPr>
        <w:t xml:space="preserve">. Kogan Page Publishers. Available at: </w:t>
      </w:r>
      <w:hyperlink r:id="rId10" w:anchor="v=onepage&amp;q&amp;f=true" w:history="1">
        <w:r w:rsidRPr="000D4677">
          <w:rPr>
            <w:rStyle w:val="Hyperlink"/>
            <w:rFonts w:ascii="Times New Roman" w:hAnsi="Times New Roman" w:cs="Times New Roman"/>
            <w:bCs/>
            <w:sz w:val="24"/>
            <w:szCs w:val="24"/>
          </w:rPr>
          <w:t>https://books.google.co.in/books?hl=en&amp;lr=&amp;id=3oChEAAAQBAJ&amp;oi=fnd&amp;pg=PP1&amp;dq=Armstrong,+M.+and+Taylor,+S.,+2023.+Armstrong%27s+handbook+of+human+resource+management+practice:+A+guide+to+the+theory+and+practice+of+people+management.+Kogan+Page+Publishers&amp;ots=YGmrhhRENA&amp;sig=Id8OBgNne2S_43k9nhztk63PGQA&amp;redir_esc=y#v=onepage&amp;q&amp;f=true</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03D3EDDF" w14:textId="77777777" w:rsidR="001A49D2" w:rsidRPr="000D4677" w:rsidRDefault="004D1794" w:rsidP="000D4677">
      <w:pPr>
        <w:spacing w:before="240" w:after="240" w:line="360" w:lineRule="auto"/>
        <w:jc w:val="both"/>
        <w:rPr>
          <w:rFonts w:ascii="Times New Roman" w:hAnsi="Times New Roman" w:cs="Times New Roman"/>
          <w:bCs/>
          <w:sz w:val="24"/>
          <w:szCs w:val="24"/>
          <w:lang w:val="en-ZW"/>
        </w:rPr>
      </w:pPr>
      <w:r w:rsidRPr="000D4677">
        <w:rPr>
          <w:rFonts w:ascii="Times New Roman" w:hAnsi="Times New Roman" w:cs="Times New Roman"/>
          <w:bCs/>
          <w:sz w:val="24"/>
          <w:szCs w:val="24"/>
        </w:rPr>
        <w:t>Boehm, S.A., Schröder, H. and Bal, M., 2021. Age-related human resource management policies and practices: Antecedents, outcomes, and conceptualizations. </w:t>
      </w:r>
      <w:r w:rsidRPr="000D4677">
        <w:rPr>
          <w:rFonts w:ascii="Times New Roman" w:hAnsi="Times New Roman" w:cs="Times New Roman"/>
          <w:bCs/>
          <w:i/>
          <w:iCs/>
          <w:sz w:val="24"/>
          <w:szCs w:val="24"/>
        </w:rPr>
        <w:t>Work, Aging and Retirement</w:t>
      </w:r>
      <w:r w:rsidRPr="000D4677">
        <w:rPr>
          <w:rFonts w:ascii="Times New Roman" w:hAnsi="Times New Roman" w:cs="Times New Roman"/>
          <w:bCs/>
          <w:sz w:val="24"/>
          <w:szCs w:val="24"/>
        </w:rPr>
        <w:t>, </w:t>
      </w:r>
      <w:r w:rsidRPr="000D4677">
        <w:rPr>
          <w:rFonts w:ascii="Times New Roman" w:hAnsi="Times New Roman" w:cs="Times New Roman"/>
          <w:bCs/>
          <w:i/>
          <w:iCs/>
          <w:sz w:val="24"/>
          <w:szCs w:val="24"/>
        </w:rPr>
        <w:t>7</w:t>
      </w:r>
      <w:r w:rsidRPr="000D4677">
        <w:rPr>
          <w:rFonts w:ascii="Times New Roman" w:hAnsi="Times New Roman" w:cs="Times New Roman"/>
          <w:bCs/>
          <w:sz w:val="24"/>
          <w:szCs w:val="24"/>
        </w:rPr>
        <w:t>(4), pp.257-272. Available at:</w:t>
      </w:r>
      <w:r w:rsidRPr="000D4677">
        <w:rPr>
          <w:rFonts w:ascii="Times New Roman" w:eastAsia="Times New Roman" w:hAnsi="Times New Roman" w:cs="Times New Roman"/>
          <w:color w:val="2A2A2A"/>
          <w:sz w:val="24"/>
          <w:szCs w:val="24"/>
          <w:lang w:val="en-ZW" w:eastAsia="en-ZW"/>
        </w:rPr>
        <w:t xml:space="preserve"> </w:t>
      </w:r>
      <w:hyperlink r:id="rId11" w:history="1">
        <w:r w:rsidRPr="000D4677">
          <w:rPr>
            <w:rStyle w:val="Hyperlink"/>
            <w:rFonts w:ascii="Times New Roman" w:hAnsi="Times New Roman" w:cs="Times New Roman"/>
            <w:bCs/>
            <w:sz w:val="24"/>
            <w:szCs w:val="24"/>
            <w:lang w:val="en-ZW"/>
          </w:rPr>
          <w:t>https://doi.org/10.1093/workar/waab024</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74593443"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Buye, R., 2021. Critical examination of the PESTEL Analysis Model. </w:t>
      </w:r>
      <w:r w:rsidRPr="000D4677">
        <w:rPr>
          <w:rFonts w:ascii="Times New Roman" w:hAnsi="Times New Roman" w:cs="Times New Roman"/>
          <w:bCs/>
          <w:i/>
          <w:iCs/>
          <w:sz w:val="24"/>
          <w:szCs w:val="24"/>
        </w:rPr>
        <w:t>Project: Action Research for Development</w:t>
      </w:r>
      <w:r w:rsidRPr="000D4677">
        <w:rPr>
          <w:rFonts w:ascii="Times New Roman" w:hAnsi="Times New Roman" w:cs="Times New Roman"/>
          <w:bCs/>
          <w:sz w:val="24"/>
          <w:szCs w:val="24"/>
        </w:rPr>
        <w:t>, pp.1-12. Available at:</w:t>
      </w:r>
      <w:r w:rsidRPr="000D4677">
        <w:rPr>
          <w:rFonts w:ascii="Times New Roman" w:hAnsi="Times New Roman" w:cs="Times New Roman"/>
          <w:sz w:val="24"/>
          <w:szCs w:val="24"/>
        </w:rPr>
        <w:t xml:space="preserve"> </w:t>
      </w:r>
      <w:hyperlink r:id="rId12" w:history="1">
        <w:r w:rsidRPr="000D4677">
          <w:rPr>
            <w:rStyle w:val="Hyperlink"/>
            <w:rFonts w:ascii="Times New Roman" w:hAnsi="Times New Roman" w:cs="Times New Roman"/>
            <w:bCs/>
            <w:sz w:val="24"/>
            <w:szCs w:val="24"/>
          </w:rPr>
          <w:t>https://www.researchgate.net/profile/Ronald-Buye/publication/349506325_Critical_examination_of_the_PESTEL_Analysis_Model/links/6093f3fd92851c490fbd6e7e/Critical-examination-of-the-PESTEL-Analysis-Model</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1D36EDA5" w14:textId="77777777" w:rsidR="001A49D2" w:rsidRPr="000D4677" w:rsidRDefault="004D1794" w:rsidP="000D4677">
      <w:pPr>
        <w:spacing w:before="240" w:after="240" w:line="360" w:lineRule="auto"/>
        <w:jc w:val="both"/>
        <w:rPr>
          <w:rFonts w:ascii="Times New Roman" w:hAnsi="Times New Roman" w:cs="Times New Roman"/>
          <w:bCs/>
          <w:sz w:val="24"/>
          <w:szCs w:val="24"/>
        </w:rPr>
      </w:pPr>
      <w:proofErr w:type="spellStart"/>
      <w:r w:rsidRPr="000D4677">
        <w:rPr>
          <w:rFonts w:ascii="Times New Roman" w:hAnsi="Times New Roman" w:cs="Times New Roman"/>
          <w:bCs/>
          <w:sz w:val="24"/>
          <w:szCs w:val="24"/>
        </w:rPr>
        <w:t>Dreval</w:t>
      </w:r>
      <w:proofErr w:type="spellEnd"/>
      <w:r w:rsidRPr="000D4677">
        <w:rPr>
          <w:rFonts w:ascii="Times New Roman" w:hAnsi="Times New Roman" w:cs="Times New Roman"/>
          <w:bCs/>
          <w:sz w:val="24"/>
          <w:szCs w:val="24"/>
        </w:rPr>
        <w:t>, Y., Zaika, S., Kucher, V., Shyshko, V. and Melnyk, N., 2025. Formation of the first labour standards of the International Labour Organisation in the context of contemporary international law. </w:t>
      </w:r>
      <w:proofErr w:type="spellStart"/>
      <w:r w:rsidRPr="000D4677">
        <w:rPr>
          <w:rFonts w:ascii="Times New Roman" w:hAnsi="Times New Roman" w:cs="Times New Roman"/>
          <w:bCs/>
          <w:i/>
          <w:iCs/>
          <w:sz w:val="24"/>
          <w:szCs w:val="24"/>
        </w:rPr>
        <w:t>Засновник</w:t>
      </w:r>
      <w:proofErr w:type="spellEnd"/>
      <w:r w:rsidRPr="000D4677">
        <w:rPr>
          <w:rFonts w:ascii="Times New Roman" w:hAnsi="Times New Roman" w:cs="Times New Roman"/>
          <w:bCs/>
          <w:i/>
          <w:iCs/>
          <w:sz w:val="24"/>
          <w:szCs w:val="24"/>
        </w:rPr>
        <w:t xml:space="preserve"> </w:t>
      </w:r>
      <w:proofErr w:type="spellStart"/>
      <w:r w:rsidRPr="000D4677">
        <w:rPr>
          <w:rFonts w:ascii="Times New Roman" w:hAnsi="Times New Roman" w:cs="Times New Roman"/>
          <w:bCs/>
          <w:i/>
          <w:iCs/>
          <w:sz w:val="24"/>
          <w:szCs w:val="24"/>
        </w:rPr>
        <w:t>та</w:t>
      </w:r>
      <w:proofErr w:type="spellEnd"/>
      <w:r w:rsidRPr="000D4677">
        <w:rPr>
          <w:rFonts w:ascii="Times New Roman" w:hAnsi="Times New Roman" w:cs="Times New Roman"/>
          <w:bCs/>
          <w:i/>
          <w:iCs/>
          <w:sz w:val="24"/>
          <w:szCs w:val="24"/>
        </w:rPr>
        <w:t xml:space="preserve"> </w:t>
      </w:r>
      <w:proofErr w:type="spellStart"/>
      <w:r w:rsidRPr="000D4677">
        <w:rPr>
          <w:rFonts w:ascii="Times New Roman" w:hAnsi="Times New Roman" w:cs="Times New Roman"/>
          <w:bCs/>
          <w:i/>
          <w:iCs/>
          <w:sz w:val="24"/>
          <w:szCs w:val="24"/>
        </w:rPr>
        <w:t>видавець</w:t>
      </w:r>
      <w:proofErr w:type="spellEnd"/>
      <w:r w:rsidRPr="000D4677">
        <w:rPr>
          <w:rFonts w:ascii="Times New Roman" w:hAnsi="Times New Roman" w:cs="Times New Roman"/>
          <w:bCs/>
          <w:sz w:val="24"/>
          <w:szCs w:val="24"/>
        </w:rPr>
        <w:t>, p.34. Available at:</w:t>
      </w:r>
      <w:r w:rsidRPr="000D4677">
        <w:rPr>
          <w:rFonts w:ascii="Times New Roman" w:hAnsi="Times New Roman" w:cs="Times New Roman"/>
          <w:sz w:val="24"/>
          <w:szCs w:val="24"/>
        </w:rPr>
        <w:t xml:space="preserve"> </w:t>
      </w:r>
      <w:hyperlink r:id="rId13" w:history="1">
        <w:r w:rsidRPr="000D4677">
          <w:rPr>
            <w:rStyle w:val="Hyperlink"/>
            <w:rFonts w:ascii="Times New Roman" w:hAnsi="Times New Roman" w:cs="Times New Roman"/>
            <w:bCs/>
            <w:sz w:val="24"/>
            <w:szCs w:val="24"/>
          </w:rPr>
          <w:t>https://dspace.lvduvs.edu.ua/bitstream/1234567890/9178/1/document-34-48.pdf</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5F479DCB" w14:textId="77777777" w:rsidR="001A49D2"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rPr>
        <w:t>Ilhan, E., 2025. A Critical Assessment of Amazon's Promotion Practices</w:t>
      </w:r>
      <w:r w:rsidRPr="000D4677">
        <w:rPr>
          <w:rFonts w:ascii="Times New Roman" w:hAnsi="Times New Roman" w:cs="Times New Roman"/>
          <w:sz w:val="24"/>
          <w:szCs w:val="24"/>
          <w:lang w:val="en-ZW"/>
        </w:rPr>
        <w:t>.</w:t>
      </w:r>
      <w:r w:rsidRPr="000D4677">
        <w:rPr>
          <w:rFonts w:ascii="Times New Roman" w:hAnsi="Times New Roman" w:cs="Times New Roman"/>
          <w:bCs/>
          <w:sz w:val="24"/>
          <w:szCs w:val="24"/>
        </w:rPr>
        <w:t xml:space="preserve"> Available at:</w:t>
      </w:r>
      <w:r w:rsidRPr="000D4677">
        <w:rPr>
          <w:rFonts w:ascii="Times New Roman" w:hAnsi="Times New Roman" w:cs="Times New Roman"/>
          <w:sz w:val="24"/>
          <w:szCs w:val="24"/>
        </w:rPr>
        <w:t xml:space="preserve"> </w:t>
      </w:r>
      <w:hyperlink r:id="rId14" w:history="1">
        <w:r w:rsidRPr="000D4677">
          <w:rPr>
            <w:rStyle w:val="Hyperlink"/>
            <w:rFonts w:ascii="Times New Roman" w:hAnsi="Times New Roman" w:cs="Times New Roman"/>
            <w:bCs/>
            <w:sz w:val="24"/>
            <w:szCs w:val="24"/>
          </w:rPr>
          <w:t>https://www.researchgate.net/profile/Emre-Ilhan-6/publication/395028661_A_Critical_Assessment_of_Amazon's_Promotion_Practices/links/68b1c4ab360112563e0f1fb1/A-Critical-Assessment-of-Amazons-Promotion-Practices.pdf</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597D6031"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 xml:space="preserve">Karimov, K.S. and </w:t>
      </w:r>
      <w:proofErr w:type="spellStart"/>
      <w:r w:rsidRPr="000D4677">
        <w:rPr>
          <w:rFonts w:ascii="Times New Roman" w:hAnsi="Times New Roman" w:cs="Times New Roman"/>
          <w:bCs/>
          <w:sz w:val="24"/>
          <w:szCs w:val="24"/>
        </w:rPr>
        <w:t>Babirzade</w:t>
      </w:r>
      <w:proofErr w:type="spellEnd"/>
      <w:r w:rsidRPr="000D4677">
        <w:rPr>
          <w:rFonts w:ascii="Times New Roman" w:hAnsi="Times New Roman" w:cs="Times New Roman"/>
          <w:bCs/>
          <w:sz w:val="24"/>
          <w:szCs w:val="24"/>
        </w:rPr>
        <w:t>, E.U., 2025 THE ROLE OF ECONOMIC FACTORS IN HUMAN RESOURCES MANAGEMENT IN MODERN CONDITIONS. Available at:</w:t>
      </w:r>
      <w:r w:rsidRPr="000D4677">
        <w:rPr>
          <w:rFonts w:ascii="Times New Roman" w:hAnsi="Times New Roman" w:cs="Times New Roman"/>
          <w:sz w:val="24"/>
          <w:szCs w:val="24"/>
        </w:rPr>
        <w:t xml:space="preserve"> </w:t>
      </w:r>
      <w:hyperlink r:id="rId15" w:history="1">
        <w:r w:rsidRPr="000D4677">
          <w:rPr>
            <w:rStyle w:val="Hyperlink"/>
            <w:rFonts w:ascii="Times New Roman" w:hAnsi="Times New Roman" w:cs="Times New Roman"/>
            <w:bCs/>
            <w:sz w:val="24"/>
            <w:szCs w:val="24"/>
          </w:rPr>
          <w:t>https://timjurnal.az/uploads/2025/03/k-s-kerimov-e-u-bebirzade.pdf</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39E023C6"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Lussier, R.N. and Hendon, J.R., 2025. </w:t>
      </w:r>
      <w:r w:rsidRPr="000D4677">
        <w:rPr>
          <w:rFonts w:ascii="Times New Roman" w:hAnsi="Times New Roman" w:cs="Times New Roman"/>
          <w:bCs/>
          <w:i/>
          <w:iCs/>
          <w:sz w:val="24"/>
          <w:szCs w:val="24"/>
        </w:rPr>
        <w:t>Human resource management: Functions, applications, and skill development</w:t>
      </w:r>
      <w:r w:rsidRPr="000D4677">
        <w:rPr>
          <w:rFonts w:ascii="Times New Roman" w:hAnsi="Times New Roman" w:cs="Times New Roman"/>
          <w:bCs/>
          <w:sz w:val="24"/>
          <w:szCs w:val="24"/>
        </w:rPr>
        <w:t>. Sage publications. Available at:</w:t>
      </w:r>
      <w:r w:rsidRPr="000D4677">
        <w:rPr>
          <w:rFonts w:ascii="Times New Roman" w:hAnsi="Times New Roman" w:cs="Times New Roman"/>
          <w:sz w:val="24"/>
          <w:szCs w:val="24"/>
        </w:rPr>
        <w:t xml:space="preserve"> </w:t>
      </w:r>
      <w:hyperlink r:id="rId16" w:anchor="v=onepage&amp;q=Lussier%2C%20R.N.%20and%20Hendon%2C%20J.R.%2C%202025.%20Human%20resource%20management%3A%20Functions%2C%20applications%2C%20and%20skill%20development.%20Sage%20publications.&amp;f=false" w:history="1">
        <w:r w:rsidRPr="000D4677">
          <w:rPr>
            <w:rStyle w:val="Hyperlink"/>
            <w:rFonts w:ascii="Times New Roman" w:hAnsi="Times New Roman" w:cs="Times New Roman"/>
            <w:bCs/>
            <w:sz w:val="24"/>
            <w:szCs w:val="24"/>
          </w:rPr>
          <w:t>https://books.google.co.in/books?hl=en&amp;lr=&amp;id=F99nEQAAQBAJ&amp;oi=fnd&amp;pg=PA22&amp;dq=Lussier,+R.N.+and+Hendon,+J.R.,+2025.+Human+resource+management:+Functions,+applications,+and+skill+development.+Sage+publications.+&amp;ots=TaDrTDYmB6&amp;sig=aVrh7ct6EBdqqOYeUA4d0R6U0Ls&amp;redir_esc=y#v=onepage&amp;q=Lussier%2C%20R.N.%20and%20Hendon%2C%20J.R.%2C%202025.%20Human%20resource%20management%3A%20Functions%2C%20applications%2C%20and%20skill%20development.%20Sage%20publications.&amp;f=false</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66C932F3" w14:textId="77777777" w:rsidR="001A49D2" w:rsidRPr="000D4677" w:rsidRDefault="004D1794" w:rsidP="000D4677">
      <w:pPr>
        <w:spacing w:before="240" w:after="240" w:line="360" w:lineRule="auto"/>
        <w:jc w:val="both"/>
        <w:rPr>
          <w:rFonts w:ascii="Times New Roman" w:hAnsi="Times New Roman" w:cs="Times New Roman"/>
          <w:sz w:val="24"/>
          <w:szCs w:val="24"/>
        </w:rPr>
      </w:pPr>
      <w:r w:rsidRPr="000D4677">
        <w:rPr>
          <w:rFonts w:ascii="Times New Roman" w:hAnsi="Times New Roman" w:cs="Times New Roman"/>
          <w:bCs/>
          <w:sz w:val="24"/>
          <w:szCs w:val="24"/>
        </w:rPr>
        <w:t>Molina-</w:t>
      </w:r>
      <w:proofErr w:type="spellStart"/>
      <w:r w:rsidRPr="000D4677">
        <w:rPr>
          <w:rFonts w:ascii="Times New Roman" w:hAnsi="Times New Roman" w:cs="Times New Roman"/>
          <w:bCs/>
          <w:sz w:val="24"/>
          <w:szCs w:val="24"/>
        </w:rPr>
        <w:t>Azorin</w:t>
      </w:r>
      <w:proofErr w:type="spellEnd"/>
      <w:r w:rsidRPr="000D4677">
        <w:rPr>
          <w:rFonts w:ascii="Times New Roman" w:hAnsi="Times New Roman" w:cs="Times New Roman"/>
          <w:bCs/>
          <w:sz w:val="24"/>
          <w:szCs w:val="24"/>
        </w:rPr>
        <w:t xml:space="preserve">, J.F., López-Gamero, M.D., </w:t>
      </w:r>
      <w:proofErr w:type="spellStart"/>
      <w:r w:rsidRPr="000D4677">
        <w:rPr>
          <w:rFonts w:ascii="Times New Roman" w:hAnsi="Times New Roman" w:cs="Times New Roman"/>
          <w:bCs/>
          <w:sz w:val="24"/>
          <w:szCs w:val="24"/>
        </w:rPr>
        <w:t>Tarí</w:t>
      </w:r>
      <w:proofErr w:type="spellEnd"/>
      <w:r w:rsidRPr="000D4677">
        <w:rPr>
          <w:rFonts w:ascii="Times New Roman" w:hAnsi="Times New Roman" w:cs="Times New Roman"/>
          <w:bCs/>
          <w:sz w:val="24"/>
          <w:szCs w:val="24"/>
        </w:rPr>
        <w:t xml:space="preserve">, J.J., Pereira-Moliner, J. and </w:t>
      </w:r>
      <w:proofErr w:type="spellStart"/>
      <w:r w:rsidRPr="000D4677">
        <w:rPr>
          <w:rFonts w:ascii="Times New Roman" w:hAnsi="Times New Roman" w:cs="Times New Roman"/>
          <w:bCs/>
          <w:sz w:val="24"/>
          <w:szCs w:val="24"/>
        </w:rPr>
        <w:t>Pertusa</w:t>
      </w:r>
      <w:proofErr w:type="spellEnd"/>
      <w:r w:rsidRPr="000D4677">
        <w:rPr>
          <w:rFonts w:ascii="Times New Roman" w:hAnsi="Times New Roman" w:cs="Times New Roman"/>
          <w:bCs/>
          <w:sz w:val="24"/>
          <w:szCs w:val="24"/>
        </w:rPr>
        <w:t>-Ortega, E.M., 2021. Environmental management, human resource management and green human resource management: A literature review. </w:t>
      </w:r>
      <w:r w:rsidRPr="000D4677">
        <w:rPr>
          <w:rFonts w:ascii="Times New Roman" w:hAnsi="Times New Roman" w:cs="Times New Roman"/>
          <w:bCs/>
          <w:i/>
          <w:iCs/>
          <w:sz w:val="24"/>
          <w:szCs w:val="24"/>
        </w:rPr>
        <w:t>Administrative Sciences</w:t>
      </w:r>
      <w:r w:rsidRPr="000D4677">
        <w:rPr>
          <w:rFonts w:ascii="Times New Roman" w:hAnsi="Times New Roman" w:cs="Times New Roman"/>
          <w:bCs/>
          <w:sz w:val="24"/>
          <w:szCs w:val="24"/>
        </w:rPr>
        <w:t>, </w:t>
      </w:r>
      <w:r w:rsidRPr="000D4677">
        <w:rPr>
          <w:rFonts w:ascii="Times New Roman" w:hAnsi="Times New Roman" w:cs="Times New Roman"/>
          <w:bCs/>
          <w:i/>
          <w:iCs/>
          <w:sz w:val="24"/>
          <w:szCs w:val="24"/>
        </w:rPr>
        <w:t>11</w:t>
      </w:r>
      <w:r w:rsidRPr="000D4677">
        <w:rPr>
          <w:rFonts w:ascii="Times New Roman" w:hAnsi="Times New Roman" w:cs="Times New Roman"/>
          <w:bCs/>
          <w:sz w:val="24"/>
          <w:szCs w:val="24"/>
        </w:rPr>
        <w:t>(2), p.48. Available at:</w:t>
      </w:r>
      <w:r w:rsidRPr="000D4677">
        <w:rPr>
          <w:rFonts w:ascii="Times New Roman" w:hAnsi="Times New Roman" w:cs="Times New Roman"/>
          <w:sz w:val="24"/>
          <w:szCs w:val="24"/>
        </w:rPr>
        <w:t xml:space="preserve"> </w:t>
      </w:r>
      <w:hyperlink r:id="rId17" w:history="1">
        <w:r w:rsidRPr="000D4677">
          <w:rPr>
            <w:rStyle w:val="Hyperlink"/>
            <w:rFonts w:ascii="Times New Roman" w:hAnsi="Times New Roman" w:cs="Times New Roman"/>
            <w:bCs/>
            <w:sz w:val="24"/>
            <w:szCs w:val="24"/>
          </w:rPr>
          <w:t>https://doi.org/10.3390/admsci11020048</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4FB4942E"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t xml:space="preserve">Olaniyi, O.O., </w:t>
      </w:r>
      <w:proofErr w:type="spellStart"/>
      <w:r w:rsidRPr="000D4677">
        <w:rPr>
          <w:rFonts w:ascii="Times New Roman" w:hAnsi="Times New Roman" w:cs="Times New Roman"/>
          <w:bCs/>
          <w:sz w:val="24"/>
          <w:szCs w:val="24"/>
        </w:rPr>
        <w:t>Ezeugwa</w:t>
      </w:r>
      <w:proofErr w:type="spellEnd"/>
      <w:r w:rsidRPr="000D4677">
        <w:rPr>
          <w:rFonts w:ascii="Times New Roman" w:hAnsi="Times New Roman" w:cs="Times New Roman"/>
          <w:bCs/>
          <w:sz w:val="24"/>
          <w:szCs w:val="24"/>
        </w:rPr>
        <w:t xml:space="preserve">, F.A., </w:t>
      </w:r>
      <w:proofErr w:type="spellStart"/>
      <w:r w:rsidRPr="000D4677">
        <w:rPr>
          <w:rFonts w:ascii="Times New Roman" w:hAnsi="Times New Roman" w:cs="Times New Roman"/>
          <w:bCs/>
          <w:sz w:val="24"/>
          <w:szCs w:val="24"/>
        </w:rPr>
        <w:t>Okatta</w:t>
      </w:r>
      <w:proofErr w:type="spellEnd"/>
      <w:r w:rsidRPr="000D4677">
        <w:rPr>
          <w:rFonts w:ascii="Times New Roman" w:hAnsi="Times New Roman" w:cs="Times New Roman"/>
          <w:bCs/>
          <w:sz w:val="24"/>
          <w:szCs w:val="24"/>
        </w:rPr>
        <w:t xml:space="preserve">, C., </w:t>
      </w:r>
      <w:proofErr w:type="spellStart"/>
      <w:r w:rsidRPr="000D4677">
        <w:rPr>
          <w:rFonts w:ascii="Times New Roman" w:hAnsi="Times New Roman" w:cs="Times New Roman"/>
          <w:bCs/>
          <w:sz w:val="24"/>
          <w:szCs w:val="24"/>
        </w:rPr>
        <w:t>Arigbabu</w:t>
      </w:r>
      <w:proofErr w:type="spellEnd"/>
      <w:r w:rsidRPr="000D4677">
        <w:rPr>
          <w:rFonts w:ascii="Times New Roman" w:hAnsi="Times New Roman" w:cs="Times New Roman"/>
          <w:bCs/>
          <w:sz w:val="24"/>
          <w:szCs w:val="24"/>
        </w:rPr>
        <w:t xml:space="preserve">, A.S. and </w:t>
      </w:r>
      <w:proofErr w:type="spellStart"/>
      <w:r w:rsidRPr="000D4677">
        <w:rPr>
          <w:rFonts w:ascii="Times New Roman" w:hAnsi="Times New Roman" w:cs="Times New Roman"/>
          <w:bCs/>
          <w:sz w:val="24"/>
          <w:szCs w:val="24"/>
        </w:rPr>
        <w:t>Joeaneke</w:t>
      </w:r>
      <w:proofErr w:type="spellEnd"/>
      <w:r w:rsidRPr="000D4677">
        <w:rPr>
          <w:rFonts w:ascii="Times New Roman" w:hAnsi="Times New Roman" w:cs="Times New Roman"/>
          <w:bCs/>
          <w:sz w:val="24"/>
          <w:szCs w:val="24"/>
        </w:rPr>
        <w:t>, P., 2024. Dynamics of the digital workforce: Assessing the interplay and impact of AI, automation, and employment policies. </w:t>
      </w:r>
      <w:r w:rsidRPr="000D4677">
        <w:rPr>
          <w:rFonts w:ascii="Times New Roman" w:hAnsi="Times New Roman" w:cs="Times New Roman"/>
          <w:bCs/>
          <w:i/>
          <w:iCs/>
          <w:sz w:val="24"/>
          <w:szCs w:val="24"/>
        </w:rPr>
        <w:t>Automation, and Employment Policies (April 24, 2024)</w:t>
      </w:r>
      <w:r w:rsidRPr="000D4677">
        <w:rPr>
          <w:rFonts w:ascii="Times New Roman" w:hAnsi="Times New Roman" w:cs="Times New Roman"/>
          <w:bCs/>
          <w:sz w:val="24"/>
          <w:szCs w:val="24"/>
        </w:rPr>
        <w:t>. Available at:</w:t>
      </w:r>
      <w:r w:rsidRPr="000D4677">
        <w:rPr>
          <w:rFonts w:ascii="Times New Roman" w:hAnsi="Times New Roman" w:cs="Times New Roman"/>
          <w:sz w:val="24"/>
          <w:szCs w:val="24"/>
        </w:rPr>
        <w:t xml:space="preserve"> </w:t>
      </w:r>
      <w:hyperlink r:id="rId18" w:history="1">
        <w:r w:rsidRPr="000D4677">
          <w:rPr>
            <w:rStyle w:val="Hyperlink"/>
            <w:rFonts w:ascii="Times New Roman" w:hAnsi="Times New Roman" w:cs="Times New Roman"/>
            <w:bCs/>
            <w:sz w:val="24"/>
            <w:szCs w:val="24"/>
          </w:rPr>
          <w:t>https://www.researchgate.net/profile/Oluwaseun-Olaniyi/publication/380068372_Digital_Workforce_Assessing_the_Interplay_and_Impact_of_AI_Automation_and_Employment_Policies/links/6629431435243041534098d1/Digital-Workforce-Assessing-the-Interplay-and-Impact-of-AI-Automation-and-Employment-Policies.pdf</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5DA584DF" w14:textId="77777777" w:rsidR="001A49D2" w:rsidRPr="000D4677" w:rsidRDefault="004D1794" w:rsidP="000D4677">
      <w:pPr>
        <w:spacing w:before="240" w:after="240" w:line="360" w:lineRule="auto"/>
        <w:jc w:val="both"/>
        <w:rPr>
          <w:rFonts w:ascii="Times New Roman" w:hAnsi="Times New Roman" w:cs="Times New Roman"/>
          <w:bCs/>
          <w:sz w:val="24"/>
          <w:szCs w:val="24"/>
        </w:rPr>
      </w:pPr>
      <w:r w:rsidRPr="000D4677">
        <w:rPr>
          <w:rFonts w:ascii="Times New Roman" w:hAnsi="Times New Roman" w:cs="Times New Roman"/>
          <w:bCs/>
          <w:sz w:val="24"/>
          <w:szCs w:val="24"/>
        </w:rPr>
        <w:lastRenderedPageBreak/>
        <w:t>Qadri, A.U. and Tariq, M., 2025. SWOT and PESTLE Analyses in Strategic Business Planning. </w:t>
      </w:r>
      <w:r w:rsidRPr="000D4677">
        <w:rPr>
          <w:rFonts w:ascii="Times New Roman" w:hAnsi="Times New Roman" w:cs="Times New Roman"/>
          <w:bCs/>
          <w:i/>
          <w:iCs/>
          <w:sz w:val="24"/>
          <w:szCs w:val="24"/>
        </w:rPr>
        <w:t>International Journal of Modern Research in Management</w:t>
      </w:r>
      <w:r w:rsidRPr="000D4677">
        <w:rPr>
          <w:rFonts w:ascii="Times New Roman" w:hAnsi="Times New Roman" w:cs="Times New Roman"/>
          <w:bCs/>
          <w:sz w:val="24"/>
          <w:szCs w:val="24"/>
        </w:rPr>
        <w:t>, </w:t>
      </w:r>
      <w:r w:rsidRPr="000D4677">
        <w:rPr>
          <w:rFonts w:ascii="Times New Roman" w:hAnsi="Times New Roman" w:cs="Times New Roman"/>
          <w:bCs/>
          <w:i/>
          <w:iCs/>
          <w:sz w:val="24"/>
          <w:szCs w:val="24"/>
        </w:rPr>
        <w:t>2</w:t>
      </w:r>
      <w:r w:rsidRPr="000D4677">
        <w:rPr>
          <w:rFonts w:ascii="Times New Roman" w:hAnsi="Times New Roman" w:cs="Times New Roman"/>
          <w:bCs/>
          <w:sz w:val="24"/>
          <w:szCs w:val="24"/>
        </w:rPr>
        <w:t>(01), pp.34-44. Available at:</w:t>
      </w:r>
      <w:r w:rsidRPr="000D4677">
        <w:rPr>
          <w:rFonts w:ascii="Times New Roman" w:hAnsi="Times New Roman" w:cs="Times New Roman"/>
          <w:sz w:val="24"/>
          <w:szCs w:val="24"/>
        </w:rPr>
        <w:t xml:space="preserve"> </w:t>
      </w:r>
      <w:hyperlink r:id="rId19" w:history="1">
        <w:r w:rsidRPr="000D4677">
          <w:rPr>
            <w:rStyle w:val="Hyperlink"/>
            <w:rFonts w:ascii="Times New Roman" w:hAnsi="Times New Roman" w:cs="Times New Roman"/>
            <w:bCs/>
            <w:sz w:val="24"/>
            <w:szCs w:val="24"/>
          </w:rPr>
          <w:t>https://www.ijournalmrm.com/index.php/IJMRM/article/view/15</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31E748E3" w14:textId="77777777" w:rsidR="001A49D2" w:rsidRPr="000D4677" w:rsidRDefault="004D1794" w:rsidP="000D4677">
      <w:pPr>
        <w:spacing w:before="240" w:after="240" w:line="360" w:lineRule="auto"/>
        <w:jc w:val="both"/>
        <w:rPr>
          <w:rFonts w:ascii="Times New Roman" w:hAnsi="Times New Roman" w:cs="Times New Roman"/>
          <w:sz w:val="24"/>
          <w:szCs w:val="24"/>
        </w:rPr>
      </w:pPr>
      <w:proofErr w:type="spellStart"/>
      <w:r w:rsidRPr="000D4677">
        <w:rPr>
          <w:rFonts w:ascii="Times New Roman" w:hAnsi="Times New Roman" w:cs="Times New Roman"/>
          <w:sz w:val="24"/>
          <w:szCs w:val="24"/>
        </w:rPr>
        <w:t>Rismayadi</w:t>
      </w:r>
      <w:proofErr w:type="spellEnd"/>
      <w:r w:rsidRPr="000D4677">
        <w:rPr>
          <w:rFonts w:ascii="Times New Roman" w:hAnsi="Times New Roman" w:cs="Times New Roman"/>
          <w:sz w:val="24"/>
          <w:szCs w:val="24"/>
        </w:rPr>
        <w:t>, B., 2024. Opportunities and Challenges for Using Artificial Intelligence Technology in Human Resource Management. </w:t>
      </w:r>
      <w:r w:rsidRPr="000D4677">
        <w:rPr>
          <w:rFonts w:ascii="Times New Roman" w:hAnsi="Times New Roman" w:cs="Times New Roman"/>
          <w:i/>
          <w:iCs/>
          <w:sz w:val="24"/>
          <w:szCs w:val="24"/>
        </w:rPr>
        <w:t>Journal Of Data Science</w:t>
      </w:r>
      <w:r w:rsidRPr="000D4677">
        <w:rPr>
          <w:rFonts w:ascii="Times New Roman" w:hAnsi="Times New Roman" w:cs="Times New Roman"/>
          <w:sz w:val="24"/>
          <w:szCs w:val="24"/>
        </w:rPr>
        <w:t>, </w:t>
      </w:r>
      <w:r w:rsidRPr="000D4677">
        <w:rPr>
          <w:rFonts w:ascii="Times New Roman" w:hAnsi="Times New Roman" w:cs="Times New Roman"/>
          <w:i/>
          <w:iCs/>
          <w:sz w:val="24"/>
          <w:szCs w:val="24"/>
        </w:rPr>
        <w:t>2</w:t>
      </w:r>
      <w:r w:rsidRPr="000D4677">
        <w:rPr>
          <w:rFonts w:ascii="Times New Roman" w:hAnsi="Times New Roman" w:cs="Times New Roman"/>
          <w:sz w:val="24"/>
          <w:szCs w:val="24"/>
        </w:rPr>
        <w:t>(01), pp.32-40.</w:t>
      </w:r>
      <w:r w:rsidRPr="000D4677">
        <w:rPr>
          <w:rFonts w:ascii="Times New Roman" w:hAnsi="Times New Roman" w:cs="Times New Roman"/>
          <w:bCs/>
          <w:sz w:val="24"/>
          <w:szCs w:val="24"/>
        </w:rPr>
        <w:t xml:space="preserve"> Available at:</w:t>
      </w:r>
      <w:r w:rsidRPr="000D4677">
        <w:rPr>
          <w:rFonts w:ascii="Times New Roman" w:hAnsi="Times New Roman" w:cs="Times New Roman"/>
          <w:sz w:val="24"/>
          <w:szCs w:val="24"/>
        </w:rPr>
        <w:t xml:space="preserve"> </w:t>
      </w:r>
      <w:hyperlink r:id="rId20" w:history="1">
        <w:r w:rsidRPr="000D4677">
          <w:rPr>
            <w:rStyle w:val="Hyperlink"/>
            <w:rFonts w:ascii="Times New Roman" w:hAnsi="Times New Roman" w:cs="Times New Roman"/>
            <w:bCs/>
            <w:sz w:val="24"/>
            <w:szCs w:val="24"/>
          </w:rPr>
          <w:t>https://doi.org/10.58471/jds.v2i01.4273</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10E3F932" w14:textId="77777777" w:rsidR="001A49D2"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rPr>
        <w:t>Stone, B., 2022. </w:t>
      </w:r>
      <w:r w:rsidRPr="000D4677">
        <w:rPr>
          <w:rFonts w:ascii="Times New Roman" w:hAnsi="Times New Roman" w:cs="Times New Roman"/>
          <w:i/>
          <w:iCs/>
          <w:sz w:val="24"/>
          <w:szCs w:val="24"/>
        </w:rPr>
        <w:t>Amazon unbound: Jeff Bezos and the invention of a global empire</w:t>
      </w:r>
      <w:r w:rsidRPr="000D4677">
        <w:rPr>
          <w:rFonts w:ascii="Times New Roman" w:hAnsi="Times New Roman" w:cs="Times New Roman"/>
          <w:sz w:val="24"/>
          <w:szCs w:val="24"/>
        </w:rPr>
        <w:t>. Simon and Schuster.</w:t>
      </w:r>
      <w:r w:rsidRPr="000D4677">
        <w:rPr>
          <w:rFonts w:ascii="Times New Roman" w:hAnsi="Times New Roman" w:cs="Times New Roman"/>
          <w:bCs/>
          <w:sz w:val="24"/>
          <w:szCs w:val="24"/>
        </w:rPr>
        <w:t xml:space="preserve"> Available at:</w:t>
      </w:r>
      <w:r w:rsidRPr="000D4677">
        <w:rPr>
          <w:rFonts w:ascii="Times New Roman" w:hAnsi="Times New Roman" w:cs="Times New Roman"/>
          <w:sz w:val="24"/>
          <w:szCs w:val="24"/>
        </w:rPr>
        <w:t xml:space="preserve"> </w:t>
      </w:r>
      <w:hyperlink r:id="rId21" w:anchor="v=onepage&amp;q=Stone%2C%20B.%2C%202022.%20Amazon%20unbound%3A%20Jeff%20Bezos%20and%20the%20invention%20of%20a%20global%20empire.%20Simon%20and%20Schuster.&amp;f=false" w:history="1">
        <w:r w:rsidRPr="000D4677">
          <w:rPr>
            <w:rStyle w:val="Hyperlink"/>
            <w:rFonts w:ascii="Times New Roman" w:hAnsi="Times New Roman" w:cs="Times New Roman"/>
            <w:bCs/>
            <w:sz w:val="24"/>
            <w:szCs w:val="24"/>
          </w:rPr>
          <w:t>https://books.google.co.in/books?hl=en&amp;lr=&amp;id=gi9qEAAAQBAJ&amp;oi=fnd&amp;pg=PA1&amp;dq=Stone,+B.,+2022.+Amazon+unbound:+Jeff+Bezos+and+the+invention+of+a+global+empire.+Simon+and+Schuster.&amp;ots=_AIRkkspXz&amp;sig=LsUuY_HJmArQws8gUt2USJJjsHw&amp;redir_esc=y#v=onepage&amp;q=Stone%2C%20B.%2C%202022.%20Amazon%20unbound%3A%20Jeff%20Bezos%20and%20the%20invention%20of%20a%20global%20empire.%20Simon%20and%20Schuster.&amp;f=false</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p w14:paraId="14DBA6A5" w14:textId="77777777" w:rsidR="001A49D2" w:rsidRPr="000D4677" w:rsidRDefault="004D1794" w:rsidP="000D4677">
      <w:pPr>
        <w:spacing w:before="240" w:after="240" w:line="360" w:lineRule="auto"/>
        <w:jc w:val="both"/>
        <w:rPr>
          <w:rFonts w:ascii="Times New Roman" w:hAnsi="Times New Roman" w:cs="Times New Roman"/>
          <w:sz w:val="24"/>
          <w:szCs w:val="24"/>
          <w:lang w:val="en-ZW"/>
        </w:rPr>
      </w:pPr>
      <w:r w:rsidRPr="000D4677">
        <w:rPr>
          <w:rFonts w:ascii="Times New Roman" w:hAnsi="Times New Roman" w:cs="Times New Roman"/>
          <w:sz w:val="24"/>
          <w:szCs w:val="24"/>
        </w:rPr>
        <w:t>Verma, S. and Gustafsson, A., 2020. Investigating the emerging COVID-19 research trends in the field of business and management: A bibliometric analysis approach. </w:t>
      </w:r>
      <w:r w:rsidRPr="000D4677">
        <w:rPr>
          <w:rFonts w:ascii="Times New Roman" w:hAnsi="Times New Roman" w:cs="Times New Roman"/>
          <w:i/>
          <w:iCs/>
          <w:sz w:val="24"/>
          <w:szCs w:val="24"/>
        </w:rPr>
        <w:t>Journal of business research</w:t>
      </w:r>
      <w:r w:rsidRPr="000D4677">
        <w:rPr>
          <w:rFonts w:ascii="Times New Roman" w:hAnsi="Times New Roman" w:cs="Times New Roman"/>
          <w:sz w:val="24"/>
          <w:szCs w:val="24"/>
        </w:rPr>
        <w:t>, </w:t>
      </w:r>
      <w:r w:rsidRPr="000D4677">
        <w:rPr>
          <w:rFonts w:ascii="Times New Roman" w:hAnsi="Times New Roman" w:cs="Times New Roman"/>
          <w:i/>
          <w:iCs/>
          <w:sz w:val="24"/>
          <w:szCs w:val="24"/>
        </w:rPr>
        <w:t>118</w:t>
      </w:r>
      <w:r w:rsidRPr="000D4677">
        <w:rPr>
          <w:rFonts w:ascii="Times New Roman" w:hAnsi="Times New Roman" w:cs="Times New Roman"/>
          <w:sz w:val="24"/>
          <w:szCs w:val="24"/>
        </w:rPr>
        <w:t>, pp.253-261.</w:t>
      </w:r>
      <w:r w:rsidRPr="000D4677">
        <w:rPr>
          <w:rFonts w:ascii="Times New Roman" w:hAnsi="Times New Roman" w:cs="Times New Roman"/>
          <w:bCs/>
          <w:sz w:val="24"/>
          <w:szCs w:val="24"/>
        </w:rPr>
        <w:t xml:space="preserve"> Available at:</w:t>
      </w:r>
      <w:r w:rsidRPr="000D4677">
        <w:rPr>
          <w:rFonts w:ascii="Times New Roman" w:hAnsi="Times New Roman" w:cs="Times New Roman"/>
          <w:sz w:val="24"/>
          <w:szCs w:val="24"/>
        </w:rPr>
        <w:t xml:space="preserve"> </w:t>
      </w:r>
      <w:hyperlink r:id="rId22" w:history="1">
        <w:r w:rsidRPr="000D4677">
          <w:rPr>
            <w:rStyle w:val="Hyperlink"/>
            <w:rFonts w:ascii="Times New Roman" w:hAnsi="Times New Roman" w:cs="Times New Roman"/>
            <w:bCs/>
            <w:sz w:val="24"/>
            <w:szCs w:val="24"/>
          </w:rPr>
          <w:t>https://doi.org/10.1016/j.jbusres.2020.06.057</w:t>
        </w:r>
      </w:hyperlink>
      <w:r w:rsidRPr="000D4677">
        <w:rPr>
          <w:rFonts w:ascii="Times New Roman" w:hAnsi="Times New Roman" w:cs="Times New Roman"/>
          <w:bCs/>
          <w:sz w:val="24"/>
          <w:szCs w:val="24"/>
        </w:rPr>
        <w:t xml:space="preserve"> (Accessed: </w:t>
      </w:r>
      <w:r w:rsidRPr="000D4677">
        <w:rPr>
          <w:rFonts w:ascii="Times New Roman" w:hAnsi="Times New Roman" w:cs="Times New Roman"/>
          <w:bCs/>
          <w:sz w:val="24"/>
          <w:szCs w:val="24"/>
        </w:rPr>
        <w:fldChar w:fldCharType="begin"/>
      </w:r>
      <w:r w:rsidRPr="000D4677">
        <w:rPr>
          <w:rFonts w:ascii="Times New Roman" w:hAnsi="Times New Roman" w:cs="Times New Roman"/>
          <w:bCs/>
          <w:sz w:val="24"/>
          <w:szCs w:val="24"/>
        </w:rPr>
        <w:instrText xml:space="preserve"> DATE \@ "dd/MM/yyyy" </w:instrText>
      </w:r>
      <w:r w:rsidRPr="000D4677">
        <w:rPr>
          <w:rFonts w:ascii="Times New Roman" w:hAnsi="Times New Roman" w:cs="Times New Roman"/>
          <w:bCs/>
          <w:sz w:val="24"/>
          <w:szCs w:val="24"/>
        </w:rPr>
        <w:fldChar w:fldCharType="separate"/>
      </w:r>
      <w:r w:rsidR="00DD6BE9">
        <w:rPr>
          <w:rFonts w:ascii="Times New Roman" w:hAnsi="Times New Roman" w:cs="Times New Roman"/>
          <w:bCs/>
          <w:noProof/>
          <w:sz w:val="24"/>
          <w:szCs w:val="24"/>
        </w:rPr>
        <w:t>15/04/2026</w:t>
      </w:r>
      <w:r w:rsidRPr="000D4677">
        <w:rPr>
          <w:rFonts w:ascii="Times New Roman" w:hAnsi="Times New Roman" w:cs="Times New Roman"/>
          <w:bCs/>
          <w:sz w:val="24"/>
          <w:szCs w:val="24"/>
        </w:rPr>
        <w:fldChar w:fldCharType="end"/>
      </w:r>
      <w:r w:rsidRPr="000D4677">
        <w:rPr>
          <w:rFonts w:ascii="Times New Roman" w:hAnsi="Times New Roman" w:cs="Times New Roman"/>
          <w:bCs/>
          <w:sz w:val="24"/>
          <w:szCs w:val="24"/>
        </w:rPr>
        <w:t>).</w:t>
      </w:r>
    </w:p>
    <w:sectPr w:rsidR="001A49D2" w:rsidRPr="000D4677">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A91D0" w14:textId="77777777" w:rsidR="00652447" w:rsidRDefault="00652447">
      <w:pPr>
        <w:spacing w:after="0" w:line="240" w:lineRule="auto"/>
      </w:pPr>
      <w:r>
        <w:separator/>
      </w:r>
    </w:p>
  </w:endnote>
  <w:endnote w:type="continuationSeparator" w:id="0">
    <w:p w14:paraId="6766E6E5" w14:textId="77777777" w:rsidR="00652447" w:rsidRDefault="00652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01E99" w14:textId="77777777" w:rsidR="001F5B58" w:rsidRDefault="001F5B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231747"/>
      <w:docPartObj>
        <w:docPartGallery w:val="Page Numbers (Bottom of Page)"/>
        <w:docPartUnique/>
      </w:docPartObj>
    </w:sdtPr>
    <w:sdtEndPr>
      <w:rPr>
        <w:noProof/>
      </w:rPr>
    </w:sdtEndPr>
    <w:sdtContent>
      <w:p w14:paraId="4633A852" w14:textId="77777777" w:rsidR="007F6733" w:rsidRDefault="004D1794">
        <w:pPr>
          <w:pStyle w:val="Footer"/>
          <w:jc w:val="center"/>
        </w:pPr>
        <w:r>
          <w:fldChar w:fldCharType="begin"/>
        </w:r>
        <w:r>
          <w:instrText xml:space="preserve"> PAGE   \* MERGEFORMAT </w:instrText>
        </w:r>
        <w:r>
          <w:fldChar w:fldCharType="separate"/>
        </w:r>
        <w:r w:rsidR="002B0A15">
          <w:rPr>
            <w:noProof/>
          </w:rPr>
          <w:t>1</w:t>
        </w:r>
        <w:r>
          <w:rPr>
            <w:noProof/>
          </w:rPr>
          <w:fldChar w:fldCharType="end"/>
        </w:r>
      </w:p>
    </w:sdtContent>
  </w:sdt>
  <w:p w14:paraId="46CD28A2" w14:textId="77777777" w:rsidR="007F6733" w:rsidRDefault="007F67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10D61" w14:textId="77777777" w:rsidR="001F5B58" w:rsidRDefault="001F5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6D3CA" w14:textId="77777777" w:rsidR="00652447" w:rsidRDefault="00652447">
      <w:pPr>
        <w:spacing w:after="0" w:line="240" w:lineRule="auto"/>
      </w:pPr>
      <w:r>
        <w:separator/>
      </w:r>
    </w:p>
  </w:footnote>
  <w:footnote w:type="continuationSeparator" w:id="0">
    <w:p w14:paraId="19C06DBA" w14:textId="77777777" w:rsidR="00652447" w:rsidRDefault="00652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C3F18" w14:textId="77777777" w:rsidR="001F5B58" w:rsidRDefault="001F5B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FB6ED" w14:textId="77777777" w:rsidR="001F5B58" w:rsidRDefault="001F5B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1FA8" w14:textId="77777777" w:rsidR="001F5B58" w:rsidRDefault="001F5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C72EDC"/>
    <w:multiLevelType w:val="hybridMultilevel"/>
    <w:tmpl w:val="D5607428"/>
    <w:lvl w:ilvl="0" w:tplc="16A881D0">
      <w:start w:val="1"/>
      <w:numFmt w:val="decimal"/>
      <w:lvlText w:val="%1."/>
      <w:lvlJc w:val="left"/>
      <w:pPr>
        <w:ind w:left="720" w:hanging="360"/>
      </w:pPr>
    </w:lvl>
    <w:lvl w:ilvl="1" w:tplc="80D29AA6" w:tentative="1">
      <w:start w:val="1"/>
      <w:numFmt w:val="lowerLetter"/>
      <w:lvlText w:val="%2."/>
      <w:lvlJc w:val="left"/>
      <w:pPr>
        <w:ind w:left="1440" w:hanging="360"/>
      </w:pPr>
    </w:lvl>
    <w:lvl w:ilvl="2" w:tplc="3E0A950C" w:tentative="1">
      <w:start w:val="1"/>
      <w:numFmt w:val="lowerRoman"/>
      <w:lvlText w:val="%3."/>
      <w:lvlJc w:val="right"/>
      <w:pPr>
        <w:ind w:left="2160" w:hanging="180"/>
      </w:pPr>
    </w:lvl>
    <w:lvl w:ilvl="3" w:tplc="55028D9E" w:tentative="1">
      <w:start w:val="1"/>
      <w:numFmt w:val="decimal"/>
      <w:lvlText w:val="%4."/>
      <w:lvlJc w:val="left"/>
      <w:pPr>
        <w:ind w:left="2880" w:hanging="360"/>
      </w:pPr>
    </w:lvl>
    <w:lvl w:ilvl="4" w:tplc="7586FC96" w:tentative="1">
      <w:start w:val="1"/>
      <w:numFmt w:val="lowerLetter"/>
      <w:lvlText w:val="%5."/>
      <w:lvlJc w:val="left"/>
      <w:pPr>
        <w:ind w:left="3600" w:hanging="360"/>
      </w:pPr>
    </w:lvl>
    <w:lvl w:ilvl="5" w:tplc="A030E3F2" w:tentative="1">
      <w:start w:val="1"/>
      <w:numFmt w:val="lowerRoman"/>
      <w:lvlText w:val="%6."/>
      <w:lvlJc w:val="right"/>
      <w:pPr>
        <w:ind w:left="4320" w:hanging="180"/>
      </w:pPr>
    </w:lvl>
    <w:lvl w:ilvl="6" w:tplc="7ACC758E" w:tentative="1">
      <w:start w:val="1"/>
      <w:numFmt w:val="decimal"/>
      <w:lvlText w:val="%7."/>
      <w:lvlJc w:val="left"/>
      <w:pPr>
        <w:ind w:left="5040" w:hanging="360"/>
      </w:pPr>
    </w:lvl>
    <w:lvl w:ilvl="7" w:tplc="60DAECD0" w:tentative="1">
      <w:start w:val="1"/>
      <w:numFmt w:val="lowerLetter"/>
      <w:lvlText w:val="%8."/>
      <w:lvlJc w:val="left"/>
      <w:pPr>
        <w:ind w:left="5760" w:hanging="360"/>
      </w:pPr>
    </w:lvl>
    <w:lvl w:ilvl="8" w:tplc="9A88EA28" w:tentative="1">
      <w:start w:val="1"/>
      <w:numFmt w:val="lowerRoman"/>
      <w:lvlText w:val="%9."/>
      <w:lvlJc w:val="right"/>
      <w:pPr>
        <w:ind w:left="6480" w:hanging="180"/>
      </w:pPr>
    </w:lvl>
  </w:abstractNum>
  <w:num w:numId="1" w16cid:durableId="514617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7E4"/>
    <w:rsid w:val="00036941"/>
    <w:rsid w:val="00057CC0"/>
    <w:rsid w:val="00071B89"/>
    <w:rsid w:val="00071C6C"/>
    <w:rsid w:val="000737C3"/>
    <w:rsid w:val="000852D5"/>
    <w:rsid w:val="00086A3C"/>
    <w:rsid w:val="000911CC"/>
    <w:rsid w:val="000B3684"/>
    <w:rsid w:val="000B48ED"/>
    <w:rsid w:val="000D4677"/>
    <w:rsid w:val="000E0DB0"/>
    <w:rsid w:val="000F01FE"/>
    <w:rsid w:val="000F6493"/>
    <w:rsid w:val="001042F5"/>
    <w:rsid w:val="00112E87"/>
    <w:rsid w:val="00140B46"/>
    <w:rsid w:val="00144F12"/>
    <w:rsid w:val="0016223C"/>
    <w:rsid w:val="00177C19"/>
    <w:rsid w:val="00192AD2"/>
    <w:rsid w:val="00194600"/>
    <w:rsid w:val="0019786E"/>
    <w:rsid w:val="001A49D2"/>
    <w:rsid w:val="001B1DB3"/>
    <w:rsid w:val="001D0A7B"/>
    <w:rsid w:val="001F5B58"/>
    <w:rsid w:val="0020210E"/>
    <w:rsid w:val="0022568F"/>
    <w:rsid w:val="0025622B"/>
    <w:rsid w:val="00256E46"/>
    <w:rsid w:val="00275798"/>
    <w:rsid w:val="00286C91"/>
    <w:rsid w:val="002951B7"/>
    <w:rsid w:val="002966AA"/>
    <w:rsid w:val="002B0A15"/>
    <w:rsid w:val="002F41D4"/>
    <w:rsid w:val="0032260C"/>
    <w:rsid w:val="00342490"/>
    <w:rsid w:val="003563FE"/>
    <w:rsid w:val="00356EC8"/>
    <w:rsid w:val="00385017"/>
    <w:rsid w:val="0039074F"/>
    <w:rsid w:val="0039285C"/>
    <w:rsid w:val="003A3F95"/>
    <w:rsid w:val="003A7A07"/>
    <w:rsid w:val="003C4110"/>
    <w:rsid w:val="003C45FD"/>
    <w:rsid w:val="003D74C0"/>
    <w:rsid w:val="003E37E4"/>
    <w:rsid w:val="00416A12"/>
    <w:rsid w:val="00436607"/>
    <w:rsid w:val="00436719"/>
    <w:rsid w:val="00477663"/>
    <w:rsid w:val="00492C5F"/>
    <w:rsid w:val="004A22B4"/>
    <w:rsid w:val="004B7065"/>
    <w:rsid w:val="004C16EA"/>
    <w:rsid w:val="004C2D87"/>
    <w:rsid w:val="004D1794"/>
    <w:rsid w:val="004D6901"/>
    <w:rsid w:val="005027D6"/>
    <w:rsid w:val="0050526C"/>
    <w:rsid w:val="00520D0A"/>
    <w:rsid w:val="005218AE"/>
    <w:rsid w:val="005674D7"/>
    <w:rsid w:val="005B3E83"/>
    <w:rsid w:val="005E0252"/>
    <w:rsid w:val="005E3506"/>
    <w:rsid w:val="005E5001"/>
    <w:rsid w:val="006353FA"/>
    <w:rsid w:val="00636F06"/>
    <w:rsid w:val="0064716F"/>
    <w:rsid w:val="00652447"/>
    <w:rsid w:val="00665863"/>
    <w:rsid w:val="006961E3"/>
    <w:rsid w:val="006B4094"/>
    <w:rsid w:val="006C2250"/>
    <w:rsid w:val="006C2CAD"/>
    <w:rsid w:val="006C7F04"/>
    <w:rsid w:val="006D4CB8"/>
    <w:rsid w:val="0070024C"/>
    <w:rsid w:val="00701271"/>
    <w:rsid w:val="00702CCC"/>
    <w:rsid w:val="00743604"/>
    <w:rsid w:val="007543A0"/>
    <w:rsid w:val="00775ADA"/>
    <w:rsid w:val="007C54AD"/>
    <w:rsid w:val="007E19E1"/>
    <w:rsid w:val="007F6733"/>
    <w:rsid w:val="008108C3"/>
    <w:rsid w:val="0081605F"/>
    <w:rsid w:val="00816AC8"/>
    <w:rsid w:val="00836F91"/>
    <w:rsid w:val="008470C6"/>
    <w:rsid w:val="00874390"/>
    <w:rsid w:val="00885A78"/>
    <w:rsid w:val="008B4024"/>
    <w:rsid w:val="009024A5"/>
    <w:rsid w:val="00912015"/>
    <w:rsid w:val="0091298E"/>
    <w:rsid w:val="0092468E"/>
    <w:rsid w:val="00933662"/>
    <w:rsid w:val="00946806"/>
    <w:rsid w:val="00950A45"/>
    <w:rsid w:val="00951576"/>
    <w:rsid w:val="0096199D"/>
    <w:rsid w:val="009A6E57"/>
    <w:rsid w:val="009C259C"/>
    <w:rsid w:val="009E1E4D"/>
    <w:rsid w:val="009F1DE0"/>
    <w:rsid w:val="00A33429"/>
    <w:rsid w:val="00A94D30"/>
    <w:rsid w:val="00AB0557"/>
    <w:rsid w:val="00AB2DCB"/>
    <w:rsid w:val="00AF657B"/>
    <w:rsid w:val="00B11DB1"/>
    <w:rsid w:val="00B3051D"/>
    <w:rsid w:val="00B335AB"/>
    <w:rsid w:val="00B346E9"/>
    <w:rsid w:val="00B36799"/>
    <w:rsid w:val="00B368CB"/>
    <w:rsid w:val="00B4431D"/>
    <w:rsid w:val="00B44757"/>
    <w:rsid w:val="00B460FA"/>
    <w:rsid w:val="00B627D4"/>
    <w:rsid w:val="00B753A5"/>
    <w:rsid w:val="00B81764"/>
    <w:rsid w:val="00B84F62"/>
    <w:rsid w:val="00BA2E6E"/>
    <w:rsid w:val="00BD0515"/>
    <w:rsid w:val="00BD30A3"/>
    <w:rsid w:val="00BE5811"/>
    <w:rsid w:val="00BF536B"/>
    <w:rsid w:val="00C019D6"/>
    <w:rsid w:val="00C41934"/>
    <w:rsid w:val="00C51F1C"/>
    <w:rsid w:val="00C835CC"/>
    <w:rsid w:val="00CA18A9"/>
    <w:rsid w:val="00CA3C38"/>
    <w:rsid w:val="00CD0D72"/>
    <w:rsid w:val="00CD40C1"/>
    <w:rsid w:val="00CD52CD"/>
    <w:rsid w:val="00CE5A18"/>
    <w:rsid w:val="00CF50A4"/>
    <w:rsid w:val="00CF6A54"/>
    <w:rsid w:val="00D30B0E"/>
    <w:rsid w:val="00D515EF"/>
    <w:rsid w:val="00D62D63"/>
    <w:rsid w:val="00D70533"/>
    <w:rsid w:val="00D72D1D"/>
    <w:rsid w:val="00DB1FE4"/>
    <w:rsid w:val="00DD6BE9"/>
    <w:rsid w:val="00DE6D58"/>
    <w:rsid w:val="00DF17BE"/>
    <w:rsid w:val="00E63DF5"/>
    <w:rsid w:val="00E669BF"/>
    <w:rsid w:val="00E87A43"/>
    <w:rsid w:val="00EB62B2"/>
    <w:rsid w:val="00EC0B9D"/>
    <w:rsid w:val="00EE5698"/>
    <w:rsid w:val="00EF0AEC"/>
    <w:rsid w:val="00EF2B38"/>
    <w:rsid w:val="00EF4628"/>
    <w:rsid w:val="00EF59C3"/>
    <w:rsid w:val="00F149A7"/>
    <w:rsid w:val="00F26AA0"/>
    <w:rsid w:val="00F362E1"/>
    <w:rsid w:val="00F41EDE"/>
    <w:rsid w:val="00F633E2"/>
    <w:rsid w:val="00FA1E79"/>
    <w:rsid w:val="00FB29BE"/>
    <w:rsid w:val="00FC69CC"/>
    <w:rsid w:val="00FD4B3A"/>
    <w:rsid w:val="00FE7887"/>
    <w:rsid w:val="00FF2A78"/>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76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470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70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1EDE"/>
    <w:rPr>
      <w:color w:val="0000FF" w:themeColor="hyperlink"/>
      <w:u w:val="single"/>
    </w:rPr>
  </w:style>
  <w:style w:type="paragraph" w:styleId="ListParagraph">
    <w:name w:val="List Paragraph"/>
    <w:basedOn w:val="Normal"/>
    <w:uiPriority w:val="34"/>
    <w:qFormat/>
    <w:rsid w:val="006353FA"/>
    <w:pPr>
      <w:ind w:left="720"/>
      <w:contextualSpacing/>
    </w:pPr>
  </w:style>
  <w:style w:type="paragraph" w:styleId="BalloonText">
    <w:name w:val="Balloon Text"/>
    <w:basedOn w:val="Normal"/>
    <w:link w:val="BalloonTextChar"/>
    <w:uiPriority w:val="99"/>
    <w:semiHidden/>
    <w:unhideWhenUsed/>
    <w:rsid w:val="00647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16F"/>
    <w:rPr>
      <w:rFonts w:ascii="Tahoma" w:hAnsi="Tahoma" w:cs="Tahoma"/>
      <w:sz w:val="16"/>
      <w:szCs w:val="16"/>
      <w:lang w:val="en-GB"/>
    </w:rPr>
  </w:style>
  <w:style w:type="paragraph" w:styleId="Header">
    <w:name w:val="header"/>
    <w:basedOn w:val="Normal"/>
    <w:link w:val="HeaderChar"/>
    <w:uiPriority w:val="99"/>
    <w:unhideWhenUsed/>
    <w:rsid w:val="007F6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733"/>
    <w:rPr>
      <w:lang w:val="en-GB"/>
    </w:rPr>
  </w:style>
  <w:style w:type="paragraph" w:styleId="Footer">
    <w:name w:val="footer"/>
    <w:basedOn w:val="Normal"/>
    <w:link w:val="FooterChar"/>
    <w:uiPriority w:val="99"/>
    <w:unhideWhenUsed/>
    <w:rsid w:val="007F6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733"/>
    <w:rPr>
      <w:lang w:val="en-GB"/>
    </w:rPr>
  </w:style>
  <w:style w:type="character" w:customStyle="1" w:styleId="Heading1Char">
    <w:name w:val="Heading 1 Char"/>
    <w:basedOn w:val="DefaultParagraphFont"/>
    <w:link w:val="Heading1"/>
    <w:uiPriority w:val="9"/>
    <w:rsid w:val="008470C6"/>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8470C6"/>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9024A5"/>
    <w:pPr>
      <w:outlineLvl w:val="9"/>
    </w:pPr>
    <w:rPr>
      <w:lang w:val="en-US" w:eastAsia="ja-JP"/>
    </w:rPr>
  </w:style>
  <w:style w:type="paragraph" w:styleId="TOC1">
    <w:name w:val="toc 1"/>
    <w:basedOn w:val="Normal"/>
    <w:next w:val="Normal"/>
    <w:autoRedefine/>
    <w:uiPriority w:val="39"/>
    <w:unhideWhenUsed/>
    <w:rsid w:val="009024A5"/>
    <w:pPr>
      <w:spacing w:after="100"/>
    </w:pPr>
  </w:style>
  <w:style w:type="paragraph" w:styleId="TOC2">
    <w:name w:val="toc 2"/>
    <w:basedOn w:val="Normal"/>
    <w:next w:val="Normal"/>
    <w:autoRedefine/>
    <w:uiPriority w:val="39"/>
    <w:unhideWhenUsed/>
    <w:rsid w:val="009024A5"/>
    <w:pPr>
      <w:spacing w:after="100"/>
      <w:ind w:left="220"/>
    </w:pPr>
  </w:style>
  <w:style w:type="character" w:styleId="CommentReference">
    <w:name w:val="annotation reference"/>
    <w:basedOn w:val="DefaultParagraphFont"/>
    <w:uiPriority w:val="99"/>
    <w:semiHidden/>
    <w:unhideWhenUsed/>
    <w:rsid w:val="000B48ED"/>
    <w:rPr>
      <w:sz w:val="16"/>
      <w:szCs w:val="16"/>
    </w:rPr>
  </w:style>
  <w:style w:type="paragraph" w:styleId="CommentText">
    <w:name w:val="annotation text"/>
    <w:basedOn w:val="Normal"/>
    <w:link w:val="CommentTextChar"/>
    <w:uiPriority w:val="99"/>
    <w:semiHidden/>
    <w:unhideWhenUsed/>
    <w:rsid w:val="000B48ED"/>
    <w:pPr>
      <w:spacing w:line="240" w:lineRule="auto"/>
    </w:pPr>
    <w:rPr>
      <w:sz w:val="20"/>
      <w:szCs w:val="20"/>
    </w:rPr>
  </w:style>
  <w:style w:type="character" w:customStyle="1" w:styleId="CommentTextChar">
    <w:name w:val="Comment Text Char"/>
    <w:basedOn w:val="DefaultParagraphFont"/>
    <w:link w:val="CommentText"/>
    <w:uiPriority w:val="99"/>
    <w:semiHidden/>
    <w:rsid w:val="000B48ED"/>
    <w:rPr>
      <w:sz w:val="20"/>
      <w:szCs w:val="20"/>
      <w:lang w:val="en-GB"/>
    </w:rPr>
  </w:style>
  <w:style w:type="paragraph" w:styleId="CommentSubject">
    <w:name w:val="annotation subject"/>
    <w:basedOn w:val="CommentText"/>
    <w:next w:val="CommentText"/>
    <w:link w:val="CommentSubjectChar"/>
    <w:uiPriority w:val="99"/>
    <w:semiHidden/>
    <w:unhideWhenUsed/>
    <w:rsid w:val="000B48ED"/>
    <w:rPr>
      <w:b/>
      <w:bCs/>
    </w:rPr>
  </w:style>
  <w:style w:type="character" w:customStyle="1" w:styleId="CommentSubjectChar">
    <w:name w:val="Comment Subject Char"/>
    <w:basedOn w:val="CommentTextChar"/>
    <w:link w:val="CommentSubject"/>
    <w:uiPriority w:val="99"/>
    <w:semiHidden/>
    <w:rsid w:val="000B48ED"/>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7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ujhrm.org.ng/sites/default/files/2024-05/UJHRM%20Articles%20Vol.2%20No.2%202023%20%5B31122023%5D%20FINAL-73-88.pdf" TargetMode="External"/><Relationship Id="rId13" Type="http://schemas.openxmlformats.org/officeDocument/2006/relationships/hyperlink" Target="https://dspace.lvduvs.edu.ua/bitstream/1234567890/9178/1/document-34-48.pdf" TargetMode="External"/><Relationship Id="rId18" Type="http://schemas.openxmlformats.org/officeDocument/2006/relationships/hyperlink" Target="https://www.researchgate.net/profile/Oluwaseun-Olaniyi/publication/380068372_Digital_Workforce_Assessing_the_Interplay_and_Impact_of_AI_Automation_and_Employment_Policies/links/6629431435243041534098d1/Digital-Workforce-Assessing-the-Interplay-and-Impact-of-AI-Automation-and-Employment-Policies.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books.google.co.in/books?hl=en&amp;lr=&amp;id=gi9qEAAAQBAJ&amp;oi=fnd&amp;pg=PA1&amp;dq=Stone,+B.,+2022.+Amazon+unbound:+Jeff+Bezos+and+the+invention+of+a+global+empire.+Simon+and+Schuster.&amp;ots=_AIRkkspXz&amp;sig=LsUuY_HJmArQws8gUt2USJJjsHw&amp;redir_esc=y" TargetMode="External"/><Relationship Id="rId7" Type="http://schemas.openxmlformats.org/officeDocument/2006/relationships/endnotes" Target="endnotes.xml"/><Relationship Id="rId12"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17" Type="http://schemas.openxmlformats.org/officeDocument/2006/relationships/hyperlink" Target="https://doi.org/10.3390/admsci1102004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in/books?hl=en&amp;lr=&amp;id=F99nEQAAQBAJ&amp;oi=fnd&amp;pg=PA22&amp;dq=Lussier,+R.N.+and+Hendon,+J.R.,+2025.+Human+resource+management:+Functions,+applications,+and+skill+development.+Sage+publications.+&amp;ots=TaDrTDYmB6&amp;sig=aVrh7ct6EBdqqOYeUA4d0R6U0Ls&amp;redir_esc=y" TargetMode="External"/><Relationship Id="rId20" Type="http://schemas.openxmlformats.org/officeDocument/2006/relationships/hyperlink" Target="https://doi.org/10.58471/jds.v2i01.427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workar/waab02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timjurnal.az/uploads/2025/03/k-s-kerimov-e-u-bebirzade.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books.google.co.in/books?hl=en&amp;lr=&amp;id=3oChEAAAQBAJ&amp;oi=fnd&amp;pg=PP1&amp;dq=Armstrong,+M.+and+Taylor,+S.,+2023.+Armstrong%27s+handbook+of+human+resource+management+practice:+A+guide+to+the+theory+and+practice+of+people+management.+Kogan+Page+Publishers&amp;ots=YGmrhhRENA&amp;sig=Id8OBgNne2S_43k9nhztk63PGQA&amp;redir_esc=y" TargetMode="External"/><Relationship Id="rId19" Type="http://schemas.openxmlformats.org/officeDocument/2006/relationships/hyperlink" Target="https://www.ijournalmrm.com/index.php/IJMRM/article/view/15" TargetMode="External"/><Relationship Id="rId4" Type="http://schemas.openxmlformats.org/officeDocument/2006/relationships/settings" Target="settings.xml"/><Relationship Id="rId9" Type="http://schemas.openxmlformats.org/officeDocument/2006/relationships/hyperlink" Target="https://d1.awsstatic.com/training-and-certification/resources/amazon-upskillingreport-2020.pdf" TargetMode="External"/><Relationship Id="rId14" Type="http://schemas.openxmlformats.org/officeDocument/2006/relationships/hyperlink" Target="https://www.researchgate.net/profile/Emre-Ilhan-6/publication/395028661_A_Critical_Assessment_of_Amazon's_Promotion_Practices/links/68b1c4ab360112563e0f1fb1/A-Critical-Assessment-of-Amazons-Promotion-Practices.pdf" TargetMode="External"/><Relationship Id="rId22" Type="http://schemas.openxmlformats.org/officeDocument/2006/relationships/hyperlink" Target="https://doi.org/10.1016/j.jbusres.2020.06.057"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C2BB6-A758-4FDD-B809-36D389E8C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3655</Words>
  <Characters>20834</Characters>
  <Application>Microsoft Office Word</Application>
  <DocSecurity>0</DocSecurity>
  <Lines>173</Lines>
  <Paragraphs>48</Paragraphs>
  <ScaleCrop>false</ScaleCrop>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2026-04-15T19:07:00Z</dcterms:created>
  <dcterms:modified xsi:type="dcterms:W3CDTF">2026-04-15T19:07:00Z</dcterms:modified>
</cp:coreProperties>
</file>