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DC86E" w14:textId="08083DD4" w:rsidR="007C0BDA" w:rsidRPr="00C54390" w:rsidRDefault="00C54390" w:rsidP="00C54390">
      <w:pPr>
        <w:spacing w:line="360" w:lineRule="auto"/>
        <w:jc w:val="center"/>
        <w:rPr>
          <w:u w:val="single"/>
        </w:rPr>
      </w:pPr>
      <w:r w:rsidRPr="00C54390">
        <w:rPr>
          <w:u w:val="single"/>
        </w:rPr>
        <w:t>Reflective paper</w:t>
      </w:r>
      <w:r>
        <w:rPr>
          <w:u w:val="single"/>
        </w:rPr>
        <w:t xml:space="preserve"> – Leadership and management for systems of quality.</w:t>
      </w:r>
    </w:p>
    <w:p w14:paraId="4B617BFE" w14:textId="77777777" w:rsidR="00C54390" w:rsidRPr="00410B44" w:rsidRDefault="00C54390" w:rsidP="00C54390">
      <w:pPr>
        <w:spacing w:line="360" w:lineRule="auto"/>
        <w:rPr>
          <w:rFonts w:ascii="Arial" w:hAnsi="Arial" w:cs="Arial"/>
          <w:color w:val="FF0000"/>
          <w:u w:val="single"/>
        </w:rPr>
      </w:pPr>
      <w:r w:rsidRPr="00410B44">
        <w:rPr>
          <w:rFonts w:ascii="Arial" w:hAnsi="Arial" w:cs="Arial"/>
          <w:color w:val="FF0000"/>
          <w:u w:val="single"/>
        </w:rPr>
        <w:t>AI acknowledgement:</w:t>
      </w:r>
    </w:p>
    <w:p w14:paraId="75DE955D" w14:textId="77777777" w:rsidR="00C54390" w:rsidRPr="00410B44" w:rsidRDefault="00C54390" w:rsidP="00C54390">
      <w:pPr>
        <w:spacing w:line="360" w:lineRule="auto"/>
        <w:rPr>
          <w:rFonts w:ascii="Arial" w:hAnsi="Arial" w:cs="Arial"/>
          <w:color w:val="FF0000"/>
          <w:u w:val="single"/>
        </w:rPr>
      </w:pPr>
      <w:r w:rsidRPr="00410B44">
        <w:rPr>
          <w:rFonts w:ascii="Arial" w:hAnsi="Arial" w:cs="Arial"/>
          <w:color w:val="FF0000"/>
          <w:u w:val="single"/>
        </w:rPr>
        <w:t>I can confirm that I have not used any AI tools in the research and creation of this assignment. I can confirm I have not presented any AI-generated materials as my work. I have copies of my drafts, notes and other resources which I may be asked to provide in evidence.</w:t>
      </w:r>
    </w:p>
    <w:p w14:paraId="1B647B86" w14:textId="77777777" w:rsidR="00C54390" w:rsidRDefault="00C54390" w:rsidP="00C54390">
      <w:pPr>
        <w:spacing w:line="360" w:lineRule="auto"/>
        <w:rPr>
          <w:u w:val="single"/>
        </w:rPr>
      </w:pPr>
      <w:r>
        <w:rPr>
          <w:u w:val="single"/>
        </w:rPr>
        <w:t>Part one:</w:t>
      </w:r>
    </w:p>
    <w:p w14:paraId="547CA908" w14:textId="63284824" w:rsidR="00C54390" w:rsidRPr="00C54390" w:rsidRDefault="00C54390" w:rsidP="00C54390">
      <w:pPr>
        <w:spacing w:line="360" w:lineRule="auto"/>
        <w:rPr>
          <w:u w:val="single"/>
        </w:rPr>
      </w:pPr>
      <w:r w:rsidRPr="00C54390">
        <w:rPr>
          <w:u w:val="single"/>
        </w:rPr>
        <w:t>What is quality in the early years?</w:t>
      </w:r>
    </w:p>
    <w:p w14:paraId="268EB87D" w14:textId="0E9630C8" w:rsidR="00C54390" w:rsidRDefault="00C54390" w:rsidP="00C54390">
      <w:pPr>
        <w:spacing w:line="360" w:lineRule="auto"/>
      </w:pPr>
      <w:r>
        <w:t xml:space="preserve">William (2016) suggests that quality is the set of internal or external guidelines, processes, systems and practices that are intended to achieve, preserve and improve quality. Eadie (2022) says that the </w:t>
      </w:r>
      <w:r w:rsidRPr="00C54390">
        <w:t xml:space="preserve">Three domains are used to conceptualise quality in early childhood education and care: structural, process, and </w:t>
      </w:r>
      <w:r>
        <w:t xml:space="preserve">systems. Quality in early years encompasses many factors, including curriculum and learning, qualified and supportive staff, a safe and stimulating environment, strong relationships with families, support for social and emotional development, and effective monitoring and assessment.  All these factors contribute to the quality of an early-year setting. </w:t>
      </w:r>
      <w:r w:rsidRPr="00C54390">
        <w:t xml:space="preserve">In early childhood education, quality </w:t>
      </w:r>
      <w:r>
        <w:t>signifie</w:t>
      </w:r>
      <w:r w:rsidRPr="00C54390">
        <w:t xml:space="preserve">s </w:t>
      </w:r>
      <w:r>
        <w:t>creat</w:t>
      </w:r>
      <w:r w:rsidRPr="00C54390">
        <w:t xml:space="preserve">ing a setting that </w:t>
      </w:r>
      <w:r>
        <w:t>foster</w:t>
      </w:r>
      <w:r w:rsidRPr="00C54390">
        <w:t xml:space="preserve">s children's emotional, social, and cognitive development while </w:t>
      </w:r>
      <w:r>
        <w:t>address</w:t>
      </w:r>
      <w:r w:rsidRPr="00C54390">
        <w:t>ing each child's specific needs in a secure, encouraging, and stimulating</w:t>
      </w:r>
      <w:r>
        <w:t xml:space="preserve"> environment. In addition to these factors, there are many others, such as enhancing play-based learning and effective pedagogy, as well as the importance of ongoing reflection and improvement to promote inclusivity. According to Bland (2024), the concept of quality i</w:t>
      </w:r>
      <w:r w:rsidRPr="00C54390">
        <w:t xml:space="preserve">n early years can be </w:t>
      </w:r>
      <w:r>
        <w:t>challenging</w:t>
      </w:r>
      <w:r w:rsidRPr="00C54390">
        <w:t xml:space="preserve">. The idea of "what quality looks like" can vary </w:t>
      </w:r>
      <w:r>
        <w:t>significan</w:t>
      </w:r>
      <w:r w:rsidRPr="00C54390">
        <w:t xml:space="preserve">tly </w:t>
      </w:r>
      <w:r>
        <w:t>based</w:t>
      </w:r>
      <w:r w:rsidRPr="00C54390">
        <w:t xml:space="preserve"> on a person's </w:t>
      </w:r>
      <w:r>
        <w:t>education</w:t>
      </w:r>
      <w:r w:rsidRPr="00C54390">
        <w:t xml:space="preserve">, experience, pedagogy, and other personal beliefs. Together, you </w:t>
      </w:r>
      <w:r>
        <w:t>can</w:t>
      </w:r>
      <w:r w:rsidRPr="00C54390">
        <w:t xml:space="preserve"> develop </w:t>
      </w:r>
      <w:r>
        <w:t>a</w:t>
      </w:r>
      <w:r w:rsidRPr="00C54390">
        <w:t xml:space="preserve"> </w:t>
      </w:r>
      <w:r>
        <w:t>shared</w:t>
      </w:r>
      <w:r w:rsidRPr="00C54390">
        <w:t xml:space="preserve"> definition of quality.</w:t>
      </w:r>
      <w:r>
        <w:t xml:space="preserve"> However, the U.S. Department of State (no date) suggests an</w:t>
      </w:r>
      <w:r w:rsidRPr="00C54390">
        <w:t xml:space="preserve"> excellent early childhood program supports young children's intellectual, social, emotional, and physical development in a secure and caring setting.</w:t>
      </w:r>
    </w:p>
    <w:p w14:paraId="5E6E41F0" w14:textId="27F9D22B" w:rsidR="00C54390" w:rsidRPr="00C54390" w:rsidRDefault="00C54390" w:rsidP="00C54390">
      <w:pPr>
        <w:spacing w:line="360" w:lineRule="auto"/>
        <w:rPr>
          <w:u w:val="single"/>
        </w:rPr>
      </w:pPr>
      <w:r w:rsidRPr="00C54390">
        <w:rPr>
          <w:u w:val="single"/>
        </w:rPr>
        <w:t>Why is quality important in the early years?</w:t>
      </w:r>
    </w:p>
    <w:p w14:paraId="4E3F0F60" w14:textId="4AD8020D" w:rsidR="00C54390" w:rsidRDefault="00C54390" w:rsidP="00C54390">
      <w:pPr>
        <w:spacing w:line="360" w:lineRule="auto"/>
      </w:pPr>
      <w:r w:rsidRPr="00C54390">
        <w:lastRenderedPageBreak/>
        <w:t>High-quality experiences during these formative years have a substantial impact on a child's growth, future learning, and general well-being, setting the groundwork for success throughout life. This makes quality in the early years especially vital.</w:t>
      </w:r>
      <w:r>
        <w:t xml:space="preserve"> These are some key reasons why quality is so crucial in the early years, brain development of the child, social and emotional growth including the 5 developmental pathways in the curriculum, getting ready for school, promoting long-term well-being for the child, and supporting families. According to EDT (no date) </w:t>
      </w:r>
      <w:r w:rsidRPr="00C54390">
        <w:t>Early experiences mould children's brains and abilities to learn, build healthy relationships, and become resilient to life's obstacles. This lays the groundwork for learning and behaviour throughout life.</w:t>
      </w:r>
    </w:p>
    <w:p w14:paraId="5A882EE2" w14:textId="21294C51" w:rsidR="00C54390" w:rsidRPr="00C54390" w:rsidRDefault="00C54390" w:rsidP="00C54390">
      <w:pPr>
        <w:spacing w:line="360" w:lineRule="auto"/>
        <w:rPr>
          <w:u w:val="single"/>
        </w:rPr>
      </w:pPr>
      <w:r w:rsidRPr="00C54390">
        <w:rPr>
          <w:u w:val="single"/>
        </w:rPr>
        <w:t>How do we know it is important for children to have access to high-quality settings?</w:t>
      </w:r>
    </w:p>
    <w:p w14:paraId="19DFA1A7" w14:textId="57458B61" w:rsidR="00C54390" w:rsidRDefault="00C54390" w:rsidP="00C54390">
      <w:pPr>
        <w:spacing w:line="360" w:lineRule="auto"/>
      </w:pPr>
      <w:r w:rsidRPr="00C54390">
        <w:t>Children's development and future performance depend heavily on high-quality early childhood institutions because they offer chances for cognitive, social, and emotional growth as well as educational support, providing the groundwork for lifelong</w:t>
      </w:r>
      <w:r>
        <w:t>.</w:t>
      </w:r>
      <w:r w:rsidRPr="00C54390">
        <w:t xml:space="preserve"> </w:t>
      </w:r>
      <w:r w:rsidRPr="00C54390">
        <w:t>Numerous</w:t>
      </w:r>
      <w:r w:rsidRPr="00C54390">
        <w:t xml:space="preserve"> studies, research, and pieces of evidence from a variety of disciplines, including education, neurology, and child development, highlight the significance of providing children with access to high-quality early years settings.</w:t>
      </w:r>
      <w:r>
        <w:t xml:space="preserve"> Brain development in the early years from birth to age 5 are crucial period for the brain to develop. </w:t>
      </w:r>
      <w:r w:rsidRPr="00C54390">
        <w:t>Children can benefit from extra loving and educational assistance in addition to the home environment in appropriate settings. Their cognitive, personal, social, and emotional development can be greatly impacted by receiving a top-notch education from experienced staff</w:t>
      </w:r>
      <w:r>
        <w:t xml:space="preserve"> (Teacher Development Trust, 2024)</w:t>
      </w:r>
      <w:r w:rsidRPr="00C54390">
        <w:t>.</w:t>
      </w:r>
    </w:p>
    <w:p w14:paraId="19271155" w14:textId="5C5C3C07" w:rsidR="00C54390" w:rsidRPr="00C54390" w:rsidRDefault="00C54390" w:rsidP="00C54390">
      <w:pPr>
        <w:spacing w:line="360" w:lineRule="auto"/>
        <w:rPr>
          <w:u w:val="single"/>
        </w:rPr>
      </w:pPr>
      <w:r w:rsidRPr="00C54390">
        <w:rPr>
          <w:u w:val="single"/>
        </w:rPr>
        <w:t xml:space="preserve">Part </w:t>
      </w:r>
      <w:r>
        <w:rPr>
          <w:u w:val="single"/>
        </w:rPr>
        <w:t>two</w:t>
      </w:r>
      <w:r w:rsidRPr="00C54390">
        <w:rPr>
          <w:u w:val="single"/>
        </w:rPr>
        <w:t>:</w:t>
      </w:r>
    </w:p>
    <w:p w14:paraId="2669286C" w14:textId="4929746A" w:rsidR="00C54390" w:rsidRPr="00C54390" w:rsidRDefault="00C54390" w:rsidP="00C54390">
      <w:pPr>
        <w:spacing w:line="360" w:lineRule="auto"/>
        <w:rPr>
          <w:u w:val="single"/>
        </w:rPr>
      </w:pPr>
      <w:r w:rsidRPr="00C54390">
        <w:rPr>
          <w:u w:val="single"/>
        </w:rPr>
        <w:t>What is quality assurance in the early years?</w:t>
      </w:r>
    </w:p>
    <w:p w14:paraId="4F71D5B6" w14:textId="177C352D" w:rsidR="00C54390" w:rsidRDefault="00C54390" w:rsidP="00C54390">
      <w:pPr>
        <w:spacing w:line="360" w:lineRule="auto"/>
      </w:pPr>
      <w:r w:rsidRPr="00C54390">
        <w:t xml:space="preserve">Early childhood quality assurance </w:t>
      </w:r>
      <w:r w:rsidRPr="00C54390">
        <w:t>the</w:t>
      </w:r>
      <w:r w:rsidRPr="00C54390">
        <w:t xml:space="preserve"> procedures, frameworks, and methods used to guarantee that early childhood facilities offer top-notch care and learning environments that satisfy children's developmental needs are collectively referred to as education.</w:t>
      </w:r>
      <w:r>
        <w:t xml:space="preserve"> </w:t>
      </w:r>
      <w:r w:rsidRPr="00C54390">
        <w:t>It emphasises high standards and ongoing development to promote young children's development and well</w:t>
      </w:r>
      <w:r>
        <w:t>-</w:t>
      </w:r>
      <w:r w:rsidRPr="00C54390">
        <w:t xml:space="preserve">being and provide them </w:t>
      </w:r>
      <w:r>
        <w:t xml:space="preserve">with </w:t>
      </w:r>
      <w:r w:rsidRPr="00C54390">
        <w:t>the greatest start in life.</w:t>
      </w:r>
    </w:p>
    <w:p w14:paraId="48346BBB" w14:textId="2FE60CF7" w:rsidR="00C54390" w:rsidRPr="00C54390" w:rsidRDefault="00C54390" w:rsidP="00C54390">
      <w:pPr>
        <w:spacing w:line="360" w:lineRule="auto"/>
        <w:rPr>
          <w:u w:val="single"/>
        </w:rPr>
      </w:pPr>
      <w:r w:rsidRPr="00C54390">
        <w:rPr>
          <w:u w:val="single"/>
        </w:rPr>
        <w:t>Method one:</w:t>
      </w:r>
    </w:p>
    <w:p w14:paraId="207CC62F" w14:textId="4C62E494" w:rsidR="00C54390" w:rsidRPr="00C54390" w:rsidRDefault="00C54390" w:rsidP="00C54390">
      <w:pPr>
        <w:spacing w:line="360" w:lineRule="auto"/>
        <w:rPr>
          <w:u w:val="single"/>
        </w:rPr>
      </w:pPr>
      <w:r w:rsidRPr="00C54390">
        <w:rPr>
          <w:u w:val="single"/>
        </w:rPr>
        <w:lastRenderedPageBreak/>
        <w:t>What is Sustained shared thinking and emotional well-being (SSTEW)?</w:t>
      </w:r>
    </w:p>
    <w:p w14:paraId="40230F07" w14:textId="45A62693" w:rsidR="00C54390" w:rsidRDefault="00C54390" w:rsidP="00C54390">
      <w:pPr>
        <w:spacing w:line="360" w:lineRule="auto"/>
      </w:pPr>
      <w:r w:rsidRPr="00C54390">
        <w:t>The term "sustained shared thinking" refers to a collaborative approach that promotes deep thinking and learning between a child (or group of children) and an adult, such as a teacher or carer, in early childhood education. Both the adult and the child actively participate, exchange ideas, and meaningfully build upon one other's thinking during this process of deliberate dialogue or problem-solving.</w:t>
      </w:r>
      <w:r>
        <w:t xml:space="preserve"> The SSTEW subscale consists of 5 subscales these being building trust, confidence and independence, social and emotional wellbeing, supporting and extending language and communication, supporting learning and critical thinking and assessing learning and language. The subscale is then rated between 1-7 with the use of inadequate, minimal, good and excellent.  The enabling adult must follow the child-led and expand on their learning using different concepts, a wider range of words, keywords, questions or even running commentary. According to </w:t>
      </w:r>
      <w:r w:rsidRPr="002A5AF4">
        <w:t>Siraj</w:t>
      </w:r>
      <w:r>
        <w:t xml:space="preserve">, </w:t>
      </w:r>
      <w:r w:rsidRPr="002A5AF4">
        <w:t>Kingston</w:t>
      </w:r>
      <w:r w:rsidRPr="00C54390">
        <w:t xml:space="preserve"> </w:t>
      </w:r>
      <w:r>
        <w:t xml:space="preserve">and </w:t>
      </w:r>
      <w:r w:rsidRPr="002A5AF4">
        <w:t>Melhuish</w:t>
      </w:r>
      <w:r w:rsidRPr="00C54390">
        <w:t xml:space="preserve"> </w:t>
      </w:r>
      <w:r>
        <w:t>(2023), t</w:t>
      </w:r>
      <w:r w:rsidRPr="00C54390">
        <w:t>he SSTEW Scale supports all professionals who work with children ages two to six in realising their full potential and reaping the rewards and joys of providing early education and care of the highest quality.</w:t>
      </w:r>
    </w:p>
    <w:p w14:paraId="2386EBBB" w14:textId="74ADB5D3" w:rsidR="00C54390" w:rsidRPr="00C54390" w:rsidRDefault="00C54390" w:rsidP="00C54390">
      <w:pPr>
        <w:spacing w:line="360" w:lineRule="auto"/>
        <w:rPr>
          <w:u w:val="single"/>
        </w:rPr>
      </w:pPr>
      <w:r w:rsidRPr="00C54390">
        <w:rPr>
          <w:u w:val="single"/>
        </w:rPr>
        <w:t>Advantages of sustained shared thinking and emotional well-being:</w:t>
      </w:r>
    </w:p>
    <w:p w14:paraId="23828F93" w14:textId="47BE57B2" w:rsidR="00C54390" w:rsidRDefault="00C54390" w:rsidP="00C54390">
      <w:pPr>
        <w:spacing w:line="360" w:lineRule="auto"/>
      </w:pPr>
      <w:r w:rsidRPr="00C54390">
        <w:t xml:space="preserve">While there are many advantages to sustained shared thinking (SST), such as better language proficiency, increased cognitive development, and stronger social-emotional growth, there are drawbacks as well, particularly </w:t>
      </w:r>
      <w:r>
        <w:t>regarding</w:t>
      </w:r>
      <w:r w:rsidRPr="00C54390">
        <w:t xml:space="preserve"> time, the requirement for qualified teachers, and possible problems with participation in big groups. Its success depends on the teacher's capacity to establish a supportive environment, balance SST with other learning styles, and modify the method to meet the needs of each </w:t>
      </w:r>
      <w:r>
        <w:t>child</w:t>
      </w:r>
      <w:r w:rsidRPr="00C54390">
        <w:t xml:space="preserve">. In early childhood education, </w:t>
      </w:r>
      <w:r>
        <w:t>sustained shared thinking (</w:t>
      </w:r>
      <w:r w:rsidRPr="00C54390">
        <w:t>SST</w:t>
      </w:r>
      <w:r>
        <w:t>)</w:t>
      </w:r>
      <w:r w:rsidRPr="00C54390">
        <w:t xml:space="preserve"> can be a potent instrument for encouraging meaningful engagement and deep learning when applied properly.</w:t>
      </w:r>
    </w:p>
    <w:p w14:paraId="2FB615A4" w14:textId="79EA42FB" w:rsidR="00C54390" w:rsidRDefault="00C54390" w:rsidP="00C54390">
      <w:pPr>
        <w:spacing w:line="360" w:lineRule="auto"/>
      </w:pPr>
      <w:r>
        <w:t xml:space="preserve">There are many different advantages to SSTEW these being promoting critical thinking and problem-solving, encouraging children to think deeply ask questions and explore new ideas and the process helps to support critical thinking, creativity and problem–solving skills as the children engage in conversations where they are prompted to consider different perspectives and come up with different solutions. Another </w:t>
      </w:r>
      <w:r>
        <w:lastRenderedPageBreak/>
        <w:t xml:space="preserve">advantage would be that SSTEW enhances language development. Through conversations, children expand their vocabulary, sentence structure and communication skills. Also, SSTEW supports social and emotional development, it creates opportunities for the children to work collaboratively with the enabling adult and peers. SSTEW facilitates deep learning, </w:t>
      </w:r>
      <w:r w:rsidRPr="00C54390">
        <w:t>through</w:t>
      </w:r>
      <w:r w:rsidRPr="00C54390">
        <w:t xml:space="preserve"> extended conversation, children are inspired to think critically, expand on their concepts, and make connections between new and preexisting knowledge</w:t>
      </w:r>
      <w:r>
        <w:t>, (</w:t>
      </w:r>
      <w:r w:rsidRPr="002A5AF4">
        <w:t>Siraj</w:t>
      </w:r>
      <w:r>
        <w:t xml:space="preserve">, </w:t>
      </w:r>
      <w:r w:rsidRPr="002A5AF4">
        <w:t>Kingston</w:t>
      </w:r>
      <w:r w:rsidRPr="00C54390">
        <w:t xml:space="preserve"> </w:t>
      </w:r>
      <w:r>
        <w:t xml:space="preserve">and </w:t>
      </w:r>
      <w:r w:rsidRPr="002A5AF4">
        <w:t>Melhuish</w:t>
      </w:r>
      <w:r>
        <w:t xml:space="preserve">, </w:t>
      </w:r>
      <w:r>
        <w:t>2023)</w:t>
      </w:r>
    </w:p>
    <w:p w14:paraId="7FD2869D" w14:textId="50D0137E" w:rsidR="00C54390" w:rsidRPr="00C54390" w:rsidRDefault="00C54390" w:rsidP="00C54390">
      <w:pPr>
        <w:spacing w:line="360" w:lineRule="auto"/>
        <w:rPr>
          <w:u w:val="single"/>
        </w:rPr>
      </w:pPr>
      <w:r w:rsidRPr="00C54390">
        <w:rPr>
          <w:u w:val="single"/>
        </w:rPr>
        <w:t>Disadvantages of sustained shared thinking and emotional well-being:</w:t>
      </w:r>
    </w:p>
    <w:p w14:paraId="0664DE45" w14:textId="2B188FAB" w:rsidR="00C54390" w:rsidRDefault="00C54390" w:rsidP="00C54390">
      <w:pPr>
        <w:spacing w:line="360" w:lineRule="auto"/>
      </w:pPr>
      <w:r>
        <w:t xml:space="preserve">Some disadvantages of SSTEW are that you need to have highly skilled educators, and sustained shared thinking relies on educators/practitioners who are skilled in facilitating deeper thinking and conversation. The practitioners will have to ask open-ended questions. Another disadvantage could be that children with limited language may struggle, some children particularly those with speech and language delays may find it difficult to fully engage. The SSTEW can be challenging in large groups, </w:t>
      </w:r>
      <w:r w:rsidRPr="00C54390">
        <w:t>Quieter or more reserved children can be ignored, and children might not always have the chance to fully engage in the collaborative thought process. It can be challenging to control group dynamics in certain circumstances</w:t>
      </w:r>
      <w:r>
        <w:t>, (</w:t>
      </w:r>
      <w:r w:rsidRPr="002A5AF4">
        <w:t>Siraj</w:t>
      </w:r>
      <w:r>
        <w:t xml:space="preserve">, </w:t>
      </w:r>
      <w:r w:rsidRPr="002A5AF4">
        <w:t>Kingston</w:t>
      </w:r>
      <w:r w:rsidRPr="00C54390">
        <w:t xml:space="preserve"> </w:t>
      </w:r>
      <w:r>
        <w:t xml:space="preserve">and </w:t>
      </w:r>
      <w:r w:rsidRPr="002A5AF4">
        <w:t>Melhuish</w:t>
      </w:r>
      <w:r>
        <w:t>,</w:t>
      </w:r>
      <w:r w:rsidRPr="00C54390">
        <w:t xml:space="preserve"> </w:t>
      </w:r>
      <w:r>
        <w:t>2023)</w:t>
      </w:r>
      <w:r>
        <w:t>.</w:t>
      </w:r>
    </w:p>
    <w:p w14:paraId="6BCEA418" w14:textId="3BC4CBDF" w:rsidR="00C54390" w:rsidRPr="00C54390" w:rsidRDefault="00C54390" w:rsidP="00C54390">
      <w:pPr>
        <w:spacing w:line="360" w:lineRule="auto"/>
        <w:rPr>
          <w:u w:val="single"/>
        </w:rPr>
      </w:pPr>
      <w:r w:rsidRPr="00C54390">
        <w:rPr>
          <w:u w:val="single"/>
        </w:rPr>
        <w:t>What is the Leuven Involvement Scale?</w:t>
      </w:r>
    </w:p>
    <w:p w14:paraId="5E29EADE" w14:textId="435DE2B1" w:rsidR="00C54390" w:rsidRDefault="00C54390" w:rsidP="00C54390">
      <w:pPr>
        <w:spacing w:line="360" w:lineRule="auto"/>
      </w:pPr>
      <w:r w:rsidRPr="00C54390">
        <w:t>The Leuven Involvement Scale is a tool used in early childhood education settings to gauge a child's degree of participation, engagement, and involvement in events. Ferre Laevers, a professor at the Leuven Research Centre for Early Childhood Education in Belgium, and his associates created it. The measure targets children's emotional and cognitive engagement in activities, as well as the quality of their experience in the classroom.</w:t>
      </w:r>
      <w:r>
        <w:t xml:space="preserve"> The enabling adult observes the child, looks for different signs of involvement and well-being and assigns a level on the scale from 1-5 based on their observation. If the child is on level 1 of the scale explain that the child is showing strong signs of discomfort and may be withdrawn or anxious, whereas if they are scoring 5 the child is highly engaged, focused and shows intense involvement and enjoyment in the activity. These are always done throughout observations.  With these observations, they </w:t>
      </w:r>
      <w:r>
        <w:lastRenderedPageBreak/>
        <w:t>can be included in the children’s love letter assessments which are required by the Welsh government, (Welsh Government, no date).</w:t>
      </w:r>
    </w:p>
    <w:p w14:paraId="1CE802B2" w14:textId="0944574B" w:rsidR="00C54390" w:rsidRPr="00C54390" w:rsidRDefault="00C54390" w:rsidP="00C54390">
      <w:pPr>
        <w:spacing w:line="360" w:lineRule="auto"/>
        <w:rPr>
          <w:u w:val="single"/>
        </w:rPr>
      </w:pPr>
      <w:r w:rsidRPr="00C54390">
        <w:rPr>
          <w:u w:val="single"/>
        </w:rPr>
        <w:t>Advantages of the Leuven involvement scale:</w:t>
      </w:r>
    </w:p>
    <w:p w14:paraId="19524BF2" w14:textId="544C8054" w:rsidR="00C54390" w:rsidRDefault="00C54390" w:rsidP="00C54390">
      <w:pPr>
        <w:spacing w:line="360" w:lineRule="auto"/>
      </w:pPr>
      <w:r w:rsidRPr="00C54390">
        <w:t xml:space="preserve">There are numerous benefits to using the Leuven Involvement Scale to help educators record and encourage </w:t>
      </w:r>
      <w:r w:rsidRPr="00C54390">
        <w:t>children</w:t>
      </w:r>
      <w:r>
        <w:t>’</w:t>
      </w:r>
      <w:r w:rsidRPr="00C54390">
        <w:t>s</w:t>
      </w:r>
      <w:r w:rsidRPr="00C54390">
        <w:t xml:space="preserve"> emotional and cognitive involvement, which is essential for learning and growth. But it also has drawbacks, especially when it comes to time limitations, the individuality of observations, and the requirement for training. The Leuven Involvement Scale is a useful tool for improving early childhood education methods when used appropriately and in combination with other assessment instruments.</w:t>
      </w:r>
    </w:p>
    <w:p w14:paraId="60B816E4" w14:textId="7B70DA0A" w:rsidR="00C54390" w:rsidRDefault="00C54390" w:rsidP="00C54390">
      <w:pPr>
        <w:spacing w:line="360" w:lineRule="auto"/>
      </w:pPr>
      <w:r>
        <w:t>Some advantages of the Leuven involvement scale are that it promotes deep learning and engagement which means the scale helps practitioners record children’s emotional and cognitive involvement in their learning. Another advantage is that the scale focuses on child-centred observation, which encourages practitioners to observe the children closely and understand their level of engagement. The scale facilitates the child’s progress and helps identify the children’s strengths and difficulties and where we need to give the individual child the extra support, (Kent, 2016).</w:t>
      </w:r>
    </w:p>
    <w:p w14:paraId="240AADA2" w14:textId="668E6DBF" w:rsidR="00C54390" w:rsidRPr="00C54390" w:rsidRDefault="00C54390" w:rsidP="00C54390">
      <w:pPr>
        <w:spacing w:line="360" w:lineRule="auto"/>
        <w:rPr>
          <w:u w:val="single"/>
        </w:rPr>
      </w:pPr>
      <w:r w:rsidRPr="00C54390">
        <w:rPr>
          <w:u w:val="single"/>
        </w:rPr>
        <w:t>Disadvantages of the Leuven involvement scale:</w:t>
      </w:r>
    </w:p>
    <w:p w14:paraId="1D7B1D48" w14:textId="397B968C" w:rsidR="00C54390" w:rsidRDefault="00C54390" w:rsidP="00C54390">
      <w:pPr>
        <w:spacing w:line="360" w:lineRule="auto"/>
      </w:pPr>
      <w:r>
        <w:t>The disadvantage of the scale is that the observation can be very time-consuming for the practitioner as the observation needs to be very detailed. As well as the scale doesn’t measure specific learning outcomes, meaning it is not direct to assess specific learning outcomes or developmental milestones. Within the observation, you may only be able to note down so much of what has happened therefore missing out on detailed information on the involvement of the children. The observations are challenging in large groups, the practice will be to provide individual observation for each time to see the involvement of the activity they are taking part in, (Kent, 2016).</w:t>
      </w:r>
    </w:p>
    <w:p w14:paraId="18533D09" w14:textId="28512A94" w:rsidR="00C54390" w:rsidRPr="00C54390" w:rsidRDefault="00C54390" w:rsidP="00C54390">
      <w:pPr>
        <w:spacing w:line="360" w:lineRule="auto"/>
        <w:rPr>
          <w:u w:val="single"/>
        </w:rPr>
      </w:pPr>
      <w:r w:rsidRPr="00C54390">
        <w:rPr>
          <w:u w:val="single"/>
        </w:rPr>
        <w:t xml:space="preserve">Comparing: </w:t>
      </w:r>
    </w:p>
    <w:p w14:paraId="251A96B0" w14:textId="5FA16FAB" w:rsidR="00C54390" w:rsidRDefault="00C54390" w:rsidP="00C54390">
      <w:pPr>
        <w:spacing w:line="360" w:lineRule="auto"/>
      </w:pPr>
      <w:r>
        <w:t xml:space="preserve">SSTEW focuses on how well an adult and child connect, especially when it comes to prolonged shared thinking. It includes cooperative, in-depth, and mutually beneficial </w:t>
      </w:r>
      <w:r>
        <w:lastRenderedPageBreak/>
        <w:t>interaction that promotes cognitive growth, problem-solving, and critical thinking. Through careful questioning and discussion, the intention is to help kids think more deeply.</w:t>
      </w:r>
      <w:r>
        <w:t xml:space="preserve"> </w:t>
      </w:r>
      <w:r>
        <w:t>SSTEW is particularly focused on emotional health, ensuring that children feel supported and appreciated in social situations.</w:t>
      </w:r>
      <w:r>
        <w:t xml:space="preserve"> Whereas c</w:t>
      </w:r>
      <w:r>
        <w:t xml:space="preserve">hildren's emotional and cognitive engagement in activities is the </w:t>
      </w:r>
      <w:proofErr w:type="gramStart"/>
      <w:r>
        <w:t>main focus</w:t>
      </w:r>
      <w:proofErr w:type="gramEnd"/>
      <w:r>
        <w:t xml:space="preserve"> of the Leuven Involvement Scale. It evaluates the degree of children's involvement in their learning experiences and their level of engagement with tasks.</w:t>
      </w:r>
      <w:r>
        <w:t xml:space="preserve"> This</w:t>
      </w:r>
      <w:r>
        <w:t xml:space="preserve"> scale assesses participation levels, which are connected to learning outcomes and mental health. Good emotional and cognitive growth is thought to be indicated by high participation.</w:t>
      </w:r>
    </w:p>
    <w:p w14:paraId="22EE6BBA" w14:textId="792BA4FF" w:rsidR="00C54390" w:rsidRDefault="00C54390" w:rsidP="00C54390">
      <w:pPr>
        <w:spacing w:line="360" w:lineRule="auto"/>
      </w:pPr>
      <w:r w:rsidRPr="00C54390">
        <w:t>The Leuven Involvement Scale and the Sustained Shared Thinking and Emotional Well-Being (SSTEW) document are both effective instruments in early childhood education that improve children's learning, growth, and well-being. Despite concentrating on distinct facets of a child's involvement, they work in tandem to provide a comprehensive approach to high-quality education.</w:t>
      </w:r>
    </w:p>
    <w:p w14:paraId="5C1DFA34" w14:textId="77777777" w:rsidR="00C54390" w:rsidRDefault="00C54390" w:rsidP="00C54390">
      <w:pPr>
        <w:spacing w:line="360" w:lineRule="auto"/>
      </w:pPr>
    </w:p>
    <w:p w14:paraId="7F0A1F5C" w14:textId="77777777" w:rsidR="00C54390" w:rsidRDefault="00C54390" w:rsidP="00C54390">
      <w:pPr>
        <w:spacing w:line="360" w:lineRule="auto"/>
      </w:pPr>
    </w:p>
    <w:p w14:paraId="43BC8834" w14:textId="77777777" w:rsidR="00C54390" w:rsidRDefault="00C54390" w:rsidP="00C54390">
      <w:pPr>
        <w:spacing w:line="360" w:lineRule="auto"/>
      </w:pPr>
    </w:p>
    <w:p w14:paraId="599491EC" w14:textId="77777777" w:rsidR="00C54390" w:rsidRDefault="00C54390" w:rsidP="00C54390">
      <w:pPr>
        <w:spacing w:line="360" w:lineRule="auto"/>
      </w:pPr>
    </w:p>
    <w:p w14:paraId="5AEAA5E3" w14:textId="77777777" w:rsidR="00C54390" w:rsidRDefault="00C54390" w:rsidP="00C54390">
      <w:pPr>
        <w:spacing w:line="360" w:lineRule="auto"/>
      </w:pPr>
    </w:p>
    <w:p w14:paraId="2BA677E9" w14:textId="77777777" w:rsidR="00C54390" w:rsidRDefault="00C54390" w:rsidP="00C54390">
      <w:pPr>
        <w:spacing w:line="360" w:lineRule="auto"/>
      </w:pPr>
    </w:p>
    <w:p w14:paraId="0617959F" w14:textId="77777777" w:rsidR="00C54390" w:rsidRDefault="00C54390" w:rsidP="00C54390">
      <w:pPr>
        <w:spacing w:line="360" w:lineRule="auto"/>
      </w:pPr>
    </w:p>
    <w:p w14:paraId="3F2C465E" w14:textId="77777777" w:rsidR="00C54390" w:rsidRDefault="00C54390" w:rsidP="00C54390">
      <w:pPr>
        <w:spacing w:line="360" w:lineRule="auto"/>
      </w:pPr>
    </w:p>
    <w:p w14:paraId="77597F68" w14:textId="77777777" w:rsidR="00C54390" w:rsidRDefault="00C54390" w:rsidP="00C54390">
      <w:pPr>
        <w:spacing w:line="360" w:lineRule="auto"/>
      </w:pPr>
    </w:p>
    <w:p w14:paraId="39F441BA" w14:textId="77777777" w:rsidR="00C54390" w:rsidRDefault="00C54390" w:rsidP="00C54390">
      <w:pPr>
        <w:spacing w:line="360" w:lineRule="auto"/>
      </w:pPr>
    </w:p>
    <w:p w14:paraId="58F3A260" w14:textId="77777777" w:rsidR="00C54390" w:rsidRDefault="00C54390" w:rsidP="00C54390">
      <w:pPr>
        <w:spacing w:line="360" w:lineRule="auto"/>
      </w:pPr>
    </w:p>
    <w:p w14:paraId="13B0D275" w14:textId="77777777" w:rsidR="00C54390" w:rsidRDefault="00C54390" w:rsidP="00C54390">
      <w:pPr>
        <w:spacing w:line="360" w:lineRule="auto"/>
      </w:pPr>
    </w:p>
    <w:p w14:paraId="206A2462" w14:textId="77777777" w:rsidR="00C54390" w:rsidRDefault="00C54390" w:rsidP="00C54390">
      <w:pPr>
        <w:spacing w:line="360" w:lineRule="auto"/>
      </w:pPr>
    </w:p>
    <w:p w14:paraId="34EC05E8" w14:textId="77777777" w:rsidR="00C54390" w:rsidRDefault="00C54390" w:rsidP="00C54390">
      <w:pPr>
        <w:spacing w:line="360" w:lineRule="auto"/>
      </w:pPr>
    </w:p>
    <w:p w14:paraId="1621AADF" w14:textId="77777777" w:rsidR="00C54390" w:rsidRDefault="00C54390" w:rsidP="00C54390">
      <w:pPr>
        <w:spacing w:line="360" w:lineRule="auto"/>
      </w:pPr>
    </w:p>
    <w:p w14:paraId="641F8EC3" w14:textId="77777777" w:rsidR="00C54390" w:rsidRDefault="00C54390" w:rsidP="00C54390">
      <w:pPr>
        <w:spacing w:line="360" w:lineRule="auto"/>
      </w:pPr>
    </w:p>
    <w:p w14:paraId="14EE3369" w14:textId="77777777" w:rsidR="00C54390" w:rsidRDefault="00C54390" w:rsidP="00C54390">
      <w:pPr>
        <w:spacing w:line="360" w:lineRule="auto"/>
      </w:pPr>
    </w:p>
    <w:p w14:paraId="307162A9" w14:textId="77777777" w:rsidR="00C54390" w:rsidRDefault="00C54390" w:rsidP="00C54390">
      <w:pPr>
        <w:spacing w:line="360" w:lineRule="auto"/>
      </w:pPr>
    </w:p>
    <w:p w14:paraId="7DDFC787" w14:textId="4017042F" w:rsidR="00C54390" w:rsidRPr="00C54390" w:rsidRDefault="00C54390" w:rsidP="00C54390">
      <w:pPr>
        <w:spacing w:line="360" w:lineRule="auto"/>
        <w:rPr>
          <w:u w:val="single"/>
        </w:rPr>
      </w:pPr>
      <w:r w:rsidRPr="00C54390">
        <w:rPr>
          <w:u w:val="single"/>
        </w:rPr>
        <w:t>References:</w:t>
      </w:r>
    </w:p>
    <w:p w14:paraId="34562CDE" w14:textId="77777777" w:rsidR="00C54390" w:rsidRPr="00C54390" w:rsidRDefault="00C54390" w:rsidP="00C54390">
      <w:pPr>
        <w:spacing w:line="360" w:lineRule="auto"/>
      </w:pPr>
      <w:r w:rsidRPr="00C54390">
        <w:t>Australian Children's Education and Care Quality Authority (2016). </w:t>
      </w:r>
      <w:r w:rsidRPr="00C54390">
        <w:rPr>
          <w:i/>
          <w:iCs/>
        </w:rPr>
        <w:t>Quality Area 5 Relationships with Children</w:t>
      </w:r>
      <w:r w:rsidRPr="00C54390">
        <w:t xml:space="preserve">. [online] Available at: </w:t>
      </w:r>
      <w:hyperlink r:id="rId6" w:history="1">
        <w:r w:rsidRPr="00C54390">
          <w:rPr>
            <w:rStyle w:val="Hyperlink"/>
          </w:rPr>
          <w:t>https://www.acecqa.gov.au/sites/default/files/acecqa/files/QualityInformationSheets/QualityArea5/QualityArea5OrangeRelationshipsWithChildren.pdf</w:t>
        </w:r>
      </w:hyperlink>
      <w:r w:rsidRPr="00C54390">
        <w:t>.</w:t>
      </w:r>
      <w:r>
        <w:t xml:space="preserve"> [Accessed: 6</w:t>
      </w:r>
      <w:r w:rsidRPr="00C54390">
        <w:rPr>
          <w:vertAlign w:val="superscript"/>
        </w:rPr>
        <w:t>th</w:t>
      </w:r>
      <w:r>
        <w:t xml:space="preserve"> April 2025]</w:t>
      </w:r>
    </w:p>
    <w:p w14:paraId="69041996" w14:textId="77777777" w:rsidR="00C54390" w:rsidRDefault="00000000" w:rsidP="00C54390">
      <w:pPr>
        <w:spacing w:line="360" w:lineRule="auto"/>
      </w:pPr>
      <w:r w:rsidRPr="002A5AF4">
        <w:t xml:space="preserve">Eadie, P. </w:t>
      </w:r>
      <w:r w:rsidRPr="002A5AF4">
        <w:t>et al</w:t>
      </w:r>
      <w:r w:rsidRPr="002A5AF4">
        <w:t xml:space="preserve">. (2022) </w:t>
      </w:r>
      <w:r w:rsidRPr="002A5AF4">
        <w:rPr>
          <w:i/>
          <w:iCs/>
        </w:rPr>
        <w:t>'</w:t>
      </w:r>
      <w:r w:rsidRPr="002A5AF4">
        <w:rPr>
          <w:i/>
          <w:iCs/>
        </w:rPr>
        <w:t xml:space="preserve">Domains of quality in early childhood education and </w:t>
      </w:r>
      <w:r w:rsidR="00C54390" w:rsidRPr="00C54390">
        <w:rPr>
          <w:i/>
          <w:iCs/>
        </w:rPr>
        <w:t>care: A</w:t>
      </w:r>
      <w:r w:rsidRPr="002A5AF4">
        <w:rPr>
          <w:i/>
          <w:iCs/>
        </w:rPr>
        <w:t xml:space="preserve"> scoping review of the extent and consistency of the literature'</w:t>
      </w:r>
      <w:r w:rsidRPr="002A5AF4">
        <w:t>, </w:t>
      </w:r>
      <w:r w:rsidRPr="002A5AF4">
        <w:t>Educational Re</w:t>
      </w:r>
      <w:r w:rsidR="00C54390" w:rsidRPr="00C54390">
        <w:t>v</w:t>
      </w:r>
      <w:r w:rsidRPr="002A5AF4">
        <w:t>iew, </w:t>
      </w:r>
      <w:r w:rsidRPr="002A5AF4">
        <w:t>DOI</w:t>
      </w:r>
      <w:r w:rsidR="00C54390">
        <w:t>; Available at:</w:t>
      </w:r>
      <w:r w:rsidRPr="002A5AF4">
        <w:t> </w:t>
      </w:r>
      <w:hyperlink r:id="rId7" w:history="1">
        <w:r w:rsidRPr="002A5AF4">
          <w:rPr>
            <w:rStyle w:val="Hyperlink"/>
          </w:rPr>
          <w:t>https://doi.org/10.1080/00131911.2022.2077704</w:t>
        </w:r>
      </w:hyperlink>
      <w:r w:rsidR="00C54390">
        <w:t>. [Accessed: 6</w:t>
      </w:r>
      <w:r w:rsidR="00C54390" w:rsidRPr="00C54390">
        <w:rPr>
          <w:vertAlign w:val="superscript"/>
        </w:rPr>
        <w:t>th</w:t>
      </w:r>
      <w:r w:rsidR="00C54390">
        <w:t xml:space="preserve"> April 2025]</w:t>
      </w:r>
    </w:p>
    <w:p w14:paraId="5D5680A2" w14:textId="77777777" w:rsidR="00C54390" w:rsidRDefault="00C54390" w:rsidP="00C54390">
      <w:pPr>
        <w:spacing w:line="360" w:lineRule="auto"/>
      </w:pPr>
      <w:r w:rsidRPr="00C54390">
        <w:t>Kent, J. (2016). Embracing levels of involvement. </w:t>
      </w:r>
      <w:r w:rsidRPr="00C54390">
        <w:rPr>
          <w:i/>
          <w:iCs/>
        </w:rPr>
        <w:t>Examining Levels of Involvement in the Early Years</w:t>
      </w:r>
      <w:r w:rsidRPr="00C54390">
        <w:t xml:space="preserve">, pp.91–104. </w:t>
      </w:r>
      <w:r w:rsidRPr="00C54390">
        <w:t>Doi:</w:t>
      </w:r>
      <w:r>
        <w:t xml:space="preserve"> Available at: </w:t>
      </w:r>
      <w:hyperlink r:id="rId8" w:history="1">
        <w:r w:rsidRPr="00C54390">
          <w:rPr>
            <w:rStyle w:val="Hyperlink"/>
          </w:rPr>
          <w:t>https://doi.org/10.4324/9781315715735-</w:t>
        </w:r>
        <w:r w:rsidRPr="00E44D4A">
          <w:rPr>
            <w:rStyle w:val="Hyperlink"/>
          </w:rPr>
          <w:t>7</w:t>
        </w:r>
      </w:hyperlink>
      <w:r w:rsidRPr="00C54390">
        <w:t>.</w:t>
      </w:r>
      <w:r>
        <w:t xml:space="preserve"> [Accessed: 5</w:t>
      </w:r>
      <w:r w:rsidRPr="00C54390">
        <w:rPr>
          <w:vertAlign w:val="superscript"/>
        </w:rPr>
        <w:t>th</w:t>
      </w:r>
      <w:r>
        <w:t xml:space="preserve"> April 2025]</w:t>
      </w:r>
    </w:p>
    <w:p w14:paraId="5A91AB54" w14:textId="77777777" w:rsidR="00C54390" w:rsidRPr="00C54390" w:rsidRDefault="00C54390" w:rsidP="00C54390">
      <w:pPr>
        <w:spacing w:line="360" w:lineRule="auto"/>
      </w:pPr>
      <w:r w:rsidRPr="00C54390">
        <w:t>Media (2000), M. (2024). </w:t>
      </w:r>
      <w:r w:rsidRPr="00C54390">
        <w:rPr>
          <w:i/>
          <w:iCs/>
        </w:rPr>
        <w:t>Quality practice in early years | Early Years Management</w:t>
      </w:r>
      <w:r w:rsidRPr="00C54390">
        <w:t xml:space="preserve">. [online] Teach Early Years. Available at: </w:t>
      </w:r>
      <w:hyperlink r:id="rId9" w:history="1">
        <w:r w:rsidRPr="00C54390">
          <w:rPr>
            <w:rStyle w:val="Hyperlink"/>
          </w:rPr>
          <w:t>https://www.teachearlyyears.com/nursery-management/view/quality-practice-in-early-years</w:t>
        </w:r>
      </w:hyperlink>
      <w:r w:rsidRPr="00C54390">
        <w:t>.</w:t>
      </w:r>
      <w:r>
        <w:t xml:space="preserve"> [Accessed: 5</w:t>
      </w:r>
      <w:r w:rsidRPr="00C54390">
        <w:rPr>
          <w:vertAlign w:val="superscript"/>
        </w:rPr>
        <w:t>th</w:t>
      </w:r>
      <w:r>
        <w:t xml:space="preserve"> April 2025]</w:t>
      </w:r>
    </w:p>
    <w:p w14:paraId="2166A59C" w14:textId="77777777" w:rsidR="00C54390" w:rsidRDefault="00C54390" w:rsidP="00C54390">
      <w:pPr>
        <w:spacing w:line="360" w:lineRule="auto"/>
      </w:pPr>
      <w:r w:rsidRPr="002A5AF4">
        <w:t>Siraj, I., Kingston, D., &amp; Melhuish, E. (2023). The Sustained Shared Thinking and Emotional Well-being (SSTEW) Scale: Supporting Process Quality in Early Childhood (1st ed.). David Fulton Publishers.</w:t>
      </w:r>
      <w:r>
        <w:t xml:space="preserve"> Available at:</w:t>
      </w:r>
      <w:r w:rsidRPr="002A5AF4">
        <w:t xml:space="preserve"> </w:t>
      </w:r>
      <w:hyperlink r:id="rId10" w:history="1">
        <w:r w:rsidRPr="00E44D4A">
          <w:rPr>
            <w:rStyle w:val="Hyperlink"/>
          </w:rPr>
          <w:t>https://doi.org/10.4324/978100337986</w:t>
        </w:r>
        <w:r w:rsidRPr="00E44D4A">
          <w:rPr>
            <w:rStyle w:val="Hyperlink"/>
          </w:rPr>
          <w:t>7</w:t>
        </w:r>
      </w:hyperlink>
      <w:r>
        <w:t xml:space="preserve"> . [Accessed: 6</w:t>
      </w:r>
      <w:r w:rsidRPr="00C54390">
        <w:rPr>
          <w:vertAlign w:val="superscript"/>
        </w:rPr>
        <w:t>th</w:t>
      </w:r>
      <w:r>
        <w:t xml:space="preserve"> April 2025]</w:t>
      </w:r>
    </w:p>
    <w:p w14:paraId="79EC2151" w14:textId="77777777" w:rsidR="00C54390" w:rsidRPr="00C54390" w:rsidRDefault="00C54390" w:rsidP="00C54390">
      <w:pPr>
        <w:spacing w:line="360" w:lineRule="auto"/>
      </w:pPr>
      <w:r w:rsidRPr="00C54390">
        <w:lastRenderedPageBreak/>
        <w:t>Teacher Development Trust (2024). </w:t>
      </w:r>
      <w:r w:rsidRPr="00C54390">
        <w:rPr>
          <w:i/>
          <w:iCs/>
        </w:rPr>
        <w:t xml:space="preserve">Quality early years education </w:t>
      </w:r>
      <w:r>
        <w:rPr>
          <w:i/>
          <w:iCs/>
        </w:rPr>
        <w:t xml:space="preserve">is </w:t>
      </w:r>
      <w:r w:rsidRPr="00C54390">
        <w:rPr>
          <w:i/>
          <w:iCs/>
        </w:rPr>
        <w:t>crucial for better life outcomes</w:t>
      </w:r>
      <w:r w:rsidRPr="00C54390">
        <w:t xml:space="preserve">. [online] Teacher Development Trust. Available at: </w:t>
      </w:r>
      <w:hyperlink r:id="rId11" w:history="1">
        <w:r w:rsidRPr="00C54390">
          <w:rPr>
            <w:rStyle w:val="Hyperlink"/>
          </w:rPr>
          <w:t>https://tdtrust.org/2024/02/23/quality-early-years-education-crucial-for-better-life-outcomes/</w:t>
        </w:r>
      </w:hyperlink>
      <w:r w:rsidRPr="00C54390">
        <w:t>.</w:t>
      </w:r>
      <w:r>
        <w:t xml:space="preserve"> [Accessed: 6</w:t>
      </w:r>
      <w:r w:rsidRPr="00C54390">
        <w:rPr>
          <w:vertAlign w:val="superscript"/>
        </w:rPr>
        <w:t>th</w:t>
      </w:r>
      <w:r>
        <w:t xml:space="preserve"> April 2025]</w:t>
      </w:r>
    </w:p>
    <w:p w14:paraId="72C723D9" w14:textId="77777777" w:rsidR="00C54390" w:rsidRPr="00C54390" w:rsidRDefault="00C54390" w:rsidP="00C54390">
      <w:pPr>
        <w:spacing w:line="360" w:lineRule="auto"/>
      </w:pPr>
      <w:r w:rsidRPr="00C54390">
        <w:t>U.S. Department of State. (n.d.). </w:t>
      </w:r>
      <w:r w:rsidRPr="00C54390">
        <w:rPr>
          <w:i/>
          <w:iCs/>
        </w:rPr>
        <w:t>Section Two - Quality in Early Childhood Education</w:t>
      </w:r>
      <w:r w:rsidRPr="00C54390">
        <w:t xml:space="preserve">. [online] Available at: </w:t>
      </w:r>
      <w:hyperlink r:id="rId12" w:history="1">
        <w:r w:rsidRPr="00C54390">
          <w:rPr>
            <w:rStyle w:val="Hyperlink"/>
          </w:rPr>
          <w:t>https://2009-2017.state.gov/m/a/os/41176.htm</w:t>
        </w:r>
      </w:hyperlink>
      <w:r w:rsidRPr="00C54390">
        <w:t>.</w:t>
      </w:r>
      <w:r>
        <w:t xml:space="preserve"> [Accessed: 6</w:t>
      </w:r>
      <w:r w:rsidRPr="00C54390">
        <w:rPr>
          <w:vertAlign w:val="superscript"/>
        </w:rPr>
        <w:t>th</w:t>
      </w:r>
      <w:r>
        <w:t xml:space="preserve"> April 2025]</w:t>
      </w:r>
    </w:p>
    <w:p w14:paraId="5CB72C99" w14:textId="77777777" w:rsidR="00C54390" w:rsidRDefault="00000000" w:rsidP="00C54390">
      <w:pPr>
        <w:spacing w:line="360" w:lineRule="auto"/>
      </w:pPr>
      <w:r w:rsidRPr="002A5AF4">
        <w:t>Williams, J. (2016) ‘</w:t>
      </w:r>
      <w:r w:rsidRPr="002A5AF4">
        <w:rPr>
          <w:i/>
          <w:iCs/>
        </w:rPr>
        <w:t xml:space="preserve">Quality Assurance and Quality Enhancement: </w:t>
      </w:r>
      <w:r w:rsidR="00C54390" w:rsidRPr="00C54390">
        <w:rPr>
          <w:i/>
          <w:iCs/>
        </w:rPr>
        <w:t>I</w:t>
      </w:r>
      <w:r w:rsidRPr="002A5AF4">
        <w:rPr>
          <w:i/>
          <w:iCs/>
        </w:rPr>
        <w:t xml:space="preserve">s </w:t>
      </w:r>
      <w:r w:rsidR="00C54390" w:rsidRPr="00C54390">
        <w:rPr>
          <w:i/>
          <w:iCs/>
        </w:rPr>
        <w:t>T</w:t>
      </w:r>
      <w:r w:rsidRPr="002A5AF4">
        <w:rPr>
          <w:i/>
          <w:iCs/>
        </w:rPr>
        <w:t xml:space="preserve">here a </w:t>
      </w:r>
      <w:r w:rsidR="00C54390">
        <w:rPr>
          <w:i/>
          <w:iCs/>
        </w:rPr>
        <w:t>R</w:t>
      </w:r>
      <w:r w:rsidRPr="002A5AF4">
        <w:rPr>
          <w:i/>
          <w:iCs/>
        </w:rPr>
        <w:t>elationship?’</w:t>
      </w:r>
      <w:r w:rsidRPr="002A5AF4">
        <w:t>, Quality in Higher Education, 22 (2), pp. 97-102. DOI: 10.1080/13538322.2016.1227207</w:t>
      </w:r>
      <w:r w:rsidR="00C54390">
        <w:t>. [Accessed: 6</w:t>
      </w:r>
      <w:r w:rsidR="00C54390" w:rsidRPr="00C54390">
        <w:rPr>
          <w:vertAlign w:val="superscript"/>
        </w:rPr>
        <w:t>th</w:t>
      </w:r>
      <w:r w:rsidR="00C54390">
        <w:t xml:space="preserve"> April 2025]</w:t>
      </w:r>
    </w:p>
    <w:p w14:paraId="7A36D1A7" w14:textId="77777777" w:rsidR="00C54390" w:rsidRPr="00C54390" w:rsidRDefault="00C54390" w:rsidP="00C54390">
      <w:pPr>
        <w:spacing w:line="360" w:lineRule="auto"/>
      </w:pPr>
      <w:r>
        <w:t>W</w:t>
      </w:r>
      <w:r w:rsidRPr="00C54390">
        <w:t>ww.edt.org. (n.d.). </w:t>
      </w:r>
      <w:r w:rsidRPr="00C54390">
        <w:rPr>
          <w:i/>
          <w:iCs/>
        </w:rPr>
        <w:t>High-quality education in the early years</w:t>
      </w:r>
      <w:r w:rsidRPr="00C54390">
        <w:t xml:space="preserve">. [online] Available at: </w:t>
      </w:r>
      <w:hyperlink r:id="rId13" w:history="1">
        <w:r w:rsidRPr="00C54390">
          <w:rPr>
            <w:rStyle w:val="Hyperlink"/>
          </w:rPr>
          <w:t>https://www.edt.org/research-and-insights/high-quality-education-in-the-early-years/</w:t>
        </w:r>
      </w:hyperlink>
      <w:r w:rsidRPr="00C54390">
        <w:t>.</w:t>
      </w:r>
      <w:r>
        <w:t xml:space="preserve"> [Accessed: 5</w:t>
      </w:r>
      <w:r w:rsidRPr="00C54390">
        <w:rPr>
          <w:vertAlign w:val="superscript"/>
        </w:rPr>
        <w:t>th</w:t>
      </w:r>
      <w:r>
        <w:t xml:space="preserve"> April 2025]</w:t>
      </w:r>
    </w:p>
    <w:p w14:paraId="6EC765E8" w14:textId="77777777" w:rsidR="00C54390" w:rsidRPr="00C54390" w:rsidRDefault="00C54390" w:rsidP="00C54390">
      <w:pPr>
        <w:spacing w:line="360" w:lineRule="auto"/>
      </w:pPr>
    </w:p>
    <w:p w14:paraId="04B3A87F" w14:textId="77777777" w:rsidR="00000000" w:rsidRPr="002A5AF4" w:rsidRDefault="00000000" w:rsidP="00C54390">
      <w:pPr>
        <w:spacing w:line="360" w:lineRule="auto"/>
      </w:pPr>
    </w:p>
    <w:p w14:paraId="5950E3BA" w14:textId="77777777" w:rsidR="00C54390" w:rsidRDefault="00C54390" w:rsidP="00C54390">
      <w:pPr>
        <w:spacing w:line="360" w:lineRule="auto"/>
      </w:pPr>
    </w:p>
    <w:p w14:paraId="219AD63D" w14:textId="77777777" w:rsidR="00000000" w:rsidRPr="002A5AF4" w:rsidRDefault="00000000" w:rsidP="00C54390">
      <w:pPr>
        <w:spacing w:line="360" w:lineRule="auto"/>
      </w:pPr>
    </w:p>
    <w:p w14:paraId="4C55A55F" w14:textId="77777777" w:rsidR="00C54390" w:rsidRDefault="00C54390" w:rsidP="00C54390">
      <w:pPr>
        <w:spacing w:line="360" w:lineRule="auto"/>
      </w:pPr>
    </w:p>
    <w:p w14:paraId="6588220D" w14:textId="77777777" w:rsidR="00C54390" w:rsidRDefault="00C54390" w:rsidP="00C54390">
      <w:pPr>
        <w:spacing w:line="360" w:lineRule="auto"/>
      </w:pPr>
    </w:p>
    <w:sectPr w:rsidR="00C54390">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4EA32" w14:textId="77777777" w:rsidR="00DD7EA8" w:rsidRDefault="00DD7EA8" w:rsidP="00C54390">
      <w:pPr>
        <w:spacing w:after="0" w:line="240" w:lineRule="auto"/>
      </w:pPr>
      <w:r>
        <w:separator/>
      </w:r>
    </w:p>
  </w:endnote>
  <w:endnote w:type="continuationSeparator" w:id="0">
    <w:p w14:paraId="3C2C5546" w14:textId="77777777" w:rsidR="00DD7EA8" w:rsidRDefault="00DD7EA8" w:rsidP="00C54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7E52C" w14:textId="77777777" w:rsidR="00DD7EA8" w:rsidRDefault="00DD7EA8" w:rsidP="00C54390">
      <w:pPr>
        <w:spacing w:after="0" w:line="240" w:lineRule="auto"/>
      </w:pPr>
      <w:r>
        <w:separator/>
      </w:r>
    </w:p>
  </w:footnote>
  <w:footnote w:type="continuationSeparator" w:id="0">
    <w:p w14:paraId="6748D953" w14:textId="77777777" w:rsidR="00DD7EA8" w:rsidRDefault="00DD7EA8" w:rsidP="00C54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A8977" w14:textId="372FCEBB" w:rsidR="00C54390" w:rsidRDefault="00C54390">
    <w:pPr>
      <w:pStyle w:val="Header"/>
    </w:pPr>
    <w:r>
      <w:t>ECEY6011</w:t>
    </w:r>
    <w:r>
      <w:tab/>
      <w:t>2306601</w:t>
    </w:r>
    <w:r>
      <w:tab/>
      <w:t>Word count: 1794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390"/>
    <w:rsid w:val="00117908"/>
    <w:rsid w:val="001C554F"/>
    <w:rsid w:val="007C0BDA"/>
    <w:rsid w:val="00C54390"/>
    <w:rsid w:val="00DD7EA8"/>
    <w:rsid w:val="00EF1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117A05"/>
  <w15:chartTrackingRefBased/>
  <w15:docId w15:val="{88874814-194E-C047-B419-71E66010E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3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43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3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3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3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3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3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3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3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3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3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3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3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3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3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3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3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390"/>
    <w:rPr>
      <w:rFonts w:eastAsiaTheme="majorEastAsia" w:cstheme="majorBidi"/>
      <w:color w:val="272727" w:themeColor="text1" w:themeTint="D8"/>
    </w:rPr>
  </w:style>
  <w:style w:type="paragraph" w:styleId="Title">
    <w:name w:val="Title"/>
    <w:basedOn w:val="Normal"/>
    <w:next w:val="Normal"/>
    <w:link w:val="TitleChar"/>
    <w:uiPriority w:val="10"/>
    <w:qFormat/>
    <w:rsid w:val="00C543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3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3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3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390"/>
    <w:pPr>
      <w:spacing w:before="160"/>
      <w:jc w:val="center"/>
    </w:pPr>
    <w:rPr>
      <w:i/>
      <w:iCs/>
      <w:color w:val="404040" w:themeColor="text1" w:themeTint="BF"/>
    </w:rPr>
  </w:style>
  <w:style w:type="character" w:customStyle="1" w:styleId="QuoteChar">
    <w:name w:val="Quote Char"/>
    <w:basedOn w:val="DefaultParagraphFont"/>
    <w:link w:val="Quote"/>
    <w:uiPriority w:val="29"/>
    <w:rsid w:val="00C54390"/>
    <w:rPr>
      <w:i/>
      <w:iCs/>
      <w:color w:val="404040" w:themeColor="text1" w:themeTint="BF"/>
    </w:rPr>
  </w:style>
  <w:style w:type="paragraph" w:styleId="ListParagraph">
    <w:name w:val="List Paragraph"/>
    <w:basedOn w:val="Normal"/>
    <w:uiPriority w:val="34"/>
    <w:qFormat/>
    <w:rsid w:val="00C54390"/>
    <w:pPr>
      <w:ind w:left="720"/>
      <w:contextualSpacing/>
    </w:pPr>
  </w:style>
  <w:style w:type="character" w:styleId="IntenseEmphasis">
    <w:name w:val="Intense Emphasis"/>
    <w:basedOn w:val="DefaultParagraphFont"/>
    <w:uiPriority w:val="21"/>
    <w:qFormat/>
    <w:rsid w:val="00C54390"/>
    <w:rPr>
      <w:i/>
      <w:iCs/>
      <w:color w:val="0F4761" w:themeColor="accent1" w:themeShade="BF"/>
    </w:rPr>
  </w:style>
  <w:style w:type="paragraph" w:styleId="IntenseQuote">
    <w:name w:val="Intense Quote"/>
    <w:basedOn w:val="Normal"/>
    <w:next w:val="Normal"/>
    <w:link w:val="IntenseQuoteChar"/>
    <w:uiPriority w:val="30"/>
    <w:qFormat/>
    <w:rsid w:val="00C543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390"/>
    <w:rPr>
      <w:i/>
      <w:iCs/>
      <w:color w:val="0F4761" w:themeColor="accent1" w:themeShade="BF"/>
    </w:rPr>
  </w:style>
  <w:style w:type="character" w:styleId="IntenseReference">
    <w:name w:val="Intense Reference"/>
    <w:basedOn w:val="DefaultParagraphFont"/>
    <w:uiPriority w:val="32"/>
    <w:qFormat/>
    <w:rsid w:val="00C54390"/>
    <w:rPr>
      <w:b/>
      <w:bCs/>
      <w:smallCaps/>
      <w:color w:val="0F4761" w:themeColor="accent1" w:themeShade="BF"/>
      <w:spacing w:val="5"/>
    </w:rPr>
  </w:style>
  <w:style w:type="paragraph" w:styleId="Header">
    <w:name w:val="header"/>
    <w:basedOn w:val="Normal"/>
    <w:link w:val="HeaderChar"/>
    <w:uiPriority w:val="99"/>
    <w:unhideWhenUsed/>
    <w:rsid w:val="00C543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390"/>
  </w:style>
  <w:style w:type="paragraph" w:styleId="Footer">
    <w:name w:val="footer"/>
    <w:basedOn w:val="Normal"/>
    <w:link w:val="FooterChar"/>
    <w:uiPriority w:val="99"/>
    <w:unhideWhenUsed/>
    <w:rsid w:val="00C543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390"/>
  </w:style>
  <w:style w:type="character" w:styleId="Hyperlink">
    <w:name w:val="Hyperlink"/>
    <w:basedOn w:val="DefaultParagraphFont"/>
    <w:uiPriority w:val="99"/>
    <w:unhideWhenUsed/>
    <w:rsid w:val="00C54390"/>
    <w:rPr>
      <w:color w:val="467886" w:themeColor="hyperlink"/>
      <w:u w:val="single"/>
    </w:rPr>
  </w:style>
  <w:style w:type="character" w:styleId="UnresolvedMention">
    <w:name w:val="Unresolved Mention"/>
    <w:basedOn w:val="DefaultParagraphFont"/>
    <w:uiPriority w:val="99"/>
    <w:semiHidden/>
    <w:unhideWhenUsed/>
    <w:rsid w:val="00C54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9538">
      <w:bodyDiv w:val="1"/>
      <w:marLeft w:val="0"/>
      <w:marRight w:val="0"/>
      <w:marTop w:val="0"/>
      <w:marBottom w:val="0"/>
      <w:divBdr>
        <w:top w:val="none" w:sz="0" w:space="0" w:color="auto"/>
        <w:left w:val="none" w:sz="0" w:space="0" w:color="auto"/>
        <w:bottom w:val="none" w:sz="0" w:space="0" w:color="auto"/>
        <w:right w:val="none" w:sz="0" w:space="0" w:color="auto"/>
      </w:divBdr>
      <w:divsChild>
        <w:div w:id="236942891">
          <w:marLeft w:val="0"/>
          <w:marRight w:val="0"/>
          <w:marTop w:val="0"/>
          <w:marBottom w:val="0"/>
          <w:divBdr>
            <w:top w:val="none" w:sz="0" w:space="0" w:color="auto"/>
            <w:left w:val="none" w:sz="0" w:space="0" w:color="auto"/>
            <w:bottom w:val="none" w:sz="0" w:space="0" w:color="auto"/>
            <w:right w:val="none" w:sz="0" w:space="0" w:color="auto"/>
          </w:divBdr>
        </w:div>
      </w:divsChild>
    </w:div>
    <w:div w:id="73282539">
      <w:bodyDiv w:val="1"/>
      <w:marLeft w:val="0"/>
      <w:marRight w:val="0"/>
      <w:marTop w:val="0"/>
      <w:marBottom w:val="0"/>
      <w:divBdr>
        <w:top w:val="none" w:sz="0" w:space="0" w:color="auto"/>
        <w:left w:val="none" w:sz="0" w:space="0" w:color="auto"/>
        <w:bottom w:val="none" w:sz="0" w:space="0" w:color="auto"/>
        <w:right w:val="none" w:sz="0" w:space="0" w:color="auto"/>
      </w:divBdr>
      <w:divsChild>
        <w:div w:id="589390631">
          <w:marLeft w:val="0"/>
          <w:marRight w:val="0"/>
          <w:marTop w:val="0"/>
          <w:marBottom w:val="0"/>
          <w:divBdr>
            <w:top w:val="none" w:sz="0" w:space="0" w:color="auto"/>
            <w:left w:val="none" w:sz="0" w:space="0" w:color="auto"/>
            <w:bottom w:val="none" w:sz="0" w:space="0" w:color="auto"/>
            <w:right w:val="none" w:sz="0" w:space="0" w:color="auto"/>
          </w:divBdr>
        </w:div>
      </w:divsChild>
    </w:div>
    <w:div w:id="104036247">
      <w:bodyDiv w:val="1"/>
      <w:marLeft w:val="0"/>
      <w:marRight w:val="0"/>
      <w:marTop w:val="0"/>
      <w:marBottom w:val="0"/>
      <w:divBdr>
        <w:top w:val="none" w:sz="0" w:space="0" w:color="auto"/>
        <w:left w:val="none" w:sz="0" w:space="0" w:color="auto"/>
        <w:bottom w:val="none" w:sz="0" w:space="0" w:color="auto"/>
        <w:right w:val="none" w:sz="0" w:space="0" w:color="auto"/>
      </w:divBdr>
      <w:divsChild>
        <w:div w:id="663776110">
          <w:marLeft w:val="0"/>
          <w:marRight w:val="0"/>
          <w:marTop w:val="0"/>
          <w:marBottom w:val="0"/>
          <w:divBdr>
            <w:top w:val="none" w:sz="0" w:space="0" w:color="auto"/>
            <w:left w:val="none" w:sz="0" w:space="0" w:color="auto"/>
            <w:bottom w:val="none" w:sz="0" w:space="0" w:color="auto"/>
            <w:right w:val="none" w:sz="0" w:space="0" w:color="auto"/>
          </w:divBdr>
        </w:div>
      </w:divsChild>
    </w:div>
    <w:div w:id="296617296">
      <w:bodyDiv w:val="1"/>
      <w:marLeft w:val="0"/>
      <w:marRight w:val="0"/>
      <w:marTop w:val="0"/>
      <w:marBottom w:val="0"/>
      <w:divBdr>
        <w:top w:val="none" w:sz="0" w:space="0" w:color="auto"/>
        <w:left w:val="none" w:sz="0" w:space="0" w:color="auto"/>
        <w:bottom w:val="none" w:sz="0" w:space="0" w:color="auto"/>
        <w:right w:val="none" w:sz="0" w:space="0" w:color="auto"/>
      </w:divBdr>
      <w:divsChild>
        <w:div w:id="1782650171">
          <w:marLeft w:val="0"/>
          <w:marRight w:val="0"/>
          <w:marTop w:val="0"/>
          <w:marBottom w:val="0"/>
          <w:divBdr>
            <w:top w:val="none" w:sz="0" w:space="0" w:color="auto"/>
            <w:left w:val="none" w:sz="0" w:space="0" w:color="auto"/>
            <w:bottom w:val="none" w:sz="0" w:space="0" w:color="auto"/>
            <w:right w:val="none" w:sz="0" w:space="0" w:color="auto"/>
          </w:divBdr>
        </w:div>
      </w:divsChild>
    </w:div>
    <w:div w:id="673344605">
      <w:bodyDiv w:val="1"/>
      <w:marLeft w:val="0"/>
      <w:marRight w:val="0"/>
      <w:marTop w:val="0"/>
      <w:marBottom w:val="0"/>
      <w:divBdr>
        <w:top w:val="none" w:sz="0" w:space="0" w:color="auto"/>
        <w:left w:val="none" w:sz="0" w:space="0" w:color="auto"/>
        <w:bottom w:val="none" w:sz="0" w:space="0" w:color="auto"/>
        <w:right w:val="none" w:sz="0" w:space="0" w:color="auto"/>
      </w:divBdr>
      <w:divsChild>
        <w:div w:id="288047486">
          <w:marLeft w:val="0"/>
          <w:marRight w:val="0"/>
          <w:marTop w:val="0"/>
          <w:marBottom w:val="0"/>
          <w:divBdr>
            <w:top w:val="none" w:sz="0" w:space="0" w:color="auto"/>
            <w:left w:val="none" w:sz="0" w:space="0" w:color="auto"/>
            <w:bottom w:val="none" w:sz="0" w:space="0" w:color="auto"/>
            <w:right w:val="none" w:sz="0" w:space="0" w:color="auto"/>
          </w:divBdr>
        </w:div>
      </w:divsChild>
    </w:div>
    <w:div w:id="713310947">
      <w:bodyDiv w:val="1"/>
      <w:marLeft w:val="0"/>
      <w:marRight w:val="0"/>
      <w:marTop w:val="0"/>
      <w:marBottom w:val="0"/>
      <w:divBdr>
        <w:top w:val="none" w:sz="0" w:space="0" w:color="auto"/>
        <w:left w:val="none" w:sz="0" w:space="0" w:color="auto"/>
        <w:bottom w:val="none" w:sz="0" w:space="0" w:color="auto"/>
        <w:right w:val="none" w:sz="0" w:space="0" w:color="auto"/>
      </w:divBdr>
      <w:divsChild>
        <w:div w:id="1961111960">
          <w:marLeft w:val="0"/>
          <w:marRight w:val="0"/>
          <w:marTop w:val="0"/>
          <w:marBottom w:val="0"/>
          <w:divBdr>
            <w:top w:val="none" w:sz="0" w:space="0" w:color="auto"/>
            <w:left w:val="none" w:sz="0" w:space="0" w:color="auto"/>
            <w:bottom w:val="none" w:sz="0" w:space="0" w:color="auto"/>
            <w:right w:val="none" w:sz="0" w:space="0" w:color="auto"/>
          </w:divBdr>
        </w:div>
      </w:divsChild>
    </w:div>
    <w:div w:id="724791081">
      <w:bodyDiv w:val="1"/>
      <w:marLeft w:val="0"/>
      <w:marRight w:val="0"/>
      <w:marTop w:val="0"/>
      <w:marBottom w:val="0"/>
      <w:divBdr>
        <w:top w:val="none" w:sz="0" w:space="0" w:color="auto"/>
        <w:left w:val="none" w:sz="0" w:space="0" w:color="auto"/>
        <w:bottom w:val="none" w:sz="0" w:space="0" w:color="auto"/>
        <w:right w:val="none" w:sz="0" w:space="0" w:color="auto"/>
      </w:divBdr>
      <w:divsChild>
        <w:div w:id="740907432">
          <w:marLeft w:val="0"/>
          <w:marRight w:val="0"/>
          <w:marTop w:val="0"/>
          <w:marBottom w:val="0"/>
          <w:divBdr>
            <w:top w:val="none" w:sz="0" w:space="0" w:color="auto"/>
            <w:left w:val="none" w:sz="0" w:space="0" w:color="auto"/>
            <w:bottom w:val="none" w:sz="0" w:space="0" w:color="auto"/>
            <w:right w:val="none" w:sz="0" w:space="0" w:color="auto"/>
          </w:divBdr>
        </w:div>
      </w:divsChild>
    </w:div>
    <w:div w:id="928583151">
      <w:bodyDiv w:val="1"/>
      <w:marLeft w:val="0"/>
      <w:marRight w:val="0"/>
      <w:marTop w:val="0"/>
      <w:marBottom w:val="0"/>
      <w:divBdr>
        <w:top w:val="none" w:sz="0" w:space="0" w:color="auto"/>
        <w:left w:val="none" w:sz="0" w:space="0" w:color="auto"/>
        <w:bottom w:val="none" w:sz="0" w:space="0" w:color="auto"/>
        <w:right w:val="none" w:sz="0" w:space="0" w:color="auto"/>
      </w:divBdr>
      <w:divsChild>
        <w:div w:id="992946927">
          <w:marLeft w:val="0"/>
          <w:marRight w:val="0"/>
          <w:marTop w:val="0"/>
          <w:marBottom w:val="0"/>
          <w:divBdr>
            <w:top w:val="none" w:sz="0" w:space="0" w:color="auto"/>
            <w:left w:val="none" w:sz="0" w:space="0" w:color="auto"/>
            <w:bottom w:val="none" w:sz="0" w:space="0" w:color="auto"/>
            <w:right w:val="none" w:sz="0" w:space="0" w:color="auto"/>
          </w:divBdr>
        </w:div>
      </w:divsChild>
    </w:div>
    <w:div w:id="1026177879">
      <w:bodyDiv w:val="1"/>
      <w:marLeft w:val="0"/>
      <w:marRight w:val="0"/>
      <w:marTop w:val="0"/>
      <w:marBottom w:val="0"/>
      <w:divBdr>
        <w:top w:val="none" w:sz="0" w:space="0" w:color="auto"/>
        <w:left w:val="none" w:sz="0" w:space="0" w:color="auto"/>
        <w:bottom w:val="none" w:sz="0" w:space="0" w:color="auto"/>
        <w:right w:val="none" w:sz="0" w:space="0" w:color="auto"/>
      </w:divBdr>
      <w:divsChild>
        <w:div w:id="1049304428">
          <w:marLeft w:val="0"/>
          <w:marRight w:val="0"/>
          <w:marTop w:val="0"/>
          <w:marBottom w:val="0"/>
          <w:divBdr>
            <w:top w:val="none" w:sz="0" w:space="0" w:color="auto"/>
            <w:left w:val="none" w:sz="0" w:space="0" w:color="auto"/>
            <w:bottom w:val="none" w:sz="0" w:space="0" w:color="auto"/>
            <w:right w:val="none" w:sz="0" w:space="0" w:color="auto"/>
          </w:divBdr>
        </w:div>
      </w:divsChild>
    </w:div>
    <w:div w:id="1105736571">
      <w:bodyDiv w:val="1"/>
      <w:marLeft w:val="0"/>
      <w:marRight w:val="0"/>
      <w:marTop w:val="0"/>
      <w:marBottom w:val="0"/>
      <w:divBdr>
        <w:top w:val="none" w:sz="0" w:space="0" w:color="auto"/>
        <w:left w:val="none" w:sz="0" w:space="0" w:color="auto"/>
        <w:bottom w:val="none" w:sz="0" w:space="0" w:color="auto"/>
        <w:right w:val="none" w:sz="0" w:space="0" w:color="auto"/>
      </w:divBdr>
      <w:divsChild>
        <w:div w:id="2028604712">
          <w:marLeft w:val="0"/>
          <w:marRight w:val="0"/>
          <w:marTop w:val="0"/>
          <w:marBottom w:val="0"/>
          <w:divBdr>
            <w:top w:val="none" w:sz="0" w:space="0" w:color="auto"/>
            <w:left w:val="none" w:sz="0" w:space="0" w:color="auto"/>
            <w:bottom w:val="none" w:sz="0" w:space="0" w:color="auto"/>
            <w:right w:val="none" w:sz="0" w:space="0" w:color="auto"/>
          </w:divBdr>
        </w:div>
      </w:divsChild>
    </w:div>
    <w:div w:id="1280068549">
      <w:bodyDiv w:val="1"/>
      <w:marLeft w:val="0"/>
      <w:marRight w:val="0"/>
      <w:marTop w:val="0"/>
      <w:marBottom w:val="0"/>
      <w:divBdr>
        <w:top w:val="none" w:sz="0" w:space="0" w:color="auto"/>
        <w:left w:val="none" w:sz="0" w:space="0" w:color="auto"/>
        <w:bottom w:val="none" w:sz="0" w:space="0" w:color="auto"/>
        <w:right w:val="none" w:sz="0" w:space="0" w:color="auto"/>
      </w:divBdr>
      <w:divsChild>
        <w:div w:id="162860815">
          <w:marLeft w:val="0"/>
          <w:marRight w:val="0"/>
          <w:marTop w:val="0"/>
          <w:marBottom w:val="0"/>
          <w:divBdr>
            <w:top w:val="none" w:sz="0" w:space="0" w:color="auto"/>
            <w:left w:val="none" w:sz="0" w:space="0" w:color="auto"/>
            <w:bottom w:val="none" w:sz="0" w:space="0" w:color="auto"/>
            <w:right w:val="none" w:sz="0" w:space="0" w:color="auto"/>
          </w:divBdr>
        </w:div>
      </w:divsChild>
    </w:div>
    <w:div w:id="1425686125">
      <w:bodyDiv w:val="1"/>
      <w:marLeft w:val="0"/>
      <w:marRight w:val="0"/>
      <w:marTop w:val="0"/>
      <w:marBottom w:val="0"/>
      <w:divBdr>
        <w:top w:val="none" w:sz="0" w:space="0" w:color="auto"/>
        <w:left w:val="none" w:sz="0" w:space="0" w:color="auto"/>
        <w:bottom w:val="none" w:sz="0" w:space="0" w:color="auto"/>
        <w:right w:val="none" w:sz="0" w:space="0" w:color="auto"/>
      </w:divBdr>
      <w:divsChild>
        <w:div w:id="532428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715735-7" TargetMode="External"/><Relationship Id="rId13" Type="http://schemas.openxmlformats.org/officeDocument/2006/relationships/hyperlink" Target="https://www.edt.org/research-and-insights/high-quality-education-in-the-early-years/" TargetMode="External"/><Relationship Id="rId3" Type="http://schemas.openxmlformats.org/officeDocument/2006/relationships/webSettings" Target="webSettings.xml"/><Relationship Id="rId7" Type="http://schemas.openxmlformats.org/officeDocument/2006/relationships/hyperlink" Target="https://doi.org/10.1080/00131911.2022.2077704" TargetMode="External"/><Relationship Id="rId12" Type="http://schemas.openxmlformats.org/officeDocument/2006/relationships/hyperlink" Target="https://2009-2017.state.gov/m/a/os/41176.ht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cecqa.gov.au/sites/default/files/acecqa/files/QualityInformationSheets/QualityArea5/QualityArea5OrangeRelationshipsWithChildren.pdf" TargetMode="External"/><Relationship Id="rId11" Type="http://schemas.openxmlformats.org/officeDocument/2006/relationships/hyperlink" Target="https://tdtrust.org/2024/02/23/quality-early-years-education-crucial-for-better-life-outcom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4324/9781003379867" TargetMode="External"/><Relationship Id="rId4" Type="http://schemas.openxmlformats.org/officeDocument/2006/relationships/footnotes" Target="footnotes.xml"/><Relationship Id="rId9" Type="http://schemas.openxmlformats.org/officeDocument/2006/relationships/hyperlink" Target="https://www.teachearlyyears.com/nursery-management/view/quality-practice-in-early-ye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86</TotalTime>
  <Pages>8</Pages>
  <Words>2270</Words>
  <Characters>12943</Characters>
  <Application>Microsoft Office Word</Application>
  <DocSecurity>0</DocSecurity>
  <Lines>107</Lines>
  <Paragraphs>30</Paragraphs>
  <ScaleCrop>false</ScaleCrop>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1</cp:revision>
  <dcterms:created xsi:type="dcterms:W3CDTF">2025-04-06T09:34:00Z</dcterms:created>
  <dcterms:modified xsi:type="dcterms:W3CDTF">2025-04-06T14:48:00Z</dcterms:modified>
</cp:coreProperties>
</file>