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7C9FCB" w14:textId="776C702E" w:rsidR="0087205A" w:rsidRDefault="00C358E7" w:rsidP="00160E0D">
      <w:pPr>
        <w:pStyle w:val="Title"/>
        <w:spacing w:line="360" w:lineRule="auto"/>
        <w:jc w:val="center"/>
        <w:rPr>
          <w:rFonts w:ascii="Times New Roman" w:eastAsia="Times New Roman" w:hAnsi="Times New Roman" w:cs="Times New Roman"/>
          <w:color w:val="auto"/>
          <w:sz w:val="72"/>
          <w:szCs w:val="72"/>
        </w:rPr>
      </w:pPr>
      <w:r w:rsidRPr="0087205A">
        <w:rPr>
          <w:rFonts w:ascii="Times New Roman" w:eastAsia="Times New Roman" w:hAnsi="Times New Roman" w:cs="Times New Roman"/>
          <w:color w:val="auto"/>
          <w:sz w:val="72"/>
          <w:szCs w:val="72"/>
        </w:rPr>
        <w:t>Community Engagement</w:t>
      </w:r>
    </w:p>
    <w:p w14:paraId="16188495" w14:textId="0A4F4440" w:rsidR="001A1F1A" w:rsidRDefault="001A1F1A" w:rsidP="001A1F1A">
      <w:pPr>
        <w:jc w:val="center"/>
      </w:pPr>
      <w:r>
        <w:t xml:space="preserve">Student Name: Zlatko </w:t>
      </w:r>
      <w:proofErr w:type="spellStart"/>
      <w:r>
        <w:t>Nalbanski</w:t>
      </w:r>
      <w:proofErr w:type="spellEnd"/>
    </w:p>
    <w:p w14:paraId="1DF9F43D" w14:textId="15806DB8" w:rsidR="001A1F1A" w:rsidRDefault="001A1F1A" w:rsidP="001A1F1A">
      <w:pPr>
        <w:jc w:val="center"/>
      </w:pPr>
      <w:r>
        <w:t>Student ID: 2124047</w:t>
      </w:r>
    </w:p>
    <w:p w14:paraId="7AFDF26C" w14:textId="1B736385" w:rsidR="001A1F1A" w:rsidRPr="001A1F1A" w:rsidRDefault="001A1F1A" w:rsidP="001A1F1A">
      <w:pPr>
        <w:jc w:val="center"/>
      </w:pPr>
      <w:r>
        <w:t>London Campus</w:t>
      </w:r>
    </w:p>
    <w:p w14:paraId="7A0B16D1" w14:textId="1EC14478" w:rsidR="0087205A" w:rsidRDefault="00C358E7" w:rsidP="00160E0D">
      <w:pPr>
        <w:spacing w:line="360" w:lineRule="auto"/>
      </w:pPr>
      <w:r>
        <w:br w:type="page"/>
      </w:r>
    </w:p>
    <w:sdt>
      <w:sdtPr>
        <w:rPr>
          <w:rFonts w:ascii="Times New Roman" w:eastAsiaTheme="minorHAnsi" w:hAnsi="Times New Roman" w:cstheme="minorBidi"/>
          <w:b w:val="0"/>
          <w:bCs w:val="0"/>
          <w:color w:val="auto"/>
          <w:sz w:val="24"/>
          <w:szCs w:val="22"/>
          <w:lang w:val="en-GB"/>
        </w:rPr>
        <w:id w:val="8046922"/>
        <w:docPartObj>
          <w:docPartGallery w:val="Table of Contents"/>
          <w:docPartUnique/>
        </w:docPartObj>
      </w:sdtPr>
      <w:sdtContent>
        <w:p w14:paraId="16775B98" w14:textId="77777777" w:rsidR="0087205A" w:rsidRDefault="00C358E7" w:rsidP="00160E0D">
          <w:pPr>
            <w:pStyle w:val="TOCHeading"/>
            <w:spacing w:line="360" w:lineRule="auto"/>
            <w:jc w:val="center"/>
          </w:pPr>
          <w:r w:rsidRPr="0087205A">
            <w:rPr>
              <w:rFonts w:ascii="Times New Roman" w:hAnsi="Times New Roman" w:cs="Times New Roman"/>
              <w:color w:val="auto"/>
            </w:rPr>
            <w:t>Table of Contents</w:t>
          </w:r>
        </w:p>
        <w:p w14:paraId="7C019FDF" w14:textId="77777777" w:rsidR="00D373B9" w:rsidRPr="00D373B9" w:rsidRDefault="00C2682E" w:rsidP="00D373B9">
          <w:pPr>
            <w:pStyle w:val="TOC1"/>
            <w:tabs>
              <w:tab w:val="right" w:leader="dot" w:pos="9350"/>
            </w:tabs>
            <w:spacing w:line="360" w:lineRule="auto"/>
            <w:jc w:val="both"/>
            <w:rPr>
              <w:rFonts w:eastAsiaTheme="minorEastAsia" w:cs="Times New Roman"/>
              <w:noProof/>
              <w:sz w:val="22"/>
              <w:lang w:val="en-US"/>
            </w:rPr>
          </w:pPr>
          <w:r>
            <w:fldChar w:fldCharType="begin"/>
          </w:r>
          <w:r w:rsidR="0087205A">
            <w:instrText xml:space="preserve"> TOC \o "1-3" \h \z \u </w:instrText>
          </w:r>
          <w:r>
            <w:fldChar w:fldCharType="separate"/>
          </w:r>
          <w:hyperlink w:anchor="_Toc112765386" w:history="1">
            <w:r w:rsidR="00C358E7" w:rsidRPr="00D373B9">
              <w:rPr>
                <w:rStyle w:val="Hyperlink"/>
                <w:rFonts w:eastAsia="Times New Roman" w:cs="Times New Roman"/>
                <w:noProof/>
              </w:rPr>
              <w:t>Introduction</w:t>
            </w:r>
            <w:r w:rsidR="00C358E7" w:rsidRPr="00D373B9">
              <w:rPr>
                <w:rFonts w:cs="Times New Roman"/>
                <w:noProof/>
                <w:webHidden/>
              </w:rPr>
              <w:tab/>
            </w:r>
            <w:r w:rsidRPr="00D373B9">
              <w:rPr>
                <w:rFonts w:cs="Times New Roman"/>
                <w:noProof/>
                <w:webHidden/>
              </w:rPr>
              <w:fldChar w:fldCharType="begin"/>
            </w:r>
            <w:r w:rsidR="00C358E7" w:rsidRPr="00D373B9">
              <w:rPr>
                <w:rFonts w:cs="Times New Roman"/>
                <w:noProof/>
                <w:webHidden/>
              </w:rPr>
              <w:instrText xml:space="preserve"> PAGEREF _Toc112765386 \h </w:instrText>
            </w:r>
            <w:r w:rsidRPr="00D373B9">
              <w:rPr>
                <w:rFonts w:cs="Times New Roman"/>
                <w:noProof/>
                <w:webHidden/>
              </w:rPr>
            </w:r>
            <w:r w:rsidRPr="00D373B9">
              <w:rPr>
                <w:rFonts w:cs="Times New Roman"/>
                <w:noProof/>
                <w:webHidden/>
              </w:rPr>
              <w:fldChar w:fldCharType="separate"/>
            </w:r>
            <w:r w:rsidR="00C358E7" w:rsidRPr="00D373B9">
              <w:rPr>
                <w:rFonts w:cs="Times New Roman"/>
                <w:noProof/>
                <w:webHidden/>
              </w:rPr>
              <w:t>3</w:t>
            </w:r>
            <w:r w:rsidRPr="00D373B9">
              <w:rPr>
                <w:rFonts w:cs="Times New Roman"/>
                <w:noProof/>
                <w:webHidden/>
              </w:rPr>
              <w:fldChar w:fldCharType="end"/>
            </w:r>
          </w:hyperlink>
        </w:p>
        <w:p w14:paraId="655F1D0E" w14:textId="77777777" w:rsidR="00D373B9" w:rsidRPr="00D373B9" w:rsidRDefault="00000000" w:rsidP="00D373B9">
          <w:pPr>
            <w:pStyle w:val="TOC1"/>
            <w:tabs>
              <w:tab w:val="right" w:leader="dot" w:pos="9350"/>
            </w:tabs>
            <w:spacing w:line="360" w:lineRule="auto"/>
            <w:jc w:val="both"/>
            <w:rPr>
              <w:rFonts w:eastAsiaTheme="minorEastAsia" w:cs="Times New Roman"/>
              <w:noProof/>
              <w:sz w:val="22"/>
              <w:lang w:val="en-US"/>
            </w:rPr>
          </w:pPr>
          <w:hyperlink w:anchor="_Toc112765387" w:history="1">
            <w:r w:rsidR="00C358E7" w:rsidRPr="00D373B9">
              <w:rPr>
                <w:rStyle w:val="Hyperlink"/>
                <w:rFonts w:eastAsia="Times New Roman" w:cs="Times New Roman"/>
                <w:noProof/>
              </w:rPr>
              <w:t>The Body</w:t>
            </w:r>
            <w:r w:rsidR="00C358E7" w:rsidRPr="00D373B9">
              <w:rPr>
                <w:rFonts w:cs="Times New Roman"/>
                <w:noProof/>
                <w:webHidden/>
              </w:rPr>
              <w:tab/>
            </w:r>
            <w:r w:rsidR="00C2682E" w:rsidRPr="00D373B9">
              <w:rPr>
                <w:rFonts w:cs="Times New Roman"/>
                <w:noProof/>
                <w:webHidden/>
              </w:rPr>
              <w:fldChar w:fldCharType="begin"/>
            </w:r>
            <w:r w:rsidR="00C358E7" w:rsidRPr="00D373B9">
              <w:rPr>
                <w:rFonts w:cs="Times New Roman"/>
                <w:noProof/>
                <w:webHidden/>
              </w:rPr>
              <w:instrText xml:space="preserve"> PAGEREF _Toc112765387 \h </w:instrText>
            </w:r>
            <w:r w:rsidR="00C2682E" w:rsidRPr="00D373B9">
              <w:rPr>
                <w:rFonts w:cs="Times New Roman"/>
                <w:noProof/>
                <w:webHidden/>
              </w:rPr>
            </w:r>
            <w:r w:rsidR="00C2682E" w:rsidRPr="00D373B9">
              <w:rPr>
                <w:rFonts w:cs="Times New Roman"/>
                <w:noProof/>
                <w:webHidden/>
              </w:rPr>
              <w:fldChar w:fldCharType="separate"/>
            </w:r>
            <w:r w:rsidR="00C358E7" w:rsidRPr="00D373B9">
              <w:rPr>
                <w:rFonts w:cs="Times New Roman"/>
                <w:noProof/>
                <w:webHidden/>
              </w:rPr>
              <w:t>4</w:t>
            </w:r>
            <w:r w:rsidR="00C2682E" w:rsidRPr="00D373B9">
              <w:rPr>
                <w:rFonts w:cs="Times New Roman"/>
                <w:noProof/>
                <w:webHidden/>
              </w:rPr>
              <w:fldChar w:fldCharType="end"/>
            </w:r>
          </w:hyperlink>
        </w:p>
        <w:p w14:paraId="0CEA836C" w14:textId="77777777" w:rsidR="00D373B9" w:rsidRPr="00D373B9" w:rsidRDefault="00000000" w:rsidP="00D373B9">
          <w:pPr>
            <w:pStyle w:val="TOC2"/>
            <w:tabs>
              <w:tab w:val="right" w:leader="dot" w:pos="9350"/>
            </w:tabs>
            <w:spacing w:line="360" w:lineRule="auto"/>
            <w:jc w:val="both"/>
            <w:rPr>
              <w:rFonts w:eastAsiaTheme="minorEastAsia" w:cs="Times New Roman"/>
              <w:noProof/>
              <w:sz w:val="22"/>
              <w:lang w:val="en-US"/>
            </w:rPr>
          </w:pPr>
          <w:hyperlink w:anchor="_Toc112765388" w:history="1">
            <w:r w:rsidR="00C358E7" w:rsidRPr="00D373B9">
              <w:rPr>
                <w:rStyle w:val="Hyperlink"/>
                <w:rFonts w:eastAsia="Times New Roman" w:cs="Times New Roman"/>
                <w:noProof/>
              </w:rPr>
              <w:t>A different perspective on Community Engagement</w:t>
            </w:r>
            <w:r w:rsidR="00C358E7" w:rsidRPr="00D373B9">
              <w:rPr>
                <w:rFonts w:cs="Times New Roman"/>
                <w:noProof/>
                <w:webHidden/>
              </w:rPr>
              <w:tab/>
            </w:r>
            <w:r w:rsidR="00C2682E" w:rsidRPr="00D373B9">
              <w:rPr>
                <w:rFonts w:cs="Times New Roman"/>
                <w:noProof/>
                <w:webHidden/>
              </w:rPr>
              <w:fldChar w:fldCharType="begin"/>
            </w:r>
            <w:r w:rsidR="00C358E7" w:rsidRPr="00D373B9">
              <w:rPr>
                <w:rFonts w:cs="Times New Roman"/>
                <w:noProof/>
                <w:webHidden/>
              </w:rPr>
              <w:instrText xml:space="preserve"> PAGEREF _Toc112765388 \h </w:instrText>
            </w:r>
            <w:r w:rsidR="00C2682E" w:rsidRPr="00D373B9">
              <w:rPr>
                <w:rFonts w:cs="Times New Roman"/>
                <w:noProof/>
                <w:webHidden/>
              </w:rPr>
            </w:r>
            <w:r w:rsidR="00C2682E" w:rsidRPr="00D373B9">
              <w:rPr>
                <w:rFonts w:cs="Times New Roman"/>
                <w:noProof/>
                <w:webHidden/>
              </w:rPr>
              <w:fldChar w:fldCharType="separate"/>
            </w:r>
            <w:r w:rsidR="00C358E7" w:rsidRPr="00D373B9">
              <w:rPr>
                <w:rFonts w:cs="Times New Roman"/>
                <w:noProof/>
                <w:webHidden/>
              </w:rPr>
              <w:t>4</w:t>
            </w:r>
            <w:r w:rsidR="00C2682E" w:rsidRPr="00D373B9">
              <w:rPr>
                <w:rFonts w:cs="Times New Roman"/>
                <w:noProof/>
                <w:webHidden/>
              </w:rPr>
              <w:fldChar w:fldCharType="end"/>
            </w:r>
          </w:hyperlink>
        </w:p>
        <w:p w14:paraId="1BC077D7" w14:textId="77777777" w:rsidR="00D373B9" w:rsidRPr="00D373B9" w:rsidRDefault="00000000" w:rsidP="00D373B9">
          <w:pPr>
            <w:pStyle w:val="TOC2"/>
            <w:tabs>
              <w:tab w:val="right" w:leader="dot" w:pos="9350"/>
            </w:tabs>
            <w:spacing w:line="360" w:lineRule="auto"/>
            <w:jc w:val="both"/>
            <w:rPr>
              <w:rFonts w:eastAsiaTheme="minorEastAsia" w:cs="Times New Roman"/>
              <w:noProof/>
              <w:sz w:val="22"/>
              <w:lang w:val="en-US"/>
            </w:rPr>
          </w:pPr>
          <w:hyperlink w:anchor="_Toc112765389" w:history="1">
            <w:r w:rsidR="00C358E7" w:rsidRPr="00D373B9">
              <w:rPr>
                <w:rStyle w:val="Hyperlink"/>
                <w:rFonts w:eastAsia="Times New Roman" w:cs="Times New Roman"/>
                <w:noProof/>
              </w:rPr>
              <w:t>Benefits of Community Engagement</w:t>
            </w:r>
            <w:r w:rsidR="00C358E7" w:rsidRPr="00D373B9">
              <w:rPr>
                <w:rFonts w:cs="Times New Roman"/>
                <w:noProof/>
                <w:webHidden/>
              </w:rPr>
              <w:tab/>
            </w:r>
            <w:r w:rsidR="00C2682E" w:rsidRPr="00D373B9">
              <w:rPr>
                <w:rFonts w:cs="Times New Roman"/>
                <w:noProof/>
                <w:webHidden/>
              </w:rPr>
              <w:fldChar w:fldCharType="begin"/>
            </w:r>
            <w:r w:rsidR="00C358E7" w:rsidRPr="00D373B9">
              <w:rPr>
                <w:rFonts w:cs="Times New Roman"/>
                <w:noProof/>
                <w:webHidden/>
              </w:rPr>
              <w:instrText xml:space="preserve"> PAGEREF _Toc112765389 \h </w:instrText>
            </w:r>
            <w:r w:rsidR="00C2682E" w:rsidRPr="00D373B9">
              <w:rPr>
                <w:rFonts w:cs="Times New Roman"/>
                <w:noProof/>
                <w:webHidden/>
              </w:rPr>
            </w:r>
            <w:r w:rsidR="00C2682E" w:rsidRPr="00D373B9">
              <w:rPr>
                <w:rFonts w:cs="Times New Roman"/>
                <w:noProof/>
                <w:webHidden/>
              </w:rPr>
              <w:fldChar w:fldCharType="separate"/>
            </w:r>
            <w:r w:rsidR="00C358E7" w:rsidRPr="00D373B9">
              <w:rPr>
                <w:rFonts w:cs="Times New Roman"/>
                <w:noProof/>
                <w:webHidden/>
              </w:rPr>
              <w:t>5</w:t>
            </w:r>
            <w:r w:rsidR="00C2682E" w:rsidRPr="00D373B9">
              <w:rPr>
                <w:rFonts w:cs="Times New Roman"/>
                <w:noProof/>
                <w:webHidden/>
              </w:rPr>
              <w:fldChar w:fldCharType="end"/>
            </w:r>
          </w:hyperlink>
        </w:p>
        <w:p w14:paraId="41C23006" w14:textId="77777777" w:rsidR="00D373B9" w:rsidRPr="00D373B9" w:rsidRDefault="00000000" w:rsidP="00D373B9">
          <w:pPr>
            <w:pStyle w:val="TOC2"/>
            <w:tabs>
              <w:tab w:val="right" w:leader="dot" w:pos="9350"/>
            </w:tabs>
            <w:spacing w:line="360" w:lineRule="auto"/>
            <w:jc w:val="both"/>
            <w:rPr>
              <w:rFonts w:eastAsiaTheme="minorEastAsia" w:cs="Times New Roman"/>
              <w:noProof/>
              <w:sz w:val="22"/>
              <w:lang w:val="en-US"/>
            </w:rPr>
          </w:pPr>
          <w:hyperlink w:anchor="_Toc112765390" w:history="1">
            <w:r w:rsidR="00C358E7" w:rsidRPr="00D373B9">
              <w:rPr>
                <w:rStyle w:val="Hyperlink"/>
                <w:rFonts w:eastAsia="Times New Roman" w:cs="Times New Roman"/>
                <w:noProof/>
              </w:rPr>
              <w:t>Challenges of Community Engagement</w:t>
            </w:r>
            <w:r w:rsidR="00C358E7" w:rsidRPr="00D373B9">
              <w:rPr>
                <w:rFonts w:cs="Times New Roman"/>
                <w:noProof/>
                <w:webHidden/>
              </w:rPr>
              <w:tab/>
            </w:r>
            <w:r w:rsidR="00C2682E" w:rsidRPr="00D373B9">
              <w:rPr>
                <w:rFonts w:cs="Times New Roman"/>
                <w:noProof/>
                <w:webHidden/>
              </w:rPr>
              <w:fldChar w:fldCharType="begin"/>
            </w:r>
            <w:r w:rsidR="00C358E7" w:rsidRPr="00D373B9">
              <w:rPr>
                <w:rFonts w:cs="Times New Roman"/>
                <w:noProof/>
                <w:webHidden/>
              </w:rPr>
              <w:instrText xml:space="preserve"> PAGEREF _Toc112765390 \h </w:instrText>
            </w:r>
            <w:r w:rsidR="00C2682E" w:rsidRPr="00D373B9">
              <w:rPr>
                <w:rFonts w:cs="Times New Roman"/>
                <w:noProof/>
                <w:webHidden/>
              </w:rPr>
            </w:r>
            <w:r w:rsidR="00C2682E" w:rsidRPr="00D373B9">
              <w:rPr>
                <w:rFonts w:cs="Times New Roman"/>
                <w:noProof/>
                <w:webHidden/>
              </w:rPr>
              <w:fldChar w:fldCharType="separate"/>
            </w:r>
            <w:r w:rsidR="00C358E7" w:rsidRPr="00D373B9">
              <w:rPr>
                <w:rFonts w:cs="Times New Roman"/>
                <w:noProof/>
                <w:webHidden/>
              </w:rPr>
              <w:t>5</w:t>
            </w:r>
            <w:r w:rsidR="00C2682E" w:rsidRPr="00D373B9">
              <w:rPr>
                <w:rFonts w:cs="Times New Roman"/>
                <w:noProof/>
                <w:webHidden/>
              </w:rPr>
              <w:fldChar w:fldCharType="end"/>
            </w:r>
          </w:hyperlink>
        </w:p>
        <w:p w14:paraId="51B92381" w14:textId="77777777" w:rsidR="00D373B9" w:rsidRPr="00D373B9" w:rsidRDefault="00000000" w:rsidP="00D373B9">
          <w:pPr>
            <w:pStyle w:val="TOC2"/>
            <w:tabs>
              <w:tab w:val="right" w:leader="dot" w:pos="9350"/>
            </w:tabs>
            <w:spacing w:line="360" w:lineRule="auto"/>
            <w:jc w:val="both"/>
            <w:rPr>
              <w:rFonts w:eastAsiaTheme="minorEastAsia" w:cs="Times New Roman"/>
              <w:noProof/>
              <w:sz w:val="22"/>
              <w:lang w:val="en-US"/>
            </w:rPr>
          </w:pPr>
          <w:hyperlink w:anchor="_Toc112765391" w:history="1">
            <w:r w:rsidR="00C358E7" w:rsidRPr="00D373B9">
              <w:rPr>
                <w:rStyle w:val="Hyperlink"/>
                <w:rFonts w:cs="Times New Roman"/>
                <w:noProof/>
              </w:rPr>
              <w:t>How challenges affect the possibility of engaging with stakeholders</w:t>
            </w:r>
            <w:r w:rsidR="00C358E7" w:rsidRPr="00D373B9">
              <w:rPr>
                <w:rFonts w:cs="Times New Roman"/>
                <w:noProof/>
                <w:webHidden/>
              </w:rPr>
              <w:tab/>
            </w:r>
            <w:r w:rsidR="00C2682E" w:rsidRPr="00D373B9">
              <w:rPr>
                <w:rFonts w:cs="Times New Roman"/>
                <w:noProof/>
                <w:webHidden/>
              </w:rPr>
              <w:fldChar w:fldCharType="begin"/>
            </w:r>
            <w:r w:rsidR="00C358E7" w:rsidRPr="00D373B9">
              <w:rPr>
                <w:rFonts w:cs="Times New Roman"/>
                <w:noProof/>
                <w:webHidden/>
              </w:rPr>
              <w:instrText xml:space="preserve"> PAGEREF _Toc112765391 \h </w:instrText>
            </w:r>
            <w:r w:rsidR="00C2682E" w:rsidRPr="00D373B9">
              <w:rPr>
                <w:rFonts w:cs="Times New Roman"/>
                <w:noProof/>
                <w:webHidden/>
              </w:rPr>
            </w:r>
            <w:r w:rsidR="00C2682E" w:rsidRPr="00D373B9">
              <w:rPr>
                <w:rFonts w:cs="Times New Roman"/>
                <w:noProof/>
                <w:webHidden/>
              </w:rPr>
              <w:fldChar w:fldCharType="separate"/>
            </w:r>
            <w:r w:rsidR="00C358E7" w:rsidRPr="00D373B9">
              <w:rPr>
                <w:rFonts w:cs="Times New Roman"/>
                <w:noProof/>
                <w:webHidden/>
              </w:rPr>
              <w:t>6</w:t>
            </w:r>
            <w:r w:rsidR="00C2682E" w:rsidRPr="00D373B9">
              <w:rPr>
                <w:rFonts w:cs="Times New Roman"/>
                <w:noProof/>
                <w:webHidden/>
              </w:rPr>
              <w:fldChar w:fldCharType="end"/>
            </w:r>
          </w:hyperlink>
        </w:p>
        <w:p w14:paraId="4693F716" w14:textId="77777777" w:rsidR="00D373B9" w:rsidRPr="00D373B9" w:rsidRDefault="00000000" w:rsidP="00D373B9">
          <w:pPr>
            <w:pStyle w:val="TOC2"/>
            <w:tabs>
              <w:tab w:val="right" w:leader="dot" w:pos="9350"/>
            </w:tabs>
            <w:spacing w:line="360" w:lineRule="auto"/>
            <w:jc w:val="both"/>
            <w:rPr>
              <w:rFonts w:eastAsiaTheme="minorEastAsia" w:cs="Times New Roman"/>
              <w:noProof/>
              <w:sz w:val="22"/>
              <w:lang w:val="en-US"/>
            </w:rPr>
          </w:pPr>
          <w:hyperlink w:anchor="_Toc112765392" w:history="1">
            <w:r w:rsidR="00C358E7" w:rsidRPr="00D373B9">
              <w:rPr>
                <w:rStyle w:val="Hyperlink"/>
                <w:rFonts w:eastAsia="Times New Roman" w:cs="Times New Roman"/>
                <w:noProof/>
              </w:rPr>
              <w:t>Possible ways to engage with the community members</w:t>
            </w:r>
            <w:r w:rsidR="00C358E7" w:rsidRPr="00D373B9">
              <w:rPr>
                <w:rFonts w:cs="Times New Roman"/>
                <w:noProof/>
                <w:webHidden/>
              </w:rPr>
              <w:tab/>
            </w:r>
            <w:r w:rsidR="00C2682E" w:rsidRPr="00D373B9">
              <w:rPr>
                <w:rFonts w:cs="Times New Roman"/>
                <w:noProof/>
                <w:webHidden/>
              </w:rPr>
              <w:fldChar w:fldCharType="begin"/>
            </w:r>
            <w:r w:rsidR="00C358E7" w:rsidRPr="00D373B9">
              <w:rPr>
                <w:rFonts w:cs="Times New Roman"/>
                <w:noProof/>
                <w:webHidden/>
              </w:rPr>
              <w:instrText xml:space="preserve"> PAGEREF _Toc112765392 \h </w:instrText>
            </w:r>
            <w:r w:rsidR="00C2682E" w:rsidRPr="00D373B9">
              <w:rPr>
                <w:rFonts w:cs="Times New Roman"/>
                <w:noProof/>
                <w:webHidden/>
              </w:rPr>
            </w:r>
            <w:r w:rsidR="00C2682E" w:rsidRPr="00D373B9">
              <w:rPr>
                <w:rFonts w:cs="Times New Roman"/>
                <w:noProof/>
                <w:webHidden/>
              </w:rPr>
              <w:fldChar w:fldCharType="separate"/>
            </w:r>
            <w:r w:rsidR="00C358E7" w:rsidRPr="00D373B9">
              <w:rPr>
                <w:rFonts w:cs="Times New Roman"/>
                <w:noProof/>
                <w:webHidden/>
              </w:rPr>
              <w:t>7</w:t>
            </w:r>
            <w:r w:rsidR="00C2682E" w:rsidRPr="00D373B9">
              <w:rPr>
                <w:rFonts w:cs="Times New Roman"/>
                <w:noProof/>
                <w:webHidden/>
              </w:rPr>
              <w:fldChar w:fldCharType="end"/>
            </w:r>
          </w:hyperlink>
        </w:p>
        <w:p w14:paraId="357ADE0F" w14:textId="77777777" w:rsidR="00D373B9" w:rsidRPr="00D373B9" w:rsidRDefault="00000000" w:rsidP="00D373B9">
          <w:pPr>
            <w:pStyle w:val="TOC1"/>
            <w:tabs>
              <w:tab w:val="right" w:leader="dot" w:pos="9350"/>
            </w:tabs>
            <w:spacing w:line="360" w:lineRule="auto"/>
            <w:jc w:val="both"/>
            <w:rPr>
              <w:rFonts w:eastAsiaTheme="minorEastAsia" w:cs="Times New Roman"/>
              <w:noProof/>
              <w:sz w:val="22"/>
              <w:lang w:val="en-US"/>
            </w:rPr>
          </w:pPr>
          <w:hyperlink w:anchor="_Toc112765393" w:history="1">
            <w:r w:rsidR="00C358E7" w:rsidRPr="00D373B9">
              <w:rPr>
                <w:rStyle w:val="Hyperlink"/>
                <w:rFonts w:eastAsia="Times New Roman" w:cs="Times New Roman"/>
                <w:noProof/>
              </w:rPr>
              <w:t>Conclusion</w:t>
            </w:r>
            <w:r w:rsidR="00C358E7" w:rsidRPr="00D373B9">
              <w:rPr>
                <w:rFonts w:cs="Times New Roman"/>
                <w:noProof/>
                <w:webHidden/>
              </w:rPr>
              <w:tab/>
            </w:r>
            <w:r w:rsidR="00C2682E" w:rsidRPr="00D373B9">
              <w:rPr>
                <w:rFonts w:cs="Times New Roman"/>
                <w:noProof/>
                <w:webHidden/>
              </w:rPr>
              <w:fldChar w:fldCharType="begin"/>
            </w:r>
            <w:r w:rsidR="00C358E7" w:rsidRPr="00D373B9">
              <w:rPr>
                <w:rFonts w:cs="Times New Roman"/>
                <w:noProof/>
                <w:webHidden/>
              </w:rPr>
              <w:instrText xml:space="preserve"> PAGEREF _Toc112765393 \h </w:instrText>
            </w:r>
            <w:r w:rsidR="00C2682E" w:rsidRPr="00D373B9">
              <w:rPr>
                <w:rFonts w:cs="Times New Roman"/>
                <w:noProof/>
                <w:webHidden/>
              </w:rPr>
            </w:r>
            <w:r w:rsidR="00C2682E" w:rsidRPr="00D373B9">
              <w:rPr>
                <w:rFonts w:cs="Times New Roman"/>
                <w:noProof/>
                <w:webHidden/>
              </w:rPr>
              <w:fldChar w:fldCharType="separate"/>
            </w:r>
            <w:r w:rsidR="00C358E7" w:rsidRPr="00D373B9">
              <w:rPr>
                <w:rFonts w:cs="Times New Roman"/>
                <w:noProof/>
                <w:webHidden/>
              </w:rPr>
              <w:t>8</w:t>
            </w:r>
            <w:r w:rsidR="00C2682E" w:rsidRPr="00D373B9">
              <w:rPr>
                <w:rFonts w:cs="Times New Roman"/>
                <w:noProof/>
                <w:webHidden/>
              </w:rPr>
              <w:fldChar w:fldCharType="end"/>
            </w:r>
          </w:hyperlink>
        </w:p>
        <w:p w14:paraId="45A5C1D6" w14:textId="77777777" w:rsidR="00D373B9" w:rsidRPr="00D373B9" w:rsidRDefault="00000000" w:rsidP="00D373B9">
          <w:pPr>
            <w:pStyle w:val="TOC1"/>
            <w:tabs>
              <w:tab w:val="right" w:leader="dot" w:pos="9350"/>
            </w:tabs>
            <w:spacing w:line="360" w:lineRule="auto"/>
            <w:jc w:val="both"/>
            <w:rPr>
              <w:rFonts w:eastAsiaTheme="minorEastAsia" w:cs="Times New Roman"/>
              <w:noProof/>
              <w:sz w:val="22"/>
              <w:lang w:val="en-US"/>
            </w:rPr>
          </w:pPr>
          <w:hyperlink w:anchor="_Toc112765394" w:history="1">
            <w:r w:rsidR="00C358E7" w:rsidRPr="00D373B9">
              <w:rPr>
                <w:rStyle w:val="Hyperlink"/>
                <w:rFonts w:cs="Times New Roman"/>
                <w:noProof/>
              </w:rPr>
              <w:t>Reference List</w:t>
            </w:r>
            <w:r w:rsidR="00C358E7" w:rsidRPr="00D373B9">
              <w:rPr>
                <w:rFonts w:cs="Times New Roman"/>
                <w:noProof/>
                <w:webHidden/>
              </w:rPr>
              <w:tab/>
            </w:r>
            <w:r w:rsidR="00C2682E" w:rsidRPr="00D373B9">
              <w:rPr>
                <w:rFonts w:cs="Times New Roman"/>
                <w:noProof/>
                <w:webHidden/>
              </w:rPr>
              <w:fldChar w:fldCharType="begin"/>
            </w:r>
            <w:r w:rsidR="00C358E7" w:rsidRPr="00D373B9">
              <w:rPr>
                <w:rFonts w:cs="Times New Roman"/>
                <w:noProof/>
                <w:webHidden/>
              </w:rPr>
              <w:instrText xml:space="preserve"> PAGEREF _Toc112765394 \h </w:instrText>
            </w:r>
            <w:r w:rsidR="00C2682E" w:rsidRPr="00D373B9">
              <w:rPr>
                <w:rFonts w:cs="Times New Roman"/>
                <w:noProof/>
                <w:webHidden/>
              </w:rPr>
            </w:r>
            <w:r w:rsidR="00C2682E" w:rsidRPr="00D373B9">
              <w:rPr>
                <w:rFonts w:cs="Times New Roman"/>
                <w:noProof/>
                <w:webHidden/>
              </w:rPr>
              <w:fldChar w:fldCharType="separate"/>
            </w:r>
            <w:r w:rsidR="00C358E7" w:rsidRPr="00D373B9">
              <w:rPr>
                <w:rFonts w:cs="Times New Roman"/>
                <w:noProof/>
                <w:webHidden/>
              </w:rPr>
              <w:t>9</w:t>
            </w:r>
            <w:r w:rsidR="00C2682E" w:rsidRPr="00D373B9">
              <w:rPr>
                <w:rFonts w:cs="Times New Roman"/>
                <w:noProof/>
                <w:webHidden/>
              </w:rPr>
              <w:fldChar w:fldCharType="end"/>
            </w:r>
          </w:hyperlink>
        </w:p>
        <w:p w14:paraId="030A0729" w14:textId="77777777" w:rsidR="0087205A" w:rsidRDefault="00C2682E" w:rsidP="00160E0D">
          <w:pPr>
            <w:spacing w:line="360" w:lineRule="auto"/>
          </w:pPr>
          <w:r>
            <w:fldChar w:fldCharType="end"/>
          </w:r>
        </w:p>
      </w:sdtContent>
    </w:sdt>
    <w:p w14:paraId="32C17042" w14:textId="77777777" w:rsidR="0087205A" w:rsidRPr="0087205A" w:rsidRDefault="00C358E7" w:rsidP="00160E0D">
      <w:pPr>
        <w:spacing w:line="360" w:lineRule="auto"/>
      </w:pPr>
      <w:r w:rsidRPr="0087205A">
        <w:br w:type="page"/>
      </w:r>
    </w:p>
    <w:p w14:paraId="41FC6EF1" w14:textId="77777777" w:rsidR="00F01F75" w:rsidRPr="004F6DA3" w:rsidRDefault="00C358E7" w:rsidP="00160E0D">
      <w:pPr>
        <w:pStyle w:val="Heading1"/>
        <w:spacing w:line="360" w:lineRule="auto"/>
        <w:rPr>
          <w:rFonts w:eastAsia="Times New Roman"/>
        </w:rPr>
      </w:pPr>
      <w:bookmarkStart w:id="0" w:name="_Toc112765386"/>
      <w:r>
        <w:rPr>
          <w:rFonts w:eastAsia="Times New Roman"/>
        </w:rPr>
        <w:lastRenderedPageBreak/>
        <w:t>Introduction</w:t>
      </w:r>
      <w:bookmarkEnd w:id="0"/>
      <w:r>
        <w:rPr>
          <w:rFonts w:eastAsia="Times New Roman"/>
        </w:rPr>
        <w:t xml:space="preserve"> </w:t>
      </w:r>
    </w:p>
    <w:p w14:paraId="0C38F1AA" w14:textId="77777777" w:rsidR="00977BD8" w:rsidRDefault="00C358E7" w:rsidP="00160E0D">
      <w:pPr>
        <w:pStyle w:val="NormalWeb"/>
        <w:spacing w:before="240" w:beforeAutospacing="0" w:after="0" w:afterAutospacing="0" w:line="360" w:lineRule="auto"/>
        <w:jc w:val="both"/>
      </w:pPr>
      <w:r>
        <w:rPr>
          <w:color w:val="000000"/>
        </w:rPr>
        <w:t xml:space="preserve">Community engagement is participation and involvement in a company or </w:t>
      </w:r>
      <w:proofErr w:type="spellStart"/>
      <w:r>
        <w:rPr>
          <w:color w:val="000000"/>
        </w:rPr>
        <w:t>organisation</w:t>
      </w:r>
      <w:proofErr w:type="spellEnd"/>
      <w:r>
        <w:rPr>
          <w:color w:val="000000"/>
        </w:rPr>
        <w:t xml:space="preserve"> for the well-being of the community. As opined by </w:t>
      </w:r>
      <w:r>
        <w:rPr>
          <w:color w:val="222222"/>
          <w:shd w:val="clear" w:color="auto" w:fill="FFFFFF"/>
        </w:rPr>
        <w:t>Barnes and Schmitz (2016</w:t>
      </w:r>
      <w:r>
        <w:rPr>
          <w:color w:val="000000"/>
        </w:rPr>
        <w:t xml:space="preserve">), community engagement necessitates national and international interactions between public decision-makers and the communities. However, according to </w:t>
      </w:r>
      <w:r>
        <w:rPr>
          <w:color w:val="222222"/>
          <w:shd w:val="clear" w:color="auto" w:fill="FFFFFF"/>
        </w:rPr>
        <w:t>Kumar and Kumar (2020</w:t>
      </w:r>
      <w:r>
        <w:rPr>
          <w:color w:val="000000"/>
        </w:rPr>
        <w:t xml:space="preserve">), good community engagement ensures the capability of the members of society to be competent in dialogue and to be able to make commitments through mutual understanding. Community engagement has members or volunteers encourage other members to work in a “have a go” environment to take risks or responsibilities. Therefore, it has been </w:t>
      </w:r>
      <w:proofErr w:type="spellStart"/>
      <w:r>
        <w:rPr>
          <w:color w:val="000000"/>
        </w:rPr>
        <w:t>analysed</w:t>
      </w:r>
      <w:proofErr w:type="spellEnd"/>
      <w:r>
        <w:rPr>
          <w:color w:val="000000"/>
        </w:rPr>
        <w:t xml:space="preserve"> that the purpose of community engagement is to enable public or government decision-making companies or </w:t>
      </w:r>
      <w:proofErr w:type="spellStart"/>
      <w:r>
        <w:rPr>
          <w:color w:val="000000"/>
        </w:rPr>
        <w:t>organisations</w:t>
      </w:r>
      <w:proofErr w:type="spellEnd"/>
      <w:r>
        <w:rPr>
          <w:color w:val="000000"/>
        </w:rPr>
        <w:t xml:space="preserve"> to listen first and in return demand to demonstrate the impact of the contribution of the community. As stated by </w:t>
      </w:r>
      <w:r>
        <w:rPr>
          <w:color w:val="222222"/>
          <w:shd w:val="clear" w:color="auto" w:fill="FFFFFF"/>
        </w:rPr>
        <w:t>Bandy (2016</w:t>
      </w:r>
      <w:r>
        <w:rPr>
          <w:color w:val="000000"/>
        </w:rPr>
        <w:t xml:space="preserve">), with the rise in expanding and deepening public engagement globally the importance of community engagement has become essential for well-structuring democracies in the twenty-first century. A positive relationship between the institutions and communities has made community engagement viable and necessary. Therefore, it has been understood by the author’s statement that community engagement is likely to guide more sustainable and equitable public decisions and also improve the </w:t>
      </w:r>
      <w:proofErr w:type="spellStart"/>
      <w:r>
        <w:rPr>
          <w:color w:val="000000"/>
        </w:rPr>
        <w:t>liveability</w:t>
      </w:r>
      <w:proofErr w:type="spellEnd"/>
      <w:r>
        <w:rPr>
          <w:color w:val="000000"/>
        </w:rPr>
        <w:t xml:space="preserve"> of limited communities as well as individuals.</w:t>
      </w:r>
    </w:p>
    <w:p w14:paraId="7F9BBFA0" w14:textId="77777777" w:rsidR="00E22A7C" w:rsidRDefault="00C358E7" w:rsidP="00160E0D">
      <w:pPr>
        <w:spacing w:after="0" w:line="360" w:lineRule="auto"/>
        <w:jc w:val="center"/>
        <w:rPr>
          <w:rFonts w:eastAsia="Times New Roman" w:cs="Times New Roman"/>
          <w:szCs w:val="24"/>
        </w:rPr>
      </w:pPr>
      <w:r>
        <w:rPr>
          <w:rFonts w:eastAsia="Times New Roman" w:cs="Times New Roman"/>
          <w:noProof/>
          <w:szCs w:val="24"/>
          <w:lang w:eastAsia="en-GB"/>
        </w:rPr>
        <w:drawing>
          <wp:inline distT="0" distB="0" distL="0" distR="0" wp14:anchorId="33039227" wp14:editId="2B0AB9E9">
            <wp:extent cx="2457450" cy="1828800"/>
            <wp:effectExtent l="95250" t="95250" r="95250" b="952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stretch>
                      <a:fillRect/>
                    </a:stretch>
                  </pic:blipFill>
                  <pic:spPr bwMode="auto">
                    <a:xfrm>
                      <a:off x="0" y="0"/>
                      <a:ext cx="2457450" cy="182880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15135829" w14:textId="77777777" w:rsidR="00E22A7C" w:rsidRPr="00E22A7C" w:rsidRDefault="00C358E7" w:rsidP="00160E0D">
      <w:pPr>
        <w:spacing w:after="0" w:line="360" w:lineRule="auto"/>
        <w:jc w:val="center"/>
        <w:rPr>
          <w:rFonts w:eastAsia="Times New Roman" w:cs="Times New Roman"/>
          <w:b/>
          <w:szCs w:val="24"/>
        </w:rPr>
      </w:pPr>
      <w:r w:rsidRPr="00E22A7C">
        <w:rPr>
          <w:rFonts w:eastAsia="Times New Roman" w:cs="Times New Roman"/>
          <w:b/>
          <w:szCs w:val="24"/>
        </w:rPr>
        <w:t>Figure 1: Community Engagement</w:t>
      </w:r>
    </w:p>
    <w:p w14:paraId="2229DA43" w14:textId="77777777" w:rsidR="00E22A7C" w:rsidRPr="00F01F75" w:rsidRDefault="00C358E7" w:rsidP="00160E0D">
      <w:pPr>
        <w:spacing w:after="0" w:line="360" w:lineRule="auto"/>
        <w:jc w:val="center"/>
        <w:rPr>
          <w:rFonts w:eastAsia="Times New Roman" w:cs="Times New Roman"/>
          <w:szCs w:val="24"/>
        </w:rPr>
      </w:pPr>
      <w:r>
        <w:rPr>
          <w:rFonts w:eastAsia="Times New Roman" w:cs="Times New Roman"/>
          <w:szCs w:val="24"/>
        </w:rPr>
        <w:t xml:space="preserve">(Source: </w:t>
      </w:r>
      <w:r>
        <w:rPr>
          <w:rFonts w:cs="Times New Roman"/>
          <w:color w:val="222222"/>
          <w:szCs w:val="24"/>
          <w:shd w:val="clear" w:color="auto" w:fill="FFFFFF"/>
        </w:rPr>
        <w:t xml:space="preserve">Bandy, </w:t>
      </w:r>
      <w:r w:rsidRPr="0024502A">
        <w:rPr>
          <w:rFonts w:cs="Times New Roman"/>
          <w:color w:val="222222"/>
          <w:szCs w:val="24"/>
          <w:shd w:val="clear" w:color="auto" w:fill="FFFFFF"/>
        </w:rPr>
        <w:t>2016</w:t>
      </w:r>
      <w:r>
        <w:rPr>
          <w:rFonts w:cs="Times New Roman"/>
          <w:color w:val="222222"/>
          <w:szCs w:val="24"/>
          <w:shd w:val="clear" w:color="auto" w:fill="FFFFFF"/>
        </w:rPr>
        <w:t>)</w:t>
      </w:r>
    </w:p>
    <w:p w14:paraId="3AA70D1D" w14:textId="77777777" w:rsidR="0087205A" w:rsidRDefault="00C358E7" w:rsidP="00160E0D">
      <w:pPr>
        <w:pStyle w:val="Heading1"/>
        <w:spacing w:line="360" w:lineRule="auto"/>
        <w:rPr>
          <w:rFonts w:eastAsia="Times New Roman"/>
        </w:rPr>
      </w:pPr>
      <w:bookmarkStart w:id="1" w:name="_Toc112765387"/>
      <w:r>
        <w:rPr>
          <w:rFonts w:eastAsia="Times New Roman"/>
        </w:rPr>
        <w:lastRenderedPageBreak/>
        <w:t>The Body</w:t>
      </w:r>
      <w:bookmarkEnd w:id="1"/>
    </w:p>
    <w:p w14:paraId="35AEE408" w14:textId="77777777" w:rsidR="00FB17D7" w:rsidRPr="00FB17D7" w:rsidRDefault="00C358E7" w:rsidP="00160E0D">
      <w:pPr>
        <w:pStyle w:val="Heading2"/>
        <w:spacing w:line="360" w:lineRule="auto"/>
        <w:rPr>
          <w:rFonts w:eastAsia="Times New Roman"/>
        </w:rPr>
      </w:pPr>
      <w:bookmarkStart w:id="2" w:name="_Toc112765388"/>
      <w:r w:rsidRPr="00FB17D7">
        <w:rPr>
          <w:rFonts w:eastAsia="Times New Roman"/>
        </w:rPr>
        <w:t>A different perspective on Community Engagement</w:t>
      </w:r>
      <w:bookmarkEnd w:id="2"/>
    </w:p>
    <w:p w14:paraId="116EE039" w14:textId="77777777" w:rsidR="00FB17D7" w:rsidRPr="00FB17D7" w:rsidRDefault="00C358E7" w:rsidP="00160E0D">
      <w:pPr>
        <w:spacing w:line="360" w:lineRule="auto"/>
        <w:jc w:val="both"/>
      </w:pPr>
      <w:r w:rsidRPr="00FB17D7">
        <w:t>Community engagement brings individuals together for creating better outcomes for the community. Meaningful and effective health promotion, educational development as well as the inclusion of ideas are involved in community engagement activities. Community engagement includes four perspectives. These types include community engagement with a focus on community building and community development, emphasis on the improvement of service delivery and achieving their goals along with community participation in decision making and consultation. The community engagement types include community building, community education, community organization, deliberative dialogue, direct service, economic development, engaged research as well as institutional engagement. The community engagements are also focused on social change movements as well as work for voluntary community organizations (</w:t>
      </w:r>
      <w:proofErr w:type="spellStart"/>
      <w:r w:rsidRPr="00FB17D7">
        <w:t>Sustainingcommunity</w:t>
      </w:r>
      <w:proofErr w:type="spellEnd"/>
      <w:r w:rsidRPr="00FB17D7">
        <w:t xml:space="preserve">, 2022). The community engagement activities focus on community building through the development of projects and activities that brings individuals together so that they get to know each other. For instance, community meals and sports are included in community engagement activities. Community education is another way of serving the community with advantageous services and curricula as well as educating the individual region on various social issues. For instance, ESL classes and TREC programs for the community serve them with educational services. </w:t>
      </w:r>
    </w:p>
    <w:p w14:paraId="659CB1F6" w14:textId="77777777" w:rsidR="00FB17D7" w:rsidRPr="00FB17D7" w:rsidRDefault="00C358E7" w:rsidP="00160E0D">
      <w:pPr>
        <w:spacing w:line="360" w:lineRule="auto"/>
        <w:jc w:val="both"/>
      </w:pPr>
      <w:r w:rsidRPr="00FB17D7">
        <w:t xml:space="preserve">Community organizing is another perspective that brings individuals of a community together for the goal of solving community issues. Deliberative dialogue is a community </w:t>
      </w:r>
      <w:r w:rsidRPr="00014211">
        <w:t>project</w:t>
      </w:r>
      <w:r w:rsidRPr="00FB17D7">
        <w:t xml:space="preserve"> that brings individuals together for building understanding amongst them across their differences. Direct service serves individuals and groups of a community with products and services. Economic development by volunteers of community engagement develops the economy of the region in a sustainable way by not partnering with profitable entities (UMN, 2022). The engaged research by the volunteers benefits the community by contributing to their challenges with solutions. Community engagement plays a significant role in envisioning the efforts of institutional engagement for community members. </w:t>
      </w:r>
    </w:p>
    <w:p w14:paraId="4764209B" w14:textId="77777777" w:rsidR="00F01F75" w:rsidRDefault="00C358E7" w:rsidP="00160E0D">
      <w:pPr>
        <w:pStyle w:val="Heading2"/>
        <w:spacing w:line="360" w:lineRule="auto"/>
        <w:rPr>
          <w:rFonts w:eastAsia="Times New Roman"/>
        </w:rPr>
      </w:pPr>
      <w:bookmarkStart w:id="3" w:name="_Toc112765389"/>
      <w:r w:rsidRPr="00F01F75">
        <w:rPr>
          <w:rFonts w:eastAsia="Times New Roman"/>
        </w:rPr>
        <w:lastRenderedPageBreak/>
        <w:t>Benef</w:t>
      </w:r>
      <w:r w:rsidR="0087205A">
        <w:rPr>
          <w:rFonts w:eastAsia="Times New Roman"/>
        </w:rPr>
        <w:t>its of Community Engagement</w:t>
      </w:r>
      <w:bookmarkEnd w:id="3"/>
      <w:r w:rsidR="0087205A">
        <w:rPr>
          <w:rFonts w:eastAsia="Times New Roman"/>
        </w:rPr>
        <w:t xml:space="preserve"> </w:t>
      </w:r>
    </w:p>
    <w:p w14:paraId="6743A5E9" w14:textId="77777777" w:rsidR="00977BD8" w:rsidRDefault="00C358E7" w:rsidP="00160E0D">
      <w:pPr>
        <w:pStyle w:val="NormalWeb"/>
        <w:spacing w:before="240" w:beforeAutospacing="0" w:after="0" w:afterAutospacing="0" w:line="360" w:lineRule="auto"/>
        <w:jc w:val="both"/>
      </w:pPr>
      <w:r>
        <w:rPr>
          <w:color w:val="000000"/>
        </w:rPr>
        <w:t>Community engagement possesses different beneficiary effects in today’s world and it is being necessary for a community because of its several advantages, which are mentioned below:</w:t>
      </w:r>
    </w:p>
    <w:p w14:paraId="2940C00D" w14:textId="77777777" w:rsidR="00977BD8" w:rsidRDefault="00C358E7" w:rsidP="00160E0D">
      <w:pPr>
        <w:pStyle w:val="NormalWeb"/>
        <w:spacing w:before="240" w:beforeAutospacing="0" w:after="0" w:afterAutospacing="0" w:line="360" w:lineRule="auto"/>
        <w:jc w:val="both"/>
      </w:pPr>
      <w:r>
        <w:rPr>
          <w:color w:val="000000"/>
        </w:rPr>
        <w:t xml:space="preserve">Community engagement assists local governments to promote sustainable decisions with transparency and efficiency. </w:t>
      </w:r>
      <w:r>
        <w:rPr>
          <w:i/>
          <w:iCs/>
          <w:color w:val="000000"/>
        </w:rPr>
        <w:t>CE</w:t>
      </w:r>
      <w:r>
        <w:rPr>
          <w:color w:val="000000"/>
        </w:rPr>
        <w:t xml:space="preserve"> promotes sustainable decisions of a local government by distinguishing and communicating the interest and needs of all the participants, which includes decision makers (</w:t>
      </w:r>
      <w:proofErr w:type="spellStart"/>
      <w:r>
        <w:rPr>
          <w:color w:val="222222"/>
          <w:shd w:val="clear" w:color="auto" w:fill="FFFFFF"/>
        </w:rPr>
        <w:t>Bracic</w:t>
      </w:r>
      <w:proofErr w:type="spellEnd"/>
      <w:r>
        <w:rPr>
          <w:color w:val="222222"/>
          <w:shd w:val="clear" w:color="auto" w:fill="FFFFFF"/>
        </w:rPr>
        <w:t>, 2018</w:t>
      </w:r>
      <w:r>
        <w:rPr>
          <w:color w:val="000000"/>
        </w:rPr>
        <w:t>). This process helps to increase the acceptance of those decisions and the commitment of the community to outcomes. Therefore, it can be said that local knowledge that can be gained through diverse groups, creates and shapes effective and inclusive solutions because it is essential to identify the problems first and then try to solve those with efficiency.</w:t>
      </w:r>
    </w:p>
    <w:p w14:paraId="3414757C" w14:textId="77777777" w:rsidR="00977BD8" w:rsidRDefault="00C358E7" w:rsidP="00160E0D">
      <w:pPr>
        <w:pStyle w:val="NormalWeb"/>
        <w:spacing w:before="240" w:beforeAutospacing="0" w:after="0" w:afterAutospacing="0" w:line="360" w:lineRule="auto"/>
        <w:jc w:val="both"/>
      </w:pPr>
      <w:r>
        <w:rPr>
          <w:color w:val="000000"/>
        </w:rPr>
        <w:t xml:space="preserve">One of the major benefits of community engagement is that it helps to gain the trust of a community. As Adhikari et al. (2020) mentioned, the gap between well-informed and poor-informed publics is increasing daily and the gaps are increasing in developed nations mostly. At the same time, it has to be mentioned that </w:t>
      </w:r>
      <w:r>
        <w:rPr>
          <w:i/>
          <w:iCs/>
          <w:color w:val="000000"/>
        </w:rPr>
        <w:t>‘peer-to-peer’</w:t>
      </w:r>
      <w:r>
        <w:rPr>
          <w:color w:val="000000"/>
        </w:rPr>
        <w:t xml:space="preserve"> influence is becoming essential and this has made community engagement more important by allowing </w:t>
      </w:r>
      <w:proofErr w:type="spellStart"/>
      <w:r>
        <w:rPr>
          <w:color w:val="000000"/>
        </w:rPr>
        <w:t>organisations</w:t>
      </w:r>
      <w:proofErr w:type="spellEnd"/>
      <w:r>
        <w:rPr>
          <w:color w:val="000000"/>
        </w:rPr>
        <w:t xml:space="preserve"> to get accurate, good quality, sharable information into the hands of community members.</w:t>
      </w:r>
    </w:p>
    <w:p w14:paraId="0FEBE9D2" w14:textId="77777777" w:rsidR="00977BD8" w:rsidRDefault="00C358E7" w:rsidP="00160E0D">
      <w:pPr>
        <w:pStyle w:val="NormalWeb"/>
        <w:spacing w:before="240" w:beforeAutospacing="0" w:after="0" w:afterAutospacing="0" w:line="360" w:lineRule="auto"/>
        <w:jc w:val="both"/>
      </w:pPr>
      <w:r>
        <w:rPr>
          <w:color w:val="000000"/>
        </w:rPr>
        <w:t xml:space="preserve">It is vital to address the issues before trying to solve them, which is why it is necessary to ask the community to engage in a project from the early stages to understand the problem even in a better way to get better results. A community is a group of people with different age groups, gender, and work experience that provides a broader view of any subject or topic to engage in a project. An </w:t>
      </w:r>
      <w:proofErr w:type="spellStart"/>
      <w:r>
        <w:rPr>
          <w:color w:val="000000"/>
        </w:rPr>
        <w:t>organisation</w:t>
      </w:r>
      <w:proofErr w:type="spellEnd"/>
      <w:r>
        <w:rPr>
          <w:color w:val="000000"/>
        </w:rPr>
        <w:t xml:space="preserve"> should ask for help from the community members for ideas, and concepts about a project on which the company does have a good grasp. Community engagement can help to understand and avoid political landmines at the ending process of a project that might set back </w:t>
      </w:r>
      <w:proofErr w:type="spellStart"/>
      <w:r>
        <w:rPr>
          <w:color w:val="000000"/>
        </w:rPr>
        <w:t>organisations</w:t>
      </w:r>
      <w:proofErr w:type="spellEnd"/>
      <w:r>
        <w:rPr>
          <w:color w:val="000000"/>
        </w:rPr>
        <w:t xml:space="preserve"> for months or even years.</w:t>
      </w:r>
    </w:p>
    <w:p w14:paraId="6875D39C" w14:textId="77777777" w:rsidR="00F01F75" w:rsidRPr="00F01F75" w:rsidRDefault="00C358E7" w:rsidP="00160E0D">
      <w:pPr>
        <w:pStyle w:val="Heading2"/>
        <w:spacing w:line="360" w:lineRule="auto"/>
        <w:rPr>
          <w:rFonts w:eastAsia="Times New Roman"/>
        </w:rPr>
      </w:pPr>
      <w:bookmarkStart w:id="4" w:name="_Toc112765390"/>
      <w:r w:rsidRPr="00F01F75">
        <w:rPr>
          <w:rFonts w:eastAsia="Times New Roman"/>
        </w:rPr>
        <w:t>Challenges of Community Engagement</w:t>
      </w:r>
      <w:bookmarkEnd w:id="4"/>
      <w:r w:rsidRPr="00F01F75">
        <w:rPr>
          <w:rFonts w:eastAsia="Times New Roman"/>
        </w:rPr>
        <w:t xml:space="preserve"> </w:t>
      </w:r>
    </w:p>
    <w:p w14:paraId="0B43FBF7" w14:textId="77777777" w:rsidR="007B0EFF" w:rsidRDefault="007B0EFF" w:rsidP="00160E0D">
      <w:pPr>
        <w:pStyle w:val="NormalWeb"/>
        <w:spacing w:before="0" w:beforeAutospacing="0" w:after="0" w:afterAutospacing="0" w:line="360" w:lineRule="auto"/>
        <w:jc w:val="both"/>
        <w:rPr>
          <w:color w:val="000000"/>
        </w:rPr>
      </w:pPr>
      <w:r w:rsidRPr="007B0EFF">
        <w:rPr>
          <w:color w:val="000000"/>
          <w:lang w:val="en-GB"/>
        </w:rPr>
        <w:t xml:space="preserve">The major challenges that are faced during community engagement are engagement and maintenance of community involvement. Developing trust and engaging the mindset of the </w:t>
      </w:r>
      <w:r w:rsidRPr="007B0EFF">
        <w:rPr>
          <w:color w:val="000000"/>
          <w:lang w:val="en-GB"/>
        </w:rPr>
        <w:lastRenderedPageBreak/>
        <w:t>community towards the community activities have become a major challenge for the volunteers. They try to balance and manage the members of the community regarding their differing perspectives, assumptions, priorities, language as well as beliefs (National Library of Medicine, 2022). Hence, the engagement of the community towards the community activities becomes challenging.</w:t>
      </w:r>
    </w:p>
    <w:p w14:paraId="4A25E29C" w14:textId="77777777" w:rsidR="00D857E5" w:rsidRDefault="00C358E7" w:rsidP="00160E0D">
      <w:pPr>
        <w:pStyle w:val="NormalWeb"/>
        <w:spacing w:before="0" w:beforeAutospacing="0" w:after="0" w:afterAutospacing="0" w:line="360" w:lineRule="auto"/>
        <w:jc w:val="both"/>
      </w:pPr>
      <w:r w:rsidRPr="00C9183B">
        <w:rPr>
          <w:color w:val="000000"/>
        </w:rPr>
        <w:t>Resourcing</w:t>
      </w:r>
      <w:r>
        <w:rPr>
          <w:color w:val="000000"/>
        </w:rPr>
        <w:t xml:space="preserve"> is a challenge that community engagement faces during the engagement process and that is a lack of staff and time to competently put in place an absolute strategy. The problem occurs in the planning stage and it stays throughout the process of a project like a burden because time management is essential while engaging a community in a project. The benefits of community engagement are huge but there are still some ambiguities, which can be challenging for community engagement such as accessibility, flexibility, equity, and summarizing sentiments.</w:t>
      </w:r>
    </w:p>
    <w:p w14:paraId="2A735723" w14:textId="77777777" w:rsidR="00D857E5" w:rsidRDefault="00C358E7" w:rsidP="00160E0D">
      <w:pPr>
        <w:pStyle w:val="NormalWeb"/>
        <w:spacing w:before="0" w:beforeAutospacing="0" w:after="0" w:afterAutospacing="0" w:line="360" w:lineRule="auto"/>
        <w:jc w:val="both"/>
        <w:rPr>
          <w:color w:val="000000"/>
        </w:rPr>
      </w:pPr>
      <w:r>
        <w:rPr>
          <w:color w:val="000000"/>
        </w:rPr>
        <w:t xml:space="preserve">As opined by </w:t>
      </w:r>
      <w:proofErr w:type="spellStart"/>
      <w:r>
        <w:rPr>
          <w:color w:val="222222"/>
          <w:shd w:val="clear" w:color="auto" w:fill="FFFFFF"/>
        </w:rPr>
        <w:t>Benneworth</w:t>
      </w:r>
      <w:proofErr w:type="spellEnd"/>
      <w:r>
        <w:rPr>
          <w:color w:val="222222"/>
          <w:shd w:val="clear" w:color="auto" w:fill="FFFFFF"/>
        </w:rPr>
        <w:t xml:space="preserve"> (2018</w:t>
      </w:r>
      <w:r>
        <w:rPr>
          <w:color w:val="000000"/>
        </w:rPr>
        <w:t xml:space="preserve">), community engagement resourcing and strategy demand allow enough flexibility to respond reactively and proactively towards the need of the community and the direction of the feedback from the community people. A vital component of community engagement is the accessibility of all time because CM could hold the events in different places, and times and accessibility </w:t>
      </w:r>
      <w:proofErr w:type="gramStart"/>
      <w:r>
        <w:rPr>
          <w:color w:val="000000"/>
        </w:rPr>
        <w:t>is</w:t>
      </w:r>
      <w:proofErr w:type="gramEnd"/>
      <w:r>
        <w:rPr>
          <w:color w:val="000000"/>
        </w:rPr>
        <w:t xml:space="preserve"> the inclusive practice to ensure there are no barriers to interacting with the world. Maintaining equity is a challenge in itself because it becomes difficult for community managers to listen to all or make sure to hear all voices equally. One danger with community engagement is that a community grew tired of being asked about their opinion or vision. Therefore, it becomes stressful to engage a community and continue to keep their interests. </w:t>
      </w:r>
    </w:p>
    <w:p w14:paraId="25E292BD" w14:textId="77777777" w:rsidR="00160E0D" w:rsidRDefault="00C358E7" w:rsidP="00160E0D">
      <w:pPr>
        <w:pStyle w:val="Heading2"/>
        <w:spacing w:line="360" w:lineRule="auto"/>
      </w:pPr>
      <w:bookmarkStart w:id="5" w:name="_Toc112765391"/>
      <w:r>
        <w:t>How challenges affect the possibility of engaging with stakeholders</w:t>
      </w:r>
      <w:bookmarkEnd w:id="5"/>
      <w:r>
        <w:t> </w:t>
      </w:r>
    </w:p>
    <w:p w14:paraId="002418E8" w14:textId="77777777" w:rsidR="00160E0D" w:rsidRDefault="00C358E7" w:rsidP="00160E0D">
      <w:pPr>
        <w:pStyle w:val="NormalWeb"/>
        <w:spacing w:before="0" w:beforeAutospacing="0" w:after="0" w:afterAutospacing="0" w:line="360" w:lineRule="auto"/>
        <w:jc w:val="both"/>
      </w:pPr>
      <w:r>
        <w:rPr>
          <w:color w:val="000000"/>
        </w:rPr>
        <w:t xml:space="preserve">Challenges of CE can affect the possibility or chances to engage with the stakeholders because the stakeholders play a vital role in terms of decision making. The community members are the main stakeholders of Community Engagement, and the challenges can affect the relationship between the CE leader, and the community members. Resourcing can affect the growth of a project while working with a community (Issa and Tu, 2020). For example, if there is no actual resourcing available, then a project cannot be established properly. Without doing proper resourcing it is not possible to complete a project efficiently. Stakeholders engage themselves </w:t>
      </w:r>
      <w:r>
        <w:rPr>
          <w:color w:val="000000"/>
        </w:rPr>
        <w:lastRenderedPageBreak/>
        <w:t>with the work of a community when they observe that there are proper resources available in terms of working on a project.</w:t>
      </w:r>
    </w:p>
    <w:p w14:paraId="03DC3142" w14:textId="77777777" w:rsidR="00160E0D" w:rsidRDefault="00C358E7" w:rsidP="00160E0D">
      <w:pPr>
        <w:pStyle w:val="NormalWeb"/>
        <w:spacing w:before="0" w:beforeAutospacing="0" w:after="0" w:afterAutospacing="0" w:line="360" w:lineRule="auto"/>
        <w:jc w:val="both"/>
      </w:pPr>
      <w:r>
        <w:rPr>
          <w:color w:val="000000"/>
        </w:rPr>
        <w:t xml:space="preserve">Accessibility can influence the engagement of stakeholders because in case, the members are not capable of working in a particular area, then it is </w:t>
      </w:r>
      <w:proofErr w:type="gramStart"/>
      <w:r>
        <w:rPr>
          <w:color w:val="000000"/>
        </w:rPr>
        <w:t>a  limitation</w:t>
      </w:r>
      <w:proofErr w:type="gramEnd"/>
      <w:r>
        <w:rPr>
          <w:color w:val="000000"/>
        </w:rPr>
        <w:t xml:space="preserve">, and that particular member will not be able to involve in a project (Stary </w:t>
      </w:r>
      <w:r>
        <w:rPr>
          <w:i/>
          <w:iCs/>
          <w:color w:val="000000"/>
        </w:rPr>
        <w:t>et al</w:t>
      </w:r>
      <w:r>
        <w:rPr>
          <w:color w:val="000000"/>
        </w:rPr>
        <w:t>. 2019). Flexibility can also create a huge impact on the engaging possibility of the stakeholders in a community project. For example, if a member is not flexible to work on a particular project, then the contribution of that particular member will be null because of the flexibility issues. Equity can make a leader confuse, and a huge miscommunication is created in terms of a community project. In this scenario, the engagement of the members was hampered badly because it is not possible for a leader to listen to all the opinions of each community member, and that is the reason, the engagement ratio of the community members can decrease because of the inequality in a community (</w:t>
      </w:r>
      <w:proofErr w:type="spellStart"/>
      <w:r>
        <w:rPr>
          <w:color w:val="000000"/>
        </w:rPr>
        <w:t>Letsoalo</w:t>
      </w:r>
      <w:proofErr w:type="spellEnd"/>
      <w:r>
        <w:rPr>
          <w:color w:val="000000"/>
        </w:rPr>
        <w:t xml:space="preserve">, and </w:t>
      </w:r>
      <w:proofErr w:type="spellStart"/>
      <w:r>
        <w:rPr>
          <w:color w:val="000000"/>
        </w:rPr>
        <w:t>Ncanywa</w:t>
      </w:r>
      <w:proofErr w:type="spellEnd"/>
      <w:r>
        <w:rPr>
          <w:color w:val="000000"/>
        </w:rPr>
        <w:t xml:space="preserve">, 2021). Therefore, these challenging factors can decrease the participation of the stakeholders in a community project by impacting its performance of it. Sometimes, </w:t>
      </w:r>
      <w:proofErr w:type="spellStart"/>
      <w:r>
        <w:rPr>
          <w:color w:val="000000"/>
        </w:rPr>
        <w:t>summarising</w:t>
      </w:r>
      <w:proofErr w:type="spellEnd"/>
      <w:r>
        <w:rPr>
          <w:color w:val="000000"/>
        </w:rPr>
        <w:t xml:space="preserve"> the sentiments of each member can create difficulties for a team leader by making the members dissatisfied. </w:t>
      </w:r>
      <w:r w:rsidR="00CD025D">
        <w:rPr>
          <w:color w:val="000000"/>
        </w:rPr>
        <w:t xml:space="preserve">it gets difficult for a leader to </w:t>
      </w:r>
      <w:proofErr w:type="spellStart"/>
      <w:r w:rsidR="00CD025D">
        <w:rPr>
          <w:color w:val="000000"/>
        </w:rPr>
        <w:t>summarise</w:t>
      </w:r>
      <w:proofErr w:type="spellEnd"/>
      <w:r w:rsidR="00CD025D">
        <w:rPr>
          <w:color w:val="000000"/>
        </w:rPr>
        <w:t xml:space="preserve"> the sentiments of each member, and take decisions based on it. </w:t>
      </w:r>
    </w:p>
    <w:p w14:paraId="315A7491" w14:textId="77777777" w:rsidR="00CD74F6" w:rsidRPr="00332432" w:rsidRDefault="00C358E7" w:rsidP="00160E0D">
      <w:pPr>
        <w:pStyle w:val="Heading2"/>
        <w:spacing w:line="360" w:lineRule="auto"/>
        <w:rPr>
          <w:rFonts w:eastAsia="Times New Roman"/>
        </w:rPr>
      </w:pPr>
      <w:bookmarkStart w:id="6" w:name="_Toc112765392"/>
      <w:r w:rsidRPr="00332432">
        <w:rPr>
          <w:rFonts w:eastAsia="Times New Roman"/>
        </w:rPr>
        <w:t>Possible ways to engage with the community members</w:t>
      </w:r>
      <w:bookmarkEnd w:id="6"/>
    </w:p>
    <w:p w14:paraId="76369A60" w14:textId="77777777" w:rsidR="00CD74F6" w:rsidRPr="00332432" w:rsidRDefault="00C358E7" w:rsidP="00160E0D">
      <w:pPr>
        <w:pStyle w:val="NormalWeb"/>
        <w:spacing w:line="360" w:lineRule="auto"/>
        <w:jc w:val="both"/>
      </w:pPr>
      <w:r w:rsidRPr="00332432">
        <w:t>The possible ways and techniques of engaging with community members include tools like stakeholder workshops, focus groups, planning forums, surveys, newsletters, E-voting, and roundtable network events. The community engagement leader is required to be responsive to the needs of the community members and also needs to engage with the community members regarding their issues, challenges, and needs in the community (</w:t>
      </w:r>
      <w:proofErr w:type="spellStart"/>
      <w:r w:rsidRPr="00332432">
        <w:t>Planningaidwales</w:t>
      </w:r>
      <w:proofErr w:type="spellEnd"/>
      <w:r w:rsidRPr="00332432">
        <w:t xml:space="preserve">, 2022). The major tools and platforms that can be used by community engagement leaders are online engagement platforms, tapping onto communication channels like websites and events as well as messages, project planning software, and internal communication management tools in the community. </w:t>
      </w:r>
      <w:r w:rsidR="005B1A3F">
        <w:t>Through the ways of communication, the community leader can get better overview of a project planning, and take steps accordingly.</w:t>
      </w:r>
    </w:p>
    <w:p w14:paraId="27CD5BA3" w14:textId="77777777" w:rsidR="00CD74F6" w:rsidRPr="00332432" w:rsidRDefault="00C358E7" w:rsidP="00160E0D">
      <w:pPr>
        <w:pStyle w:val="NormalWeb"/>
        <w:spacing w:line="360" w:lineRule="auto"/>
        <w:jc w:val="both"/>
      </w:pPr>
      <w:r w:rsidRPr="00332432">
        <w:lastRenderedPageBreak/>
        <w:t xml:space="preserve">In addition, content reviewing apps, portable kiosks, hard copy newsletters, E-newsletters, and live online interactive meetings as well as forums are also effective tools and techniques that can be included by community engagement leaders for engaging with community members. </w:t>
      </w:r>
    </w:p>
    <w:p w14:paraId="0C4136BD" w14:textId="77777777" w:rsidR="00CD74F6" w:rsidRPr="00332432" w:rsidRDefault="00C358E7" w:rsidP="00160E0D">
      <w:pPr>
        <w:pStyle w:val="NormalWeb"/>
        <w:spacing w:line="360" w:lineRule="auto"/>
        <w:jc w:val="both"/>
      </w:pPr>
      <w:r w:rsidRPr="00332432">
        <w:t>Storytelling and sharing interactive media among community members including graphics, videos, quizzes as well as infographics are also productive tools and techniques for improving community engagement. Interactive software as well as social media platforms are also effective tools and techniques that can improve engagement among the community members (</w:t>
      </w:r>
      <w:proofErr w:type="spellStart"/>
      <w:r w:rsidRPr="00332432">
        <w:t>Engagementhub</w:t>
      </w:r>
      <w:proofErr w:type="spellEnd"/>
      <w:r w:rsidRPr="00332432">
        <w:t>, 2022). Conferences and opinion surveys along with the competition of ideas among the community members are effective for engaging community members as the community members try to contribute their ideas and opinions among others for the whole community. Discussion and interaction among the community members for the opinions and ideas communicated. The ideas and opinions are used by the community engagement leader for community development. The rights of the community members are respected for improving their trust and engagement towards the community engagement leaders a</w:t>
      </w:r>
      <w:r w:rsidR="00C667A7">
        <w:t>n</w:t>
      </w:r>
      <w:r w:rsidRPr="00332432">
        <w:t xml:space="preserve">d volunteers. </w:t>
      </w:r>
    </w:p>
    <w:p w14:paraId="3CDD9ED1" w14:textId="77777777" w:rsidR="00CD74F6" w:rsidRPr="00332432" w:rsidRDefault="00C358E7" w:rsidP="00160E0D">
      <w:pPr>
        <w:pStyle w:val="Heading1"/>
        <w:spacing w:line="360" w:lineRule="auto"/>
        <w:rPr>
          <w:rFonts w:eastAsia="Times New Roman"/>
        </w:rPr>
      </w:pPr>
      <w:bookmarkStart w:id="7" w:name="_Toc112765393"/>
      <w:r w:rsidRPr="00332432">
        <w:rPr>
          <w:rFonts w:eastAsia="Times New Roman"/>
        </w:rPr>
        <w:t>Conclusion</w:t>
      </w:r>
      <w:bookmarkEnd w:id="7"/>
    </w:p>
    <w:p w14:paraId="1D228D92" w14:textId="77777777" w:rsidR="00CD74F6" w:rsidRDefault="00C358E7" w:rsidP="00160E0D">
      <w:pPr>
        <w:pStyle w:val="NormalWeb"/>
        <w:spacing w:before="0" w:beforeAutospacing="0" w:after="0" w:afterAutospacing="0" w:line="360" w:lineRule="auto"/>
        <w:jc w:val="both"/>
      </w:pPr>
      <w:r w:rsidRPr="00332432">
        <w:t>The above discussion indicated the importance of community engagement in the development and building of community. In addition, the community engagement tools and leaders also adopt the tools and techniques of community for improving the individual and group's quality of life, benefitting individual communities, and driving social change. Though the leaders and volunteers of community engagement face challenges and differing views from the individual members of the community, the challenges can be overcome by the inclusion of tools and techniques of community engagement for better community engagement.</w:t>
      </w:r>
    </w:p>
    <w:p w14:paraId="519DE51E" w14:textId="77777777" w:rsidR="00F11CB1" w:rsidRDefault="00C358E7" w:rsidP="00F11CB1">
      <w:pPr>
        <w:pStyle w:val="NormalWeb"/>
        <w:spacing w:before="0" w:beforeAutospacing="0" w:after="0" w:afterAutospacing="0" w:line="360" w:lineRule="auto"/>
        <w:jc w:val="both"/>
      </w:pPr>
      <w:r>
        <w:rPr>
          <w:color w:val="000000"/>
        </w:rPr>
        <w:t xml:space="preserve">This study focuses on different perspectives of Community engagement by highlighting different types of community engagements, and the ways of managing the CE process in terms of completing a project successfully. A CE has some benefits, as well as disadvantages that can affect the growth of a community project. In terms of describing the benefits of CE, the first, and major advantage is efficient decision-making. As there are several members involved in a project, the leader always tries to collect the combined output from everyone and decided based </w:t>
      </w:r>
      <w:r>
        <w:rPr>
          <w:color w:val="000000"/>
        </w:rPr>
        <w:lastRenderedPageBreak/>
        <w:t>on those findings. However, there are some challenges highlighted in this paper that can affect the engagement possibilities of the stakeholders like resourcing, accessibility, and so on. </w:t>
      </w:r>
    </w:p>
    <w:p w14:paraId="316B89E3" w14:textId="77777777" w:rsidR="00F11CB1" w:rsidRDefault="00C358E7" w:rsidP="00F11CB1">
      <w:pPr>
        <w:pStyle w:val="NormalWeb"/>
        <w:spacing w:before="0" w:beforeAutospacing="0" w:after="0" w:afterAutospacing="0" w:line="360" w:lineRule="auto"/>
        <w:jc w:val="both"/>
        <w:rPr>
          <w:color w:val="000000"/>
        </w:rPr>
      </w:pPr>
      <w:r>
        <w:rPr>
          <w:color w:val="000000"/>
        </w:rPr>
        <w:t>Possible ways to interact with the community members by following stakeholder groups, workshops, focus groups, surveys, and some others are discussed with the importance of each tool in terms of building a sustainable community project. These tools help to communicate directly with the members by informing them about the happenings of a project. </w:t>
      </w:r>
    </w:p>
    <w:p w14:paraId="0595A914" w14:textId="77777777" w:rsidR="00F11CB1" w:rsidRPr="00332432" w:rsidRDefault="00F11CB1" w:rsidP="00160E0D">
      <w:pPr>
        <w:pStyle w:val="NormalWeb"/>
        <w:spacing w:before="0" w:beforeAutospacing="0" w:after="0" w:afterAutospacing="0" w:line="360" w:lineRule="auto"/>
        <w:jc w:val="both"/>
      </w:pPr>
    </w:p>
    <w:p w14:paraId="59840F0C" w14:textId="77777777" w:rsidR="009B2585" w:rsidRDefault="00C358E7" w:rsidP="00160E0D">
      <w:pPr>
        <w:spacing w:line="360" w:lineRule="auto"/>
        <w:jc w:val="both"/>
      </w:pPr>
      <w:r>
        <w:br w:type="page"/>
      </w:r>
    </w:p>
    <w:p w14:paraId="3A4234B3" w14:textId="77777777" w:rsidR="0087205A" w:rsidRPr="009B2585" w:rsidRDefault="00C358E7" w:rsidP="00160E0D">
      <w:pPr>
        <w:pStyle w:val="Heading1"/>
        <w:spacing w:line="360" w:lineRule="auto"/>
      </w:pPr>
      <w:bookmarkStart w:id="8" w:name="_Toc112765394"/>
      <w:r w:rsidRPr="009B2585">
        <w:lastRenderedPageBreak/>
        <w:t>Reference List</w:t>
      </w:r>
      <w:bookmarkEnd w:id="8"/>
    </w:p>
    <w:p w14:paraId="18EC7BBD" w14:textId="77777777" w:rsidR="00DC6A61" w:rsidRPr="00E2501C" w:rsidRDefault="00C358E7" w:rsidP="00DC6A61">
      <w:pPr>
        <w:spacing w:line="360" w:lineRule="auto"/>
        <w:jc w:val="both"/>
        <w:rPr>
          <w:rFonts w:cs="Times New Roman"/>
          <w:szCs w:val="24"/>
        </w:rPr>
      </w:pPr>
      <w:r w:rsidRPr="00E2501C">
        <w:rPr>
          <w:rFonts w:cs="Times New Roman"/>
          <w:color w:val="222222"/>
          <w:szCs w:val="24"/>
          <w:shd w:val="clear" w:color="auto" w:fill="FFFFFF"/>
        </w:rPr>
        <w:t>Adhikari, B., Pell, C. and Cheah, P.Y., 2020. Community engagement and ethical global health research. </w:t>
      </w:r>
      <w:r w:rsidRPr="00E2501C">
        <w:rPr>
          <w:rFonts w:cs="Times New Roman"/>
          <w:i/>
          <w:iCs/>
          <w:color w:val="222222"/>
          <w:szCs w:val="24"/>
          <w:shd w:val="clear" w:color="auto" w:fill="FFFFFF"/>
        </w:rPr>
        <w:t>Global Bioethics</w:t>
      </w:r>
      <w:r w:rsidRPr="00E2501C">
        <w:rPr>
          <w:rFonts w:cs="Times New Roman"/>
          <w:color w:val="222222"/>
          <w:szCs w:val="24"/>
          <w:shd w:val="clear" w:color="auto" w:fill="FFFFFF"/>
        </w:rPr>
        <w:t>, </w:t>
      </w:r>
      <w:r w:rsidRPr="00E2501C">
        <w:rPr>
          <w:rFonts w:cs="Times New Roman"/>
          <w:i/>
          <w:iCs/>
          <w:color w:val="222222"/>
          <w:szCs w:val="24"/>
          <w:shd w:val="clear" w:color="auto" w:fill="FFFFFF"/>
        </w:rPr>
        <w:t>31</w:t>
      </w:r>
      <w:r w:rsidRPr="00E2501C">
        <w:rPr>
          <w:rFonts w:cs="Times New Roman"/>
          <w:color w:val="222222"/>
          <w:szCs w:val="24"/>
          <w:shd w:val="clear" w:color="auto" w:fill="FFFFFF"/>
        </w:rPr>
        <w:t>(1), pp.1-12.</w:t>
      </w:r>
    </w:p>
    <w:p w14:paraId="4353CACA" w14:textId="77777777" w:rsidR="00DC6A61" w:rsidRPr="0024502A" w:rsidRDefault="00C358E7" w:rsidP="00DC6A61">
      <w:pPr>
        <w:spacing w:line="360" w:lineRule="auto"/>
        <w:jc w:val="both"/>
        <w:rPr>
          <w:rFonts w:cs="Times New Roman"/>
          <w:color w:val="222222"/>
          <w:szCs w:val="24"/>
          <w:shd w:val="clear" w:color="auto" w:fill="FFFFFF"/>
        </w:rPr>
      </w:pPr>
      <w:r w:rsidRPr="0024502A">
        <w:rPr>
          <w:rFonts w:cs="Times New Roman"/>
          <w:color w:val="222222"/>
          <w:szCs w:val="24"/>
          <w:shd w:val="clear" w:color="auto" w:fill="FFFFFF"/>
        </w:rPr>
        <w:t>Bandy, J., 2016. What is service learning or community engagement. </w:t>
      </w:r>
      <w:proofErr w:type="spellStart"/>
      <w:r w:rsidRPr="0024502A">
        <w:rPr>
          <w:rFonts w:cs="Times New Roman"/>
          <w:i/>
          <w:iCs/>
          <w:color w:val="222222"/>
          <w:szCs w:val="24"/>
          <w:shd w:val="clear" w:color="auto" w:fill="FFFFFF"/>
        </w:rPr>
        <w:t>Center</w:t>
      </w:r>
      <w:proofErr w:type="spellEnd"/>
      <w:r w:rsidRPr="0024502A">
        <w:rPr>
          <w:rFonts w:cs="Times New Roman"/>
          <w:i/>
          <w:iCs/>
          <w:color w:val="222222"/>
          <w:szCs w:val="24"/>
          <w:shd w:val="clear" w:color="auto" w:fill="FFFFFF"/>
        </w:rPr>
        <w:t xml:space="preserve"> for Teaching, Vanderbilt University. https://cft. </w:t>
      </w:r>
      <w:proofErr w:type="spellStart"/>
      <w:r w:rsidRPr="0024502A">
        <w:rPr>
          <w:rFonts w:cs="Times New Roman"/>
          <w:i/>
          <w:iCs/>
          <w:color w:val="222222"/>
          <w:szCs w:val="24"/>
          <w:shd w:val="clear" w:color="auto" w:fill="FFFFFF"/>
        </w:rPr>
        <w:t>vanderbilt</w:t>
      </w:r>
      <w:proofErr w:type="spellEnd"/>
      <w:r w:rsidRPr="0024502A">
        <w:rPr>
          <w:rFonts w:cs="Times New Roman"/>
          <w:i/>
          <w:iCs/>
          <w:color w:val="222222"/>
          <w:szCs w:val="24"/>
          <w:shd w:val="clear" w:color="auto" w:fill="FFFFFF"/>
        </w:rPr>
        <w:t xml:space="preserve">. </w:t>
      </w:r>
      <w:proofErr w:type="spellStart"/>
      <w:r w:rsidRPr="0024502A">
        <w:rPr>
          <w:rFonts w:cs="Times New Roman"/>
          <w:i/>
          <w:iCs/>
          <w:color w:val="222222"/>
          <w:szCs w:val="24"/>
          <w:shd w:val="clear" w:color="auto" w:fill="FFFFFF"/>
        </w:rPr>
        <w:t>edu</w:t>
      </w:r>
      <w:proofErr w:type="spellEnd"/>
      <w:r w:rsidRPr="0024502A">
        <w:rPr>
          <w:rFonts w:cs="Times New Roman"/>
          <w:i/>
          <w:iCs/>
          <w:color w:val="222222"/>
          <w:szCs w:val="24"/>
          <w:shd w:val="clear" w:color="auto" w:fill="FFFFFF"/>
        </w:rPr>
        <w:t>/guides-subpages/teaching-through-community-engagement</w:t>
      </w:r>
      <w:r w:rsidRPr="0024502A">
        <w:rPr>
          <w:rFonts w:cs="Times New Roman"/>
          <w:color w:val="222222"/>
          <w:szCs w:val="24"/>
          <w:shd w:val="clear" w:color="auto" w:fill="FFFFFF"/>
        </w:rPr>
        <w:t>.</w:t>
      </w:r>
    </w:p>
    <w:p w14:paraId="00978C04" w14:textId="77777777" w:rsidR="00DC6A61" w:rsidRPr="0024502A" w:rsidRDefault="00C358E7" w:rsidP="00DC6A61">
      <w:pPr>
        <w:spacing w:line="360" w:lineRule="auto"/>
        <w:jc w:val="both"/>
        <w:rPr>
          <w:rFonts w:cs="Times New Roman"/>
          <w:color w:val="222222"/>
          <w:szCs w:val="24"/>
          <w:shd w:val="clear" w:color="auto" w:fill="FFFFFF"/>
        </w:rPr>
      </w:pPr>
      <w:r w:rsidRPr="0024502A">
        <w:rPr>
          <w:rFonts w:cs="Times New Roman"/>
          <w:color w:val="222222"/>
          <w:szCs w:val="24"/>
          <w:shd w:val="clear" w:color="auto" w:fill="FFFFFF"/>
        </w:rPr>
        <w:t>Barnes, M. and Schmitz, P., 2016. Community engagement matters (now more than ever). </w:t>
      </w:r>
      <w:r w:rsidRPr="0024502A">
        <w:rPr>
          <w:rFonts w:cs="Times New Roman"/>
          <w:i/>
          <w:iCs/>
          <w:color w:val="222222"/>
          <w:szCs w:val="24"/>
          <w:shd w:val="clear" w:color="auto" w:fill="FFFFFF"/>
        </w:rPr>
        <w:t>Stanford Social Innovation Review</w:t>
      </w:r>
      <w:r w:rsidRPr="0024502A">
        <w:rPr>
          <w:rFonts w:cs="Times New Roman"/>
          <w:color w:val="222222"/>
          <w:szCs w:val="24"/>
          <w:shd w:val="clear" w:color="auto" w:fill="FFFFFF"/>
        </w:rPr>
        <w:t>, </w:t>
      </w:r>
      <w:r w:rsidRPr="0024502A">
        <w:rPr>
          <w:rFonts w:cs="Times New Roman"/>
          <w:i/>
          <w:iCs/>
          <w:color w:val="222222"/>
          <w:szCs w:val="24"/>
          <w:shd w:val="clear" w:color="auto" w:fill="FFFFFF"/>
        </w:rPr>
        <w:t>14</w:t>
      </w:r>
      <w:r w:rsidRPr="0024502A">
        <w:rPr>
          <w:rFonts w:cs="Times New Roman"/>
          <w:color w:val="222222"/>
          <w:szCs w:val="24"/>
          <w:shd w:val="clear" w:color="auto" w:fill="FFFFFF"/>
        </w:rPr>
        <w:t>(2), pp.32-39.</w:t>
      </w:r>
    </w:p>
    <w:p w14:paraId="50E326C1" w14:textId="77777777" w:rsidR="00DC6A61" w:rsidRPr="00042E5F" w:rsidRDefault="00C358E7" w:rsidP="00DC6A61">
      <w:pPr>
        <w:spacing w:line="360" w:lineRule="auto"/>
        <w:jc w:val="both"/>
        <w:rPr>
          <w:rFonts w:cs="Times New Roman"/>
          <w:szCs w:val="24"/>
        </w:rPr>
      </w:pPr>
      <w:proofErr w:type="spellStart"/>
      <w:r w:rsidRPr="00042E5F">
        <w:rPr>
          <w:rFonts w:cs="Times New Roman"/>
          <w:color w:val="222222"/>
          <w:szCs w:val="24"/>
          <w:shd w:val="clear" w:color="auto" w:fill="FFFFFF"/>
        </w:rPr>
        <w:t>Benneworth</w:t>
      </w:r>
      <w:proofErr w:type="spellEnd"/>
      <w:r w:rsidRPr="00042E5F">
        <w:rPr>
          <w:rFonts w:cs="Times New Roman"/>
          <w:color w:val="222222"/>
          <w:szCs w:val="24"/>
          <w:shd w:val="clear" w:color="auto" w:fill="FFFFFF"/>
        </w:rPr>
        <w:t>, P., 2018. Definitions, approaches and challenges to community engagement. </w:t>
      </w:r>
      <w:r w:rsidRPr="00042E5F">
        <w:rPr>
          <w:rFonts w:cs="Times New Roman"/>
          <w:i/>
          <w:iCs/>
          <w:color w:val="222222"/>
          <w:szCs w:val="24"/>
          <w:shd w:val="clear" w:color="auto" w:fill="FFFFFF"/>
        </w:rPr>
        <w:t>Mapping and Critical Synthesis of Current State-of-the-Art on</w:t>
      </w:r>
      <w:r w:rsidRPr="00042E5F">
        <w:rPr>
          <w:rFonts w:cs="Times New Roman"/>
          <w:color w:val="222222"/>
          <w:szCs w:val="24"/>
          <w:shd w:val="clear" w:color="auto" w:fill="FFFFFF"/>
        </w:rPr>
        <w:t>, </w:t>
      </w:r>
      <w:r w:rsidRPr="00042E5F">
        <w:rPr>
          <w:rFonts w:cs="Times New Roman"/>
          <w:i/>
          <w:iCs/>
          <w:color w:val="222222"/>
          <w:szCs w:val="24"/>
          <w:shd w:val="clear" w:color="auto" w:fill="FFFFFF"/>
        </w:rPr>
        <w:t>16</w:t>
      </w:r>
      <w:r w:rsidRPr="00042E5F">
        <w:rPr>
          <w:rFonts w:cs="Times New Roman"/>
          <w:color w:val="222222"/>
          <w:szCs w:val="24"/>
          <w:shd w:val="clear" w:color="auto" w:fill="FFFFFF"/>
        </w:rPr>
        <w:t>.</w:t>
      </w:r>
    </w:p>
    <w:p w14:paraId="3552A7E3" w14:textId="77777777" w:rsidR="00DC6A61" w:rsidRPr="00E2501C" w:rsidRDefault="00C358E7" w:rsidP="00DC6A61">
      <w:pPr>
        <w:spacing w:line="360" w:lineRule="auto"/>
        <w:jc w:val="both"/>
        <w:rPr>
          <w:rFonts w:cs="Times New Roman"/>
          <w:color w:val="222222"/>
          <w:szCs w:val="24"/>
          <w:shd w:val="clear" w:color="auto" w:fill="FFFFFF"/>
        </w:rPr>
      </w:pPr>
      <w:proofErr w:type="spellStart"/>
      <w:r w:rsidRPr="00E2501C">
        <w:rPr>
          <w:rFonts w:cs="Times New Roman"/>
          <w:color w:val="222222"/>
          <w:szCs w:val="24"/>
          <w:shd w:val="clear" w:color="auto" w:fill="FFFFFF"/>
        </w:rPr>
        <w:t>Bracic</w:t>
      </w:r>
      <w:proofErr w:type="spellEnd"/>
      <w:r w:rsidRPr="00E2501C">
        <w:rPr>
          <w:rFonts w:cs="Times New Roman"/>
          <w:color w:val="222222"/>
          <w:szCs w:val="24"/>
          <w:shd w:val="clear" w:color="auto" w:fill="FFFFFF"/>
        </w:rPr>
        <w:t>, A., 2018. For better science: The benefits of community engagement in research. </w:t>
      </w:r>
      <w:r w:rsidRPr="00E2501C">
        <w:rPr>
          <w:rFonts w:cs="Times New Roman"/>
          <w:i/>
          <w:iCs/>
          <w:color w:val="222222"/>
          <w:szCs w:val="24"/>
          <w:shd w:val="clear" w:color="auto" w:fill="FFFFFF"/>
        </w:rPr>
        <w:t>PS: Political Science &amp; Politics</w:t>
      </w:r>
      <w:r w:rsidRPr="00E2501C">
        <w:rPr>
          <w:rFonts w:cs="Times New Roman"/>
          <w:color w:val="222222"/>
          <w:szCs w:val="24"/>
          <w:shd w:val="clear" w:color="auto" w:fill="FFFFFF"/>
        </w:rPr>
        <w:t>, </w:t>
      </w:r>
      <w:r w:rsidRPr="00E2501C">
        <w:rPr>
          <w:rFonts w:cs="Times New Roman"/>
          <w:i/>
          <w:iCs/>
          <w:color w:val="222222"/>
          <w:szCs w:val="24"/>
          <w:shd w:val="clear" w:color="auto" w:fill="FFFFFF"/>
        </w:rPr>
        <w:t>51</w:t>
      </w:r>
      <w:r w:rsidRPr="00E2501C">
        <w:rPr>
          <w:rFonts w:cs="Times New Roman"/>
          <w:color w:val="222222"/>
          <w:szCs w:val="24"/>
          <w:shd w:val="clear" w:color="auto" w:fill="FFFFFF"/>
        </w:rPr>
        <w:t>(3), pp.550-553.</w:t>
      </w:r>
    </w:p>
    <w:p w14:paraId="3EFF7260" w14:textId="77777777" w:rsidR="00DC6A61" w:rsidRPr="00332432" w:rsidRDefault="00C358E7" w:rsidP="00DC6A61">
      <w:pPr>
        <w:spacing w:line="360" w:lineRule="auto"/>
        <w:jc w:val="both"/>
        <w:rPr>
          <w:rFonts w:cs="Times New Roman"/>
          <w:szCs w:val="24"/>
        </w:rPr>
      </w:pPr>
      <w:proofErr w:type="spellStart"/>
      <w:r w:rsidRPr="00332432">
        <w:rPr>
          <w:rFonts w:cs="Times New Roman"/>
          <w:szCs w:val="24"/>
        </w:rPr>
        <w:t>Engagementhub</w:t>
      </w:r>
      <w:proofErr w:type="spellEnd"/>
      <w:r w:rsidRPr="00332432">
        <w:rPr>
          <w:rFonts w:cs="Times New Roman"/>
          <w:szCs w:val="24"/>
        </w:rPr>
        <w:t xml:space="preserve">, 2022. 20 tools to add to your community engagement toolbox. Available from: </w:t>
      </w:r>
      <w:r w:rsidRPr="00F11CB1">
        <w:rPr>
          <w:rFonts w:cs="Times New Roman"/>
          <w:szCs w:val="24"/>
        </w:rPr>
        <w:t>https://engagementhub.com.au/community-engagement/20-tools-to-add-to-your-community-engagement-toolbox/</w:t>
      </w:r>
      <w:r>
        <w:rPr>
          <w:rFonts w:cs="Times New Roman"/>
          <w:szCs w:val="24"/>
        </w:rPr>
        <w:t xml:space="preserve"> [Available on 30 august 2022]</w:t>
      </w:r>
    </w:p>
    <w:p w14:paraId="68D3AE94" w14:textId="77777777" w:rsidR="00DC6A61" w:rsidRDefault="00C358E7" w:rsidP="00DC6A61">
      <w:pPr>
        <w:pStyle w:val="Normal1"/>
        <w:spacing w:line="360" w:lineRule="auto"/>
        <w:jc w:val="both"/>
        <w:rPr>
          <w:rFonts w:ascii="Times New Roman" w:eastAsia="Times New Roman" w:hAnsi="Times New Roman" w:cs="Times New Roman"/>
          <w:sz w:val="24"/>
          <w:szCs w:val="24"/>
        </w:rPr>
      </w:pPr>
      <w:r w:rsidRPr="00303ED7">
        <w:rPr>
          <w:rFonts w:ascii="Times New Roman" w:eastAsia="Times New Roman" w:hAnsi="Times New Roman" w:cs="Times New Roman"/>
          <w:sz w:val="24"/>
          <w:szCs w:val="24"/>
        </w:rPr>
        <w:t>Issa, S. and Tu, Y., 2020. A survey in the resource-constrained project and multi-project scheduling problems. </w:t>
      </w:r>
      <w:r w:rsidRPr="00303ED7">
        <w:rPr>
          <w:rFonts w:ascii="Times New Roman" w:eastAsia="Times New Roman" w:hAnsi="Times New Roman" w:cs="Times New Roman"/>
          <w:i/>
          <w:iCs/>
          <w:sz w:val="24"/>
          <w:szCs w:val="24"/>
        </w:rPr>
        <w:t>Journal of Project Management</w:t>
      </w:r>
      <w:r w:rsidRPr="00303ED7">
        <w:rPr>
          <w:rFonts w:ascii="Times New Roman" w:eastAsia="Times New Roman" w:hAnsi="Times New Roman" w:cs="Times New Roman"/>
          <w:sz w:val="24"/>
          <w:szCs w:val="24"/>
        </w:rPr>
        <w:t>, </w:t>
      </w:r>
      <w:r w:rsidRPr="00303ED7">
        <w:rPr>
          <w:rFonts w:ascii="Times New Roman" w:eastAsia="Times New Roman" w:hAnsi="Times New Roman" w:cs="Times New Roman"/>
          <w:i/>
          <w:iCs/>
          <w:sz w:val="24"/>
          <w:szCs w:val="24"/>
        </w:rPr>
        <w:t>5</w:t>
      </w:r>
      <w:r w:rsidRPr="00303ED7">
        <w:rPr>
          <w:rFonts w:ascii="Times New Roman" w:eastAsia="Times New Roman" w:hAnsi="Times New Roman" w:cs="Times New Roman"/>
          <w:sz w:val="24"/>
          <w:szCs w:val="24"/>
        </w:rPr>
        <w:t>(2), pp.117-138.</w:t>
      </w:r>
    </w:p>
    <w:p w14:paraId="1BDD5E93" w14:textId="77777777" w:rsidR="00DC6A61" w:rsidRDefault="00C358E7" w:rsidP="00DC6A61">
      <w:pPr>
        <w:spacing w:line="360" w:lineRule="auto"/>
        <w:jc w:val="both"/>
        <w:rPr>
          <w:rFonts w:cs="Times New Roman"/>
          <w:color w:val="222222"/>
          <w:szCs w:val="24"/>
          <w:shd w:val="clear" w:color="auto" w:fill="FFFFFF"/>
        </w:rPr>
      </w:pPr>
      <w:r w:rsidRPr="0024502A">
        <w:rPr>
          <w:rFonts w:cs="Times New Roman"/>
          <w:color w:val="222222"/>
          <w:szCs w:val="24"/>
          <w:shd w:val="clear" w:color="auto" w:fill="FFFFFF"/>
        </w:rPr>
        <w:t>Kumar, J. and Kumar, V., 2020. Drivers of brand community engagement. </w:t>
      </w:r>
      <w:r w:rsidRPr="0024502A">
        <w:rPr>
          <w:rFonts w:cs="Times New Roman"/>
          <w:i/>
          <w:iCs/>
          <w:color w:val="222222"/>
          <w:szCs w:val="24"/>
          <w:shd w:val="clear" w:color="auto" w:fill="FFFFFF"/>
        </w:rPr>
        <w:t>Journal of Retailing and Consumer Services</w:t>
      </w:r>
      <w:r w:rsidRPr="0024502A">
        <w:rPr>
          <w:rFonts w:cs="Times New Roman"/>
          <w:color w:val="222222"/>
          <w:szCs w:val="24"/>
          <w:shd w:val="clear" w:color="auto" w:fill="FFFFFF"/>
        </w:rPr>
        <w:t>, </w:t>
      </w:r>
      <w:r w:rsidRPr="0024502A">
        <w:rPr>
          <w:rFonts w:cs="Times New Roman"/>
          <w:i/>
          <w:iCs/>
          <w:color w:val="222222"/>
          <w:szCs w:val="24"/>
          <w:shd w:val="clear" w:color="auto" w:fill="FFFFFF"/>
        </w:rPr>
        <w:t>54</w:t>
      </w:r>
      <w:r w:rsidRPr="0024502A">
        <w:rPr>
          <w:rFonts w:cs="Times New Roman"/>
          <w:color w:val="222222"/>
          <w:szCs w:val="24"/>
          <w:shd w:val="clear" w:color="auto" w:fill="FFFFFF"/>
        </w:rPr>
        <w:t>, p.101949.</w:t>
      </w:r>
    </w:p>
    <w:p w14:paraId="1681FC14" w14:textId="77777777" w:rsidR="00DC6A61" w:rsidRPr="00303ED7" w:rsidRDefault="00C358E7" w:rsidP="00DC6A61">
      <w:pPr>
        <w:pStyle w:val="Normal1"/>
        <w:spacing w:line="360" w:lineRule="auto"/>
        <w:jc w:val="both"/>
        <w:rPr>
          <w:rFonts w:ascii="Times New Roman" w:eastAsia="Times New Roman" w:hAnsi="Times New Roman" w:cs="Times New Roman"/>
          <w:sz w:val="24"/>
          <w:szCs w:val="24"/>
        </w:rPr>
      </w:pPr>
      <w:proofErr w:type="spellStart"/>
      <w:r w:rsidRPr="00EE7E4D">
        <w:rPr>
          <w:rFonts w:ascii="Times New Roman" w:eastAsia="Times New Roman" w:hAnsi="Times New Roman" w:cs="Times New Roman"/>
          <w:sz w:val="24"/>
          <w:szCs w:val="24"/>
        </w:rPr>
        <w:t>Letsoalo</w:t>
      </w:r>
      <w:proofErr w:type="spellEnd"/>
      <w:r w:rsidRPr="00EE7E4D">
        <w:rPr>
          <w:rFonts w:ascii="Times New Roman" w:eastAsia="Times New Roman" w:hAnsi="Times New Roman" w:cs="Times New Roman"/>
          <w:sz w:val="24"/>
          <w:szCs w:val="24"/>
        </w:rPr>
        <w:t xml:space="preserve">, T.E. and </w:t>
      </w:r>
      <w:proofErr w:type="spellStart"/>
      <w:r w:rsidRPr="00EE7E4D">
        <w:rPr>
          <w:rFonts w:ascii="Times New Roman" w:eastAsia="Times New Roman" w:hAnsi="Times New Roman" w:cs="Times New Roman"/>
          <w:sz w:val="24"/>
          <w:szCs w:val="24"/>
        </w:rPr>
        <w:t>Ncanywa</w:t>
      </w:r>
      <w:proofErr w:type="spellEnd"/>
      <w:r w:rsidRPr="00EE7E4D">
        <w:rPr>
          <w:rFonts w:ascii="Times New Roman" w:eastAsia="Times New Roman" w:hAnsi="Times New Roman" w:cs="Times New Roman"/>
          <w:sz w:val="24"/>
          <w:szCs w:val="24"/>
        </w:rPr>
        <w:t>, T., 2021. Effects of external financial flows on income inequality in selected Southern African Development Community member states. </w:t>
      </w:r>
      <w:r w:rsidRPr="00EE7E4D">
        <w:rPr>
          <w:rFonts w:ascii="Times New Roman" w:eastAsia="Times New Roman" w:hAnsi="Times New Roman" w:cs="Times New Roman"/>
          <w:i/>
          <w:iCs/>
          <w:sz w:val="24"/>
          <w:szCs w:val="24"/>
        </w:rPr>
        <w:t>Africa’s Public Service Delivery &amp; Performance Review</w:t>
      </w:r>
      <w:r w:rsidRPr="00EE7E4D">
        <w:rPr>
          <w:rFonts w:ascii="Times New Roman" w:eastAsia="Times New Roman" w:hAnsi="Times New Roman" w:cs="Times New Roman"/>
          <w:sz w:val="24"/>
          <w:szCs w:val="24"/>
        </w:rPr>
        <w:t>, </w:t>
      </w:r>
      <w:r w:rsidRPr="00EE7E4D">
        <w:rPr>
          <w:rFonts w:ascii="Times New Roman" w:eastAsia="Times New Roman" w:hAnsi="Times New Roman" w:cs="Times New Roman"/>
          <w:i/>
          <w:iCs/>
          <w:sz w:val="24"/>
          <w:szCs w:val="24"/>
        </w:rPr>
        <w:t>9</w:t>
      </w:r>
      <w:r w:rsidRPr="00EE7E4D">
        <w:rPr>
          <w:rFonts w:ascii="Times New Roman" w:eastAsia="Times New Roman" w:hAnsi="Times New Roman" w:cs="Times New Roman"/>
          <w:sz w:val="24"/>
          <w:szCs w:val="24"/>
        </w:rPr>
        <w:t>(1), p.8.</w:t>
      </w:r>
    </w:p>
    <w:p w14:paraId="13B05A78" w14:textId="77777777" w:rsidR="00DC6A61" w:rsidRPr="00332432" w:rsidRDefault="00C358E7" w:rsidP="00DC6A61">
      <w:pPr>
        <w:spacing w:line="360" w:lineRule="auto"/>
        <w:jc w:val="both"/>
        <w:rPr>
          <w:rFonts w:cs="Times New Roman"/>
          <w:szCs w:val="24"/>
        </w:rPr>
      </w:pPr>
      <w:r w:rsidRPr="00332432">
        <w:rPr>
          <w:rFonts w:cs="Times New Roman"/>
          <w:szCs w:val="24"/>
        </w:rPr>
        <w:t xml:space="preserve">NCBI, 2022. Community Development Approaches: Overcoming Challenges, Striving for Change. Available from: </w:t>
      </w:r>
      <w:r w:rsidRPr="00F11CB1">
        <w:rPr>
          <w:rFonts w:cs="Times New Roman"/>
          <w:szCs w:val="24"/>
        </w:rPr>
        <w:t>https://www.ncbi.nlm.nih.gov/books/NBK215346/</w:t>
      </w:r>
      <w:r>
        <w:rPr>
          <w:rFonts w:cs="Times New Roman"/>
          <w:szCs w:val="24"/>
        </w:rPr>
        <w:t xml:space="preserve"> </w:t>
      </w:r>
      <w:r w:rsidRPr="001428BC">
        <w:rPr>
          <w:rFonts w:cs="Times New Roman"/>
          <w:szCs w:val="24"/>
        </w:rPr>
        <w:t>[Available on 30 august 2022]</w:t>
      </w:r>
    </w:p>
    <w:p w14:paraId="6F8B60D8" w14:textId="77777777" w:rsidR="00DC6A61" w:rsidRPr="00B66A3E" w:rsidRDefault="00C358E7" w:rsidP="00DC6A61">
      <w:pPr>
        <w:spacing w:line="360" w:lineRule="auto"/>
        <w:jc w:val="both"/>
        <w:rPr>
          <w:rFonts w:cs="Times New Roman"/>
          <w:szCs w:val="24"/>
        </w:rPr>
      </w:pPr>
      <w:proofErr w:type="spellStart"/>
      <w:r w:rsidRPr="00332432">
        <w:rPr>
          <w:rFonts w:cs="Times New Roman"/>
          <w:szCs w:val="24"/>
        </w:rPr>
        <w:lastRenderedPageBreak/>
        <w:t>Planningaidwales</w:t>
      </w:r>
      <w:proofErr w:type="spellEnd"/>
      <w:r w:rsidRPr="00332432">
        <w:rPr>
          <w:rFonts w:cs="Times New Roman"/>
          <w:szCs w:val="24"/>
        </w:rPr>
        <w:t>, 2022. Community Engagement Tools &amp; Techniques. Available from: https://planningaidwales.org.uk/community-engagement/community-engagement-tools-techniques/</w:t>
      </w:r>
    </w:p>
    <w:p w14:paraId="510F2199" w14:textId="77777777" w:rsidR="00DC6A61" w:rsidRDefault="00C358E7" w:rsidP="00DC6A61">
      <w:pPr>
        <w:pStyle w:val="Normal1"/>
        <w:spacing w:line="360" w:lineRule="auto"/>
        <w:jc w:val="both"/>
        <w:rPr>
          <w:rFonts w:ascii="Times New Roman" w:eastAsia="Times New Roman" w:hAnsi="Times New Roman" w:cs="Times New Roman"/>
          <w:sz w:val="24"/>
          <w:szCs w:val="24"/>
        </w:rPr>
      </w:pPr>
      <w:r w:rsidRPr="00303ED7">
        <w:rPr>
          <w:rFonts w:ascii="Times New Roman" w:eastAsia="Times New Roman" w:hAnsi="Times New Roman" w:cs="Times New Roman"/>
          <w:sz w:val="24"/>
          <w:szCs w:val="24"/>
        </w:rPr>
        <w:t xml:space="preserve">Stray, V., Bai, A., Sverdrup, N. and </w:t>
      </w:r>
      <w:proofErr w:type="spellStart"/>
      <w:r w:rsidRPr="00303ED7">
        <w:rPr>
          <w:rFonts w:ascii="Times New Roman" w:eastAsia="Times New Roman" w:hAnsi="Times New Roman" w:cs="Times New Roman"/>
          <w:sz w:val="24"/>
          <w:szCs w:val="24"/>
        </w:rPr>
        <w:t>Mork</w:t>
      </w:r>
      <w:proofErr w:type="spellEnd"/>
      <w:r w:rsidRPr="00303ED7">
        <w:rPr>
          <w:rFonts w:ascii="Times New Roman" w:eastAsia="Times New Roman" w:hAnsi="Times New Roman" w:cs="Times New Roman"/>
          <w:sz w:val="24"/>
          <w:szCs w:val="24"/>
        </w:rPr>
        <w:t>, H., 2019, May. Empowering agile project members with accessibility testing tools: a case study. In </w:t>
      </w:r>
      <w:r w:rsidRPr="00303ED7">
        <w:rPr>
          <w:rFonts w:ascii="Times New Roman" w:eastAsia="Times New Roman" w:hAnsi="Times New Roman" w:cs="Times New Roman"/>
          <w:i/>
          <w:iCs/>
          <w:sz w:val="24"/>
          <w:szCs w:val="24"/>
        </w:rPr>
        <w:t>International Conference on Agile Software Development</w:t>
      </w:r>
      <w:r w:rsidRPr="00303ED7">
        <w:rPr>
          <w:rFonts w:ascii="Times New Roman" w:eastAsia="Times New Roman" w:hAnsi="Times New Roman" w:cs="Times New Roman"/>
          <w:sz w:val="24"/>
          <w:szCs w:val="24"/>
        </w:rPr>
        <w:t> (pp. 86-101). Springer, Cham.</w:t>
      </w:r>
    </w:p>
    <w:p w14:paraId="4C88D069" w14:textId="77777777" w:rsidR="00DC6A61" w:rsidRPr="00332432" w:rsidRDefault="00C358E7" w:rsidP="00DC6A61">
      <w:pPr>
        <w:spacing w:line="360" w:lineRule="auto"/>
        <w:jc w:val="both"/>
        <w:rPr>
          <w:rFonts w:cs="Times New Roman"/>
          <w:szCs w:val="24"/>
        </w:rPr>
      </w:pPr>
      <w:proofErr w:type="spellStart"/>
      <w:r w:rsidRPr="00332432">
        <w:rPr>
          <w:rFonts w:cs="Times New Roman"/>
          <w:szCs w:val="24"/>
        </w:rPr>
        <w:t>Sustainingcommunity</w:t>
      </w:r>
      <w:proofErr w:type="spellEnd"/>
      <w:r w:rsidRPr="00332432">
        <w:rPr>
          <w:rFonts w:cs="Times New Roman"/>
          <w:szCs w:val="24"/>
        </w:rPr>
        <w:t xml:space="preserve">, 2022. Types of community engagement. Available from: </w:t>
      </w:r>
      <w:r w:rsidRPr="00F11CB1">
        <w:rPr>
          <w:rFonts w:cs="Times New Roman"/>
          <w:szCs w:val="24"/>
        </w:rPr>
        <w:t>https://sustainingcommunity.wordpress.com/2012/04/07/types-of-community-engagement/</w:t>
      </w:r>
      <w:r>
        <w:rPr>
          <w:rFonts w:cs="Times New Roman"/>
          <w:szCs w:val="24"/>
        </w:rPr>
        <w:t xml:space="preserve"> </w:t>
      </w:r>
      <w:r w:rsidRPr="001428BC">
        <w:rPr>
          <w:rFonts w:cs="Times New Roman"/>
          <w:szCs w:val="24"/>
        </w:rPr>
        <w:t>[Available on 30 august 2022]</w:t>
      </w:r>
    </w:p>
    <w:p w14:paraId="37B02037" w14:textId="77777777" w:rsidR="00DC6A61" w:rsidRDefault="00C358E7" w:rsidP="00DC6A61">
      <w:pPr>
        <w:spacing w:line="360" w:lineRule="auto"/>
        <w:jc w:val="both"/>
        <w:rPr>
          <w:rFonts w:cs="Times New Roman"/>
          <w:szCs w:val="24"/>
        </w:rPr>
      </w:pPr>
      <w:proofErr w:type="spellStart"/>
      <w:r w:rsidRPr="00332432">
        <w:rPr>
          <w:rFonts w:cs="Times New Roman"/>
          <w:szCs w:val="24"/>
        </w:rPr>
        <w:t>Umn</w:t>
      </w:r>
      <w:proofErr w:type="spellEnd"/>
      <w:r w:rsidRPr="00332432">
        <w:rPr>
          <w:rFonts w:cs="Times New Roman"/>
          <w:szCs w:val="24"/>
        </w:rPr>
        <w:t xml:space="preserve">, 2022. TYPES OF COMMUNITY ENGAGEMENT. Available from: </w:t>
      </w:r>
      <w:r w:rsidRPr="00F11CB1">
        <w:rPr>
          <w:rFonts w:cs="Times New Roman"/>
          <w:szCs w:val="24"/>
        </w:rPr>
        <w:t>https://students.morris.umn.edu/community-engagement/types-community-engagement</w:t>
      </w:r>
      <w:r>
        <w:rPr>
          <w:rFonts w:cs="Times New Roman"/>
          <w:szCs w:val="24"/>
        </w:rPr>
        <w:t xml:space="preserve"> </w:t>
      </w:r>
      <w:r w:rsidRPr="001428BC">
        <w:rPr>
          <w:rFonts w:cs="Times New Roman"/>
          <w:szCs w:val="24"/>
        </w:rPr>
        <w:t>[Available on 30 august 2022]</w:t>
      </w:r>
    </w:p>
    <w:p w14:paraId="7AD0B02C" w14:textId="77777777" w:rsidR="00F11CB1" w:rsidRPr="00332432" w:rsidRDefault="00F11CB1" w:rsidP="00160E0D">
      <w:pPr>
        <w:spacing w:line="360" w:lineRule="auto"/>
        <w:jc w:val="both"/>
        <w:rPr>
          <w:rFonts w:cs="Times New Roman"/>
          <w:szCs w:val="24"/>
        </w:rPr>
      </w:pPr>
    </w:p>
    <w:sectPr w:rsidR="00F11CB1" w:rsidRPr="00332432" w:rsidSect="0087205A">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2166B4" w14:textId="77777777" w:rsidR="00413880" w:rsidRDefault="00413880" w:rsidP="000F3D7D">
      <w:pPr>
        <w:spacing w:after="0" w:line="240" w:lineRule="auto"/>
      </w:pPr>
      <w:r>
        <w:separator/>
      </w:r>
    </w:p>
  </w:endnote>
  <w:endnote w:type="continuationSeparator" w:id="0">
    <w:p w14:paraId="786BA350" w14:textId="77777777" w:rsidR="00413880" w:rsidRDefault="00413880" w:rsidP="000F3D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46927"/>
      <w:docPartObj>
        <w:docPartGallery w:val="Page Numbers (Bottom of Page)"/>
        <w:docPartUnique/>
      </w:docPartObj>
    </w:sdtPr>
    <w:sdtContent>
      <w:p w14:paraId="1BCF5E3C" w14:textId="77777777" w:rsidR="0087205A" w:rsidRDefault="00C2682E">
        <w:pPr>
          <w:pStyle w:val="Footer"/>
          <w:jc w:val="right"/>
        </w:pPr>
        <w:r>
          <w:fldChar w:fldCharType="begin"/>
        </w:r>
        <w:r w:rsidR="00C358E7">
          <w:instrText xml:space="preserve"> PAGE   \* MERGEFORMAT </w:instrText>
        </w:r>
        <w:r>
          <w:fldChar w:fldCharType="separate"/>
        </w:r>
        <w:r w:rsidR="007B0EFF">
          <w:rPr>
            <w:noProof/>
          </w:rPr>
          <w:t>11</w:t>
        </w:r>
        <w:r>
          <w:rPr>
            <w:noProof/>
          </w:rPr>
          <w:fldChar w:fldCharType="end"/>
        </w:r>
      </w:p>
    </w:sdtContent>
  </w:sdt>
  <w:p w14:paraId="7D5EE1C2" w14:textId="77777777" w:rsidR="0087205A" w:rsidRDefault="008720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C2DA2F" w14:textId="77777777" w:rsidR="00413880" w:rsidRDefault="00413880" w:rsidP="000F3D7D">
      <w:pPr>
        <w:spacing w:after="0" w:line="240" w:lineRule="auto"/>
      </w:pPr>
      <w:r>
        <w:separator/>
      </w:r>
    </w:p>
  </w:footnote>
  <w:footnote w:type="continuationSeparator" w:id="0">
    <w:p w14:paraId="2E8CB108" w14:textId="77777777" w:rsidR="00413880" w:rsidRDefault="00413880" w:rsidP="000F3D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F6EC8"/>
    <w:rsid w:val="00014211"/>
    <w:rsid w:val="00042E5F"/>
    <w:rsid w:val="000F3D7D"/>
    <w:rsid w:val="000F4F83"/>
    <w:rsid w:val="000F7FCB"/>
    <w:rsid w:val="0012700D"/>
    <w:rsid w:val="001315EF"/>
    <w:rsid w:val="001428BC"/>
    <w:rsid w:val="00160E0D"/>
    <w:rsid w:val="001A1F1A"/>
    <w:rsid w:val="001B5886"/>
    <w:rsid w:val="001C0A65"/>
    <w:rsid w:val="001F6EC8"/>
    <w:rsid w:val="0024502A"/>
    <w:rsid w:val="00260F72"/>
    <w:rsid w:val="002A0851"/>
    <w:rsid w:val="002D0A89"/>
    <w:rsid w:val="00303ED7"/>
    <w:rsid w:val="00332432"/>
    <w:rsid w:val="0037789F"/>
    <w:rsid w:val="00396CCE"/>
    <w:rsid w:val="003B4A2E"/>
    <w:rsid w:val="003D0920"/>
    <w:rsid w:val="003E38F0"/>
    <w:rsid w:val="00402190"/>
    <w:rsid w:val="00413880"/>
    <w:rsid w:val="00423031"/>
    <w:rsid w:val="00441BDB"/>
    <w:rsid w:val="004E0BB7"/>
    <w:rsid w:val="004F6DA3"/>
    <w:rsid w:val="00556446"/>
    <w:rsid w:val="005712F2"/>
    <w:rsid w:val="005968A7"/>
    <w:rsid w:val="005A6976"/>
    <w:rsid w:val="005B1A3F"/>
    <w:rsid w:val="00627147"/>
    <w:rsid w:val="00694EE0"/>
    <w:rsid w:val="006A4023"/>
    <w:rsid w:val="007220FA"/>
    <w:rsid w:val="0074690B"/>
    <w:rsid w:val="00747DA6"/>
    <w:rsid w:val="007B0EFF"/>
    <w:rsid w:val="0087205A"/>
    <w:rsid w:val="00895E58"/>
    <w:rsid w:val="0091644A"/>
    <w:rsid w:val="00977BD8"/>
    <w:rsid w:val="009971A8"/>
    <w:rsid w:val="009B2585"/>
    <w:rsid w:val="009B6DE9"/>
    <w:rsid w:val="009C0A7D"/>
    <w:rsid w:val="00A241A2"/>
    <w:rsid w:val="00A50720"/>
    <w:rsid w:val="00B227A3"/>
    <w:rsid w:val="00B66A3E"/>
    <w:rsid w:val="00B77C76"/>
    <w:rsid w:val="00B9508C"/>
    <w:rsid w:val="00BD2816"/>
    <w:rsid w:val="00C2682E"/>
    <w:rsid w:val="00C358E7"/>
    <w:rsid w:val="00C667A7"/>
    <w:rsid w:val="00C86E3D"/>
    <w:rsid w:val="00C9183B"/>
    <w:rsid w:val="00C93130"/>
    <w:rsid w:val="00CD025D"/>
    <w:rsid w:val="00CD74F6"/>
    <w:rsid w:val="00CE76C9"/>
    <w:rsid w:val="00CF38BC"/>
    <w:rsid w:val="00D30369"/>
    <w:rsid w:val="00D373B9"/>
    <w:rsid w:val="00D82852"/>
    <w:rsid w:val="00D857E5"/>
    <w:rsid w:val="00DC6A61"/>
    <w:rsid w:val="00E22A7C"/>
    <w:rsid w:val="00E2501C"/>
    <w:rsid w:val="00E43366"/>
    <w:rsid w:val="00E67A38"/>
    <w:rsid w:val="00EA0343"/>
    <w:rsid w:val="00EE7E4D"/>
    <w:rsid w:val="00F01F75"/>
    <w:rsid w:val="00F11CB1"/>
    <w:rsid w:val="00F5409B"/>
    <w:rsid w:val="00F56DF8"/>
    <w:rsid w:val="00FA5013"/>
    <w:rsid w:val="00FB17D7"/>
    <w:rsid w:val="00FD10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1D44A"/>
  <w15:docId w15:val="{C6F8067F-624E-8E48-BA3B-EE2599783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5E58"/>
    <w:rPr>
      <w:rFonts w:ascii="Times New Roman" w:hAnsi="Times New Roman"/>
      <w:sz w:val="24"/>
      <w:lang w:val="en-GB"/>
    </w:rPr>
  </w:style>
  <w:style w:type="paragraph" w:styleId="Heading1">
    <w:name w:val="heading 1"/>
    <w:basedOn w:val="Normal"/>
    <w:next w:val="Normal"/>
    <w:link w:val="Heading1Char"/>
    <w:uiPriority w:val="9"/>
    <w:qFormat/>
    <w:rsid w:val="00402190"/>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1315EF"/>
    <w:pPr>
      <w:keepNext/>
      <w:keepLines/>
      <w:spacing w:before="200" w:after="0"/>
      <w:jc w:val="both"/>
      <w:outlineLvl w:val="1"/>
    </w:pPr>
    <w:rPr>
      <w:rFonts w:eastAsiaTheme="majorEastAsia"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2190"/>
    <w:rPr>
      <w:rFonts w:ascii="Times New Roman" w:eastAsiaTheme="majorEastAsia" w:hAnsi="Times New Roman" w:cstheme="majorBidi"/>
      <w:b/>
      <w:bCs/>
      <w:color w:val="000000" w:themeColor="text1"/>
      <w:sz w:val="28"/>
      <w:szCs w:val="28"/>
      <w:lang w:val="en-GB"/>
    </w:rPr>
  </w:style>
  <w:style w:type="character" w:customStyle="1" w:styleId="Heading2Char">
    <w:name w:val="Heading 2 Char"/>
    <w:basedOn w:val="DefaultParagraphFont"/>
    <w:link w:val="Heading2"/>
    <w:uiPriority w:val="9"/>
    <w:rsid w:val="001315EF"/>
    <w:rPr>
      <w:rFonts w:ascii="Times New Roman" w:eastAsiaTheme="majorEastAsia" w:hAnsi="Times New Roman" w:cstheme="majorBidi"/>
      <w:b/>
      <w:bCs/>
      <w:color w:val="000000" w:themeColor="text1"/>
      <w:sz w:val="26"/>
      <w:szCs w:val="26"/>
    </w:rPr>
  </w:style>
  <w:style w:type="paragraph" w:styleId="NormalWeb">
    <w:name w:val="Normal (Web)"/>
    <w:basedOn w:val="Normal"/>
    <w:uiPriority w:val="99"/>
    <w:semiHidden/>
    <w:unhideWhenUsed/>
    <w:rsid w:val="00F01F75"/>
    <w:pPr>
      <w:spacing w:before="100" w:beforeAutospacing="1" w:after="100" w:afterAutospacing="1" w:line="240" w:lineRule="auto"/>
    </w:pPr>
    <w:rPr>
      <w:rFonts w:eastAsia="Times New Roman" w:cs="Times New Roman"/>
      <w:szCs w:val="24"/>
      <w:lang w:val="en-US"/>
    </w:rPr>
  </w:style>
  <w:style w:type="paragraph" w:styleId="BalloonText">
    <w:name w:val="Balloon Text"/>
    <w:basedOn w:val="Normal"/>
    <w:link w:val="BalloonTextChar"/>
    <w:uiPriority w:val="99"/>
    <w:semiHidden/>
    <w:unhideWhenUsed/>
    <w:rsid w:val="00E22A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2A7C"/>
    <w:rPr>
      <w:rFonts w:ascii="Tahoma" w:hAnsi="Tahoma" w:cs="Tahoma"/>
      <w:sz w:val="16"/>
      <w:szCs w:val="16"/>
      <w:lang w:val="en-GB"/>
    </w:rPr>
  </w:style>
  <w:style w:type="paragraph" w:styleId="Title">
    <w:name w:val="Title"/>
    <w:basedOn w:val="Normal"/>
    <w:next w:val="Normal"/>
    <w:link w:val="TitleChar"/>
    <w:uiPriority w:val="10"/>
    <w:qFormat/>
    <w:rsid w:val="0087205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7205A"/>
    <w:rPr>
      <w:rFonts w:asciiTheme="majorHAnsi" w:eastAsiaTheme="majorEastAsia" w:hAnsiTheme="majorHAnsi" w:cstheme="majorBidi"/>
      <w:color w:val="17365D" w:themeColor="text2" w:themeShade="BF"/>
      <w:spacing w:val="5"/>
      <w:kern w:val="28"/>
      <w:sz w:val="52"/>
      <w:szCs w:val="52"/>
      <w:lang w:val="en-GB"/>
    </w:rPr>
  </w:style>
  <w:style w:type="paragraph" w:styleId="TOCHeading">
    <w:name w:val="TOC Heading"/>
    <w:basedOn w:val="Heading1"/>
    <w:next w:val="Normal"/>
    <w:uiPriority w:val="39"/>
    <w:semiHidden/>
    <w:unhideWhenUsed/>
    <w:qFormat/>
    <w:rsid w:val="0087205A"/>
    <w:pPr>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87205A"/>
    <w:pPr>
      <w:spacing w:after="100"/>
    </w:pPr>
  </w:style>
  <w:style w:type="paragraph" w:styleId="TOC2">
    <w:name w:val="toc 2"/>
    <w:basedOn w:val="Normal"/>
    <w:next w:val="Normal"/>
    <w:autoRedefine/>
    <w:uiPriority w:val="39"/>
    <w:unhideWhenUsed/>
    <w:rsid w:val="0087205A"/>
    <w:pPr>
      <w:spacing w:after="100"/>
      <w:ind w:left="240"/>
    </w:pPr>
  </w:style>
  <w:style w:type="character" w:styleId="Hyperlink">
    <w:name w:val="Hyperlink"/>
    <w:basedOn w:val="DefaultParagraphFont"/>
    <w:uiPriority w:val="99"/>
    <w:unhideWhenUsed/>
    <w:rsid w:val="0087205A"/>
    <w:rPr>
      <w:color w:val="0000FF" w:themeColor="hyperlink"/>
      <w:u w:val="single"/>
    </w:rPr>
  </w:style>
  <w:style w:type="paragraph" w:styleId="Header">
    <w:name w:val="header"/>
    <w:basedOn w:val="Normal"/>
    <w:link w:val="HeaderChar"/>
    <w:uiPriority w:val="99"/>
    <w:semiHidden/>
    <w:unhideWhenUsed/>
    <w:rsid w:val="0087205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7205A"/>
    <w:rPr>
      <w:rFonts w:ascii="Times New Roman" w:hAnsi="Times New Roman"/>
      <w:sz w:val="24"/>
      <w:lang w:val="en-GB"/>
    </w:rPr>
  </w:style>
  <w:style w:type="paragraph" w:styleId="Footer">
    <w:name w:val="footer"/>
    <w:basedOn w:val="Normal"/>
    <w:link w:val="FooterChar"/>
    <w:uiPriority w:val="99"/>
    <w:unhideWhenUsed/>
    <w:rsid w:val="008720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205A"/>
    <w:rPr>
      <w:rFonts w:ascii="Times New Roman" w:hAnsi="Times New Roman"/>
      <w:sz w:val="24"/>
      <w:lang w:val="en-GB"/>
    </w:rPr>
  </w:style>
  <w:style w:type="paragraph" w:customStyle="1" w:styleId="Normal1">
    <w:name w:val="Normal1"/>
    <w:rsid w:val="00DC6A61"/>
    <w:pPr>
      <w:spacing w:after="0"/>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377E4F-32A1-43EB-B5DE-A891409421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TotalTime>
  <Pages>11</Pages>
  <Words>2605</Words>
  <Characters>14852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Microsoft Office User</cp:lastModifiedBy>
  <cp:revision>25</cp:revision>
  <dcterms:created xsi:type="dcterms:W3CDTF">2022-08-30T07:18:00Z</dcterms:created>
  <dcterms:modified xsi:type="dcterms:W3CDTF">2022-09-07T21:08:00Z</dcterms:modified>
</cp:coreProperties>
</file>