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49BB7" w14:textId="77777777" w:rsidR="00841424" w:rsidRPr="003D3C12" w:rsidRDefault="00841424" w:rsidP="00841424">
      <w:pPr>
        <w:ind w:firstLine="0"/>
        <w:jc w:val="center"/>
        <w:rPr>
          <w:rFonts w:ascii="Arial" w:hAnsi="Arial" w:cs="Arial"/>
          <w:b/>
          <w:bCs/>
          <w:sz w:val="22"/>
          <w:szCs w:val="22"/>
        </w:rPr>
      </w:pPr>
      <w:r w:rsidRPr="003D3C12">
        <w:rPr>
          <w:rFonts w:ascii="Arial" w:hAnsi="Arial" w:cs="Arial"/>
          <w:b/>
          <w:bCs/>
          <w:sz w:val="22"/>
          <w:szCs w:val="22"/>
        </w:rPr>
        <w:t>A CRITICAL REFLECTION OF LEADERSHIP, GOVERNANCE, AND SYSTEMS THINKING IN IMPROVING MEDICATION SAFETY: THE CASE OF ANTICOAGULATION FAILURE PRE- AND POST-PROCEDURE</w:t>
      </w:r>
    </w:p>
    <w:p w14:paraId="0E869134" w14:textId="77777777" w:rsidR="00841424" w:rsidRPr="003D3C12" w:rsidRDefault="00841424" w:rsidP="00841424">
      <w:pPr>
        <w:ind w:firstLine="0"/>
        <w:jc w:val="center"/>
        <w:rPr>
          <w:rFonts w:ascii="Arial" w:hAnsi="Arial" w:cs="Arial"/>
          <w:sz w:val="22"/>
          <w:szCs w:val="22"/>
        </w:rPr>
      </w:pPr>
    </w:p>
    <w:p w14:paraId="5B7D2393" w14:textId="77777777" w:rsidR="00841424" w:rsidRPr="003D3C12" w:rsidRDefault="00841424" w:rsidP="00841424">
      <w:pPr>
        <w:ind w:firstLine="0"/>
        <w:jc w:val="center"/>
        <w:rPr>
          <w:rFonts w:ascii="Arial" w:hAnsi="Arial" w:cs="Arial"/>
          <w:sz w:val="22"/>
          <w:szCs w:val="22"/>
        </w:rPr>
      </w:pPr>
    </w:p>
    <w:p w14:paraId="6ACA9445" w14:textId="77777777" w:rsidR="00841424" w:rsidRPr="003D3C12" w:rsidRDefault="00841424" w:rsidP="00841424">
      <w:pPr>
        <w:ind w:firstLine="0"/>
        <w:jc w:val="center"/>
        <w:rPr>
          <w:rFonts w:ascii="Arial" w:hAnsi="Arial" w:cs="Arial"/>
          <w:sz w:val="22"/>
          <w:szCs w:val="22"/>
        </w:rPr>
      </w:pPr>
    </w:p>
    <w:p w14:paraId="78A6FB0C" w14:textId="77777777" w:rsidR="00841424" w:rsidRDefault="00841424" w:rsidP="00841424">
      <w:pPr>
        <w:ind w:firstLine="0"/>
        <w:jc w:val="center"/>
        <w:rPr>
          <w:rFonts w:ascii="Arial" w:hAnsi="Arial" w:cs="Arial"/>
          <w:sz w:val="22"/>
          <w:szCs w:val="22"/>
        </w:rPr>
      </w:pPr>
      <w:r>
        <w:rPr>
          <w:rFonts w:ascii="Arial" w:hAnsi="Arial" w:cs="Arial"/>
          <w:sz w:val="22"/>
          <w:szCs w:val="22"/>
        </w:rPr>
        <w:t xml:space="preserve">Student: Fadumo Omar </w:t>
      </w:r>
      <w:proofErr w:type="gramStart"/>
      <w:r>
        <w:rPr>
          <w:rFonts w:ascii="Arial" w:hAnsi="Arial" w:cs="Arial"/>
          <w:sz w:val="22"/>
          <w:szCs w:val="22"/>
        </w:rPr>
        <w:t>( 2311758</w:t>
      </w:r>
      <w:proofErr w:type="gramEnd"/>
      <w:r>
        <w:rPr>
          <w:rFonts w:ascii="Arial" w:hAnsi="Arial" w:cs="Arial"/>
          <w:sz w:val="22"/>
          <w:szCs w:val="22"/>
        </w:rPr>
        <w:t>)</w:t>
      </w:r>
    </w:p>
    <w:p w14:paraId="38F9EF6D" w14:textId="77777777" w:rsidR="00841424" w:rsidRPr="003D3C12" w:rsidRDefault="00841424" w:rsidP="00841424">
      <w:pPr>
        <w:ind w:firstLine="0"/>
        <w:jc w:val="center"/>
        <w:rPr>
          <w:rFonts w:ascii="Arial" w:hAnsi="Arial" w:cs="Arial"/>
          <w:sz w:val="22"/>
          <w:szCs w:val="22"/>
        </w:rPr>
      </w:pPr>
      <w:r>
        <w:rPr>
          <w:rFonts w:ascii="Arial" w:hAnsi="Arial" w:cs="Arial"/>
          <w:sz w:val="22"/>
          <w:szCs w:val="22"/>
        </w:rPr>
        <w:t>Module: Health care system organization and leadership</w:t>
      </w:r>
    </w:p>
    <w:p w14:paraId="6762EA02" w14:textId="77777777" w:rsidR="00841424" w:rsidRPr="003D3C12" w:rsidRDefault="00841424" w:rsidP="00841424">
      <w:pPr>
        <w:ind w:firstLine="0"/>
        <w:jc w:val="center"/>
        <w:rPr>
          <w:rFonts w:ascii="Arial" w:hAnsi="Arial" w:cs="Arial"/>
          <w:sz w:val="22"/>
          <w:szCs w:val="22"/>
        </w:rPr>
      </w:pPr>
      <w:r>
        <w:rPr>
          <w:rFonts w:ascii="Arial" w:hAnsi="Arial" w:cs="Arial"/>
          <w:sz w:val="22"/>
          <w:szCs w:val="22"/>
        </w:rPr>
        <w:t>Module code: LCHS7002</w:t>
      </w:r>
    </w:p>
    <w:p w14:paraId="58B83E85" w14:textId="77777777" w:rsidR="00841424" w:rsidRPr="003D3C12" w:rsidRDefault="00841424" w:rsidP="00841424">
      <w:pPr>
        <w:ind w:firstLine="0"/>
        <w:jc w:val="center"/>
        <w:rPr>
          <w:rFonts w:ascii="Arial" w:hAnsi="Arial" w:cs="Arial"/>
          <w:sz w:val="22"/>
          <w:szCs w:val="22"/>
        </w:rPr>
      </w:pPr>
      <w:r>
        <w:rPr>
          <w:rFonts w:ascii="Arial" w:hAnsi="Arial" w:cs="Arial"/>
          <w:sz w:val="22"/>
          <w:szCs w:val="22"/>
        </w:rPr>
        <w:t xml:space="preserve">Lecturer: Dr Fahad Khan </w:t>
      </w:r>
    </w:p>
    <w:p w14:paraId="2F434E75" w14:textId="77777777" w:rsidR="00841424" w:rsidRPr="003D3C12" w:rsidRDefault="00841424" w:rsidP="00841424">
      <w:pPr>
        <w:ind w:firstLine="0"/>
        <w:jc w:val="center"/>
        <w:rPr>
          <w:rFonts w:ascii="Arial" w:hAnsi="Arial" w:cs="Arial"/>
          <w:sz w:val="22"/>
          <w:szCs w:val="22"/>
        </w:rPr>
      </w:pPr>
    </w:p>
    <w:p w14:paraId="4425A5B0" w14:textId="77777777" w:rsidR="00841424" w:rsidRPr="003D3C12" w:rsidRDefault="00841424" w:rsidP="00841424">
      <w:pPr>
        <w:rPr>
          <w:rFonts w:ascii="Arial" w:hAnsi="Arial" w:cs="Arial"/>
          <w:b/>
          <w:bCs/>
          <w:sz w:val="22"/>
          <w:szCs w:val="22"/>
        </w:rPr>
      </w:pPr>
      <w:r w:rsidRPr="003D3C12">
        <w:rPr>
          <w:rFonts w:ascii="Arial" w:hAnsi="Arial" w:cs="Arial"/>
          <w:b/>
          <w:bCs/>
          <w:sz w:val="22"/>
          <w:szCs w:val="22"/>
        </w:rPr>
        <w:br w:type="page"/>
      </w:r>
    </w:p>
    <w:p w14:paraId="735219D7" w14:textId="77777777" w:rsidR="00841424" w:rsidRPr="003D3C12" w:rsidRDefault="00841424" w:rsidP="00841424">
      <w:pPr>
        <w:ind w:firstLine="0"/>
        <w:jc w:val="center"/>
        <w:rPr>
          <w:rFonts w:ascii="Arial" w:hAnsi="Arial" w:cs="Arial"/>
          <w:b/>
          <w:bCs/>
          <w:sz w:val="22"/>
          <w:szCs w:val="22"/>
        </w:rPr>
      </w:pPr>
      <w:r w:rsidRPr="003D3C12">
        <w:rPr>
          <w:rFonts w:ascii="Arial" w:hAnsi="Arial" w:cs="Arial"/>
          <w:b/>
          <w:bCs/>
          <w:sz w:val="22"/>
          <w:szCs w:val="22"/>
        </w:rPr>
        <w:lastRenderedPageBreak/>
        <w:t>A Critical Reflection of Leadership, Governance, and Systems Thinking in Improving Medication Safety: The Case of Anticoagulation Failure Pre- and Post-Procedure</w:t>
      </w:r>
    </w:p>
    <w:p w14:paraId="2FB64332"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healthcare organizations are complex adaptive systems where patient outcomes are influenced by the interactions between the clinical decision-making systems, leadership systems, and governance systems, along with communications systems and technology systems. The present report is a critical analysis of one of the patient safety change issues of anticoagulation management, both preoperative and postoperative, to a medical procedure in an acute hospital trust. Patient X, a man aged 87 years, who took apixaban to prevent strokes </w:t>
      </w:r>
      <w:proofErr w:type="gramStart"/>
      <w:r w:rsidRPr="003D3C12">
        <w:rPr>
          <w:rFonts w:ascii="Arial" w:hAnsi="Arial" w:cs="Arial"/>
          <w:sz w:val="22"/>
          <w:szCs w:val="22"/>
        </w:rPr>
        <w:t>as a result of</w:t>
      </w:r>
      <w:proofErr w:type="gramEnd"/>
      <w:r w:rsidRPr="003D3C12">
        <w:rPr>
          <w:rFonts w:ascii="Arial" w:hAnsi="Arial" w:cs="Arial"/>
          <w:sz w:val="22"/>
          <w:szCs w:val="22"/>
        </w:rPr>
        <w:t xml:space="preserve"> atrial fibrillation is involved in this case. Postponement of the planned operation resulted in 10 days of apixaban withholding, although there was an early clinical suitability of omission of anticoagulation due to nose bleeding. After the procedure, they did not resume the drug, making the patient have a stroke and later die.</w:t>
      </w:r>
    </w:p>
    <w:p w14:paraId="7E3C92D4"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Health and social care leadership makes it possible to influence people and teams to reach the shared goals by making effective decisions, collaborating, and making progressive improvements. Contemporary healthcare management needs not just </w:t>
      </w:r>
      <w:proofErr w:type="gramStart"/>
      <w:r w:rsidRPr="003D3C12">
        <w:rPr>
          <w:rFonts w:ascii="Arial" w:hAnsi="Arial" w:cs="Arial"/>
          <w:sz w:val="22"/>
          <w:szCs w:val="22"/>
        </w:rPr>
        <w:t>an active</w:t>
      </w:r>
      <w:proofErr w:type="gramEnd"/>
      <w:r w:rsidRPr="003D3C12">
        <w:rPr>
          <w:rFonts w:ascii="Arial" w:hAnsi="Arial" w:cs="Arial"/>
          <w:sz w:val="22"/>
          <w:szCs w:val="22"/>
        </w:rPr>
        <w:t xml:space="preserve"> control but also leaders who </w:t>
      </w:r>
      <w:proofErr w:type="gramStart"/>
      <w:r w:rsidRPr="003D3C12">
        <w:rPr>
          <w:rFonts w:ascii="Arial" w:hAnsi="Arial" w:cs="Arial"/>
          <w:sz w:val="22"/>
          <w:szCs w:val="22"/>
        </w:rPr>
        <w:t>are capable of comprehending</w:t>
      </w:r>
      <w:proofErr w:type="gramEnd"/>
      <w:r w:rsidRPr="003D3C12">
        <w:rPr>
          <w:rFonts w:ascii="Arial" w:hAnsi="Arial" w:cs="Arial"/>
          <w:sz w:val="22"/>
          <w:szCs w:val="22"/>
        </w:rPr>
        <w:t xml:space="preserve"> multi-layered systems, having the ability to navigate uncertainty, and fostering an environment where the safety risks can be detected and eliminated in advance (Aridi, 2025). The case shows the failure of leadership that can be brought about by the lack of coordination, accountability, and organizational learning as opposed to individual clinical errors.</w:t>
      </w:r>
    </w:p>
    <w:p w14:paraId="74D9BBA9" w14:textId="77777777" w:rsidR="00841424" w:rsidRPr="003D3C12" w:rsidRDefault="00841424" w:rsidP="00841424">
      <w:pPr>
        <w:rPr>
          <w:rFonts w:ascii="Arial" w:hAnsi="Arial" w:cs="Arial"/>
          <w:sz w:val="22"/>
          <w:szCs w:val="22"/>
        </w:rPr>
      </w:pPr>
      <w:r w:rsidRPr="003D3C12">
        <w:rPr>
          <w:rFonts w:ascii="Arial" w:hAnsi="Arial" w:cs="Arial"/>
          <w:sz w:val="22"/>
          <w:szCs w:val="22"/>
        </w:rPr>
        <w:t>The health systems can be centralized or decentralized. Centralization is where the decision-making and authority are centralized to a high level, and this promotes consistency and standardization but can also inhibit frontline responsiveness. Decentralization, as illustrated in this case, brings it significantly closer to service users and clinical teams that promote flexibility but necessitate a powerful governance system and responsibility.</w:t>
      </w:r>
    </w:p>
    <w:p w14:paraId="60012AEB" w14:textId="77777777" w:rsidR="00841424" w:rsidRPr="003D3C12" w:rsidRDefault="00841424" w:rsidP="00841424">
      <w:pPr>
        <w:rPr>
          <w:rFonts w:ascii="Arial" w:hAnsi="Arial" w:cs="Arial"/>
          <w:sz w:val="22"/>
          <w:szCs w:val="22"/>
        </w:rPr>
      </w:pPr>
      <w:r w:rsidRPr="003D3C12">
        <w:rPr>
          <w:rFonts w:ascii="Arial" w:hAnsi="Arial" w:cs="Arial"/>
          <w:sz w:val="22"/>
          <w:szCs w:val="22"/>
        </w:rPr>
        <w:lastRenderedPageBreak/>
        <w:t>Systems thinking and theories of leadership, like transformational leadership and transactional leadership, as well as situational leadership, have been applied in analyzing factors that contribute to the failure in medication safety in this report. Transformational leadership is characterized by a shared vision, organizational learning, and empowerment, unlike transactional leadership that is characterized by compliance, laid-down procedures, and monitoring. Situation leadership is concerned with how the leaders should change the styles of leadership in relation to the situations that occur (Nanjundeswaraswamy et al., 2024).</w:t>
      </w:r>
    </w:p>
    <w:p w14:paraId="27D86233"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report will critically examine the situation in the system in which the incident occurred, assess the effects of the decentralized structures, assess leadership performance, and suggest </w:t>
      </w:r>
      <w:proofErr w:type="gramStart"/>
      <w:r w:rsidRPr="003D3C12">
        <w:rPr>
          <w:rFonts w:ascii="Arial" w:hAnsi="Arial" w:cs="Arial"/>
          <w:sz w:val="22"/>
          <w:szCs w:val="22"/>
        </w:rPr>
        <w:t>the evidence</w:t>
      </w:r>
      <w:proofErr w:type="gramEnd"/>
      <w:r w:rsidRPr="003D3C12">
        <w:rPr>
          <w:rFonts w:ascii="Arial" w:hAnsi="Arial" w:cs="Arial"/>
          <w:sz w:val="22"/>
          <w:szCs w:val="22"/>
        </w:rPr>
        <w:t xml:space="preserve">-based </w:t>
      </w:r>
      <w:proofErr w:type="gramStart"/>
      <w:r w:rsidRPr="003D3C12">
        <w:rPr>
          <w:rFonts w:ascii="Arial" w:hAnsi="Arial" w:cs="Arial"/>
          <w:sz w:val="22"/>
          <w:szCs w:val="22"/>
        </w:rPr>
        <w:t>solution</w:t>
      </w:r>
      <w:proofErr w:type="gramEnd"/>
      <w:r w:rsidRPr="003D3C12">
        <w:rPr>
          <w:rFonts w:ascii="Arial" w:hAnsi="Arial" w:cs="Arial"/>
          <w:sz w:val="22"/>
          <w:szCs w:val="22"/>
        </w:rPr>
        <w:t xml:space="preserve"> to enhance </w:t>
      </w:r>
      <w:proofErr w:type="gramStart"/>
      <w:r w:rsidRPr="003D3C12">
        <w:rPr>
          <w:rFonts w:ascii="Arial" w:hAnsi="Arial" w:cs="Arial"/>
          <w:sz w:val="22"/>
          <w:szCs w:val="22"/>
        </w:rPr>
        <w:t>the governance</w:t>
      </w:r>
      <w:proofErr w:type="gramEnd"/>
      <w:r w:rsidRPr="003D3C12">
        <w:rPr>
          <w:rFonts w:ascii="Arial" w:hAnsi="Arial" w:cs="Arial"/>
          <w:sz w:val="22"/>
          <w:szCs w:val="22"/>
        </w:rPr>
        <w:t>, communication, medication safety, and lifelong learning in the organization.</w:t>
      </w:r>
    </w:p>
    <w:p w14:paraId="333BF66D" w14:textId="77777777" w:rsidR="00841424" w:rsidRPr="003D3C12" w:rsidRDefault="00841424" w:rsidP="00841424">
      <w:pPr>
        <w:ind w:firstLine="0"/>
        <w:jc w:val="center"/>
        <w:rPr>
          <w:rFonts w:ascii="Arial" w:hAnsi="Arial" w:cs="Arial"/>
          <w:sz w:val="22"/>
          <w:szCs w:val="22"/>
        </w:rPr>
      </w:pPr>
      <w:r w:rsidRPr="003D3C12">
        <w:rPr>
          <w:rFonts w:ascii="Arial" w:hAnsi="Arial" w:cs="Arial"/>
          <w:sz w:val="22"/>
          <w:szCs w:val="22"/>
        </w:rPr>
        <w:t>a. Problem Identification and the System Context</w:t>
      </w:r>
    </w:p>
    <w:p w14:paraId="1E697A68"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Medication Safety Problem and Its Impact</w:t>
      </w:r>
    </w:p>
    <w:p w14:paraId="4F89B435"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main problem identified in this case study is that the medication safety systems failed in ensuring that the patient was well anticoagulated before and after a clinical procedure. Patient X </w:t>
      </w:r>
      <w:proofErr w:type="gramStart"/>
      <w:r w:rsidRPr="003D3C12">
        <w:rPr>
          <w:rFonts w:ascii="Arial" w:hAnsi="Arial" w:cs="Arial"/>
          <w:sz w:val="22"/>
          <w:szCs w:val="22"/>
        </w:rPr>
        <w:t>had suffered</w:t>
      </w:r>
      <w:proofErr w:type="gramEnd"/>
      <w:r w:rsidRPr="003D3C12">
        <w:rPr>
          <w:rFonts w:ascii="Arial" w:hAnsi="Arial" w:cs="Arial"/>
          <w:sz w:val="22"/>
          <w:szCs w:val="22"/>
        </w:rPr>
        <w:t xml:space="preserve"> an injury after stopping the use of apixaban, an anticoagulant medication that is </w:t>
      </w:r>
      <w:proofErr w:type="gramStart"/>
      <w:r w:rsidRPr="003D3C12">
        <w:rPr>
          <w:rFonts w:ascii="Arial" w:hAnsi="Arial" w:cs="Arial"/>
          <w:sz w:val="22"/>
          <w:szCs w:val="22"/>
        </w:rPr>
        <w:t>a high</w:t>
      </w:r>
      <w:proofErr w:type="gramEnd"/>
      <w:r w:rsidRPr="003D3C12">
        <w:rPr>
          <w:rFonts w:ascii="Arial" w:hAnsi="Arial" w:cs="Arial"/>
          <w:sz w:val="22"/>
          <w:szCs w:val="22"/>
        </w:rPr>
        <w:t xml:space="preserve"> risk and is used to prevent the stroke with the atrial fibrillation, due to the risk of bleeding. The medication was not resumed during the delays in the procedures and was not resumed properly after the procedure. The clinical judgment of the first clinical encounter was a demonstration of a balance between bleeding and the thromboembolic risk, but the failure that followed </w:t>
      </w:r>
      <w:proofErr w:type="gramStart"/>
      <w:r w:rsidRPr="003D3C12">
        <w:rPr>
          <w:rFonts w:ascii="Arial" w:hAnsi="Arial" w:cs="Arial"/>
          <w:sz w:val="22"/>
          <w:szCs w:val="22"/>
        </w:rPr>
        <w:t>was connected with</w:t>
      </w:r>
      <w:proofErr w:type="gramEnd"/>
      <w:r w:rsidRPr="003D3C12">
        <w:rPr>
          <w:rFonts w:ascii="Arial" w:hAnsi="Arial" w:cs="Arial"/>
          <w:sz w:val="22"/>
          <w:szCs w:val="22"/>
        </w:rPr>
        <w:t xml:space="preserve"> the flaws in surveillance, responsibility, and collaboration between the medical groups. Therefore, the issue ought to be considered as a system failure and not an individual </w:t>
      </w:r>
      <w:proofErr w:type="gramStart"/>
      <w:r w:rsidRPr="003D3C12">
        <w:rPr>
          <w:rFonts w:ascii="Arial" w:hAnsi="Arial" w:cs="Arial"/>
          <w:sz w:val="22"/>
          <w:szCs w:val="22"/>
        </w:rPr>
        <w:t>error in itself</w:t>
      </w:r>
      <w:proofErr w:type="gramEnd"/>
      <w:r w:rsidRPr="003D3C12">
        <w:rPr>
          <w:rFonts w:ascii="Arial" w:hAnsi="Arial" w:cs="Arial"/>
          <w:sz w:val="22"/>
          <w:szCs w:val="22"/>
        </w:rPr>
        <w:t>.</w:t>
      </w:r>
    </w:p>
    <w:p w14:paraId="70D33995"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topicality of the issue at the international level can be evidenced by the fact that the harm caused due to medication is still actively experienced at the international level. According to the estimates by the World Health Organization (WHO), more than $42 billion of preventable </w:t>
      </w:r>
      <w:r w:rsidRPr="003D3C12">
        <w:rPr>
          <w:rFonts w:ascii="Arial" w:hAnsi="Arial" w:cs="Arial"/>
          <w:sz w:val="22"/>
          <w:szCs w:val="22"/>
        </w:rPr>
        <w:lastRenderedPageBreak/>
        <w:t>costs are incurred every year due to medication errors, and these errors happen at each step of the medication pathways, such as prescription, administration, monitoring, and transitions of care (WHO, 2026). Moreover, the damage in the medical care has become so widespread that it contributes to almost half (50%) of the preventable damage, showing that medication safety is one of the primary international patient safety priorities (WHO, 2023). These figures suggest that failures in medications are often caused by flaws in the functioning of the healthcare systems, including the inefficiency of information circulation, lack of attention to safety issues, and staffing pressure, instead of just the personal choices of clinicians. As compared to Patient X, the absence of patient anticoagulation for a long time is the bigger issue since the safety of medication intakes means well-working systems that identify the changing state of clinical conditions.</w:t>
      </w:r>
    </w:p>
    <w:p w14:paraId="7254EB48" w14:textId="77777777" w:rsidR="00841424" w:rsidRPr="003D3C12" w:rsidRDefault="00841424" w:rsidP="00841424">
      <w:pPr>
        <w:rPr>
          <w:rFonts w:ascii="Arial" w:hAnsi="Arial" w:cs="Arial"/>
          <w:sz w:val="22"/>
          <w:szCs w:val="22"/>
        </w:rPr>
      </w:pPr>
      <w:r w:rsidRPr="003D3C12">
        <w:rPr>
          <w:rFonts w:ascii="Arial" w:hAnsi="Arial" w:cs="Arial"/>
          <w:sz w:val="22"/>
          <w:szCs w:val="22"/>
        </w:rPr>
        <w:t>The issue of patients' safety is a concern at a national level and is reflected in the National Health Service (NHS), noting the need to make organizational learning and good governance a reality. The Aortic Dissection Charitable Trust (2026) reports that NHS England paid over £2.8 billion to cover the clinical mistakes made from 2023 to 2024. Besides, the patient safety data accounts for over 809,103 cases, highlighting the magnitude of the patient safety issue and its difficulty in ensuring patient safety throughout the entire healthcare industry (NHS England, 2026). The nature of reporting data should be treated with some caution; however, with higher reporting rates, this may be indicative of a more positive safety culture and a desire to reveal the issue but not necessarily indicative of poor performance. The fact that the number of reported events has not begun to go down, however, should indicate that there are effective systems in place to identify potential issues, analyze trends, and make the appropriate improvements in healthcare organizations. In the case of Patient X, the issue of the safety of medications is evident because it is a process that involves several parts of the healthcare team.</w:t>
      </w:r>
    </w:p>
    <w:p w14:paraId="3ED32790" w14:textId="77777777" w:rsidR="00841424" w:rsidRPr="003D3C12" w:rsidRDefault="00841424" w:rsidP="00841424">
      <w:pPr>
        <w:rPr>
          <w:rFonts w:ascii="Arial" w:hAnsi="Arial" w:cs="Arial"/>
          <w:sz w:val="22"/>
          <w:szCs w:val="22"/>
        </w:rPr>
      </w:pPr>
      <w:r w:rsidRPr="003D3C12">
        <w:rPr>
          <w:rFonts w:ascii="Arial" w:hAnsi="Arial" w:cs="Arial"/>
          <w:sz w:val="22"/>
          <w:szCs w:val="22"/>
        </w:rPr>
        <w:lastRenderedPageBreak/>
        <w:t xml:space="preserve">The Institute of Healthcare Improvement (IHI) also tends to provide evidence of the significance of the proactive measurement of safety. IHI Global Trigger Tool was created </w:t>
      </w:r>
      <w:proofErr w:type="gramStart"/>
      <w:r w:rsidRPr="003D3C12">
        <w:rPr>
          <w:rFonts w:ascii="Arial" w:hAnsi="Arial" w:cs="Arial"/>
          <w:sz w:val="22"/>
          <w:szCs w:val="22"/>
        </w:rPr>
        <w:t>due to the fact that</w:t>
      </w:r>
      <w:proofErr w:type="gramEnd"/>
      <w:r w:rsidRPr="003D3C12">
        <w:rPr>
          <w:rFonts w:ascii="Arial" w:hAnsi="Arial" w:cs="Arial"/>
          <w:sz w:val="22"/>
          <w:szCs w:val="22"/>
        </w:rPr>
        <w:t xml:space="preserve"> the traditional incident reporting systems might not identify all the adverse events, especially those events where harm is identified only after the initial mistake has been made (Pierdevara et al., 2025). The tool involves methodical analysis of patient records to reveal the symptoms of possible harm, including drug incidents. This is important since when the anticoagulation breakdown process has not been detected, then a severe complication may be experienced, like stroke or bleeding. This implies that the institutions that deal with risky medications should be well furnished with surveillance devices and not </w:t>
      </w:r>
      <w:proofErr w:type="gramStart"/>
      <w:r w:rsidRPr="003D3C12">
        <w:rPr>
          <w:rFonts w:ascii="Arial" w:hAnsi="Arial" w:cs="Arial"/>
          <w:sz w:val="22"/>
          <w:szCs w:val="22"/>
        </w:rPr>
        <w:t>only on</w:t>
      </w:r>
      <w:proofErr w:type="gramEnd"/>
      <w:r w:rsidRPr="003D3C12">
        <w:rPr>
          <w:rFonts w:ascii="Arial" w:hAnsi="Arial" w:cs="Arial"/>
          <w:sz w:val="22"/>
          <w:szCs w:val="22"/>
        </w:rPr>
        <w:t xml:space="preserve"> retro-posting. The manifestation of this weakness is that a credible system was lacking to check discontinued anticoagulation in Patient X.</w:t>
      </w:r>
    </w:p>
    <w:p w14:paraId="45A18346"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Systems Thinking and the Relationship Between People, Processes, and Structures</w:t>
      </w:r>
    </w:p>
    <w:p w14:paraId="6035E49A"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Based on a </w:t>
      </w:r>
      <w:proofErr w:type="gramStart"/>
      <w:r w:rsidRPr="003D3C12">
        <w:rPr>
          <w:rFonts w:ascii="Arial" w:hAnsi="Arial" w:cs="Arial"/>
          <w:sz w:val="22"/>
          <w:szCs w:val="22"/>
        </w:rPr>
        <w:t>systems</w:t>
      </w:r>
      <w:proofErr w:type="gramEnd"/>
      <w:r w:rsidRPr="003D3C12">
        <w:rPr>
          <w:rFonts w:ascii="Arial" w:hAnsi="Arial" w:cs="Arial"/>
          <w:sz w:val="22"/>
          <w:szCs w:val="22"/>
        </w:rPr>
        <w:t xml:space="preserve"> thinking lens, the incident signifies people, process, and organizational structure interaction. Khalil and Lakhani (2022) report that systems thinking suggests that in most instances, healthcare failure is a consequence of the interaction between various elements of a system and not one specific element. The long duration of the process, switching of clinical teams, communication gaps, and lack of support in digital form influenced the medication decision made in this case. The electronic prescribing system record indicated that the medication was suspended, but it was still not adequate since the system did not take an active step towards reconsidering whether the decision made would still be the best one. This turns out to be one of the disadvantages of using technology: digital systems are only able to improve safety by providing support to clinical reasoning and workflow processes.</w:t>
      </w:r>
    </w:p>
    <w:p w14:paraId="0E8FCF6D"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Underlying System Pressures, Governance, and Accountability</w:t>
      </w:r>
    </w:p>
    <w:p w14:paraId="3E153628"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organizational level is where the factors that influenced the governance issues resulting in the incident took place but were informed by the overall NHS pressures. It is the duty of healthcare organizations to make sure that policies, staffing patterns, and clinical </w:t>
      </w:r>
      <w:r w:rsidRPr="003D3C12">
        <w:rPr>
          <w:rFonts w:ascii="Arial" w:hAnsi="Arial" w:cs="Arial"/>
          <w:sz w:val="22"/>
          <w:szCs w:val="22"/>
        </w:rPr>
        <w:lastRenderedPageBreak/>
        <w:t xml:space="preserve">systems facilitate safe practice. However, the pressure on the workforce is a hindrance to the achievement of such a practice. NHS England noticed high workforce gaps of over 112,000 vacancies, and the associated pressure has </w:t>
      </w:r>
      <w:proofErr w:type="gramStart"/>
      <w:r w:rsidRPr="003D3C12">
        <w:rPr>
          <w:rFonts w:ascii="Arial" w:hAnsi="Arial" w:cs="Arial"/>
          <w:sz w:val="22"/>
          <w:szCs w:val="22"/>
        </w:rPr>
        <w:t>impacted</w:t>
      </w:r>
      <w:proofErr w:type="gramEnd"/>
      <w:r w:rsidRPr="003D3C12">
        <w:rPr>
          <w:rFonts w:ascii="Arial" w:hAnsi="Arial" w:cs="Arial"/>
          <w:sz w:val="22"/>
          <w:szCs w:val="22"/>
        </w:rPr>
        <w:t xml:space="preserve"> the potential to serve more citizens, resulting in workload pressure in hospitals (NHS England, 2024). These stresses can reduce the effectiveness of multidisciplinary communication, clinical review, and active risk management. Mixed priorities and limited ability of experts augmented delays and reduced continuity of care in the case of Patient X.</w:t>
      </w:r>
    </w:p>
    <w:p w14:paraId="4ECB60CA"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Weaknesses in accountability structures are also exhibited in the incident. In a complex healthcare environment with more than one group of professionals, decentralization of responsibility can occur unless a properly developed system of governance exists, which explicitly identifies the one responsible for key decisions. Hejazi et al. (2026) note that the safety of a patient </w:t>
      </w:r>
      <w:proofErr w:type="gramStart"/>
      <w:r w:rsidRPr="003D3C12">
        <w:rPr>
          <w:rFonts w:ascii="Arial" w:hAnsi="Arial" w:cs="Arial"/>
          <w:sz w:val="22"/>
          <w:szCs w:val="22"/>
        </w:rPr>
        <w:t>has to</w:t>
      </w:r>
      <w:proofErr w:type="gramEnd"/>
      <w:r w:rsidRPr="003D3C12">
        <w:rPr>
          <w:rFonts w:ascii="Arial" w:hAnsi="Arial" w:cs="Arial"/>
          <w:sz w:val="22"/>
          <w:szCs w:val="22"/>
        </w:rPr>
        <w:t xml:space="preserve"> be a collective responsibility, with groups of professionals watching over possible risks instead of expecting another professional group to accomplish all the necessary tasks. The failure to validate the reassessment and re-initiation of anticoagulation at the right time represents how unclear ownership can result in loopholes in patient routes.</w:t>
      </w:r>
    </w:p>
    <w:p w14:paraId="6B4D116D"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Figure 1</w:t>
      </w:r>
    </w:p>
    <w:p w14:paraId="06A27FF5" w14:textId="77777777" w:rsidR="00841424" w:rsidRPr="003D3C12" w:rsidRDefault="00841424" w:rsidP="00841424">
      <w:pPr>
        <w:ind w:firstLine="0"/>
        <w:rPr>
          <w:rFonts w:ascii="Arial" w:hAnsi="Arial" w:cs="Arial"/>
          <w:sz w:val="22"/>
          <w:szCs w:val="22"/>
        </w:rPr>
      </w:pPr>
      <w:r w:rsidRPr="003D3C12">
        <w:rPr>
          <w:rFonts w:ascii="Arial" w:hAnsi="Arial" w:cs="Arial"/>
          <w:sz w:val="22"/>
          <w:szCs w:val="22"/>
        </w:rPr>
        <w:t>Rich Picture for System Interaction</w:t>
      </w:r>
    </w:p>
    <w:p w14:paraId="23138923" w14:textId="77777777" w:rsidR="00841424" w:rsidRPr="003D3C12" w:rsidRDefault="00841424" w:rsidP="00841424">
      <w:pPr>
        <w:rPr>
          <w:rFonts w:ascii="Arial" w:hAnsi="Arial" w:cs="Arial"/>
          <w:sz w:val="22"/>
          <w:szCs w:val="22"/>
        </w:rPr>
      </w:pPr>
      <w:r w:rsidRPr="003D3C12">
        <w:rPr>
          <w:rFonts w:ascii="Arial" w:hAnsi="Arial" w:cs="Arial"/>
          <w:sz w:val="22"/>
          <w:szCs w:val="22"/>
        </w:rPr>
        <w:lastRenderedPageBreak/>
        <w:t> </w:t>
      </w:r>
      <w:r w:rsidRPr="003D3C12">
        <w:rPr>
          <w:rFonts w:ascii="Arial" w:hAnsi="Arial" w:cs="Arial"/>
          <w:b/>
          <w:bCs/>
          <w:noProof/>
          <w:sz w:val="22"/>
          <w:szCs w:val="22"/>
        </w:rPr>
        <w:drawing>
          <wp:inline distT="0" distB="0" distL="0" distR="0" wp14:anchorId="0C2EECFC" wp14:editId="7F4627B4">
            <wp:extent cx="4181690" cy="3133886"/>
            <wp:effectExtent l="0" t="0" r="9525" b="9525"/>
            <wp:docPr id="555630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30577" name=""/>
                    <pic:cNvPicPr/>
                  </pic:nvPicPr>
                  <pic:blipFill>
                    <a:blip r:embed="rId4"/>
                    <a:stretch>
                      <a:fillRect/>
                    </a:stretch>
                  </pic:blipFill>
                  <pic:spPr>
                    <a:xfrm>
                      <a:off x="0" y="0"/>
                      <a:ext cx="4181690" cy="3133886"/>
                    </a:xfrm>
                    <a:prstGeom prst="rect">
                      <a:avLst/>
                    </a:prstGeom>
                  </pic:spPr>
                </pic:pic>
              </a:graphicData>
            </a:graphic>
          </wp:inline>
        </w:drawing>
      </w:r>
    </w:p>
    <w:p w14:paraId="3F80C0DB" w14:textId="77777777" w:rsidR="00841424" w:rsidRPr="003D3C12" w:rsidRDefault="00841424" w:rsidP="00841424">
      <w:pPr>
        <w:ind w:firstLine="0"/>
        <w:jc w:val="center"/>
        <w:rPr>
          <w:rFonts w:ascii="Arial" w:hAnsi="Arial" w:cs="Arial"/>
          <w:sz w:val="22"/>
          <w:szCs w:val="22"/>
        </w:rPr>
      </w:pPr>
      <w:r w:rsidRPr="003D3C12">
        <w:rPr>
          <w:rFonts w:ascii="Arial" w:hAnsi="Arial" w:cs="Arial"/>
          <w:sz w:val="22"/>
          <w:szCs w:val="22"/>
        </w:rPr>
        <w:t>b. Decentralization in the Case Study’s Organization</w:t>
      </w:r>
    </w:p>
    <w:p w14:paraId="497373CA"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Signs of a decentralized healthcare system.</w:t>
      </w:r>
    </w:p>
    <w:p w14:paraId="6D2DEB3D" w14:textId="77777777" w:rsidR="00841424" w:rsidRPr="003D3C12" w:rsidRDefault="00841424" w:rsidP="00841424">
      <w:pPr>
        <w:rPr>
          <w:rFonts w:ascii="Arial" w:hAnsi="Arial" w:cs="Arial"/>
          <w:sz w:val="22"/>
          <w:szCs w:val="22"/>
        </w:rPr>
      </w:pPr>
      <w:r w:rsidRPr="003D3C12">
        <w:rPr>
          <w:rFonts w:ascii="Arial" w:hAnsi="Arial" w:cs="Arial"/>
          <w:sz w:val="22"/>
          <w:szCs w:val="22"/>
        </w:rPr>
        <w:t>The key model in the case study organization is decentralized, where front-line clinicians, special teams, and professional groups take part in the decision-making process as opposed to centralizing it under one person. This model signifies an acute healthcare setting, where complex requirements of patients call for specialists with specific clinical knowledge to make the key decisions. The emergency clinicians, respiratory specialists, doctors from the medical ward, nurses, and the medicines professionals handled the anticoagulation in the case of Patient X. This shows how decentralization can aid in enhancing responsiveness and clinical flexibility, but when the systems of coordination are poor, Saenyi et al. (2025) explain that the decentralized authority can create ambiguity when it comes to who owns, who is accountable, and what the next intervention is.</w:t>
      </w:r>
    </w:p>
    <w:p w14:paraId="15A681B8"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A decentralized system is typified by the devolution of decision-making power nearer to the point of care such that the professionals would have the opportunity to make changes in interventions based on the patients’ condition. This structure of organization was mirrored in the </w:t>
      </w:r>
      <w:r w:rsidRPr="003D3C12">
        <w:rPr>
          <w:rFonts w:ascii="Arial" w:hAnsi="Arial" w:cs="Arial"/>
          <w:sz w:val="22"/>
          <w:szCs w:val="22"/>
        </w:rPr>
        <w:lastRenderedPageBreak/>
        <w:t>case since there was no overall decision-maker in the anticoagulation pathway of the patient; X; instead, various groups addressed various domains of care: the immediate risk of bleeding was the responsibility of the emergency clinicians, the planned operation was the role of the respiratory clinicians, and the ongoing management was the role of the ward-based teams. Such division of power fits the present-day realities in the healthcare sector, where multidisciplinary decision-making is a prerequisite since the conditions of the patients rely on the relationships among the different professional groups (Ohrling, 2026).</w:t>
      </w:r>
    </w:p>
    <w:p w14:paraId="2FCB1B61"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Pros and Cons of Decentralized Decision-Making in Patient Safety</w:t>
      </w:r>
    </w:p>
    <w:p w14:paraId="1DE6202C" w14:textId="77777777" w:rsidR="00841424" w:rsidRPr="003D3C12" w:rsidRDefault="00841424" w:rsidP="00841424">
      <w:pPr>
        <w:rPr>
          <w:rFonts w:ascii="Arial" w:hAnsi="Arial" w:cs="Arial"/>
          <w:sz w:val="22"/>
          <w:szCs w:val="22"/>
        </w:rPr>
      </w:pPr>
      <w:r w:rsidRPr="003D3C12">
        <w:rPr>
          <w:rFonts w:ascii="Arial" w:hAnsi="Arial" w:cs="Arial"/>
          <w:sz w:val="22"/>
          <w:szCs w:val="22"/>
        </w:rPr>
        <w:t>The key benefit of decentralization in this scenario was that it enabled speedy response of clinicians to the evolving clinical scenarios. The first move to stop apixaban demonstrated the relevance of front-line autonomy since the clinicians could decide about the risk of bleeding and the risk of stroke without relying on the central authority to give consent. Evidence by Motshweneng and Gilson (2026) on distributed leadership indicates that more engaged frontlines in healthcare organizations can be helpful in solving issues because more context-specific information is most likely to be accessible to those closest to patients. Thus, responsiveness is enhanced by decentralizing decisions, especially when the conditions of the patients change very rapidly.</w:t>
      </w:r>
    </w:p>
    <w:p w14:paraId="206CF9D9"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However, decentralization was also very risky, as the responsibility was shared by different teams. Albeit that different specialists were able to contribute their expertise in the areas that they specialized in, no such ownership of the continuity anticoagulation selection was made after the postponed procedure for Patient X. Consequently, each group assumed the leadership of their immediate short-term responsibility without considering the responsibility of investigating the balance of the potential risks. According to Hedqvist et al. (2025), ineffective communication and a lack of accountability are key factors contributing to failures in care transition since critical activities might be assumed to be the responsibility of a different team. </w:t>
      </w:r>
      <w:r w:rsidRPr="003D3C12">
        <w:rPr>
          <w:rFonts w:ascii="Arial" w:hAnsi="Arial" w:cs="Arial"/>
          <w:sz w:val="22"/>
          <w:szCs w:val="22"/>
        </w:rPr>
        <w:lastRenderedPageBreak/>
        <w:t>Thus, the decentralization of the case of Patient X reduced the continuum of care since the accountability line was not clear, which limited medication reassessment.</w:t>
      </w:r>
    </w:p>
    <w:p w14:paraId="0FB9C6B6"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success of decentralized healthcare systems relies on adequate workforce and communication structure capacities. However, as of September 2024, 31,773 of the registered nursing vacancies are found in the NHS England, which is a 7.5% vacancy rate (NHS England Digital, 2024). These workforce pressures are interesting since good teamwork, communication, and constant monitoring are elements that decentralization relies on. Staffing might be constrained, and, </w:t>
      </w:r>
      <w:proofErr w:type="gramStart"/>
      <w:r w:rsidRPr="003D3C12">
        <w:rPr>
          <w:rFonts w:ascii="Arial" w:hAnsi="Arial" w:cs="Arial"/>
          <w:sz w:val="22"/>
          <w:szCs w:val="22"/>
        </w:rPr>
        <w:t>as a consequence</w:t>
      </w:r>
      <w:proofErr w:type="gramEnd"/>
      <w:r w:rsidRPr="003D3C12">
        <w:rPr>
          <w:rFonts w:ascii="Arial" w:hAnsi="Arial" w:cs="Arial"/>
          <w:sz w:val="22"/>
          <w:szCs w:val="22"/>
        </w:rPr>
        <w:t>, the clinicians may be preoccupied with high-urgency clinical demands with minimal attention to complex coordination tasks such as medication review and follow-up with other teams (Charan et al., 2025). In this way, the benefits of decentralization in terms of safety can be undermined by the labor constraints, which increase the probability of the responsibility being fragmented.</w:t>
      </w:r>
    </w:p>
    <w:p w14:paraId="6508F587"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Lessons for Decentralized Systems, Governance, and Accountability</w:t>
      </w:r>
    </w:p>
    <w:p w14:paraId="23C02BD7" w14:textId="77777777" w:rsidR="00841424" w:rsidRPr="003D3C12" w:rsidRDefault="00841424" w:rsidP="00841424">
      <w:pPr>
        <w:rPr>
          <w:rFonts w:ascii="Arial" w:hAnsi="Arial" w:cs="Arial"/>
          <w:sz w:val="22"/>
          <w:szCs w:val="22"/>
        </w:rPr>
      </w:pPr>
      <w:r w:rsidRPr="003D3C12">
        <w:rPr>
          <w:rFonts w:ascii="Arial" w:hAnsi="Arial" w:cs="Arial"/>
          <w:sz w:val="22"/>
          <w:szCs w:val="22"/>
        </w:rPr>
        <w:t>The magnitude of the issues in patient safety in the complex healthcare systems underlines the significance of powerful coordination in decentralized models. NHS England has reported over 809,103 incidents of patient safety, which is a sign of the complexity of the safe care provision in any large-scale, multidisciplinary healthcare organization (NHS England, 2026). Though reporting figures cannot be viewed merely as a manifestation of poor performance since better reporting cultures may raise detection, the volume shows why decentralized organizations must have effective learning, communication, and accountability mechanisms. In the absence of such mechanisms, the possibility of the dangers posed by the distributed authority may leave the safety issue unsolved.</w:t>
      </w:r>
    </w:p>
    <w:p w14:paraId="1E5E8AE2"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There is also medication safety data, which ensures that decentralized systems are well coordinated. The World Health Organization estimates the world </w:t>
      </w:r>
      <w:proofErr w:type="gramStart"/>
      <w:r w:rsidRPr="003D3C12">
        <w:rPr>
          <w:rFonts w:ascii="Arial" w:hAnsi="Arial" w:cs="Arial"/>
          <w:sz w:val="22"/>
          <w:szCs w:val="22"/>
        </w:rPr>
        <w:t>has to</w:t>
      </w:r>
      <w:proofErr w:type="gramEnd"/>
      <w:r w:rsidRPr="003D3C12">
        <w:rPr>
          <w:rFonts w:ascii="Arial" w:hAnsi="Arial" w:cs="Arial"/>
          <w:sz w:val="22"/>
          <w:szCs w:val="22"/>
        </w:rPr>
        <w:t xml:space="preserve"> spend US $42 billion </w:t>
      </w:r>
      <w:proofErr w:type="gramStart"/>
      <w:r w:rsidRPr="003D3C12">
        <w:rPr>
          <w:rFonts w:ascii="Arial" w:hAnsi="Arial" w:cs="Arial"/>
          <w:sz w:val="22"/>
          <w:szCs w:val="22"/>
        </w:rPr>
        <w:t>in</w:t>
      </w:r>
      <w:proofErr w:type="gramEnd"/>
      <w:r w:rsidRPr="003D3C12">
        <w:rPr>
          <w:rFonts w:ascii="Arial" w:hAnsi="Arial" w:cs="Arial"/>
          <w:sz w:val="22"/>
          <w:szCs w:val="22"/>
        </w:rPr>
        <w:t xml:space="preserve"> preventable costs each year, which is mainly due to medication errors (WHO, 2026). These statistics indicate that administration of medications requires coherent processes that link </w:t>
      </w:r>
      <w:r w:rsidRPr="003D3C12">
        <w:rPr>
          <w:rFonts w:ascii="Arial" w:hAnsi="Arial" w:cs="Arial"/>
          <w:sz w:val="22"/>
          <w:szCs w:val="22"/>
        </w:rPr>
        <w:lastRenderedPageBreak/>
        <w:t>personal clinical decisions with organizational controls. Decentralized clinical decisions in the case of Patient X lacked enough processes to ensure reconsideration of the decision to suspend anticoagulation based on the changed circumstances.</w:t>
      </w:r>
    </w:p>
    <w:p w14:paraId="2C02C749" w14:textId="77777777" w:rsidR="00841424" w:rsidRPr="003D3C12" w:rsidRDefault="00841424" w:rsidP="00841424">
      <w:pPr>
        <w:rPr>
          <w:rFonts w:ascii="Arial" w:hAnsi="Arial" w:cs="Arial"/>
          <w:sz w:val="22"/>
          <w:szCs w:val="22"/>
        </w:rPr>
      </w:pPr>
      <w:r w:rsidRPr="003D3C12">
        <w:rPr>
          <w:rFonts w:ascii="Arial" w:hAnsi="Arial" w:cs="Arial"/>
          <w:sz w:val="22"/>
          <w:szCs w:val="22"/>
        </w:rPr>
        <w:t>Altogether, the decentralized structure of the organization helped and impeded the issue of patient safety. It facilitated care provision, as professionals could use expert knowledge and make prompt clinical judgments. However, it came at the cost of crisis management since power was decentralized where there were weak accountability measures in place to instill continuity among teams. Consequently, decentralized healthcare organizations ought to be well-owned and have good feedback, human resources, and good communication channels. Their absence can unwittingly leave loopholes in the distributed decision-making process in terms of additional time spent on an essential patient safety practice or not being adopted.</w:t>
      </w:r>
    </w:p>
    <w:p w14:paraId="01A4046E" w14:textId="77777777" w:rsidR="00841424" w:rsidRPr="003D3C12" w:rsidRDefault="00841424" w:rsidP="00841424">
      <w:pPr>
        <w:ind w:firstLine="0"/>
        <w:jc w:val="center"/>
        <w:rPr>
          <w:rFonts w:ascii="Arial" w:hAnsi="Arial" w:cs="Arial"/>
          <w:sz w:val="22"/>
          <w:szCs w:val="22"/>
        </w:rPr>
      </w:pPr>
      <w:r w:rsidRPr="003D3C12">
        <w:rPr>
          <w:rFonts w:ascii="Arial" w:hAnsi="Arial" w:cs="Arial"/>
          <w:sz w:val="22"/>
          <w:szCs w:val="22"/>
        </w:rPr>
        <w:t>c. Leadership Theories and Application to the Case Study</w:t>
      </w:r>
    </w:p>
    <w:p w14:paraId="0C4A9953"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Transactional Leadership</w:t>
      </w:r>
    </w:p>
    <w:p w14:paraId="24E8C2D2" w14:textId="77777777" w:rsidR="00841424" w:rsidRPr="003D3C12" w:rsidRDefault="00841424" w:rsidP="00841424">
      <w:pPr>
        <w:rPr>
          <w:rFonts w:ascii="Arial" w:hAnsi="Arial" w:cs="Arial"/>
          <w:sz w:val="22"/>
          <w:szCs w:val="22"/>
        </w:rPr>
      </w:pPr>
      <w:r w:rsidRPr="003D3C12">
        <w:rPr>
          <w:rFonts w:ascii="Arial" w:hAnsi="Arial" w:cs="Arial"/>
          <w:sz w:val="22"/>
          <w:szCs w:val="22"/>
        </w:rPr>
        <w:t>The leadership concerns in the case indicate the misalignment between the complexity of the clinical scenario and the leadership style needed to control the risk. The organization had the features of transactional leadership since safety was provided through the processes, documentation system, and professional responsibilities. Nevertheless, the incident also indicates that such a solution was not enough since taking a proactive, collaborative, and adaptive leadership approach to address the risk of anticoagulation management was needed during a delayed procedure. According to Tessema (2025), effective leaders need to go beyond compliance with the current processes in complex healthcare settings to develop systems that promote learning, communication, and shared accountability.</w:t>
      </w:r>
    </w:p>
    <w:p w14:paraId="1086C414"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Transactional leadership aims at ensuring that the performance of the organization is maintained by putting down clear expectations, oversight, and compliance with the procedures laid down. The benefit of such a kind of leadership in healthcare is that the high-risk practice of giving medication is moderated with the assistance of standardization (Ta et al., 2022). The </w:t>
      </w:r>
      <w:r w:rsidRPr="003D3C12">
        <w:rPr>
          <w:rFonts w:ascii="Arial" w:hAnsi="Arial" w:cs="Arial"/>
          <w:sz w:val="22"/>
          <w:szCs w:val="22"/>
        </w:rPr>
        <w:lastRenderedPageBreak/>
        <w:t xml:space="preserve">anticoagulation guidance, electronic prescribing systems, and defined professional roles demonstrated </w:t>
      </w:r>
      <w:proofErr w:type="gramStart"/>
      <w:r w:rsidRPr="003D3C12">
        <w:rPr>
          <w:rFonts w:ascii="Arial" w:hAnsi="Arial" w:cs="Arial"/>
          <w:sz w:val="22"/>
          <w:szCs w:val="22"/>
        </w:rPr>
        <w:t>a transactional</w:t>
      </w:r>
      <w:proofErr w:type="gramEnd"/>
      <w:r w:rsidRPr="003D3C12">
        <w:rPr>
          <w:rFonts w:ascii="Arial" w:hAnsi="Arial" w:cs="Arial"/>
          <w:sz w:val="22"/>
          <w:szCs w:val="22"/>
        </w:rPr>
        <w:t xml:space="preserve"> leadership in this case. The mechanisms adopted a decision-making system where the clinicians base their decision on the issue of drug interruption and re-initiation. Nevertheless, the application of transactional leadership was ineffective since it was operating based on process completion instead of system safety in case of circumstantial change. The slow rate of administration is an indicator that the leaders had been banking on the processes that were in place instead of constantly reviewing the </w:t>
      </w:r>
      <w:proofErr w:type="gramStart"/>
      <w:r w:rsidRPr="003D3C12">
        <w:rPr>
          <w:rFonts w:ascii="Arial" w:hAnsi="Arial" w:cs="Arial"/>
          <w:sz w:val="22"/>
          <w:szCs w:val="22"/>
        </w:rPr>
        <w:t>arising risk</w:t>
      </w:r>
      <w:proofErr w:type="gramEnd"/>
      <w:r w:rsidRPr="003D3C12">
        <w:rPr>
          <w:rFonts w:ascii="Arial" w:hAnsi="Arial" w:cs="Arial"/>
          <w:sz w:val="22"/>
          <w:szCs w:val="22"/>
        </w:rPr>
        <w:t>.</w:t>
      </w:r>
    </w:p>
    <w:p w14:paraId="1D1CDD91" w14:textId="77777777" w:rsidR="00841424" w:rsidRPr="003D3C12" w:rsidRDefault="00841424" w:rsidP="00841424">
      <w:pPr>
        <w:rPr>
          <w:rFonts w:ascii="Arial" w:hAnsi="Arial" w:cs="Arial"/>
          <w:sz w:val="22"/>
          <w:szCs w:val="22"/>
        </w:rPr>
      </w:pPr>
      <w:r w:rsidRPr="003D3C12">
        <w:rPr>
          <w:rFonts w:ascii="Arial" w:hAnsi="Arial" w:cs="Arial"/>
          <w:sz w:val="22"/>
          <w:szCs w:val="22"/>
        </w:rPr>
        <w:t>The drawback of the approach is backed by more solid evidence on drug safety. At the global level, medication errors are estimated to cost around US $42 billion annually (WHO, 2024), where more than 1.3 million people are harmed due to preventable issues (Naseralallah et al., 2023), proving the fact that compliance with the processes is not the only line of action that can be used to fight medication-related injuries. Thus, leadership strategies in healthcare settings should consider weak points in the processes, instead of presupposing that the written guidelines automatically translate into safe practice. The Patient X case leaders had a reactive reaction to the arising issues instead of proactively anticipating the risk of delaying the procedures and anticoagulation disruption.</w:t>
      </w:r>
    </w:p>
    <w:p w14:paraId="776CB889"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Transformational Leadership</w:t>
      </w:r>
    </w:p>
    <w:p w14:paraId="20F05273"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A transformational leadership model can also help to examine the current case. Besides ensuring that people adhere to rules, transformational leaders foster common cause, embrace innovation, empower employees, and promote continuous improvement rather than making sure that people adhere to rules like in transactional leadership (Ejaz et al., 2024). Ali et al. (2025) </w:t>
      </w:r>
      <w:proofErr w:type="gramStart"/>
      <w:r w:rsidRPr="003D3C12">
        <w:rPr>
          <w:rFonts w:ascii="Arial" w:hAnsi="Arial" w:cs="Arial"/>
          <w:sz w:val="22"/>
          <w:szCs w:val="22"/>
        </w:rPr>
        <w:t>add</w:t>
      </w:r>
      <w:proofErr w:type="gramEnd"/>
      <w:r w:rsidRPr="003D3C12">
        <w:rPr>
          <w:rFonts w:ascii="Arial" w:hAnsi="Arial" w:cs="Arial"/>
          <w:sz w:val="22"/>
          <w:szCs w:val="22"/>
        </w:rPr>
        <w:t xml:space="preserve"> that promotion of communication, psychological safety, and collective responsibility by the leader are linked to the role of transformational leaders in enhancing safety cultures in the healthcare sector. The transformational approach would have </w:t>
      </w:r>
      <w:proofErr w:type="gramStart"/>
      <w:r w:rsidRPr="003D3C12">
        <w:rPr>
          <w:rFonts w:ascii="Arial" w:hAnsi="Arial" w:cs="Arial"/>
          <w:sz w:val="22"/>
          <w:szCs w:val="22"/>
        </w:rPr>
        <w:t>promoted</w:t>
      </w:r>
      <w:proofErr w:type="gramEnd"/>
      <w:r w:rsidRPr="003D3C12">
        <w:rPr>
          <w:rFonts w:ascii="Arial" w:hAnsi="Arial" w:cs="Arial"/>
          <w:sz w:val="22"/>
          <w:szCs w:val="22"/>
        </w:rPr>
        <w:t xml:space="preserve"> the multidisciplinary teams to question themselves on whether the initial decision on anticoagulation was still applicable based on the changing conditions of Patient X. Rather, decision-making remained in </w:t>
      </w:r>
      <w:r w:rsidRPr="003D3C12">
        <w:rPr>
          <w:rFonts w:ascii="Arial" w:hAnsi="Arial" w:cs="Arial"/>
          <w:sz w:val="22"/>
          <w:szCs w:val="22"/>
        </w:rPr>
        <w:lastRenderedPageBreak/>
        <w:t>a more professional territory, suggesting that there was no shared ownership of the risk pertaining to patient safety.</w:t>
      </w:r>
    </w:p>
    <w:p w14:paraId="3E97CC96"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Evidence from staff engagement data supports the importance of transformational leadership in </w:t>
      </w:r>
      <w:proofErr w:type="gramStart"/>
      <w:r w:rsidRPr="003D3C12">
        <w:rPr>
          <w:rFonts w:ascii="Arial" w:hAnsi="Arial" w:cs="Arial"/>
          <w:sz w:val="22"/>
          <w:szCs w:val="22"/>
        </w:rPr>
        <w:t>the healthcare</w:t>
      </w:r>
      <w:proofErr w:type="gramEnd"/>
      <w:r w:rsidRPr="003D3C12">
        <w:rPr>
          <w:rFonts w:ascii="Arial" w:hAnsi="Arial" w:cs="Arial"/>
          <w:sz w:val="22"/>
          <w:szCs w:val="22"/>
        </w:rPr>
        <w:t xml:space="preserve"> organizations. The NHS Staff Survey of 2024 had almost 774,828 responses from NHS workers, which voiced workforce experiences and workplace culture (The NHS Alliance, 2025). Although there was positive news regarding staff on the experience of teamwork, there were issues of whether organizations responded well to the safety issues. Confidence in organizational action, when concerns are reported regarding patient safety, was only found among 56.8% of staff, which is indicative of a lack of alignment between motivating staff to report issues and taking leadership action (The NHS Alliance, 2025). This fact shows that reporting systems are important to the effectiveness of leadership, as well as responsiveness and accountability.</w:t>
      </w:r>
    </w:p>
    <w:p w14:paraId="609062EB"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Situational Leadership</w:t>
      </w:r>
    </w:p>
    <w:p w14:paraId="1E2FB5B4" w14:textId="77777777" w:rsidR="00841424" w:rsidRPr="003D3C12" w:rsidRDefault="00841424" w:rsidP="00841424">
      <w:pPr>
        <w:rPr>
          <w:rFonts w:ascii="Arial" w:hAnsi="Arial" w:cs="Arial"/>
          <w:sz w:val="22"/>
          <w:szCs w:val="22"/>
        </w:rPr>
      </w:pPr>
      <w:r w:rsidRPr="003D3C12">
        <w:rPr>
          <w:rFonts w:ascii="Arial" w:hAnsi="Arial" w:cs="Arial"/>
          <w:sz w:val="22"/>
          <w:szCs w:val="22"/>
        </w:rPr>
        <w:t>The situational type of leadership can also be utilized since the leaders working in healthcare should adapt their style depending on the current situation. According to situational leadership, an excellent leader will vary the degree of direction and support based on the complexity level and capability of people involved (Ghallab and Sallam, 2026). The delay in Patient X’s procedure transformed an ordinary medication decision into a risk-management crisis. A situational leadership response would have considered that the initial plan was no longer suitable, and a multidisciplinary review that included medical, respiratory, nursing, and pharmacy teams would have been started. Instead, leadership emphasized previous jobs and processes, which restricted proactive changes.</w:t>
      </w:r>
    </w:p>
    <w:p w14:paraId="275A762F"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Distributed Leadership</w:t>
      </w:r>
    </w:p>
    <w:p w14:paraId="5474C0F7"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Distributed leadership could have also been another potential leadership style that could have contributed to the outcome. In distributed leadership, Bass et al. (2022) </w:t>
      </w:r>
      <w:proofErr w:type="gramStart"/>
      <w:r w:rsidRPr="003D3C12">
        <w:rPr>
          <w:rFonts w:ascii="Arial" w:hAnsi="Arial" w:cs="Arial"/>
          <w:sz w:val="22"/>
          <w:szCs w:val="22"/>
        </w:rPr>
        <w:t>state</w:t>
      </w:r>
      <w:proofErr w:type="gramEnd"/>
      <w:r w:rsidRPr="003D3C12">
        <w:rPr>
          <w:rFonts w:ascii="Arial" w:hAnsi="Arial" w:cs="Arial"/>
          <w:sz w:val="22"/>
          <w:szCs w:val="22"/>
        </w:rPr>
        <w:t xml:space="preserve"> that sharing of responsibility between the teams as well as everyone’s accountability exists. The approach </w:t>
      </w:r>
      <w:r w:rsidRPr="003D3C12">
        <w:rPr>
          <w:rFonts w:ascii="Arial" w:hAnsi="Arial" w:cs="Arial"/>
          <w:sz w:val="22"/>
          <w:szCs w:val="22"/>
        </w:rPr>
        <w:lastRenderedPageBreak/>
        <w:t>can be applied particularly in decentralized healthcare systems since patient safety is an outcome of the work performed by various professionals (Curșeu et al., 2025). Collaborative leadership, psychological safety, and everyday work learning are essential features of an effective safety culture. Based on Patient X's incident, distributed decision-making was there, but there was a lack of distributed accountability. There was a contribution to care by teams, but the ownership of the anticoagulation review process was not sufficiently clear.</w:t>
      </w:r>
    </w:p>
    <w:p w14:paraId="1E1BA00B"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In general, the leadership style in the organization was not adequately suitable </w:t>
      </w:r>
      <w:proofErr w:type="gramStart"/>
      <w:r w:rsidRPr="003D3C12">
        <w:rPr>
          <w:rFonts w:ascii="Arial" w:hAnsi="Arial" w:cs="Arial"/>
          <w:sz w:val="22"/>
          <w:szCs w:val="22"/>
        </w:rPr>
        <w:t>to</w:t>
      </w:r>
      <w:proofErr w:type="gramEnd"/>
      <w:r w:rsidRPr="003D3C12">
        <w:rPr>
          <w:rFonts w:ascii="Arial" w:hAnsi="Arial" w:cs="Arial"/>
          <w:sz w:val="22"/>
          <w:szCs w:val="22"/>
        </w:rPr>
        <w:t xml:space="preserve"> the situation. Transactional leadership offered the required framework that was not helpful in the adaptations process, whereas transformational and distributed styles of leadership might have enhanced communication, shared responsibility, and proactive risk avoidance. Thus, healthcare organizations should have leaders that not only respond to the incidents but also establish a culture where risks are identified, concerns are addressed, and teams collaborate at the initial stages to achieve better patient outcomes. </w:t>
      </w:r>
    </w:p>
    <w:p w14:paraId="24D79772" w14:textId="77777777" w:rsidR="00841424" w:rsidRPr="003D3C12" w:rsidRDefault="00841424" w:rsidP="00841424">
      <w:pPr>
        <w:ind w:firstLine="0"/>
        <w:jc w:val="center"/>
        <w:rPr>
          <w:rFonts w:ascii="Arial" w:hAnsi="Arial" w:cs="Arial"/>
          <w:sz w:val="22"/>
          <w:szCs w:val="22"/>
        </w:rPr>
      </w:pPr>
      <w:r w:rsidRPr="003D3C12">
        <w:rPr>
          <w:rFonts w:ascii="Arial" w:hAnsi="Arial" w:cs="Arial"/>
          <w:sz w:val="22"/>
          <w:szCs w:val="22"/>
        </w:rPr>
        <w:t>d. Enhancement and Lessons Learned</w:t>
      </w:r>
    </w:p>
    <w:p w14:paraId="7DD9B4E5"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Lack of Governance and Accountability in Anticoagulation</w:t>
      </w:r>
    </w:p>
    <w:p w14:paraId="23FDB625" w14:textId="77777777" w:rsidR="00841424" w:rsidRPr="003D3C12" w:rsidRDefault="00841424" w:rsidP="00841424">
      <w:pPr>
        <w:spacing w:before="240"/>
        <w:rPr>
          <w:rFonts w:ascii="Arial" w:hAnsi="Arial" w:cs="Arial"/>
          <w:sz w:val="22"/>
          <w:szCs w:val="22"/>
        </w:rPr>
      </w:pPr>
      <w:r w:rsidRPr="003D3C12">
        <w:rPr>
          <w:rFonts w:ascii="Arial" w:hAnsi="Arial" w:cs="Arial"/>
          <w:sz w:val="22"/>
          <w:szCs w:val="22"/>
        </w:rPr>
        <w:t>The result of the case study indicates that a lack of leadership and governance merged to form an environment of the system’s weakness, which led to a situation where a preventable medication safety event was experienced. Even though these decisions were made by the clinicians in their line of practice on their own, it was exactly these decisions that caused the overall failure of the entire issue, in which poor accountability systems, reactive behavior of leaders, and a decentralized care system contributed to the failure.</w:t>
      </w:r>
    </w:p>
    <w:p w14:paraId="57417425"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One of the key issues revealed was the lack of explicit ownership in reviewing and reinitiating anticoagulation in the face of procedural delays. The decentralized healthcare systems share decision-making authority across various categories of professionals who are highly close to the patient, but in such systems, an effective system of governance is essential </w:t>
      </w:r>
      <w:r w:rsidRPr="003D3C12">
        <w:rPr>
          <w:rFonts w:ascii="Arial" w:hAnsi="Arial" w:cs="Arial"/>
          <w:sz w:val="22"/>
          <w:szCs w:val="22"/>
        </w:rPr>
        <w:lastRenderedPageBreak/>
        <w:t xml:space="preserve">to maintain clear responsibility </w:t>
      </w:r>
      <w:proofErr w:type="gramStart"/>
      <w:r w:rsidRPr="003D3C12">
        <w:rPr>
          <w:rFonts w:ascii="Arial" w:hAnsi="Arial" w:cs="Arial"/>
          <w:sz w:val="22"/>
          <w:szCs w:val="22"/>
        </w:rPr>
        <w:t>of</w:t>
      </w:r>
      <w:proofErr w:type="gramEnd"/>
      <w:r w:rsidRPr="003D3C12">
        <w:rPr>
          <w:rFonts w:ascii="Arial" w:hAnsi="Arial" w:cs="Arial"/>
          <w:sz w:val="22"/>
          <w:szCs w:val="22"/>
        </w:rPr>
        <w:t xml:space="preserve"> everyone. Patient safety literature highlights that failure in transition of care often occurs </w:t>
      </w:r>
      <w:proofErr w:type="gramStart"/>
      <w:r w:rsidRPr="003D3C12">
        <w:rPr>
          <w:rFonts w:ascii="Arial" w:hAnsi="Arial" w:cs="Arial"/>
          <w:sz w:val="22"/>
          <w:szCs w:val="22"/>
        </w:rPr>
        <w:t>as a result of</w:t>
      </w:r>
      <w:proofErr w:type="gramEnd"/>
      <w:r w:rsidRPr="003D3C12">
        <w:rPr>
          <w:rFonts w:ascii="Arial" w:hAnsi="Arial" w:cs="Arial"/>
          <w:sz w:val="22"/>
          <w:szCs w:val="22"/>
        </w:rPr>
        <w:t xml:space="preserve"> accountability failure between professional groups and is more likely to overlook actions and disrupt communication (Gurses et al., 2024).</w:t>
      </w:r>
    </w:p>
    <w:p w14:paraId="05118CF5" w14:textId="77777777" w:rsidR="00841424" w:rsidRPr="003D3C12" w:rsidRDefault="00841424" w:rsidP="00841424">
      <w:pPr>
        <w:rPr>
          <w:rFonts w:ascii="Arial" w:hAnsi="Arial" w:cs="Arial"/>
          <w:sz w:val="22"/>
          <w:szCs w:val="22"/>
        </w:rPr>
      </w:pPr>
      <w:r w:rsidRPr="003D3C12">
        <w:rPr>
          <w:rFonts w:ascii="Arial" w:hAnsi="Arial" w:cs="Arial"/>
          <w:sz w:val="22"/>
          <w:szCs w:val="22"/>
        </w:rPr>
        <w:t>In the case of Patient X, the anticoagulation decision for its stoppage was a correct clinical decision, but since the system lacked an effective way of reassessing the situation in the long term when the conditions changed, it turned out to be a wrong decision. This missed opportunity was not the initial decision but the lack of governance in ensuring that interruption of high-risk drugs was taken care of. An evidence-based intervention where the decision-making process would be strictly shared would be the implementation of mandatory use of multidisciplinary medicine reviews when withholding anticoagulation exceeds the agreed duration.</w:t>
      </w:r>
    </w:p>
    <w:p w14:paraId="0D593A7F"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Embracing Proactive Safety Improvement rather than Reactive Leadership</w:t>
      </w:r>
    </w:p>
    <w:p w14:paraId="3325C30C" w14:textId="77777777" w:rsidR="00841424" w:rsidRPr="003D3C12" w:rsidRDefault="00841424" w:rsidP="00841424">
      <w:pPr>
        <w:rPr>
          <w:rFonts w:ascii="Arial" w:hAnsi="Arial" w:cs="Arial"/>
          <w:sz w:val="22"/>
          <w:szCs w:val="22"/>
        </w:rPr>
      </w:pPr>
      <w:r w:rsidRPr="003D3C12">
        <w:rPr>
          <w:rFonts w:ascii="Arial" w:hAnsi="Arial" w:cs="Arial"/>
          <w:sz w:val="22"/>
          <w:szCs w:val="22"/>
        </w:rPr>
        <w:t>The second issue was that the organizational leadership was seemingly quite reactive as opposed to proactive. The procedures, policies, and digital systems that were available provided the safety frameworks, but the leaders did not predict sufficiently how a delay in the procedures and fragmented care paths would lead to an increased risk of medication.</w:t>
      </w:r>
    </w:p>
    <w:p w14:paraId="4AB883F1"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shortcomings of compliance-driven leadership are manifested in the worldwide medication safety statistics. According to the World Health Organization, every year, the global count of preventable costs is about US$42 billion due to medication errors (WHO, 2026). This shows that the contribution made by the presence of policies and procedures does not </w:t>
      </w:r>
      <w:proofErr w:type="gramStart"/>
      <w:r w:rsidRPr="003D3C12">
        <w:rPr>
          <w:rFonts w:ascii="Arial" w:hAnsi="Arial" w:cs="Arial"/>
          <w:sz w:val="22"/>
          <w:szCs w:val="22"/>
        </w:rPr>
        <w:t>assure a safe</w:t>
      </w:r>
      <w:proofErr w:type="gramEnd"/>
      <w:r w:rsidRPr="003D3C12">
        <w:rPr>
          <w:rFonts w:ascii="Arial" w:hAnsi="Arial" w:cs="Arial"/>
          <w:sz w:val="22"/>
          <w:szCs w:val="22"/>
        </w:rPr>
        <w:t xml:space="preserve"> practice. Thus, healthcare organizations need leaders who are engaged in identifying areas of weakness, promoting escalations, and promoting </w:t>
      </w:r>
      <w:proofErr w:type="gramStart"/>
      <w:r w:rsidRPr="003D3C12">
        <w:rPr>
          <w:rFonts w:ascii="Arial" w:hAnsi="Arial" w:cs="Arial"/>
          <w:sz w:val="22"/>
          <w:szCs w:val="22"/>
        </w:rPr>
        <w:t>a gradual</w:t>
      </w:r>
      <w:proofErr w:type="gramEnd"/>
      <w:r w:rsidRPr="003D3C12">
        <w:rPr>
          <w:rFonts w:ascii="Arial" w:hAnsi="Arial" w:cs="Arial"/>
          <w:sz w:val="22"/>
          <w:szCs w:val="22"/>
        </w:rPr>
        <w:t xml:space="preserve"> improvement.</w:t>
      </w:r>
    </w:p>
    <w:p w14:paraId="23AA9390"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Therefore, an improvement should focus on shifting towards distributed and transformational leadership styles. The concept of shared responsibility, learning, and innovation across the professional boundaries is encouraged by transformational leadership, while distributed leadership drives the culture of shared ownership of safety (Mapani, 2023). The </w:t>
      </w:r>
      <w:r w:rsidRPr="003D3C12">
        <w:rPr>
          <w:rFonts w:ascii="Arial" w:hAnsi="Arial" w:cs="Arial"/>
          <w:sz w:val="22"/>
          <w:szCs w:val="22"/>
        </w:rPr>
        <w:lastRenderedPageBreak/>
        <w:t>leaders, in this instance, would have developed a more solid multidisciplinary means of communication by encouraging the teams to consider whether the initial decision on anticoagulation was still good given the fact that the procedure was delayed.</w:t>
      </w:r>
    </w:p>
    <w:p w14:paraId="61EBBB13" w14:textId="77777777" w:rsidR="00841424" w:rsidRPr="003D3C12" w:rsidRDefault="00841424" w:rsidP="00841424">
      <w:pPr>
        <w:rPr>
          <w:rFonts w:ascii="Arial" w:hAnsi="Arial" w:cs="Arial"/>
          <w:sz w:val="22"/>
          <w:szCs w:val="22"/>
        </w:rPr>
      </w:pPr>
      <w:r w:rsidRPr="003D3C12">
        <w:rPr>
          <w:rFonts w:ascii="Arial" w:hAnsi="Arial" w:cs="Arial"/>
          <w:sz w:val="22"/>
          <w:szCs w:val="22"/>
        </w:rPr>
        <w:t>Staff participation also implies that active leadership is needed. The 2024 NHS Staff Survey covered 774,828 employees in the NHS, and it contained data on the organizational culture and leaders’ performance (The NHS Alliance, 2025). Results show that despite teamwork still being a strength in the NHS, issues still exist over whether organizations are responsive to staff issues. This means that leaders should not merely encourage reporting but should also ensure that action is taken based on feedback.</w:t>
      </w:r>
    </w:p>
    <w:p w14:paraId="2B74B7D9"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t>Consolidating Digital Infrastructures and Feedback Systems</w:t>
      </w:r>
    </w:p>
    <w:p w14:paraId="37BDC18C"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other area of improvement is the improvement of digital system connectivity, governance, and clinical decision-making. In this case, electronic prescription rendered the data related to the medicine accessible; however, it failed to generate an efficient security reaction when anticoagulation was disrupted. It has been demonstrated that with </w:t>
      </w:r>
      <w:proofErr w:type="gramStart"/>
      <w:r w:rsidRPr="003D3C12">
        <w:rPr>
          <w:rFonts w:ascii="Arial" w:hAnsi="Arial" w:cs="Arial"/>
          <w:sz w:val="22"/>
          <w:szCs w:val="22"/>
        </w:rPr>
        <w:t>an active</w:t>
      </w:r>
      <w:proofErr w:type="gramEnd"/>
      <w:r w:rsidRPr="003D3C12">
        <w:rPr>
          <w:rFonts w:ascii="Arial" w:hAnsi="Arial" w:cs="Arial"/>
          <w:sz w:val="22"/>
          <w:szCs w:val="22"/>
        </w:rPr>
        <w:t xml:space="preserve"> decision support, alert, and clinical workflow integration, electronic prescribing systems enhance medication safety compared to when they are entirely used as documentation systems (Sheikh et al., 2022). Thus, the creation of electronic protection that can detect an extended disruption of high-risk drugs and immediate clinical reassessment would be the best evidence-based solution.</w:t>
      </w:r>
    </w:p>
    <w:p w14:paraId="05B6D6CE" w14:textId="77777777" w:rsidR="00841424" w:rsidRPr="003D3C12" w:rsidRDefault="00841424" w:rsidP="00841424">
      <w:pPr>
        <w:rPr>
          <w:rFonts w:ascii="Arial" w:hAnsi="Arial" w:cs="Arial"/>
          <w:sz w:val="22"/>
          <w:szCs w:val="22"/>
        </w:rPr>
      </w:pPr>
      <w:r w:rsidRPr="003D3C12">
        <w:rPr>
          <w:rFonts w:ascii="Arial" w:hAnsi="Arial" w:cs="Arial"/>
          <w:sz w:val="22"/>
          <w:szCs w:val="22"/>
        </w:rPr>
        <w:t>Technology will, however, not address all organizational weaknesses. Digital interventions should be supported by effective governance, accountability, and staff involvement. The Global Trigger Tool by IHI shows that active safety surveillance is important since it helps to identify negative events that could not be identified solely through voluntary reporting (Pierdevara et al., 2025). The management of anticoagulation within the organizations can be accomplished through indicators like delayed reinitiation of medications, increasing interruption, and missed review opportunities.</w:t>
      </w:r>
    </w:p>
    <w:p w14:paraId="525B4020" w14:textId="77777777" w:rsidR="00841424" w:rsidRPr="003D3C12" w:rsidRDefault="00841424" w:rsidP="00841424">
      <w:pPr>
        <w:ind w:firstLine="0"/>
        <w:rPr>
          <w:rFonts w:ascii="Arial" w:hAnsi="Arial" w:cs="Arial"/>
          <w:i/>
          <w:iCs/>
          <w:sz w:val="22"/>
          <w:szCs w:val="22"/>
        </w:rPr>
      </w:pPr>
      <w:r w:rsidRPr="003D3C12">
        <w:rPr>
          <w:rFonts w:ascii="Arial" w:hAnsi="Arial" w:cs="Arial"/>
          <w:i/>
          <w:iCs/>
          <w:sz w:val="22"/>
          <w:szCs w:val="22"/>
        </w:rPr>
        <w:lastRenderedPageBreak/>
        <w:t>Implications of Structure, Leadership, and Learning in Healthcare Organizations</w:t>
      </w:r>
    </w:p>
    <w:p w14:paraId="11B7FAAC" w14:textId="77777777" w:rsidR="00841424" w:rsidRPr="003D3C12" w:rsidRDefault="00841424" w:rsidP="00841424">
      <w:pPr>
        <w:rPr>
          <w:rFonts w:ascii="Arial" w:hAnsi="Arial" w:cs="Arial"/>
          <w:sz w:val="22"/>
          <w:szCs w:val="22"/>
        </w:rPr>
      </w:pPr>
      <w:r w:rsidRPr="003D3C12">
        <w:rPr>
          <w:rFonts w:ascii="Arial" w:hAnsi="Arial" w:cs="Arial"/>
          <w:sz w:val="22"/>
          <w:szCs w:val="22"/>
        </w:rPr>
        <w:t>A broader implication of this case is that an organizational structure, leadership behavior, and feedback systems have an impact on patient safety. A decentralized structure allowed decisions based on the level of the specialists along with professional freedom, but the accountability measures in place were not adequate to maintain continuity in the teams. Leadership did not establish enough opportunities to be able to foresee risks, thus preserving the current processes. A weak feedback loop meant that red flags were not responded to.</w:t>
      </w:r>
    </w:p>
    <w:p w14:paraId="5A18534D"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To other health organizations, it is important to learn that decentralization is a problem that ought to be closely monitored. Distributed authority should be supported by </w:t>
      </w:r>
      <w:proofErr w:type="gramStart"/>
      <w:r w:rsidRPr="003D3C12">
        <w:rPr>
          <w:rFonts w:ascii="Arial" w:hAnsi="Arial" w:cs="Arial"/>
          <w:sz w:val="22"/>
          <w:szCs w:val="22"/>
        </w:rPr>
        <w:t>open ownership</w:t>
      </w:r>
      <w:proofErr w:type="gramEnd"/>
      <w:r w:rsidRPr="003D3C12">
        <w:rPr>
          <w:rFonts w:ascii="Arial" w:hAnsi="Arial" w:cs="Arial"/>
          <w:sz w:val="22"/>
          <w:szCs w:val="22"/>
        </w:rPr>
        <w:t>, good communication, and effective risk identification mechanisms. This should be complemented through continuous improvement, where the input of the staff, patient safety rates, and formal review system can be utilized to denote areas of concern where patient harm could happen in advance.</w:t>
      </w:r>
    </w:p>
    <w:p w14:paraId="7240A15D"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Overall, the case of Patient X indicates that safer healthcare systems can be developed provided that the leaders cease their response to incidents and develop cultures of prevention, learning, and accountability. With evidence-based governance, good leadership, and a proper feedback system in place, organizations </w:t>
      </w:r>
      <w:proofErr w:type="gramStart"/>
      <w:r w:rsidRPr="003D3C12">
        <w:rPr>
          <w:rFonts w:ascii="Arial" w:hAnsi="Arial" w:cs="Arial"/>
          <w:sz w:val="22"/>
          <w:szCs w:val="22"/>
        </w:rPr>
        <w:t>are able to</w:t>
      </w:r>
      <w:proofErr w:type="gramEnd"/>
      <w:r w:rsidRPr="003D3C12">
        <w:rPr>
          <w:rFonts w:ascii="Arial" w:hAnsi="Arial" w:cs="Arial"/>
          <w:sz w:val="22"/>
          <w:szCs w:val="22"/>
        </w:rPr>
        <w:t xml:space="preserve"> mitigate the harm caused by medications to enhance patient safety.</w:t>
      </w:r>
    </w:p>
    <w:p w14:paraId="347B584F" w14:textId="77777777" w:rsidR="00841424" w:rsidRPr="003D3C12" w:rsidRDefault="00841424" w:rsidP="00841424">
      <w:pPr>
        <w:ind w:firstLine="0"/>
        <w:jc w:val="center"/>
        <w:rPr>
          <w:rFonts w:ascii="Arial" w:hAnsi="Arial" w:cs="Arial"/>
          <w:sz w:val="22"/>
          <w:szCs w:val="22"/>
        </w:rPr>
      </w:pPr>
      <w:r w:rsidRPr="003D3C12">
        <w:rPr>
          <w:rFonts w:ascii="Arial" w:hAnsi="Arial" w:cs="Arial"/>
          <w:sz w:val="22"/>
          <w:szCs w:val="22"/>
        </w:rPr>
        <w:t>Recommendations</w:t>
      </w:r>
    </w:p>
    <w:p w14:paraId="7AF79B59"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Considering the discussion of the case of Patient X, the organization in question should undertake a system-wide medication safety improvement project that would reinforce the areas of accountability without disregarding the advantages of decentralized clinical decision-making. The case shows that giving power to professional teams may become a key to providing patient-centered care and that it needs sound governance frameworks so that the key decisions, like anticoagulation management, are regularly revised. Therefore, the organization should embark on a clearly defined anticoagulation safety pathway with ownership being </w:t>
      </w:r>
      <w:r w:rsidRPr="003D3C12">
        <w:rPr>
          <w:rFonts w:ascii="Arial" w:hAnsi="Arial" w:cs="Arial"/>
          <w:sz w:val="22"/>
          <w:szCs w:val="22"/>
        </w:rPr>
        <w:lastRenderedPageBreak/>
        <w:t>assigned to medication interruption, reassessment, and resumption decision-making. A named responsible clinician or a team should be assigned to each patient with high-risk medication changes, with the help of obligatory multidisciplinary reviews.</w:t>
      </w:r>
    </w:p>
    <w:p w14:paraId="080F9E92"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A blend of transformational and distributed leadership is the best leadership style that can be applied to maintain the improvement in this case. Transformational leadership will allow leaders to formulate a common vision of patient safety, motivate employees to question the ineffective safety procedures, and stimulate their learning instead of being compliance-oriented (TP et al., 2025). Distributed leadership is </w:t>
      </w:r>
      <w:proofErr w:type="gramStart"/>
      <w:r w:rsidRPr="003D3C12">
        <w:rPr>
          <w:rFonts w:ascii="Arial" w:hAnsi="Arial" w:cs="Arial"/>
          <w:sz w:val="22"/>
          <w:szCs w:val="22"/>
        </w:rPr>
        <w:t>particular because</w:t>
      </w:r>
      <w:proofErr w:type="gramEnd"/>
      <w:r w:rsidRPr="003D3C12">
        <w:rPr>
          <w:rFonts w:ascii="Arial" w:hAnsi="Arial" w:cs="Arial"/>
          <w:sz w:val="22"/>
          <w:szCs w:val="22"/>
        </w:rPr>
        <w:t xml:space="preserve"> the organization operates in a decentralized manner of decision-making; therefore, to improve it, the entire responsibility needs to be shared by everyone (doctors, nurses, pharmacists, and teams of specialists). Leaders are to create psychologically safe working conditions in which employees can freely express themselves, challenge the decisions, and detect risks with no fear. Existing evidence shows that having a better safety culture gives </w:t>
      </w:r>
      <w:proofErr w:type="gramStart"/>
      <w:r w:rsidRPr="003D3C12">
        <w:rPr>
          <w:rFonts w:ascii="Arial" w:hAnsi="Arial" w:cs="Arial"/>
          <w:sz w:val="22"/>
          <w:szCs w:val="22"/>
        </w:rPr>
        <w:t>the organizations</w:t>
      </w:r>
      <w:proofErr w:type="gramEnd"/>
      <w:r w:rsidRPr="003D3C12">
        <w:rPr>
          <w:rFonts w:ascii="Arial" w:hAnsi="Arial" w:cs="Arial"/>
          <w:sz w:val="22"/>
          <w:szCs w:val="22"/>
        </w:rPr>
        <w:t xml:space="preserve"> more chances to detect risks sooner and to introduce changes in a sustainable manner (Finn et al., 2024).</w:t>
      </w:r>
    </w:p>
    <w:p w14:paraId="5A42F69E"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Systematization of safety surveillance measures on high-risk medicines should be conducted </w:t>
      </w:r>
      <w:proofErr w:type="gramStart"/>
      <w:r w:rsidRPr="003D3C12">
        <w:rPr>
          <w:rFonts w:ascii="Arial" w:hAnsi="Arial" w:cs="Arial"/>
          <w:sz w:val="22"/>
          <w:szCs w:val="22"/>
        </w:rPr>
        <w:t>in order to</w:t>
      </w:r>
      <w:proofErr w:type="gramEnd"/>
      <w:r w:rsidRPr="003D3C12">
        <w:rPr>
          <w:rFonts w:ascii="Arial" w:hAnsi="Arial" w:cs="Arial"/>
          <w:sz w:val="22"/>
          <w:szCs w:val="22"/>
        </w:rPr>
        <w:t xml:space="preserve"> improve governance. The organization ought to come up with regular audits, which assess indicators like a long period of anticoagulation interruption, long-term delay in medication reconciliation, and missed decisions on restarting medications. Such measures should be revisited through multidisciplinary governance meetings, while safety data ought to be utilized to direct the improvement measures. Organizations should also enhance their digital facilities by introducing clinical decision-support facilities in electronic prescribing facilities. As an example, the system might give an alarm </w:t>
      </w:r>
      <w:proofErr w:type="gramStart"/>
      <w:r w:rsidRPr="003D3C12">
        <w:rPr>
          <w:rFonts w:ascii="Arial" w:hAnsi="Arial" w:cs="Arial"/>
          <w:sz w:val="22"/>
          <w:szCs w:val="22"/>
        </w:rPr>
        <w:t>in the event that</w:t>
      </w:r>
      <w:proofErr w:type="gramEnd"/>
      <w:r w:rsidRPr="003D3C12">
        <w:rPr>
          <w:rFonts w:ascii="Arial" w:hAnsi="Arial" w:cs="Arial"/>
          <w:sz w:val="22"/>
          <w:szCs w:val="22"/>
        </w:rPr>
        <w:t xml:space="preserve"> the anticoagulant treatment is still terminated beyond the accepted duration and hence trigger a clinical re-analysis, as opposed to just depending on personal recollection.</w:t>
      </w:r>
    </w:p>
    <w:p w14:paraId="55FBF259"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multidisciplinary handover processes should be standardized to ensure that integration of the systems and communication is enhanced. The entity should also establish </w:t>
      </w:r>
      <w:r w:rsidRPr="003D3C12">
        <w:rPr>
          <w:rFonts w:ascii="Arial" w:hAnsi="Arial" w:cs="Arial"/>
          <w:sz w:val="22"/>
          <w:szCs w:val="22"/>
        </w:rPr>
        <w:lastRenderedPageBreak/>
        <w:t>well-crafted communication devices that expressly relay medication decisions, who, and what to do next in interdepartmental transfers within the organization. This would help to minimize uncertainty and enhance continuity in the decentralized course of care. Moreover, interdisciplinary safety briefs should be conducted frequently with the clinicians, nurses, pharmacists, and managers to enhance sensitization of emerging risks.</w:t>
      </w:r>
    </w:p>
    <w:p w14:paraId="3D8D3033" w14:textId="77777777" w:rsidR="00841424" w:rsidRPr="003D3C12" w:rsidRDefault="00841424" w:rsidP="00841424">
      <w:pPr>
        <w:rPr>
          <w:rFonts w:ascii="Arial" w:hAnsi="Arial" w:cs="Arial"/>
          <w:sz w:val="22"/>
          <w:szCs w:val="22"/>
        </w:rPr>
      </w:pPr>
      <w:r w:rsidRPr="003D3C12">
        <w:rPr>
          <w:rFonts w:ascii="Arial" w:hAnsi="Arial" w:cs="Arial"/>
          <w:sz w:val="22"/>
          <w:szCs w:val="22"/>
        </w:rPr>
        <w:t>The organization should maximize the digital infrastructure available to improve technical efficiency and reduce repetition of the medication review process. A combination of electronic prescribing systems, pharmacy reviews, and clinical documentation systems would enable transmission of information across the teams (Lundhaug et al., 2025). This can result in increasing allocative efficiency by reallocating resources to invest in preventative safety measures in terms of pharmacist-led anticoagulation monitoring and specific examination of the patients at risk as opposed to making investments in response to an injury after it has already occurred.</w:t>
      </w:r>
    </w:p>
    <w:p w14:paraId="6C7EF5A2"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Lastly, stakeholder engagement and co-production should be incorporated in continuous learning. Patients and families should take part in medication safety improvement discussions because they can provide excellent input regarding communication, comprehension, and continuity of care. The learning forums, safety huddles, and feedback should be employed to help staff members engaged in improvement projects (Wahl et al., 2022). By integrating patient experiences and safety data with systems of clinical knowledge, the organization will be </w:t>
      </w:r>
      <w:proofErr w:type="gramStart"/>
      <w:r w:rsidRPr="003D3C12">
        <w:rPr>
          <w:rFonts w:ascii="Arial" w:hAnsi="Arial" w:cs="Arial"/>
          <w:sz w:val="22"/>
          <w:szCs w:val="22"/>
        </w:rPr>
        <w:t>in a position</w:t>
      </w:r>
      <w:proofErr w:type="gramEnd"/>
      <w:r w:rsidRPr="003D3C12">
        <w:rPr>
          <w:rFonts w:ascii="Arial" w:hAnsi="Arial" w:cs="Arial"/>
          <w:sz w:val="22"/>
          <w:szCs w:val="22"/>
        </w:rPr>
        <w:t xml:space="preserve"> to come up with more credible systems. The objective of these recommendations is to transform the thinking of the organization from being a reactive model where the organization responds to incidents to a proactive learning system that has accountability and ongoing improvement.</w:t>
      </w:r>
    </w:p>
    <w:p w14:paraId="5DA23146" w14:textId="77777777" w:rsidR="00841424" w:rsidRPr="003D3C12" w:rsidRDefault="00841424" w:rsidP="00841424">
      <w:pPr>
        <w:ind w:firstLine="0"/>
        <w:jc w:val="center"/>
        <w:rPr>
          <w:rFonts w:ascii="Arial" w:hAnsi="Arial" w:cs="Arial"/>
          <w:sz w:val="22"/>
          <w:szCs w:val="22"/>
        </w:rPr>
      </w:pPr>
      <w:r w:rsidRPr="003D3C12">
        <w:rPr>
          <w:rFonts w:ascii="Arial" w:hAnsi="Arial" w:cs="Arial"/>
          <w:sz w:val="22"/>
          <w:szCs w:val="22"/>
        </w:rPr>
        <w:t>Conclusion</w:t>
      </w:r>
    </w:p>
    <w:p w14:paraId="32493A26"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case study analysis has demonstrated that the effort to avoid the disappointment in medication safety in the case of Patient X was not due to a single clinical error but interacting </w:t>
      </w:r>
      <w:r w:rsidRPr="003D3C12">
        <w:rPr>
          <w:rFonts w:ascii="Arial" w:hAnsi="Arial" w:cs="Arial"/>
          <w:sz w:val="22"/>
          <w:szCs w:val="22"/>
        </w:rPr>
        <w:lastRenderedPageBreak/>
        <w:t>system factors. A decentralized organizational structure was common, where the decisions were arrived at by various professional team members. The enhancement of clinical flexibility and professional involvement came along with some weaknesses in the accountability, consultation, and feedback structure, which left a few gaps in the accountability of review and resumption of anticoagulation.</w:t>
      </w:r>
    </w:p>
    <w:p w14:paraId="3E4896FA"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The report indicates that leadership and governance were critical in making a difference. Process-oriented and compliance-oriented transactional approaches did offer valuable backgrounds but could not be relied on to deal with a complex and dynamic clinical environment. Other adaptive leadership approaches like transformational and distributed leadership approaches are encouraged </w:t>
      </w:r>
      <w:proofErr w:type="gramStart"/>
      <w:r w:rsidRPr="003D3C12">
        <w:rPr>
          <w:rFonts w:ascii="Arial" w:hAnsi="Arial" w:cs="Arial"/>
          <w:sz w:val="22"/>
          <w:szCs w:val="22"/>
        </w:rPr>
        <w:t>in order to</w:t>
      </w:r>
      <w:proofErr w:type="gramEnd"/>
      <w:r w:rsidRPr="003D3C12">
        <w:rPr>
          <w:rFonts w:ascii="Arial" w:hAnsi="Arial" w:cs="Arial"/>
          <w:sz w:val="22"/>
          <w:szCs w:val="22"/>
        </w:rPr>
        <w:t xml:space="preserve"> promote shared responsibility, psychological safety, and continual advancement.</w:t>
      </w:r>
    </w:p>
    <w:p w14:paraId="01D4C021" w14:textId="77777777" w:rsidR="00841424" w:rsidRPr="003D3C12" w:rsidRDefault="00841424" w:rsidP="00841424">
      <w:pPr>
        <w:rPr>
          <w:rFonts w:ascii="Arial" w:hAnsi="Arial" w:cs="Arial"/>
          <w:sz w:val="22"/>
          <w:szCs w:val="22"/>
        </w:rPr>
      </w:pPr>
      <w:r w:rsidRPr="003D3C12">
        <w:rPr>
          <w:rFonts w:ascii="Arial" w:hAnsi="Arial" w:cs="Arial"/>
          <w:sz w:val="22"/>
          <w:szCs w:val="22"/>
        </w:rPr>
        <w:t xml:space="preserve">System thinking </w:t>
      </w:r>
      <w:proofErr w:type="gramStart"/>
      <w:r w:rsidRPr="003D3C12">
        <w:rPr>
          <w:rFonts w:ascii="Arial" w:hAnsi="Arial" w:cs="Arial"/>
          <w:sz w:val="22"/>
          <w:szCs w:val="22"/>
        </w:rPr>
        <w:t>emphasized</w:t>
      </w:r>
      <w:proofErr w:type="gramEnd"/>
      <w:r w:rsidRPr="003D3C12">
        <w:rPr>
          <w:rFonts w:ascii="Arial" w:hAnsi="Arial" w:cs="Arial"/>
          <w:sz w:val="22"/>
          <w:szCs w:val="22"/>
        </w:rPr>
        <w:t xml:space="preserve"> more on the relationship between people, processes, and structures and how they can result in patient safety. Other factors that were included in the incident were disjointed communication, weaknesses in the digital decision support, workforce stresses, and poorly functioning systems to warn about the looming dangers. </w:t>
      </w:r>
    </w:p>
    <w:p w14:paraId="59DB5428" w14:textId="77777777" w:rsidR="00841424" w:rsidRPr="003D3C12" w:rsidRDefault="00841424" w:rsidP="00841424">
      <w:pPr>
        <w:rPr>
          <w:rFonts w:ascii="Arial" w:hAnsi="Arial" w:cs="Arial"/>
          <w:sz w:val="22"/>
          <w:szCs w:val="22"/>
        </w:rPr>
      </w:pPr>
      <w:r w:rsidRPr="003D3C12">
        <w:rPr>
          <w:rFonts w:ascii="Arial" w:hAnsi="Arial" w:cs="Arial"/>
          <w:sz w:val="22"/>
          <w:szCs w:val="22"/>
        </w:rPr>
        <w:t>Consequently, enhancing safety demands organizations be beyond personal responsibility and re-engineer frameworks that enable dependable decision-making.</w:t>
      </w:r>
    </w:p>
    <w:p w14:paraId="4E3855C7" w14:textId="77777777" w:rsidR="00841424" w:rsidRPr="003D3C12" w:rsidRDefault="00841424" w:rsidP="00841424">
      <w:pPr>
        <w:rPr>
          <w:rFonts w:ascii="Arial" w:hAnsi="Arial" w:cs="Arial"/>
          <w:sz w:val="22"/>
          <w:szCs w:val="22"/>
        </w:rPr>
      </w:pPr>
      <w:r w:rsidRPr="003D3C12">
        <w:rPr>
          <w:rFonts w:ascii="Arial" w:hAnsi="Arial" w:cs="Arial"/>
          <w:sz w:val="22"/>
          <w:szCs w:val="22"/>
        </w:rPr>
        <w:t>The best practices in healthcare change are good governance, evidence-based leadership, and lifelong learning. Digitizing, expanding the accountability channels, involving stakeholders, and active use of safety data will help businesses to improve the level of technical and allocative efficiency, thus minimizing the amount of preventable harm. The learning principle here is that more fortified systems are built up by a blend of leadership, governance, and frontline practice to help identify the potential risks in the system at an early stage and in making sure the quality and reliability of care keep growing.</w:t>
      </w:r>
    </w:p>
    <w:p w14:paraId="623F9C91" w14:textId="77777777" w:rsidR="00841424" w:rsidRPr="003D3C12" w:rsidRDefault="00841424" w:rsidP="00841424">
      <w:pPr>
        <w:rPr>
          <w:rFonts w:ascii="Arial" w:hAnsi="Arial" w:cs="Arial"/>
          <w:sz w:val="22"/>
          <w:szCs w:val="22"/>
        </w:rPr>
      </w:pPr>
    </w:p>
    <w:p w14:paraId="3D664862" w14:textId="77777777" w:rsidR="00841424" w:rsidRPr="003D3C12" w:rsidRDefault="00841424" w:rsidP="00841424">
      <w:pPr>
        <w:rPr>
          <w:rFonts w:ascii="Arial" w:hAnsi="Arial" w:cs="Arial"/>
          <w:sz w:val="22"/>
          <w:szCs w:val="22"/>
        </w:rPr>
      </w:pPr>
      <w:r w:rsidRPr="003D3C12">
        <w:rPr>
          <w:rFonts w:ascii="Arial" w:hAnsi="Arial" w:cs="Arial"/>
          <w:sz w:val="22"/>
          <w:szCs w:val="22"/>
        </w:rPr>
        <w:br w:type="page"/>
      </w:r>
    </w:p>
    <w:p w14:paraId="17F3AC0C" w14:textId="77777777" w:rsidR="00841424" w:rsidRPr="003D3C12" w:rsidRDefault="00841424" w:rsidP="00841424">
      <w:pPr>
        <w:ind w:firstLine="0"/>
        <w:jc w:val="center"/>
        <w:rPr>
          <w:rFonts w:ascii="Arial" w:hAnsi="Arial" w:cs="Arial"/>
          <w:sz w:val="22"/>
          <w:szCs w:val="22"/>
        </w:rPr>
      </w:pPr>
      <w:r w:rsidRPr="003D3C12">
        <w:rPr>
          <w:rFonts w:ascii="Arial" w:hAnsi="Arial" w:cs="Arial"/>
          <w:sz w:val="22"/>
          <w:szCs w:val="22"/>
        </w:rPr>
        <w:lastRenderedPageBreak/>
        <w:t>References</w:t>
      </w:r>
    </w:p>
    <w:p w14:paraId="7A1C1708"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Ali, M., Iyiola, K., Alzubi, A., and Aljuhmani, H.Y., 2025. Using safety-specific transformational leadership to improve safety behavior among construction workers: Exploring the role of knowledge sharing and psychological safety.  </w:t>
      </w:r>
      <w:r w:rsidRPr="003D3C12">
        <w:rPr>
          <w:rFonts w:ascii="Arial" w:hAnsi="Arial" w:cs="Arial"/>
          <w:i/>
          <w:iCs/>
          <w:sz w:val="22"/>
          <w:szCs w:val="22"/>
        </w:rPr>
        <w:t>Buildings</w:t>
      </w:r>
      <w:r w:rsidRPr="003D3C12">
        <w:rPr>
          <w:rFonts w:ascii="Arial" w:hAnsi="Arial" w:cs="Arial"/>
          <w:sz w:val="22"/>
          <w:szCs w:val="22"/>
        </w:rPr>
        <w:t>, </w:t>
      </w:r>
      <w:r w:rsidRPr="003D3C12">
        <w:rPr>
          <w:rFonts w:ascii="Arial" w:hAnsi="Arial" w:cs="Arial"/>
          <w:i/>
          <w:iCs/>
          <w:sz w:val="22"/>
          <w:szCs w:val="22"/>
        </w:rPr>
        <w:t>15</w:t>
      </w:r>
      <w:r w:rsidRPr="003D3C12">
        <w:rPr>
          <w:rFonts w:ascii="Arial" w:hAnsi="Arial" w:cs="Arial"/>
          <w:sz w:val="22"/>
          <w:szCs w:val="22"/>
        </w:rPr>
        <w:t xml:space="preserve">(18), p.3340. </w:t>
      </w:r>
      <w:hyperlink r:id="rId5" w:tgtFrame="_blank" w:history="1">
        <w:r w:rsidRPr="003D3C12">
          <w:rPr>
            <w:rStyle w:val="Hyperlink"/>
            <w:rFonts w:ascii="Arial" w:hAnsi="Arial" w:cs="Arial"/>
            <w:sz w:val="22"/>
            <w:szCs w:val="22"/>
          </w:rPr>
          <w:t>https://doi.org/10.3390/buildings15183340</w:t>
        </w:r>
      </w:hyperlink>
    </w:p>
    <w:p w14:paraId="22AC8379"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Aridi, A. S. 2025. Need for Executive Leadership Coaching in Public Health, Healthcare Administration, Public Safety Crisis Management, and Healthcare Humanitarian Relief.  </w:t>
      </w:r>
      <w:r w:rsidRPr="003D3C12">
        <w:rPr>
          <w:rFonts w:ascii="Arial" w:hAnsi="Arial" w:cs="Arial"/>
          <w:i/>
          <w:iCs/>
          <w:sz w:val="22"/>
          <w:szCs w:val="22"/>
        </w:rPr>
        <w:t>Health Economics and Management Review</w:t>
      </w:r>
      <w:r w:rsidRPr="003D3C12">
        <w:rPr>
          <w:rFonts w:ascii="Arial" w:hAnsi="Arial" w:cs="Arial"/>
          <w:sz w:val="22"/>
          <w:szCs w:val="22"/>
        </w:rPr>
        <w:t>, </w:t>
      </w:r>
      <w:r w:rsidRPr="003D3C12">
        <w:rPr>
          <w:rFonts w:ascii="Arial" w:hAnsi="Arial" w:cs="Arial"/>
          <w:i/>
          <w:iCs/>
          <w:sz w:val="22"/>
          <w:szCs w:val="22"/>
        </w:rPr>
        <w:t>6</w:t>
      </w:r>
      <w:r w:rsidRPr="003D3C12">
        <w:rPr>
          <w:rFonts w:ascii="Arial" w:hAnsi="Arial" w:cs="Arial"/>
          <w:sz w:val="22"/>
          <w:szCs w:val="22"/>
        </w:rPr>
        <w:t xml:space="preserve">(2), 76-94. </w:t>
      </w:r>
      <w:hyperlink r:id="rId6" w:tgtFrame="_blank" w:history="1">
        <w:r w:rsidRPr="003D3C12">
          <w:rPr>
            <w:rStyle w:val="Hyperlink"/>
            <w:rFonts w:ascii="Arial" w:hAnsi="Arial" w:cs="Arial"/>
            <w:sz w:val="22"/>
            <w:szCs w:val="22"/>
          </w:rPr>
          <w:t>https://doi.org/10.61093/hem.2025.2-06</w:t>
        </w:r>
      </w:hyperlink>
    </w:p>
    <w:p w14:paraId="4F3C6C48"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Bass, A.E., Milosevic, I., Uhl-Bien, M., and Nadkarni, S., 2022. Shared accountability in distributed leadership for improved healthcare access: a study of a US dental institution.  </w:t>
      </w:r>
      <w:r w:rsidRPr="003D3C12">
        <w:rPr>
          <w:rFonts w:ascii="Arial" w:hAnsi="Arial" w:cs="Arial"/>
          <w:i/>
          <w:iCs/>
          <w:sz w:val="22"/>
          <w:szCs w:val="22"/>
        </w:rPr>
        <w:t>Leadership in Health Services</w:t>
      </w:r>
      <w:r w:rsidRPr="003D3C12">
        <w:rPr>
          <w:rFonts w:ascii="Arial" w:hAnsi="Arial" w:cs="Arial"/>
          <w:sz w:val="22"/>
          <w:szCs w:val="22"/>
        </w:rPr>
        <w:t>, </w:t>
      </w:r>
      <w:r w:rsidRPr="003D3C12">
        <w:rPr>
          <w:rFonts w:ascii="Arial" w:hAnsi="Arial" w:cs="Arial"/>
          <w:i/>
          <w:iCs/>
          <w:sz w:val="22"/>
          <w:szCs w:val="22"/>
        </w:rPr>
        <w:t>35(4), pp.</w:t>
      </w:r>
      <w:r w:rsidRPr="003D3C12">
        <w:rPr>
          <w:rFonts w:ascii="Arial" w:hAnsi="Arial" w:cs="Arial"/>
          <w:sz w:val="22"/>
          <w:szCs w:val="22"/>
        </w:rPr>
        <w:t xml:space="preserve"> 595-610. </w:t>
      </w:r>
      <w:hyperlink r:id="rId7" w:tgtFrame="_blank" w:history="1">
        <w:r w:rsidRPr="003D3C12">
          <w:rPr>
            <w:rStyle w:val="Hyperlink"/>
            <w:rFonts w:ascii="Arial" w:hAnsi="Arial" w:cs="Arial"/>
            <w:sz w:val="22"/>
            <w:szCs w:val="22"/>
          </w:rPr>
          <w:t>https://doi.org/10.1108/LHS-03-2022-0019</w:t>
        </w:r>
      </w:hyperlink>
    </w:p>
    <w:p w14:paraId="5C12F041"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Charan, G.S., Kalia, R., Dular, S.K., Kumar, R., and Kaur, K., 2025. Challenges faced by doctors and nurses in the emergency department: An integrated review.  </w:t>
      </w:r>
      <w:r w:rsidRPr="003D3C12">
        <w:rPr>
          <w:rFonts w:ascii="Arial" w:hAnsi="Arial" w:cs="Arial"/>
          <w:i/>
          <w:iCs/>
          <w:sz w:val="22"/>
          <w:szCs w:val="22"/>
        </w:rPr>
        <w:t>Journal of Education and Health Promotion</w:t>
      </w:r>
      <w:r w:rsidRPr="003D3C12">
        <w:rPr>
          <w:rFonts w:ascii="Arial" w:hAnsi="Arial" w:cs="Arial"/>
          <w:sz w:val="22"/>
          <w:szCs w:val="22"/>
        </w:rPr>
        <w:t>, </w:t>
      </w:r>
      <w:r w:rsidRPr="003D3C12">
        <w:rPr>
          <w:rFonts w:ascii="Arial" w:hAnsi="Arial" w:cs="Arial"/>
          <w:i/>
          <w:iCs/>
          <w:sz w:val="22"/>
          <w:szCs w:val="22"/>
        </w:rPr>
        <w:t>14</w:t>
      </w:r>
      <w:r w:rsidRPr="003D3C12">
        <w:rPr>
          <w:rFonts w:ascii="Arial" w:hAnsi="Arial" w:cs="Arial"/>
          <w:sz w:val="22"/>
          <w:szCs w:val="22"/>
        </w:rPr>
        <w:t xml:space="preserve">, p.2. </w:t>
      </w:r>
      <w:hyperlink r:id="rId8" w:tgtFrame="_blank" w:history="1">
        <w:r w:rsidRPr="003D3C12">
          <w:rPr>
            <w:rStyle w:val="Hyperlink"/>
            <w:rFonts w:ascii="Arial" w:hAnsi="Arial" w:cs="Arial"/>
            <w:sz w:val="22"/>
            <w:szCs w:val="22"/>
          </w:rPr>
          <w:t>https://doi.org/10.4103/jehp.jehp_462_24</w:t>
        </w:r>
      </w:hyperlink>
    </w:p>
    <w:p w14:paraId="5D97CF3E"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Curșeu, P.L., van Rijswijk, J., and Schruijer, S.G., 2025. Collaborative and shared leadership dynamics in healthcare action teams: A systematic literature review.  </w:t>
      </w:r>
      <w:r w:rsidRPr="003D3C12">
        <w:rPr>
          <w:rFonts w:ascii="Arial" w:hAnsi="Arial" w:cs="Arial"/>
          <w:i/>
          <w:iCs/>
          <w:sz w:val="22"/>
          <w:szCs w:val="22"/>
        </w:rPr>
        <w:t>Journal of Healthcare Leadership</w:t>
      </w:r>
      <w:r w:rsidRPr="003D3C12">
        <w:rPr>
          <w:rFonts w:ascii="Arial" w:hAnsi="Arial" w:cs="Arial"/>
          <w:sz w:val="22"/>
          <w:szCs w:val="22"/>
        </w:rPr>
        <w:t xml:space="preserve">, pp. 877-899. </w:t>
      </w:r>
      <w:hyperlink r:id="rId9" w:tgtFrame="_blank" w:history="1">
        <w:r w:rsidRPr="003D3C12">
          <w:rPr>
            <w:rStyle w:val="Hyperlink"/>
            <w:rFonts w:ascii="Arial" w:hAnsi="Arial" w:cs="Arial"/>
            <w:sz w:val="22"/>
            <w:szCs w:val="22"/>
          </w:rPr>
          <w:t>https://doi.org/10.2147/JHL.S520534</w:t>
        </w:r>
      </w:hyperlink>
    </w:p>
    <w:p w14:paraId="23F6715D"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Ejaz, U., Frank, M., Emmanuel, J., and Luz, A., 2024. "Leadership in Strategic Transformation for Healthcare Organizations.” </w:t>
      </w:r>
      <w:hyperlink r:id="rId10" w:tgtFrame="_blank" w:history="1">
        <w:r w:rsidRPr="003D3C12">
          <w:rPr>
            <w:rStyle w:val="Hyperlink"/>
            <w:rFonts w:ascii="Arial" w:hAnsi="Arial" w:cs="Arial"/>
            <w:sz w:val="22"/>
            <w:szCs w:val="22"/>
          </w:rPr>
          <w:t>https://www.researchgate.net/profile/Umair-Ejaz-3/publication/387890007_Leadership_in_Strategic_Transformation_for_Healthcare_Organizations/links/6780d4ba18ad70589ea7c5e7/Leadership-in-Strategic-Transformation-for-Healthcare-Organizations.pdf</w:t>
        </w:r>
      </w:hyperlink>
    </w:p>
    <w:p w14:paraId="4067CF95"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Finn, M., Walsh, A., Rafter, N., Mellon, L., Chong, H.Y., Naji, A., O'Brien, N., Williams, D.J., and McCarthy, S.E., 2024. Effect of interventions to improve safety culture on healthcare </w:t>
      </w:r>
      <w:r w:rsidRPr="003D3C12">
        <w:rPr>
          <w:rFonts w:ascii="Arial" w:hAnsi="Arial" w:cs="Arial"/>
          <w:sz w:val="22"/>
          <w:szCs w:val="22"/>
        </w:rPr>
        <w:lastRenderedPageBreak/>
        <w:t xml:space="preserve">workers in hospital settings: a systematic review of </w:t>
      </w:r>
      <w:proofErr w:type="gramStart"/>
      <w:r w:rsidRPr="003D3C12">
        <w:rPr>
          <w:rFonts w:ascii="Arial" w:hAnsi="Arial" w:cs="Arial"/>
          <w:sz w:val="22"/>
          <w:szCs w:val="22"/>
        </w:rPr>
        <w:t>the international</w:t>
      </w:r>
      <w:proofErr w:type="gramEnd"/>
      <w:r w:rsidRPr="003D3C12">
        <w:rPr>
          <w:rFonts w:ascii="Arial" w:hAnsi="Arial" w:cs="Arial"/>
          <w:sz w:val="22"/>
          <w:szCs w:val="22"/>
        </w:rPr>
        <w:t xml:space="preserve"> literature.  </w:t>
      </w:r>
      <w:r w:rsidRPr="003D3C12">
        <w:rPr>
          <w:rFonts w:ascii="Arial" w:hAnsi="Arial" w:cs="Arial"/>
          <w:i/>
          <w:iCs/>
          <w:sz w:val="22"/>
          <w:szCs w:val="22"/>
        </w:rPr>
        <w:t>BMJ open quality</w:t>
      </w:r>
      <w:r w:rsidRPr="003D3C12">
        <w:rPr>
          <w:rFonts w:ascii="Arial" w:hAnsi="Arial" w:cs="Arial"/>
          <w:sz w:val="22"/>
          <w:szCs w:val="22"/>
        </w:rPr>
        <w:t>, </w:t>
      </w:r>
      <w:r w:rsidRPr="003D3C12">
        <w:rPr>
          <w:rFonts w:ascii="Arial" w:hAnsi="Arial" w:cs="Arial"/>
          <w:i/>
          <w:iCs/>
          <w:sz w:val="22"/>
          <w:szCs w:val="22"/>
        </w:rPr>
        <w:t>13</w:t>
      </w:r>
      <w:r w:rsidRPr="003D3C12">
        <w:rPr>
          <w:rFonts w:ascii="Arial" w:hAnsi="Arial" w:cs="Arial"/>
          <w:sz w:val="22"/>
          <w:szCs w:val="22"/>
        </w:rPr>
        <w:t xml:space="preserve">(2), p.e002506. </w:t>
      </w:r>
      <w:hyperlink r:id="rId11" w:tgtFrame="_blank" w:history="1">
        <w:r w:rsidRPr="003D3C12">
          <w:rPr>
            <w:rStyle w:val="Hyperlink"/>
            <w:rFonts w:ascii="Arial" w:hAnsi="Arial" w:cs="Arial"/>
            <w:sz w:val="22"/>
            <w:szCs w:val="22"/>
          </w:rPr>
          <w:t>https://bmjopenquality.bmj.com/content/13/2/e002506</w:t>
        </w:r>
      </w:hyperlink>
    </w:p>
    <w:p w14:paraId="699355F4"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Ghallab, A. and Sallam, F., 2026. The Effect of Situational Leadership on Healthcare Service Quality Through Crisis Management and Resources Availability: The Moderating Role of Leader Experience.  </w:t>
      </w:r>
      <w:r w:rsidRPr="003D3C12">
        <w:rPr>
          <w:rFonts w:ascii="Arial" w:hAnsi="Arial" w:cs="Arial"/>
          <w:i/>
          <w:iCs/>
          <w:sz w:val="22"/>
          <w:szCs w:val="22"/>
        </w:rPr>
        <w:t>Risk Management and Healthcare Policy</w:t>
      </w:r>
      <w:r w:rsidRPr="003D3C12">
        <w:rPr>
          <w:rFonts w:ascii="Arial" w:hAnsi="Arial" w:cs="Arial"/>
          <w:sz w:val="22"/>
          <w:szCs w:val="22"/>
        </w:rPr>
        <w:t xml:space="preserve">, p. 589078. </w:t>
      </w:r>
      <w:hyperlink r:id="rId12" w:tgtFrame="_blank" w:history="1">
        <w:r w:rsidRPr="003D3C12">
          <w:rPr>
            <w:rStyle w:val="Hyperlink"/>
            <w:rFonts w:ascii="Arial" w:hAnsi="Arial" w:cs="Arial"/>
            <w:sz w:val="22"/>
            <w:szCs w:val="22"/>
          </w:rPr>
          <w:t>https://doi.org/10.2147/RMHP.S589078</w:t>
        </w:r>
      </w:hyperlink>
    </w:p>
    <w:p w14:paraId="54554EC7"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Gurses, A.P., Sousane, Z., and Mossburg, S., 2024. Communication during transitions of care.  </w:t>
      </w:r>
      <w:r w:rsidRPr="003D3C12">
        <w:rPr>
          <w:rFonts w:ascii="Arial" w:hAnsi="Arial" w:cs="Arial"/>
          <w:i/>
          <w:iCs/>
          <w:sz w:val="22"/>
          <w:szCs w:val="22"/>
        </w:rPr>
        <w:t>Communication During Transitions of Care</w:t>
      </w:r>
      <w:r w:rsidRPr="003D3C12">
        <w:rPr>
          <w:rFonts w:ascii="Arial" w:hAnsi="Arial" w:cs="Arial"/>
          <w:sz w:val="22"/>
          <w:szCs w:val="22"/>
        </w:rPr>
        <w:t xml:space="preserve">. </w:t>
      </w:r>
      <w:hyperlink r:id="rId13" w:tgtFrame="_blank" w:history="1">
        <w:r w:rsidRPr="003D3C12">
          <w:rPr>
            <w:rStyle w:val="Hyperlink"/>
            <w:rFonts w:ascii="Arial" w:hAnsi="Arial" w:cs="Arial"/>
            <w:sz w:val="22"/>
            <w:szCs w:val="22"/>
          </w:rPr>
          <w:t>https://psnet.ahrq.gov/perspective/communication-during-transitions-care</w:t>
        </w:r>
      </w:hyperlink>
    </w:p>
    <w:p w14:paraId="67BBF9AA"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Hedqvist, A.T., Praetorius, G., Ekstedt, M., and Lindberg, C., 2025. Entangled in complexity: An ethnographic study of organizational adaptability and safe care transitions for patients with complex care needs.  </w:t>
      </w:r>
      <w:r w:rsidRPr="003D3C12">
        <w:rPr>
          <w:rFonts w:ascii="Arial" w:hAnsi="Arial" w:cs="Arial"/>
          <w:i/>
          <w:iCs/>
          <w:sz w:val="22"/>
          <w:szCs w:val="22"/>
        </w:rPr>
        <w:t>Journal of Advanced Nursing</w:t>
      </w:r>
      <w:r w:rsidRPr="003D3C12">
        <w:rPr>
          <w:rFonts w:ascii="Arial" w:hAnsi="Arial" w:cs="Arial"/>
          <w:sz w:val="22"/>
          <w:szCs w:val="22"/>
        </w:rPr>
        <w:t>, </w:t>
      </w:r>
      <w:r w:rsidRPr="003D3C12">
        <w:rPr>
          <w:rFonts w:ascii="Arial" w:hAnsi="Arial" w:cs="Arial"/>
          <w:i/>
          <w:iCs/>
          <w:sz w:val="22"/>
          <w:szCs w:val="22"/>
        </w:rPr>
        <w:t>81</w:t>
      </w:r>
      <w:r w:rsidRPr="003D3C12">
        <w:rPr>
          <w:rFonts w:ascii="Arial" w:hAnsi="Arial" w:cs="Arial"/>
          <w:sz w:val="22"/>
          <w:szCs w:val="22"/>
        </w:rPr>
        <w:t xml:space="preserve">(9), pp.5528-5545. </w:t>
      </w:r>
      <w:hyperlink r:id="rId14" w:tgtFrame="_blank" w:history="1">
        <w:r w:rsidRPr="003D3C12">
          <w:rPr>
            <w:rStyle w:val="Hyperlink"/>
            <w:rFonts w:ascii="Arial" w:hAnsi="Arial" w:cs="Arial"/>
            <w:sz w:val="22"/>
            <w:szCs w:val="22"/>
          </w:rPr>
          <w:t>https://doi.org/10.1111/jan.16203</w:t>
        </w:r>
      </w:hyperlink>
    </w:p>
    <w:p w14:paraId="3165D2A3"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Hejazi, M. E., Alizadeh-Dizaj, G., Khoshsirat, S., Raoofi, S., &amp; Javan Biparva, A. (2026). Exploring collaborative strategies to improve patient safety in healthcare organizations: A qualitative study.  </w:t>
      </w:r>
      <w:r w:rsidRPr="003D3C12">
        <w:rPr>
          <w:rFonts w:ascii="Arial" w:hAnsi="Arial" w:cs="Arial"/>
          <w:i/>
          <w:iCs/>
          <w:sz w:val="22"/>
          <w:szCs w:val="22"/>
        </w:rPr>
        <w:t>Plos one</w:t>
      </w:r>
      <w:r w:rsidRPr="003D3C12">
        <w:rPr>
          <w:rFonts w:ascii="Arial" w:hAnsi="Arial" w:cs="Arial"/>
          <w:sz w:val="22"/>
          <w:szCs w:val="22"/>
        </w:rPr>
        <w:t>, </w:t>
      </w:r>
      <w:r w:rsidRPr="003D3C12">
        <w:rPr>
          <w:rFonts w:ascii="Arial" w:hAnsi="Arial" w:cs="Arial"/>
          <w:i/>
          <w:iCs/>
          <w:sz w:val="22"/>
          <w:szCs w:val="22"/>
        </w:rPr>
        <w:t>21</w:t>
      </w:r>
      <w:r w:rsidRPr="003D3C12">
        <w:rPr>
          <w:rFonts w:ascii="Arial" w:hAnsi="Arial" w:cs="Arial"/>
          <w:sz w:val="22"/>
          <w:szCs w:val="22"/>
        </w:rPr>
        <w:t xml:space="preserve">(1), e0341022. </w:t>
      </w:r>
      <w:hyperlink r:id="rId15" w:tgtFrame="_blank" w:history="1">
        <w:r w:rsidRPr="003D3C12">
          <w:rPr>
            <w:rStyle w:val="Hyperlink"/>
            <w:rFonts w:ascii="Arial" w:hAnsi="Arial" w:cs="Arial"/>
            <w:sz w:val="22"/>
            <w:szCs w:val="22"/>
          </w:rPr>
          <w:t>https://doi.org/10.1371/journal.pone.0341022</w:t>
        </w:r>
      </w:hyperlink>
    </w:p>
    <w:p w14:paraId="2A4E95ED"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Khalil, H. and Lakhani, A., 2022. Using systems thinking methodologies to address health care complexities and evidence implementation.  </w:t>
      </w:r>
      <w:r w:rsidRPr="003D3C12">
        <w:rPr>
          <w:rFonts w:ascii="Arial" w:hAnsi="Arial" w:cs="Arial"/>
          <w:i/>
          <w:iCs/>
          <w:sz w:val="22"/>
          <w:szCs w:val="22"/>
        </w:rPr>
        <w:t>JBI evidence implementation</w:t>
      </w:r>
      <w:r w:rsidRPr="003D3C12">
        <w:rPr>
          <w:rFonts w:ascii="Arial" w:hAnsi="Arial" w:cs="Arial"/>
          <w:sz w:val="22"/>
          <w:szCs w:val="22"/>
        </w:rPr>
        <w:t>, </w:t>
      </w:r>
      <w:r w:rsidRPr="003D3C12">
        <w:rPr>
          <w:rFonts w:ascii="Arial" w:hAnsi="Arial" w:cs="Arial"/>
          <w:i/>
          <w:iCs/>
          <w:sz w:val="22"/>
          <w:szCs w:val="22"/>
        </w:rPr>
        <w:t>20</w:t>
      </w:r>
      <w:r w:rsidRPr="003D3C12">
        <w:rPr>
          <w:rFonts w:ascii="Arial" w:hAnsi="Arial" w:cs="Arial"/>
          <w:sz w:val="22"/>
          <w:szCs w:val="22"/>
        </w:rPr>
        <w:t xml:space="preserve">(1), pp.3-9. </w:t>
      </w:r>
      <w:hyperlink r:id="rId16" w:tgtFrame="_blank" w:history="1">
        <w:r w:rsidRPr="003D3C12">
          <w:rPr>
            <w:rStyle w:val="Hyperlink"/>
            <w:rFonts w:ascii="Arial" w:hAnsi="Arial" w:cs="Arial"/>
            <w:sz w:val="22"/>
            <w:szCs w:val="22"/>
          </w:rPr>
          <w:t>https://doi.org/10.1097/XEB.0000000000000303</w:t>
        </w:r>
      </w:hyperlink>
    </w:p>
    <w:p w14:paraId="23DA6F5B"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Lundhaug, K., Faxvaag, A., Stokke, R., and Andreassen, H.K., 2025. Collaboration routines and workflows in a national electronic prescription system: Qualitative study.  </w:t>
      </w:r>
      <w:r w:rsidRPr="003D3C12">
        <w:rPr>
          <w:rFonts w:ascii="Arial" w:hAnsi="Arial" w:cs="Arial"/>
          <w:i/>
          <w:iCs/>
          <w:sz w:val="22"/>
          <w:szCs w:val="22"/>
        </w:rPr>
        <w:t>Journal of Medical Internet Research</w:t>
      </w:r>
      <w:r w:rsidRPr="003D3C12">
        <w:rPr>
          <w:rFonts w:ascii="Arial" w:hAnsi="Arial" w:cs="Arial"/>
          <w:sz w:val="22"/>
          <w:szCs w:val="22"/>
        </w:rPr>
        <w:t>, </w:t>
      </w:r>
      <w:r w:rsidRPr="003D3C12">
        <w:rPr>
          <w:rFonts w:ascii="Arial" w:hAnsi="Arial" w:cs="Arial"/>
          <w:i/>
          <w:iCs/>
          <w:sz w:val="22"/>
          <w:szCs w:val="22"/>
        </w:rPr>
        <w:t>27</w:t>
      </w:r>
      <w:r w:rsidRPr="003D3C12">
        <w:rPr>
          <w:rFonts w:ascii="Arial" w:hAnsi="Arial" w:cs="Arial"/>
          <w:sz w:val="22"/>
          <w:szCs w:val="22"/>
        </w:rPr>
        <w:t xml:space="preserve">, p.e56558. </w:t>
      </w:r>
      <w:hyperlink r:id="rId17" w:tgtFrame="_blank" w:history="1">
        <w:r w:rsidRPr="003D3C12">
          <w:rPr>
            <w:rStyle w:val="Hyperlink"/>
            <w:rFonts w:ascii="Arial" w:hAnsi="Arial" w:cs="Arial"/>
            <w:sz w:val="22"/>
            <w:szCs w:val="22"/>
          </w:rPr>
          <w:t>https://doi.org/10.2196/56558</w:t>
        </w:r>
      </w:hyperlink>
    </w:p>
    <w:p w14:paraId="0DEEA9C3"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Mapani, A., 2023. Distributed leadership: A new perspective on leadership in driving innovation and transformation in healthcare.  </w:t>
      </w:r>
      <w:r w:rsidRPr="003D3C12">
        <w:rPr>
          <w:rFonts w:ascii="Arial" w:hAnsi="Arial" w:cs="Arial"/>
          <w:i/>
          <w:iCs/>
          <w:sz w:val="22"/>
          <w:szCs w:val="22"/>
        </w:rPr>
        <w:t>Hospital Administration and Medical Practices</w:t>
      </w:r>
      <w:r w:rsidRPr="003D3C12">
        <w:rPr>
          <w:rFonts w:ascii="Arial" w:hAnsi="Arial" w:cs="Arial"/>
          <w:sz w:val="22"/>
          <w:szCs w:val="22"/>
        </w:rPr>
        <w:t>, </w:t>
      </w:r>
      <w:r w:rsidRPr="003D3C12">
        <w:rPr>
          <w:rFonts w:ascii="Arial" w:hAnsi="Arial" w:cs="Arial"/>
          <w:i/>
          <w:iCs/>
          <w:sz w:val="22"/>
          <w:szCs w:val="22"/>
        </w:rPr>
        <w:t>2</w:t>
      </w:r>
      <w:r w:rsidRPr="003D3C12">
        <w:rPr>
          <w:rFonts w:ascii="Arial" w:hAnsi="Arial" w:cs="Arial"/>
          <w:sz w:val="22"/>
          <w:szCs w:val="22"/>
        </w:rPr>
        <w:t xml:space="preserve">. </w:t>
      </w:r>
      <w:hyperlink r:id="rId18" w:tgtFrame="_blank" w:history="1">
        <w:r w:rsidRPr="003D3C12">
          <w:rPr>
            <w:rStyle w:val="Hyperlink"/>
            <w:rFonts w:ascii="Arial" w:hAnsi="Arial" w:cs="Arial"/>
            <w:sz w:val="22"/>
            <w:szCs w:val="22"/>
          </w:rPr>
          <w:t>https://doi.org/10.54844/hamp.2022.0020</w:t>
        </w:r>
      </w:hyperlink>
    </w:p>
    <w:p w14:paraId="17F35E0E"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lastRenderedPageBreak/>
        <w:t xml:space="preserve">Motshweneng, O. and Gilson, L., 2026. Responsibility without autonomy: exploring the emergence of distributed leadership in a district hospital of the Western Cape province, South Africa.  </w:t>
      </w:r>
      <w:r w:rsidRPr="003D3C12">
        <w:rPr>
          <w:rFonts w:ascii="Arial" w:hAnsi="Arial" w:cs="Arial"/>
          <w:i/>
          <w:iCs/>
          <w:sz w:val="22"/>
          <w:szCs w:val="22"/>
        </w:rPr>
        <w:t>Health policy and planning</w:t>
      </w:r>
      <w:r w:rsidRPr="003D3C12">
        <w:rPr>
          <w:rFonts w:ascii="Arial" w:hAnsi="Arial" w:cs="Arial"/>
          <w:sz w:val="22"/>
          <w:szCs w:val="22"/>
        </w:rPr>
        <w:t>, </w:t>
      </w:r>
      <w:r w:rsidRPr="003D3C12">
        <w:rPr>
          <w:rFonts w:ascii="Arial" w:hAnsi="Arial" w:cs="Arial"/>
          <w:i/>
          <w:iCs/>
          <w:sz w:val="22"/>
          <w:szCs w:val="22"/>
        </w:rPr>
        <w:t>41</w:t>
      </w:r>
      <w:r w:rsidRPr="003D3C12">
        <w:rPr>
          <w:rFonts w:ascii="Arial" w:hAnsi="Arial" w:cs="Arial"/>
          <w:sz w:val="22"/>
          <w:szCs w:val="22"/>
        </w:rPr>
        <w:t xml:space="preserve">(2), pp. 213-224. </w:t>
      </w:r>
      <w:hyperlink r:id="rId19" w:tgtFrame="_blank" w:history="1">
        <w:r w:rsidRPr="003D3C12">
          <w:rPr>
            <w:rStyle w:val="Hyperlink"/>
            <w:rFonts w:ascii="Arial" w:hAnsi="Arial" w:cs="Arial"/>
            <w:sz w:val="22"/>
            <w:szCs w:val="22"/>
          </w:rPr>
          <w:t>https://doi.org/10.1093/heapol/czaf094</w:t>
        </w:r>
      </w:hyperlink>
    </w:p>
    <w:p w14:paraId="6E6C0C1C"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Nanjundeswaraswamy, T. S., Nagesh, P., Bharath, S., and Vignesh, K. M. 2024. Leadership theories and styles—a systematic literature review and narrative synthesis.  </w:t>
      </w:r>
      <w:r w:rsidRPr="003D3C12">
        <w:rPr>
          <w:rFonts w:ascii="Arial" w:hAnsi="Arial" w:cs="Arial"/>
          <w:i/>
          <w:iCs/>
          <w:sz w:val="22"/>
          <w:szCs w:val="22"/>
        </w:rPr>
        <w:t>Human Resources Management and Services</w:t>
      </w:r>
      <w:r w:rsidRPr="003D3C12">
        <w:rPr>
          <w:rFonts w:ascii="Arial" w:hAnsi="Arial" w:cs="Arial"/>
          <w:sz w:val="22"/>
          <w:szCs w:val="22"/>
        </w:rPr>
        <w:t>, </w:t>
      </w:r>
      <w:r w:rsidRPr="003D3C12">
        <w:rPr>
          <w:rFonts w:ascii="Arial" w:hAnsi="Arial" w:cs="Arial"/>
          <w:i/>
          <w:iCs/>
          <w:sz w:val="22"/>
          <w:szCs w:val="22"/>
        </w:rPr>
        <w:t>6</w:t>
      </w:r>
      <w:r w:rsidRPr="003D3C12">
        <w:rPr>
          <w:rFonts w:ascii="Arial" w:hAnsi="Arial" w:cs="Arial"/>
          <w:sz w:val="22"/>
          <w:szCs w:val="22"/>
        </w:rPr>
        <w:t xml:space="preserve">(3), 3477-3477. </w:t>
      </w:r>
      <w:hyperlink r:id="rId20" w:tgtFrame="_blank" w:history="1">
        <w:r w:rsidRPr="003D3C12">
          <w:rPr>
            <w:rStyle w:val="Hyperlink"/>
            <w:rFonts w:ascii="Arial" w:hAnsi="Arial" w:cs="Arial"/>
            <w:sz w:val="22"/>
            <w:szCs w:val="22"/>
          </w:rPr>
          <w:t>https://doi.org/10.18282/hrms.v6i3.3477</w:t>
        </w:r>
      </w:hyperlink>
    </w:p>
    <w:p w14:paraId="421983E2"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Naseralallah, L., Stewart, D., Price, M., and Paudyal, V. 2023. Prevalence, contributing factors, and interventions to reduce medication errors in outpatient and ambulatory settings: a systematic review.  </w:t>
      </w:r>
      <w:r w:rsidRPr="003D3C12">
        <w:rPr>
          <w:rFonts w:ascii="Arial" w:hAnsi="Arial" w:cs="Arial"/>
          <w:i/>
          <w:iCs/>
          <w:sz w:val="22"/>
          <w:szCs w:val="22"/>
        </w:rPr>
        <w:t>International Journal of Clinical Pharmacy,</w:t>
      </w:r>
      <w:r w:rsidRPr="003D3C12">
        <w:rPr>
          <w:rFonts w:ascii="Arial" w:hAnsi="Arial" w:cs="Arial"/>
          <w:sz w:val="22"/>
          <w:szCs w:val="22"/>
        </w:rPr>
        <w:t> </w:t>
      </w:r>
      <w:r w:rsidRPr="003D3C12">
        <w:rPr>
          <w:rFonts w:ascii="Arial" w:hAnsi="Arial" w:cs="Arial"/>
          <w:i/>
          <w:iCs/>
          <w:sz w:val="22"/>
          <w:szCs w:val="22"/>
        </w:rPr>
        <w:t>45</w:t>
      </w:r>
      <w:r w:rsidRPr="003D3C12">
        <w:rPr>
          <w:rFonts w:ascii="Arial" w:hAnsi="Arial" w:cs="Arial"/>
          <w:sz w:val="22"/>
          <w:szCs w:val="22"/>
        </w:rPr>
        <w:t xml:space="preserve">(6), 1359–1377. </w:t>
      </w:r>
      <w:hyperlink r:id="rId21" w:tgtFrame="_blank" w:history="1">
        <w:r w:rsidRPr="003D3C12">
          <w:rPr>
            <w:rStyle w:val="Hyperlink"/>
            <w:rFonts w:ascii="Arial" w:hAnsi="Arial" w:cs="Arial"/>
            <w:sz w:val="22"/>
            <w:szCs w:val="22"/>
          </w:rPr>
          <w:t>https://doi.org/10.1007/s11096-023-01626-5</w:t>
        </w:r>
      </w:hyperlink>
    </w:p>
    <w:p w14:paraId="67E55CBA"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NHS England Digital. 2024. </w:t>
      </w:r>
      <w:r w:rsidRPr="003D3C12">
        <w:rPr>
          <w:rFonts w:ascii="Arial" w:hAnsi="Arial" w:cs="Arial"/>
          <w:i/>
          <w:iCs/>
          <w:sz w:val="22"/>
          <w:szCs w:val="22"/>
        </w:rPr>
        <w:t>NHS Vacancy Statistics, England, April 2015 - September 2024, Experimental Statistics</w:t>
      </w:r>
      <w:r w:rsidRPr="003D3C12">
        <w:rPr>
          <w:rFonts w:ascii="Arial" w:hAnsi="Arial" w:cs="Arial"/>
          <w:sz w:val="22"/>
          <w:szCs w:val="22"/>
        </w:rPr>
        <w:t xml:space="preserve">. </w:t>
      </w:r>
      <w:hyperlink r:id="rId22" w:tgtFrame="_blank" w:history="1">
        <w:r w:rsidRPr="003D3C12">
          <w:rPr>
            <w:rStyle w:val="Hyperlink"/>
            <w:rFonts w:ascii="Arial" w:hAnsi="Arial" w:cs="Arial"/>
            <w:sz w:val="22"/>
            <w:szCs w:val="22"/>
          </w:rPr>
          <w:t>https://digital.nhs.uk/data-and-information/publications/statistical/nhs-vacancies-survey/april-2015---september-2024-experimental-statistics</w:t>
        </w:r>
      </w:hyperlink>
    </w:p>
    <w:p w14:paraId="65232D6D"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NHS England. 2024. </w:t>
      </w:r>
      <w:r w:rsidRPr="003D3C12">
        <w:rPr>
          <w:rFonts w:ascii="Arial" w:hAnsi="Arial" w:cs="Arial"/>
          <w:i/>
          <w:iCs/>
          <w:sz w:val="22"/>
          <w:szCs w:val="22"/>
        </w:rPr>
        <w:t>NHS long-term workforce plan</w:t>
      </w:r>
      <w:r w:rsidRPr="003D3C12">
        <w:rPr>
          <w:rFonts w:ascii="Arial" w:hAnsi="Arial" w:cs="Arial"/>
          <w:sz w:val="22"/>
          <w:szCs w:val="22"/>
        </w:rPr>
        <w:t xml:space="preserve">. </w:t>
      </w:r>
      <w:hyperlink r:id="rId23" w:tgtFrame="_blank" w:history="1">
        <w:r w:rsidRPr="003D3C12">
          <w:rPr>
            <w:rStyle w:val="Hyperlink"/>
            <w:rFonts w:ascii="Arial" w:hAnsi="Arial" w:cs="Arial"/>
            <w:sz w:val="22"/>
            <w:szCs w:val="22"/>
          </w:rPr>
          <w:t>https://www.england.nhs.uk/long-read/nhs-long-term-workforce-plan-2/</w:t>
        </w:r>
      </w:hyperlink>
    </w:p>
    <w:p w14:paraId="119290FB"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NHS England. 2026. </w:t>
      </w:r>
      <w:r w:rsidRPr="003D3C12">
        <w:rPr>
          <w:rFonts w:ascii="Arial" w:hAnsi="Arial" w:cs="Arial"/>
          <w:i/>
          <w:iCs/>
          <w:sz w:val="22"/>
          <w:szCs w:val="22"/>
        </w:rPr>
        <w:t xml:space="preserve">Patient safety and event quarterly publication. </w:t>
      </w:r>
      <w:hyperlink r:id="rId24" w:tgtFrame="_blank" w:history="1">
        <w:r w:rsidRPr="003D3C12">
          <w:rPr>
            <w:rStyle w:val="Hyperlink"/>
            <w:rFonts w:ascii="Arial" w:hAnsi="Arial" w:cs="Arial"/>
            <w:sz w:val="22"/>
            <w:szCs w:val="22"/>
          </w:rPr>
          <w:t>https://www.england.nhs.uk/statistics/statistical-work-areas/patient-safety-data/2025-26/q2/</w:t>
        </w:r>
      </w:hyperlink>
    </w:p>
    <w:p w14:paraId="3ED0B39E"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Ohrling, M., 2026. Having and eating the cake? The centralization paradox in decentralized healthcare governance: a scoping review.  </w:t>
      </w:r>
      <w:r w:rsidRPr="003D3C12">
        <w:rPr>
          <w:rFonts w:ascii="Arial" w:hAnsi="Arial" w:cs="Arial"/>
          <w:i/>
          <w:iCs/>
          <w:sz w:val="22"/>
          <w:szCs w:val="22"/>
        </w:rPr>
        <w:t>BMC Health Services Research</w:t>
      </w:r>
      <w:r w:rsidRPr="003D3C12">
        <w:rPr>
          <w:rFonts w:ascii="Arial" w:hAnsi="Arial" w:cs="Arial"/>
          <w:sz w:val="22"/>
          <w:szCs w:val="22"/>
        </w:rPr>
        <w:t>, </w:t>
      </w:r>
      <w:r w:rsidRPr="003D3C12">
        <w:rPr>
          <w:rFonts w:ascii="Arial" w:hAnsi="Arial" w:cs="Arial"/>
          <w:i/>
          <w:iCs/>
          <w:sz w:val="22"/>
          <w:szCs w:val="22"/>
        </w:rPr>
        <w:t>26</w:t>
      </w:r>
      <w:r w:rsidRPr="003D3C12">
        <w:rPr>
          <w:rFonts w:ascii="Arial" w:hAnsi="Arial" w:cs="Arial"/>
          <w:sz w:val="22"/>
          <w:szCs w:val="22"/>
        </w:rPr>
        <w:t xml:space="preserve">(1), p.1020. </w:t>
      </w:r>
      <w:hyperlink r:id="rId25" w:tgtFrame="_blank" w:history="1">
        <w:r w:rsidRPr="003D3C12">
          <w:rPr>
            <w:rStyle w:val="Hyperlink"/>
            <w:rFonts w:ascii="Arial" w:hAnsi="Arial" w:cs="Arial"/>
            <w:sz w:val="22"/>
            <w:szCs w:val="22"/>
          </w:rPr>
          <w:t>https://doi.org/10.1186/s12913-026-15162-1</w:t>
        </w:r>
      </w:hyperlink>
    </w:p>
    <w:p w14:paraId="67878458"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Pierdevara, L., Porcel-Gálvez, A.M., and Eiras, M., 2025. Adverse events identified by a trigger tool as indicators of patient safety and safety management in a medical </w:t>
      </w:r>
      <w:r w:rsidRPr="003D3C12">
        <w:rPr>
          <w:rFonts w:ascii="Arial" w:hAnsi="Arial" w:cs="Arial"/>
          <w:sz w:val="22"/>
          <w:szCs w:val="22"/>
        </w:rPr>
        <w:lastRenderedPageBreak/>
        <w:t xml:space="preserve">department.  </w:t>
      </w:r>
      <w:r w:rsidRPr="003D3C12">
        <w:rPr>
          <w:rFonts w:ascii="Arial" w:hAnsi="Arial" w:cs="Arial"/>
          <w:i/>
          <w:iCs/>
          <w:sz w:val="22"/>
          <w:szCs w:val="22"/>
        </w:rPr>
        <w:t>Frontiers in Public Health</w:t>
      </w:r>
      <w:r w:rsidRPr="003D3C12">
        <w:rPr>
          <w:rFonts w:ascii="Arial" w:hAnsi="Arial" w:cs="Arial"/>
          <w:sz w:val="22"/>
          <w:szCs w:val="22"/>
        </w:rPr>
        <w:t>, </w:t>
      </w:r>
      <w:r w:rsidRPr="003D3C12">
        <w:rPr>
          <w:rFonts w:ascii="Arial" w:hAnsi="Arial" w:cs="Arial"/>
          <w:i/>
          <w:iCs/>
          <w:sz w:val="22"/>
          <w:szCs w:val="22"/>
        </w:rPr>
        <w:t>13</w:t>
      </w:r>
      <w:r w:rsidRPr="003D3C12">
        <w:rPr>
          <w:rFonts w:ascii="Arial" w:hAnsi="Arial" w:cs="Arial"/>
          <w:sz w:val="22"/>
          <w:szCs w:val="22"/>
        </w:rPr>
        <w:t xml:space="preserve">, p.1711864. </w:t>
      </w:r>
      <w:hyperlink r:id="rId26" w:tgtFrame="_blank" w:history="1">
        <w:r w:rsidRPr="003D3C12">
          <w:rPr>
            <w:rStyle w:val="Hyperlink"/>
            <w:rFonts w:ascii="Arial" w:hAnsi="Arial" w:cs="Arial"/>
            <w:sz w:val="22"/>
            <w:szCs w:val="22"/>
          </w:rPr>
          <w:t>https://doi.org/10.3389/fpubh.2025.1711864</w:t>
        </w:r>
      </w:hyperlink>
    </w:p>
    <w:p w14:paraId="54ED1CE7"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Saenyi, B., Mansour, O., and Keller, C., 2025. Navigating governance </w:t>
      </w:r>
      <w:proofErr w:type="gramStart"/>
      <w:r w:rsidRPr="003D3C12">
        <w:rPr>
          <w:rFonts w:ascii="Arial" w:hAnsi="Arial" w:cs="Arial"/>
          <w:sz w:val="22"/>
          <w:szCs w:val="22"/>
        </w:rPr>
        <w:t>challenges in</w:t>
      </w:r>
      <w:proofErr w:type="gramEnd"/>
      <w:r w:rsidRPr="003D3C12">
        <w:rPr>
          <w:rFonts w:ascii="Arial" w:hAnsi="Arial" w:cs="Arial"/>
          <w:sz w:val="22"/>
          <w:szCs w:val="22"/>
        </w:rPr>
        <w:t xml:space="preserve"> a decentralized healthcare ecosystem. </w:t>
      </w:r>
      <w:hyperlink r:id="rId27" w:tgtFrame="_blank" w:history="1">
        <w:r w:rsidRPr="003D3C12">
          <w:rPr>
            <w:rStyle w:val="Hyperlink"/>
            <w:rFonts w:ascii="Arial" w:hAnsi="Arial" w:cs="Arial"/>
            <w:sz w:val="22"/>
            <w:szCs w:val="22"/>
          </w:rPr>
          <w:t>https://aisel.aisnet.org/hicss-58/hc/adoption/9</w:t>
        </w:r>
      </w:hyperlink>
    </w:p>
    <w:p w14:paraId="277AAA34"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Sheikh, A., Coleman, J., Chuter, A., Williams, R., Lilford, R., Slee, A., Morrison, Z., Cresswell, K., Robertson, A., Slight, S., and Mozaffar, H., 2022. Electronic prescribing systems in hospitals to improve medication safety: a multimethods research program.  </w:t>
      </w:r>
      <w:r w:rsidRPr="003D3C12">
        <w:rPr>
          <w:rFonts w:ascii="Arial" w:hAnsi="Arial" w:cs="Arial"/>
          <w:i/>
          <w:iCs/>
          <w:sz w:val="22"/>
          <w:szCs w:val="22"/>
        </w:rPr>
        <w:t>Programme Grants for Applied Research</w:t>
      </w:r>
      <w:r w:rsidRPr="003D3C12">
        <w:rPr>
          <w:rFonts w:ascii="Arial" w:hAnsi="Arial" w:cs="Arial"/>
          <w:sz w:val="22"/>
          <w:szCs w:val="22"/>
        </w:rPr>
        <w:t>, </w:t>
      </w:r>
      <w:r w:rsidRPr="003D3C12">
        <w:rPr>
          <w:rFonts w:ascii="Arial" w:hAnsi="Arial" w:cs="Arial"/>
          <w:i/>
          <w:iCs/>
          <w:sz w:val="22"/>
          <w:szCs w:val="22"/>
        </w:rPr>
        <w:t>10</w:t>
      </w:r>
      <w:r w:rsidRPr="003D3C12">
        <w:rPr>
          <w:rFonts w:ascii="Arial" w:hAnsi="Arial" w:cs="Arial"/>
          <w:sz w:val="22"/>
          <w:szCs w:val="22"/>
        </w:rPr>
        <w:t xml:space="preserve">(7), pp. 1-164. </w:t>
      </w:r>
      <w:hyperlink r:id="rId28" w:tgtFrame="_blank" w:history="1">
        <w:r w:rsidRPr="003D3C12">
          <w:rPr>
            <w:rStyle w:val="Hyperlink"/>
            <w:rFonts w:ascii="Arial" w:hAnsi="Arial" w:cs="Arial"/>
            <w:sz w:val="22"/>
            <w:szCs w:val="22"/>
          </w:rPr>
          <w:t>https://doi.org/10.3310/KSRS2009</w:t>
        </w:r>
      </w:hyperlink>
    </w:p>
    <w:p w14:paraId="27E05007"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Ta, M.T.D., Kim, T.E., and Gausdal, A.H., 2022, January. Leadership styles and safety performance in high-risk industries: a systematic review. In </w:t>
      </w:r>
      <w:r w:rsidRPr="003D3C12">
        <w:rPr>
          <w:rFonts w:ascii="Arial" w:hAnsi="Arial" w:cs="Arial"/>
          <w:i/>
          <w:iCs/>
          <w:sz w:val="22"/>
          <w:szCs w:val="22"/>
        </w:rPr>
        <w:t>Safety and Reliability</w:t>
      </w:r>
      <w:r w:rsidRPr="003D3C12">
        <w:rPr>
          <w:rFonts w:ascii="Arial" w:hAnsi="Arial" w:cs="Arial"/>
          <w:sz w:val="22"/>
          <w:szCs w:val="22"/>
        </w:rPr>
        <w:t xml:space="preserve"> (Vol. 41, No. 1, pp. 10-44). Taylor &amp; Francis. </w:t>
      </w:r>
      <w:hyperlink r:id="rId29" w:tgtFrame="_blank" w:history="1">
        <w:r w:rsidRPr="003D3C12">
          <w:rPr>
            <w:rStyle w:val="Hyperlink"/>
            <w:rFonts w:ascii="Arial" w:hAnsi="Arial" w:cs="Arial"/>
            <w:sz w:val="22"/>
            <w:szCs w:val="22"/>
          </w:rPr>
          <w:t>https://doi.org/10.1080/09617353.2022.2035627</w:t>
        </w:r>
      </w:hyperlink>
    </w:p>
    <w:p w14:paraId="636AECCA"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Tessema, D.B., 2025. Pillars of organizational transformation and sustainability: Leadership, learning, culture, and knowledge management as key success factors in environmental public health.  </w:t>
      </w:r>
      <w:r w:rsidRPr="003D3C12">
        <w:rPr>
          <w:rFonts w:ascii="Arial" w:hAnsi="Arial" w:cs="Arial"/>
          <w:i/>
          <w:iCs/>
          <w:sz w:val="22"/>
          <w:szCs w:val="22"/>
        </w:rPr>
        <w:t>Health Economics and Management Review</w:t>
      </w:r>
      <w:r w:rsidRPr="003D3C12">
        <w:rPr>
          <w:rFonts w:ascii="Arial" w:hAnsi="Arial" w:cs="Arial"/>
          <w:sz w:val="22"/>
          <w:szCs w:val="22"/>
        </w:rPr>
        <w:t>, </w:t>
      </w:r>
      <w:r w:rsidRPr="003D3C12">
        <w:rPr>
          <w:rFonts w:ascii="Arial" w:hAnsi="Arial" w:cs="Arial"/>
          <w:i/>
          <w:iCs/>
          <w:sz w:val="22"/>
          <w:szCs w:val="22"/>
        </w:rPr>
        <w:t>6</w:t>
      </w:r>
      <w:r w:rsidRPr="003D3C12">
        <w:rPr>
          <w:rFonts w:ascii="Arial" w:hAnsi="Arial" w:cs="Arial"/>
          <w:sz w:val="22"/>
          <w:szCs w:val="22"/>
        </w:rPr>
        <w:t xml:space="preserve">(1), pp. 1-21. </w:t>
      </w:r>
      <w:hyperlink r:id="rId30" w:tgtFrame="_blank" w:history="1">
        <w:r w:rsidRPr="003D3C12">
          <w:rPr>
            <w:rStyle w:val="Hyperlink"/>
            <w:rFonts w:ascii="Arial" w:hAnsi="Arial" w:cs="Arial"/>
            <w:sz w:val="22"/>
            <w:szCs w:val="22"/>
          </w:rPr>
          <w:t>https://doi.org/10.61093/hem.2025.1-01</w:t>
        </w:r>
      </w:hyperlink>
    </w:p>
    <w:p w14:paraId="180AEFD4"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The Aortic Dissection Charitable Trust. 2026. </w:t>
      </w:r>
      <w:r w:rsidRPr="003D3C12">
        <w:rPr>
          <w:rFonts w:ascii="Arial" w:hAnsi="Arial" w:cs="Arial"/>
          <w:i/>
          <w:iCs/>
          <w:sz w:val="22"/>
          <w:szCs w:val="22"/>
        </w:rPr>
        <w:t>Prioritizing safety and learning in the NHS</w:t>
      </w:r>
      <w:r w:rsidRPr="003D3C12">
        <w:rPr>
          <w:rFonts w:ascii="Arial" w:hAnsi="Arial" w:cs="Arial"/>
          <w:sz w:val="22"/>
          <w:szCs w:val="22"/>
        </w:rPr>
        <w:t xml:space="preserve">. </w:t>
      </w:r>
      <w:hyperlink r:id="rId31" w:tgtFrame="_blank" w:history="1">
        <w:r w:rsidRPr="003D3C12">
          <w:rPr>
            <w:rStyle w:val="Hyperlink"/>
            <w:rFonts w:ascii="Arial" w:hAnsi="Arial" w:cs="Arial"/>
            <w:sz w:val="22"/>
            <w:szCs w:val="22"/>
          </w:rPr>
          <w:t>https://aorticdissectioncharitabletrust.org/prioritising-safety-and-learning-in-the-nhs/</w:t>
        </w:r>
      </w:hyperlink>
    </w:p>
    <w:p w14:paraId="769F67D0"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The NHS Alliance. 2025. </w:t>
      </w:r>
      <w:r w:rsidRPr="003D3C12">
        <w:rPr>
          <w:rFonts w:ascii="Arial" w:hAnsi="Arial" w:cs="Arial"/>
          <w:i/>
          <w:iCs/>
          <w:sz w:val="22"/>
          <w:szCs w:val="22"/>
        </w:rPr>
        <w:t>NHS staff survey results 2024</w:t>
      </w:r>
      <w:r w:rsidRPr="003D3C12">
        <w:rPr>
          <w:rFonts w:ascii="Arial" w:hAnsi="Arial" w:cs="Arial"/>
          <w:sz w:val="22"/>
          <w:szCs w:val="22"/>
        </w:rPr>
        <w:t xml:space="preserve">. </w:t>
      </w:r>
      <w:hyperlink r:id="rId32" w:tgtFrame="_blank" w:history="1">
        <w:r w:rsidRPr="003D3C12">
          <w:rPr>
            <w:rStyle w:val="Hyperlink"/>
            <w:rFonts w:ascii="Arial" w:hAnsi="Arial" w:cs="Arial"/>
            <w:sz w:val="22"/>
            <w:szCs w:val="22"/>
          </w:rPr>
          <w:t>https://thenhsalliance.org/resources/nhs-staff-survey-results-2024</w:t>
        </w:r>
      </w:hyperlink>
    </w:p>
    <w:p w14:paraId="5C5E818F"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TP, K.K., Nair, D., and CK, R., 2025. The Role of Leadership in Enhancing Healthcare Quality and Patient Safety.  </w:t>
      </w:r>
      <w:r w:rsidRPr="003D3C12">
        <w:rPr>
          <w:rFonts w:ascii="Arial" w:hAnsi="Arial" w:cs="Arial"/>
          <w:i/>
          <w:iCs/>
          <w:sz w:val="22"/>
          <w:szCs w:val="22"/>
        </w:rPr>
        <w:t>Advances in Consumer Research</w:t>
      </w:r>
      <w:r w:rsidRPr="003D3C12">
        <w:rPr>
          <w:rFonts w:ascii="Arial" w:hAnsi="Arial" w:cs="Arial"/>
          <w:sz w:val="22"/>
          <w:szCs w:val="22"/>
        </w:rPr>
        <w:t>, </w:t>
      </w:r>
      <w:r w:rsidRPr="003D3C12">
        <w:rPr>
          <w:rFonts w:ascii="Arial" w:hAnsi="Arial" w:cs="Arial"/>
          <w:i/>
          <w:iCs/>
          <w:sz w:val="22"/>
          <w:szCs w:val="22"/>
        </w:rPr>
        <w:t>2</w:t>
      </w:r>
      <w:r w:rsidRPr="003D3C12">
        <w:rPr>
          <w:rFonts w:ascii="Arial" w:hAnsi="Arial" w:cs="Arial"/>
          <w:sz w:val="22"/>
          <w:szCs w:val="22"/>
        </w:rPr>
        <w:t xml:space="preserve">(6). </w:t>
      </w:r>
      <w:hyperlink r:id="rId33" w:tgtFrame="_blank" w:history="1">
        <w:r w:rsidRPr="003D3C12">
          <w:rPr>
            <w:rStyle w:val="Hyperlink"/>
            <w:rFonts w:ascii="Arial" w:hAnsi="Arial" w:cs="Arial"/>
            <w:sz w:val="22"/>
            <w:szCs w:val="22"/>
          </w:rPr>
          <w:t>https://openurl.ebsco.com/EPDB%3Agcd%3A13%3A17574765/detailv2?sid=ebsco%3Aplink%3Acrawler-gcd&amp;id=ebsco%3Agcd%3A191553060&amp;crl=c&amp;jrnl=00989258&amp;link_origin=scholar.google.com</w:t>
        </w:r>
      </w:hyperlink>
    </w:p>
    <w:p w14:paraId="309D337A"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lastRenderedPageBreak/>
        <w:t xml:space="preserve">Wahl, K., Stenmarker, M., and Ros, A., 2022. Experience of learning from everyday work in daily safety huddles—a multi-method study.  </w:t>
      </w:r>
      <w:r w:rsidRPr="003D3C12">
        <w:rPr>
          <w:rFonts w:ascii="Arial" w:hAnsi="Arial" w:cs="Arial"/>
          <w:i/>
          <w:iCs/>
          <w:sz w:val="22"/>
          <w:szCs w:val="22"/>
        </w:rPr>
        <w:t>BMC Health Services Research</w:t>
      </w:r>
      <w:r w:rsidRPr="003D3C12">
        <w:rPr>
          <w:rFonts w:ascii="Arial" w:hAnsi="Arial" w:cs="Arial"/>
          <w:sz w:val="22"/>
          <w:szCs w:val="22"/>
        </w:rPr>
        <w:t>, </w:t>
      </w:r>
      <w:r w:rsidRPr="003D3C12">
        <w:rPr>
          <w:rFonts w:ascii="Arial" w:hAnsi="Arial" w:cs="Arial"/>
          <w:i/>
          <w:iCs/>
          <w:sz w:val="22"/>
          <w:szCs w:val="22"/>
        </w:rPr>
        <w:t>22</w:t>
      </w:r>
      <w:r w:rsidRPr="003D3C12">
        <w:rPr>
          <w:rFonts w:ascii="Arial" w:hAnsi="Arial" w:cs="Arial"/>
          <w:sz w:val="22"/>
          <w:szCs w:val="22"/>
        </w:rPr>
        <w:t xml:space="preserve">(1), p.1101. </w:t>
      </w:r>
      <w:hyperlink r:id="rId34" w:tgtFrame="_blank" w:history="1">
        <w:r w:rsidRPr="003D3C12">
          <w:rPr>
            <w:rStyle w:val="Hyperlink"/>
            <w:rFonts w:ascii="Arial" w:hAnsi="Arial" w:cs="Arial"/>
            <w:sz w:val="22"/>
            <w:szCs w:val="22"/>
          </w:rPr>
          <w:t>https://doi.org/10.1186/s12913-022-08462-9</w:t>
        </w:r>
      </w:hyperlink>
    </w:p>
    <w:p w14:paraId="19CC91B6"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WHO. 2023. </w:t>
      </w:r>
      <w:r w:rsidRPr="003D3C12">
        <w:rPr>
          <w:rFonts w:ascii="Arial" w:hAnsi="Arial" w:cs="Arial"/>
          <w:i/>
          <w:iCs/>
          <w:sz w:val="22"/>
          <w:szCs w:val="22"/>
        </w:rPr>
        <w:t>Patient safety</w:t>
      </w:r>
      <w:r w:rsidRPr="003D3C12">
        <w:rPr>
          <w:rFonts w:ascii="Arial" w:hAnsi="Arial" w:cs="Arial"/>
          <w:sz w:val="22"/>
          <w:szCs w:val="22"/>
        </w:rPr>
        <w:t xml:space="preserve">. </w:t>
      </w:r>
      <w:hyperlink r:id="rId35" w:tgtFrame="_blank" w:history="1">
        <w:r w:rsidRPr="003D3C12">
          <w:rPr>
            <w:rStyle w:val="Hyperlink"/>
            <w:rFonts w:ascii="Arial" w:hAnsi="Arial" w:cs="Arial"/>
            <w:sz w:val="22"/>
            <w:szCs w:val="22"/>
          </w:rPr>
          <w:t>https://www.who.int/news-room/fact-sheets/detail/patient-safety</w:t>
        </w:r>
      </w:hyperlink>
    </w:p>
    <w:p w14:paraId="57FEA40B" w14:textId="77777777" w:rsidR="00841424" w:rsidRPr="003D3C12" w:rsidRDefault="00841424" w:rsidP="00841424">
      <w:pPr>
        <w:ind w:left="720" w:hanging="720"/>
        <w:rPr>
          <w:rFonts w:ascii="Arial" w:hAnsi="Arial" w:cs="Arial"/>
          <w:sz w:val="22"/>
          <w:szCs w:val="22"/>
        </w:rPr>
      </w:pPr>
      <w:r w:rsidRPr="003D3C12">
        <w:rPr>
          <w:rFonts w:ascii="Arial" w:hAnsi="Arial" w:cs="Arial"/>
          <w:sz w:val="22"/>
          <w:szCs w:val="22"/>
        </w:rPr>
        <w:t xml:space="preserve">WHO. 2026. </w:t>
      </w:r>
      <w:r w:rsidRPr="003D3C12">
        <w:rPr>
          <w:rFonts w:ascii="Arial" w:hAnsi="Arial" w:cs="Arial"/>
          <w:i/>
          <w:iCs/>
          <w:sz w:val="22"/>
          <w:szCs w:val="22"/>
        </w:rPr>
        <w:t>Medication without harm</w:t>
      </w:r>
      <w:r w:rsidRPr="003D3C12">
        <w:rPr>
          <w:rFonts w:ascii="Arial" w:hAnsi="Arial" w:cs="Arial"/>
          <w:sz w:val="22"/>
          <w:szCs w:val="22"/>
        </w:rPr>
        <w:t xml:space="preserve">. </w:t>
      </w:r>
      <w:hyperlink r:id="rId36" w:tgtFrame="_blank" w:history="1">
        <w:r w:rsidRPr="003D3C12">
          <w:rPr>
            <w:rStyle w:val="Hyperlink"/>
            <w:rFonts w:ascii="Arial" w:hAnsi="Arial" w:cs="Arial"/>
            <w:sz w:val="22"/>
            <w:szCs w:val="22"/>
          </w:rPr>
          <w:t>https://www.who.int/initiatives/medication-without-harm</w:t>
        </w:r>
      </w:hyperlink>
    </w:p>
    <w:p w14:paraId="5EE82B49" w14:textId="77777777" w:rsidR="00841424" w:rsidRPr="003D3C12" w:rsidRDefault="00841424" w:rsidP="00841424">
      <w:pPr>
        <w:ind w:firstLine="0"/>
        <w:rPr>
          <w:rFonts w:ascii="Arial" w:hAnsi="Arial" w:cs="Arial"/>
          <w:sz w:val="22"/>
          <w:szCs w:val="22"/>
        </w:rPr>
      </w:pPr>
      <w:r w:rsidRPr="003D3C12">
        <w:rPr>
          <w:rFonts w:ascii="Arial" w:hAnsi="Arial" w:cs="Arial"/>
          <w:sz w:val="22"/>
          <w:szCs w:val="22"/>
        </w:rPr>
        <w:t> </w:t>
      </w:r>
    </w:p>
    <w:p w14:paraId="0BD181F0" w14:textId="77777777" w:rsidR="00841424" w:rsidRPr="003D3C12" w:rsidRDefault="00841424" w:rsidP="00841424">
      <w:pPr>
        <w:ind w:firstLine="0"/>
        <w:rPr>
          <w:rFonts w:ascii="Arial" w:hAnsi="Arial" w:cs="Arial"/>
          <w:sz w:val="22"/>
          <w:szCs w:val="22"/>
        </w:rPr>
      </w:pPr>
      <w:r w:rsidRPr="003D3C12">
        <w:rPr>
          <w:rFonts w:ascii="Arial" w:hAnsi="Arial" w:cs="Arial"/>
          <w:sz w:val="22"/>
          <w:szCs w:val="22"/>
        </w:rPr>
        <w:t> </w:t>
      </w:r>
    </w:p>
    <w:p w14:paraId="7F7295AC" w14:textId="77777777" w:rsidR="00841424" w:rsidRPr="003D3C12" w:rsidRDefault="00841424" w:rsidP="00841424">
      <w:pPr>
        <w:ind w:firstLine="0"/>
        <w:rPr>
          <w:rFonts w:ascii="Arial" w:hAnsi="Arial" w:cs="Arial"/>
          <w:sz w:val="22"/>
          <w:szCs w:val="22"/>
        </w:rPr>
      </w:pPr>
      <w:r w:rsidRPr="003D3C12">
        <w:rPr>
          <w:rFonts w:ascii="Arial" w:hAnsi="Arial" w:cs="Arial"/>
          <w:sz w:val="22"/>
          <w:szCs w:val="22"/>
        </w:rPr>
        <w:t> </w:t>
      </w:r>
    </w:p>
    <w:p w14:paraId="69E4DE3E" w14:textId="77777777" w:rsidR="00841424" w:rsidRPr="003D3C12" w:rsidRDefault="00841424" w:rsidP="00841424">
      <w:pPr>
        <w:ind w:firstLine="0"/>
        <w:rPr>
          <w:rFonts w:ascii="Arial" w:hAnsi="Arial" w:cs="Arial"/>
          <w:sz w:val="22"/>
          <w:szCs w:val="22"/>
        </w:rPr>
      </w:pPr>
    </w:p>
    <w:p w14:paraId="1E60A356" w14:textId="77777777" w:rsidR="00CB5CA4" w:rsidRDefault="00CB5CA4"/>
    <w:sectPr w:rsidR="00CB5CA4" w:rsidSect="00841424">
      <w:headerReference w:type="default" r:id="rId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969867299"/>
      <w:docPartObj>
        <w:docPartGallery w:val="Page Numbers (Top of Page)"/>
        <w:docPartUnique/>
      </w:docPartObj>
    </w:sdtPr>
    <w:sdtEndPr>
      <w:rPr>
        <w:noProof/>
      </w:rPr>
    </w:sdtEndPr>
    <w:sdtContent>
      <w:p w14:paraId="416E3261" w14:textId="77777777" w:rsidR="00841424" w:rsidRPr="00742838" w:rsidRDefault="00841424">
        <w:pPr>
          <w:pStyle w:val="Header"/>
          <w:jc w:val="right"/>
          <w:rPr>
            <w:rFonts w:ascii="Times New Roman" w:hAnsi="Times New Roman" w:cs="Times New Roman"/>
          </w:rPr>
        </w:pPr>
        <w:r w:rsidRPr="00742838">
          <w:rPr>
            <w:rFonts w:ascii="Times New Roman" w:hAnsi="Times New Roman" w:cs="Times New Roman"/>
          </w:rPr>
          <w:fldChar w:fldCharType="begin"/>
        </w:r>
        <w:r w:rsidRPr="00742838">
          <w:rPr>
            <w:rFonts w:ascii="Times New Roman" w:hAnsi="Times New Roman" w:cs="Times New Roman"/>
          </w:rPr>
          <w:instrText xml:space="preserve"> PAGE   \* MERGEFORMAT </w:instrText>
        </w:r>
        <w:r w:rsidRPr="00742838">
          <w:rPr>
            <w:rFonts w:ascii="Times New Roman" w:hAnsi="Times New Roman" w:cs="Times New Roman"/>
          </w:rPr>
          <w:fldChar w:fldCharType="separate"/>
        </w:r>
        <w:r w:rsidRPr="00742838">
          <w:rPr>
            <w:rFonts w:ascii="Times New Roman" w:hAnsi="Times New Roman" w:cs="Times New Roman"/>
            <w:noProof/>
          </w:rPr>
          <w:t>2</w:t>
        </w:r>
        <w:r w:rsidRPr="00742838">
          <w:rPr>
            <w:rFonts w:ascii="Times New Roman" w:hAnsi="Times New Roman" w:cs="Times New Roman"/>
            <w:noProof/>
          </w:rPr>
          <w:fldChar w:fldCharType="end"/>
        </w:r>
      </w:p>
    </w:sdtContent>
  </w:sdt>
  <w:p w14:paraId="3B8F952C" w14:textId="77777777" w:rsidR="00841424" w:rsidRPr="00742838" w:rsidRDefault="00841424">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424"/>
    <w:rsid w:val="0012330E"/>
    <w:rsid w:val="00841424"/>
    <w:rsid w:val="00CB5CA4"/>
    <w:rsid w:val="00F2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43F8B"/>
  <w15:chartTrackingRefBased/>
  <w15:docId w15:val="{CA525800-AB3B-484A-A997-9A7CD76C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424"/>
    <w:pPr>
      <w:spacing w:after="0" w:line="480" w:lineRule="auto"/>
      <w:ind w:firstLine="720"/>
    </w:pPr>
    <w:rPr>
      <w:sz w:val="24"/>
      <w:szCs w:val="24"/>
      <w:lang w:val="en-US"/>
    </w:rPr>
  </w:style>
  <w:style w:type="paragraph" w:styleId="Heading1">
    <w:name w:val="heading 1"/>
    <w:basedOn w:val="Normal"/>
    <w:next w:val="Normal"/>
    <w:link w:val="Heading1Char"/>
    <w:uiPriority w:val="9"/>
    <w:qFormat/>
    <w:rsid w:val="00841424"/>
    <w:pPr>
      <w:keepNext/>
      <w:keepLines/>
      <w:spacing w:before="360" w:after="80" w:line="259" w:lineRule="auto"/>
      <w:ind w:firstLine="0"/>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841424"/>
    <w:pPr>
      <w:keepNext/>
      <w:keepLines/>
      <w:spacing w:before="160" w:after="80" w:line="259" w:lineRule="auto"/>
      <w:ind w:firstLine="0"/>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841424"/>
    <w:pPr>
      <w:keepNext/>
      <w:keepLines/>
      <w:spacing w:before="160" w:after="80" w:line="259" w:lineRule="auto"/>
      <w:ind w:firstLine="0"/>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841424"/>
    <w:pPr>
      <w:keepNext/>
      <w:keepLines/>
      <w:spacing w:before="80" w:after="40" w:line="259" w:lineRule="auto"/>
      <w:ind w:firstLine="0"/>
      <w:outlineLvl w:val="3"/>
    </w:pPr>
    <w:rPr>
      <w:rFonts w:eastAsiaTheme="majorEastAsia" w:cstheme="majorBid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841424"/>
    <w:pPr>
      <w:keepNext/>
      <w:keepLines/>
      <w:spacing w:before="80" w:after="40" w:line="259" w:lineRule="auto"/>
      <w:ind w:firstLine="0"/>
      <w:outlineLvl w:val="4"/>
    </w:pPr>
    <w:rPr>
      <w:rFonts w:eastAsiaTheme="majorEastAsia" w:cstheme="majorBid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841424"/>
    <w:pPr>
      <w:keepNext/>
      <w:keepLines/>
      <w:spacing w:before="40" w:line="259" w:lineRule="auto"/>
      <w:ind w:firstLine="0"/>
      <w:outlineLvl w:val="5"/>
    </w:pPr>
    <w:rPr>
      <w:rFonts w:eastAsiaTheme="majorEastAsia" w:cstheme="majorBid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841424"/>
    <w:pPr>
      <w:keepNext/>
      <w:keepLines/>
      <w:spacing w:before="40" w:line="259" w:lineRule="auto"/>
      <w:ind w:firstLine="0"/>
      <w:outlineLvl w:val="6"/>
    </w:pPr>
    <w:rPr>
      <w:rFonts w:eastAsiaTheme="majorEastAsia" w:cstheme="majorBid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841424"/>
    <w:pPr>
      <w:keepNext/>
      <w:keepLines/>
      <w:spacing w:line="259" w:lineRule="auto"/>
      <w:ind w:firstLine="0"/>
      <w:outlineLvl w:val="7"/>
    </w:pPr>
    <w:rPr>
      <w:rFonts w:eastAsiaTheme="majorEastAsia" w:cstheme="majorBid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841424"/>
    <w:pPr>
      <w:keepNext/>
      <w:keepLines/>
      <w:spacing w:line="259" w:lineRule="auto"/>
      <w:ind w:firstLine="0"/>
      <w:outlineLvl w:val="8"/>
    </w:pPr>
    <w:rPr>
      <w:rFonts w:eastAsiaTheme="majorEastAsia" w:cstheme="majorBid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4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4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4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4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4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424"/>
    <w:rPr>
      <w:rFonts w:eastAsiaTheme="majorEastAsia" w:cstheme="majorBidi"/>
      <w:color w:val="272727" w:themeColor="text1" w:themeTint="D8"/>
    </w:rPr>
  </w:style>
  <w:style w:type="paragraph" w:styleId="Title">
    <w:name w:val="Title"/>
    <w:basedOn w:val="Normal"/>
    <w:next w:val="Normal"/>
    <w:link w:val="TitleChar"/>
    <w:uiPriority w:val="10"/>
    <w:qFormat/>
    <w:rsid w:val="00841424"/>
    <w:pPr>
      <w:spacing w:after="80" w:line="240" w:lineRule="auto"/>
      <w:ind w:firstLine="0"/>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841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424"/>
    <w:pPr>
      <w:numPr>
        <w:ilvl w:val="1"/>
      </w:numPr>
      <w:spacing w:after="160"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841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424"/>
    <w:pPr>
      <w:spacing w:before="160" w:after="160" w:line="259" w:lineRule="auto"/>
      <w:ind w:firstLine="0"/>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841424"/>
    <w:rPr>
      <w:i/>
      <w:iCs/>
      <w:color w:val="404040" w:themeColor="text1" w:themeTint="BF"/>
    </w:rPr>
  </w:style>
  <w:style w:type="paragraph" w:styleId="ListParagraph">
    <w:name w:val="List Paragraph"/>
    <w:basedOn w:val="Normal"/>
    <w:uiPriority w:val="34"/>
    <w:qFormat/>
    <w:rsid w:val="00841424"/>
    <w:pPr>
      <w:spacing w:after="160" w:line="259" w:lineRule="auto"/>
      <w:ind w:left="720" w:firstLine="0"/>
      <w:contextualSpacing/>
    </w:pPr>
    <w:rPr>
      <w:sz w:val="22"/>
      <w:szCs w:val="22"/>
      <w:lang w:val="en-GB"/>
    </w:rPr>
  </w:style>
  <w:style w:type="character" w:styleId="IntenseEmphasis">
    <w:name w:val="Intense Emphasis"/>
    <w:basedOn w:val="DefaultParagraphFont"/>
    <w:uiPriority w:val="21"/>
    <w:qFormat/>
    <w:rsid w:val="00841424"/>
    <w:rPr>
      <w:i/>
      <w:iCs/>
      <w:color w:val="0F4761" w:themeColor="accent1" w:themeShade="BF"/>
    </w:rPr>
  </w:style>
  <w:style w:type="paragraph" w:styleId="IntenseQuote">
    <w:name w:val="Intense Quote"/>
    <w:basedOn w:val="Normal"/>
    <w:next w:val="Normal"/>
    <w:link w:val="IntenseQuoteChar"/>
    <w:uiPriority w:val="30"/>
    <w:qFormat/>
    <w:rsid w:val="00841424"/>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841424"/>
    <w:rPr>
      <w:i/>
      <w:iCs/>
      <w:color w:val="0F4761" w:themeColor="accent1" w:themeShade="BF"/>
    </w:rPr>
  </w:style>
  <w:style w:type="character" w:styleId="IntenseReference">
    <w:name w:val="Intense Reference"/>
    <w:basedOn w:val="DefaultParagraphFont"/>
    <w:uiPriority w:val="32"/>
    <w:qFormat/>
    <w:rsid w:val="00841424"/>
    <w:rPr>
      <w:b/>
      <w:bCs/>
      <w:smallCaps/>
      <w:color w:val="0F4761" w:themeColor="accent1" w:themeShade="BF"/>
      <w:spacing w:val="5"/>
    </w:rPr>
  </w:style>
  <w:style w:type="character" w:styleId="Hyperlink">
    <w:name w:val="Hyperlink"/>
    <w:basedOn w:val="DefaultParagraphFont"/>
    <w:uiPriority w:val="99"/>
    <w:unhideWhenUsed/>
    <w:rsid w:val="00841424"/>
    <w:rPr>
      <w:color w:val="467886" w:themeColor="hyperlink"/>
      <w:u w:val="single"/>
    </w:rPr>
  </w:style>
  <w:style w:type="paragraph" w:styleId="Header">
    <w:name w:val="header"/>
    <w:basedOn w:val="Normal"/>
    <w:link w:val="HeaderChar"/>
    <w:uiPriority w:val="99"/>
    <w:unhideWhenUsed/>
    <w:rsid w:val="00841424"/>
    <w:pPr>
      <w:tabs>
        <w:tab w:val="center" w:pos="4680"/>
        <w:tab w:val="right" w:pos="9360"/>
      </w:tabs>
      <w:spacing w:line="240" w:lineRule="auto"/>
    </w:pPr>
  </w:style>
  <w:style w:type="character" w:customStyle="1" w:styleId="HeaderChar">
    <w:name w:val="Header Char"/>
    <w:basedOn w:val="DefaultParagraphFont"/>
    <w:link w:val="Header"/>
    <w:uiPriority w:val="99"/>
    <w:rsid w:val="00841424"/>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net.ahrq.gov/perspective/communication-during-transitions-care" TargetMode="External"/><Relationship Id="rId18" Type="http://schemas.openxmlformats.org/officeDocument/2006/relationships/hyperlink" Target="https://doi.org/10.54844/hamp.2022.0020" TargetMode="External"/><Relationship Id="rId26" Type="http://schemas.openxmlformats.org/officeDocument/2006/relationships/hyperlink" Target="https://doi.org/10.3389/fpubh.2025.1711864" TargetMode="External"/><Relationship Id="rId39" Type="http://schemas.openxmlformats.org/officeDocument/2006/relationships/theme" Target="theme/theme1.xml"/><Relationship Id="rId21" Type="http://schemas.openxmlformats.org/officeDocument/2006/relationships/hyperlink" Target="https://doi.org/10.1007/s11096-023-01626-5" TargetMode="External"/><Relationship Id="rId34" Type="http://schemas.openxmlformats.org/officeDocument/2006/relationships/hyperlink" Target="https://doi.org/10.1186/s12913-022-08462-9" TargetMode="External"/><Relationship Id="rId7" Type="http://schemas.openxmlformats.org/officeDocument/2006/relationships/hyperlink" Target="https://doi.org/10.1108/LHS-03-2022-0019" TargetMode="External"/><Relationship Id="rId12" Type="http://schemas.openxmlformats.org/officeDocument/2006/relationships/hyperlink" Target="https://doi.org/10.2147/RMHP.S589078" TargetMode="External"/><Relationship Id="rId17" Type="http://schemas.openxmlformats.org/officeDocument/2006/relationships/hyperlink" Target="https://doi.org/10.2196/56558" TargetMode="External"/><Relationship Id="rId25" Type="http://schemas.openxmlformats.org/officeDocument/2006/relationships/hyperlink" Target="https://doi.org/10.1186/s12913-026-15162-1" TargetMode="External"/><Relationship Id="rId33" Type="http://schemas.openxmlformats.org/officeDocument/2006/relationships/hyperlink" Target="https://openurl.ebsco.com/EPDB%3Agcd%3A13%3A17574765/detailv2?sid=ebsco%3Aplink%3Acrawler-gcd&amp;id=ebsco%3Agcd%3A191553060&amp;crl=c&amp;jrnl=00989258&amp;link_origin=scholar.google.com"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97/XEB.0000000000000303" TargetMode="External"/><Relationship Id="rId20" Type="http://schemas.openxmlformats.org/officeDocument/2006/relationships/hyperlink" Target="https://doi.org/10.18282/hrms.v6i3.3477" TargetMode="External"/><Relationship Id="rId29" Type="http://schemas.openxmlformats.org/officeDocument/2006/relationships/hyperlink" Target="https://doi.org/10.1080/09617353.2022.2035627" TargetMode="External"/><Relationship Id="rId1" Type="http://schemas.openxmlformats.org/officeDocument/2006/relationships/styles" Target="styles.xml"/><Relationship Id="rId6" Type="http://schemas.openxmlformats.org/officeDocument/2006/relationships/hyperlink" Target="https://doi.org/10.61093/hem.2025.2-06" TargetMode="External"/><Relationship Id="rId11" Type="http://schemas.openxmlformats.org/officeDocument/2006/relationships/hyperlink" Target="https://bmjopenquality.bmj.com/content/13/2/e002506" TargetMode="External"/><Relationship Id="rId24" Type="http://schemas.openxmlformats.org/officeDocument/2006/relationships/hyperlink" Target="https://www.england.nhs.uk/statistics/statistical-work-areas/patient-safety-data/2025-26/q2/" TargetMode="External"/><Relationship Id="rId32" Type="http://schemas.openxmlformats.org/officeDocument/2006/relationships/hyperlink" Target="https://thenhsalliance.org/resources/nhs-staff-survey-results-2024" TargetMode="External"/><Relationship Id="rId37" Type="http://schemas.openxmlformats.org/officeDocument/2006/relationships/header" Target="header1.xml"/><Relationship Id="rId5" Type="http://schemas.openxmlformats.org/officeDocument/2006/relationships/hyperlink" Target="https://doi.org/10.3390/buildings15183340" TargetMode="External"/><Relationship Id="rId15" Type="http://schemas.openxmlformats.org/officeDocument/2006/relationships/hyperlink" Target="https://doi.org/10.1371/journal.pone.0341022" TargetMode="External"/><Relationship Id="rId23" Type="http://schemas.openxmlformats.org/officeDocument/2006/relationships/hyperlink" Target="https://www.england.nhs.uk/long-read/nhs-long-term-workforce-plan-2/" TargetMode="External"/><Relationship Id="rId28" Type="http://schemas.openxmlformats.org/officeDocument/2006/relationships/hyperlink" Target="https://doi.org/10.3310/KSRS2009" TargetMode="External"/><Relationship Id="rId36" Type="http://schemas.openxmlformats.org/officeDocument/2006/relationships/hyperlink" Target="https://www.who.int/initiatives/medication-without-harm" TargetMode="External"/><Relationship Id="rId10" Type="http://schemas.openxmlformats.org/officeDocument/2006/relationships/hyperlink" Target="https://www.researchgate.net/profile/Umair-Ejaz-3/publication/387890007_Leadership_in_Strategic_Transformation_for_Healthcare_Organizations/links/6780d4ba18ad70589ea7c5e7/Leadership-in-Strategic-Transformation-for-Healthcare-Organizations.pdf" TargetMode="External"/><Relationship Id="rId19" Type="http://schemas.openxmlformats.org/officeDocument/2006/relationships/hyperlink" Target="https://doi.org/10.1093/heapol/czaf094" TargetMode="External"/><Relationship Id="rId31" Type="http://schemas.openxmlformats.org/officeDocument/2006/relationships/hyperlink" Target="https://aorticdissectioncharitabletrust.org/prioritising-safety-and-learning-in-the-nhs/" TargetMode="External"/><Relationship Id="rId4" Type="http://schemas.openxmlformats.org/officeDocument/2006/relationships/image" Target="media/image1.png"/><Relationship Id="rId9" Type="http://schemas.openxmlformats.org/officeDocument/2006/relationships/hyperlink" Target="https://doi.org/10.2147/JHL.S520534" TargetMode="External"/><Relationship Id="rId14" Type="http://schemas.openxmlformats.org/officeDocument/2006/relationships/hyperlink" Target="https://doi.org/10.1111/jan.16203" TargetMode="External"/><Relationship Id="rId22" Type="http://schemas.openxmlformats.org/officeDocument/2006/relationships/hyperlink" Target="https://digital.nhs.uk/data-and-information/publications/statistical/nhs-vacancies-survey/april-2015---september-2024-experimental-statistics" TargetMode="External"/><Relationship Id="rId27" Type="http://schemas.openxmlformats.org/officeDocument/2006/relationships/hyperlink" Target="https://aisel.aisnet.org/hicss-58/hc/adoption/9" TargetMode="External"/><Relationship Id="rId30" Type="http://schemas.openxmlformats.org/officeDocument/2006/relationships/hyperlink" Target="https://doi.org/10.61093/hem.2025.1-01" TargetMode="External"/><Relationship Id="rId35" Type="http://schemas.openxmlformats.org/officeDocument/2006/relationships/hyperlink" Target="https://www.who.int/news-room/fact-sheets/detail/patient-safety" TargetMode="External"/><Relationship Id="rId8" Type="http://schemas.openxmlformats.org/officeDocument/2006/relationships/hyperlink" Target="https://doi.org/10.4103/jehp.jehp_462_2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7245</Words>
  <Characters>41303</Characters>
  <Application>Microsoft Office Word</Application>
  <DocSecurity>0</DocSecurity>
  <Lines>344</Lines>
  <Paragraphs>96</Paragraphs>
  <ScaleCrop>false</ScaleCrop>
  <Company/>
  <LinksUpToDate>false</LinksUpToDate>
  <CharactersWithSpaces>48452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Fadumo Omar</dc:creator>
  <cp:keywords/>
  <dc:description/>
  <cp:lastModifiedBy>Fadumo Omar</cp:lastModifiedBy>
  <cp:revision>1</cp:revision>
  <dcterms:created xsi:type="dcterms:W3CDTF">2026-09-18T15:47:00Z</dcterms:created>
  <dcterms:modified xsi:type="dcterms:W3CDTF">2026-09-18T15:49:00Z</dcterms:modified>
</cp:coreProperties>
</file>