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355BBE" w14:paraId="11436DAD" w14:textId="77777777" w:rsidTr="00355BBE">
        <w:tc>
          <w:tcPr>
            <w:tcW w:w="4508" w:type="dxa"/>
          </w:tcPr>
          <w:p w14:paraId="14311F2C" w14:textId="4A5501BD" w:rsidR="00355BBE" w:rsidRPr="00355BBE" w:rsidRDefault="00355BBE" w:rsidP="00355BBE">
            <w:pPr>
              <w:spacing w:line="360" w:lineRule="auto"/>
              <w:rPr>
                <w:rFonts w:ascii="Arial" w:hAnsi="Arial" w:cs="Arial"/>
                <w:sz w:val="28"/>
                <w:szCs w:val="28"/>
              </w:rPr>
            </w:pPr>
            <w:r w:rsidRPr="00355BBE">
              <w:rPr>
                <w:rFonts w:ascii="Arial" w:hAnsi="Arial" w:cs="Arial"/>
                <w:sz w:val="28"/>
                <w:szCs w:val="28"/>
              </w:rPr>
              <w:t>Targedau</w:t>
            </w:r>
          </w:p>
        </w:tc>
        <w:tc>
          <w:tcPr>
            <w:tcW w:w="4508" w:type="dxa"/>
          </w:tcPr>
          <w:p w14:paraId="3B85A623" w14:textId="02CC4BC4" w:rsidR="00355BBE" w:rsidRPr="00355BBE" w:rsidRDefault="00355BBE" w:rsidP="00355BBE">
            <w:pPr>
              <w:spacing w:line="360" w:lineRule="auto"/>
              <w:rPr>
                <w:rFonts w:ascii="Arial" w:hAnsi="Arial" w:cs="Arial"/>
                <w:sz w:val="28"/>
                <w:szCs w:val="28"/>
              </w:rPr>
            </w:pPr>
            <w:r w:rsidRPr="00355BBE">
              <w:rPr>
                <w:rFonts w:ascii="Arial" w:hAnsi="Arial" w:cs="Arial"/>
                <w:sz w:val="28"/>
                <w:szCs w:val="28"/>
              </w:rPr>
              <w:t>Sut yr ymatebwyd i’r targedau</w:t>
            </w:r>
          </w:p>
        </w:tc>
      </w:tr>
      <w:tr w:rsidR="00355BBE" w14:paraId="3CF8EFA3" w14:textId="77777777" w:rsidTr="00355BBE">
        <w:tc>
          <w:tcPr>
            <w:tcW w:w="4508" w:type="dxa"/>
          </w:tcPr>
          <w:p w14:paraId="62D33AF8" w14:textId="42DE402B" w:rsidR="00355BBE" w:rsidRPr="00355BBE" w:rsidRDefault="00355BBE" w:rsidP="00355BBE">
            <w:pPr>
              <w:spacing w:line="360" w:lineRule="auto"/>
              <w:rPr>
                <w:rFonts w:ascii="Arial" w:hAnsi="Arial" w:cs="Arial"/>
                <w:color w:val="000000" w:themeColor="text1"/>
                <w:sz w:val="22"/>
                <w:szCs w:val="22"/>
              </w:rPr>
            </w:pPr>
            <w:r w:rsidRPr="00355BBE">
              <w:rPr>
                <w:rFonts w:ascii="Arial" w:hAnsi="Arial" w:cs="Arial"/>
                <w:color w:val="000000" w:themeColor="text1"/>
                <w:sz w:val="22"/>
                <w:szCs w:val="22"/>
              </w:rPr>
              <w:t>Cynnwys targedau o'r aseiniad blaenorol ar frig pob aseiniad yn ogystal a nodi sut yr ymatebwyd i'r targedau hyn yn y darn hwn o waith. </w:t>
            </w:r>
          </w:p>
        </w:tc>
        <w:tc>
          <w:tcPr>
            <w:tcW w:w="4508" w:type="dxa"/>
          </w:tcPr>
          <w:p w14:paraId="5C8A33FA" w14:textId="2BCD8A69" w:rsidR="00355BBE" w:rsidRPr="00355BBE" w:rsidRDefault="00355BBE" w:rsidP="00355BBE">
            <w:pPr>
              <w:spacing w:line="360" w:lineRule="auto"/>
              <w:rPr>
                <w:rFonts w:ascii="Arial" w:hAnsi="Arial" w:cs="Arial"/>
                <w:sz w:val="36"/>
                <w:szCs w:val="36"/>
              </w:rPr>
            </w:pPr>
            <w:r w:rsidRPr="00355BBE">
              <w:rPr>
                <w:rFonts w:ascii="Arial" w:hAnsi="Arial" w:cs="Arial"/>
                <w:sz w:val="22"/>
                <w:szCs w:val="22"/>
              </w:rPr>
              <w:t>Sicrhau fod mod wedi cynnwys tabl o fy nhargedau blaenorol.</w:t>
            </w:r>
          </w:p>
        </w:tc>
      </w:tr>
      <w:tr w:rsidR="00355BBE" w14:paraId="339C3619" w14:textId="77777777" w:rsidTr="00355BBE">
        <w:tc>
          <w:tcPr>
            <w:tcW w:w="4508" w:type="dxa"/>
          </w:tcPr>
          <w:p w14:paraId="6EF06C1E" w14:textId="701BFD14" w:rsidR="00355BBE" w:rsidRPr="00355BBE" w:rsidRDefault="00355BBE" w:rsidP="00355BBE">
            <w:pPr>
              <w:spacing w:line="360" w:lineRule="auto"/>
              <w:rPr>
                <w:rFonts w:ascii="Arial" w:hAnsi="Arial" w:cs="Arial"/>
                <w:color w:val="000000" w:themeColor="text1"/>
                <w:sz w:val="22"/>
                <w:szCs w:val="22"/>
              </w:rPr>
            </w:pPr>
            <w:r w:rsidRPr="00355BBE">
              <w:rPr>
                <w:rFonts w:ascii="Arial" w:hAnsi="Arial" w:cs="Arial"/>
                <w:color w:val="000000" w:themeColor="text1"/>
                <w:sz w:val="22"/>
                <w:szCs w:val="22"/>
              </w:rPr>
              <w:t>Prawf-ddarllen yn drwyadl cyn cyflwyno i waredu cam-sillafu esgeulus a defnyddio mwy o ffurf amhersonol y ferf er mwyn gwella'r  arddull ysgrifennu academaidd. </w:t>
            </w:r>
          </w:p>
        </w:tc>
        <w:tc>
          <w:tcPr>
            <w:tcW w:w="4508" w:type="dxa"/>
          </w:tcPr>
          <w:p w14:paraId="18709F4E" w14:textId="04F0DFE7" w:rsidR="00355BBE" w:rsidRPr="00355BBE" w:rsidRDefault="00355BBE" w:rsidP="00FC1CF8">
            <w:pPr>
              <w:spacing w:line="360" w:lineRule="auto"/>
              <w:rPr>
                <w:rFonts w:ascii="Arial" w:hAnsi="Arial" w:cs="Arial"/>
                <w:sz w:val="36"/>
                <w:szCs w:val="36"/>
              </w:rPr>
            </w:pPr>
            <w:r w:rsidRPr="00355BBE">
              <w:rPr>
                <w:rFonts w:ascii="Arial" w:hAnsi="Arial" w:cs="Arial"/>
                <w:sz w:val="22"/>
                <w:szCs w:val="22"/>
              </w:rPr>
              <w:t xml:space="preserve">Sicrhau fod mod wedi prawf ddarllen fy </w:t>
            </w:r>
            <w:r w:rsidRPr="00355BBE">
              <w:rPr>
                <w:rFonts w:ascii="Arial" w:hAnsi="Arial" w:cs="Arial"/>
                <w:sz w:val="22"/>
                <w:szCs w:val="22"/>
              </w:rPr>
              <w:t>ng</w:t>
            </w:r>
            <w:r w:rsidRPr="00355BBE">
              <w:rPr>
                <w:rFonts w:ascii="Arial" w:hAnsi="Arial" w:cs="Arial"/>
                <w:sz w:val="22"/>
                <w:szCs w:val="22"/>
              </w:rPr>
              <w:t>waith ac wedi defnyddio mwy o ysgrifennu academaidd</w:t>
            </w:r>
            <w:r>
              <w:rPr>
                <w:rFonts w:ascii="Arial" w:hAnsi="Arial" w:cs="Arial"/>
                <w:sz w:val="22"/>
                <w:szCs w:val="22"/>
              </w:rPr>
              <w:t>.</w:t>
            </w:r>
          </w:p>
        </w:tc>
      </w:tr>
      <w:tr w:rsidR="00355BBE" w14:paraId="3B34BAC9" w14:textId="77777777" w:rsidTr="00355BBE">
        <w:tc>
          <w:tcPr>
            <w:tcW w:w="4508" w:type="dxa"/>
          </w:tcPr>
          <w:p w14:paraId="350E16AF" w14:textId="29704DEE" w:rsidR="00355BBE" w:rsidRPr="00355BBE" w:rsidRDefault="00355BBE" w:rsidP="00355BBE">
            <w:pPr>
              <w:spacing w:line="360" w:lineRule="auto"/>
              <w:rPr>
                <w:rFonts w:ascii="Arial" w:hAnsi="Arial" w:cs="Arial"/>
                <w:color w:val="000000" w:themeColor="text1"/>
                <w:sz w:val="22"/>
                <w:szCs w:val="22"/>
              </w:rPr>
            </w:pPr>
            <w:r w:rsidRPr="00355BBE">
              <w:rPr>
                <w:rFonts w:ascii="Arial" w:hAnsi="Arial" w:cs="Arial"/>
                <w:color w:val="000000" w:themeColor="text1"/>
                <w:sz w:val="22"/>
                <w:szCs w:val="22"/>
              </w:rPr>
              <w:t>Adolygu arddull cyflwyno deunydd o'r rhyngrwyd yn y rhestr gyfeirnodi - gweler tud. 11 yn y Llawlyfr Cyfeirnodi Harvard </w:t>
            </w:r>
            <w:hyperlink r:id="rId5" w:history="1">
              <w:r w:rsidRPr="00355BBE">
                <w:rPr>
                  <w:rStyle w:val="Hyperlink"/>
                  <w:rFonts w:ascii="Arial" w:hAnsi="Arial" w:cs="Arial"/>
                  <w:color w:val="000000" w:themeColor="text1"/>
                  <w:sz w:val="22"/>
                  <w:szCs w:val="22"/>
                  <w:u w:val="none"/>
                </w:rPr>
                <w:t>Llawlyfrau Cyfeirnodi | Prifysgol Cymru Y Drindod Dewi Sant</w:t>
              </w:r>
            </w:hyperlink>
            <w:r w:rsidRPr="00355BBE">
              <w:rPr>
                <w:rFonts w:ascii="Arial" w:hAnsi="Arial" w:cs="Arial"/>
                <w:color w:val="000000" w:themeColor="text1"/>
                <w:sz w:val="22"/>
                <w:szCs w:val="22"/>
              </w:rPr>
              <w:t> .</w:t>
            </w:r>
          </w:p>
        </w:tc>
        <w:tc>
          <w:tcPr>
            <w:tcW w:w="4508" w:type="dxa"/>
          </w:tcPr>
          <w:p w14:paraId="78890293" w14:textId="27CA45A2" w:rsidR="00355BBE" w:rsidRPr="00355BBE" w:rsidRDefault="00355BBE" w:rsidP="00FC1CF8">
            <w:pPr>
              <w:spacing w:line="360" w:lineRule="auto"/>
              <w:rPr>
                <w:rFonts w:ascii="Arial" w:hAnsi="Arial" w:cs="Arial"/>
                <w:sz w:val="22"/>
                <w:szCs w:val="22"/>
              </w:rPr>
            </w:pPr>
            <w:r w:rsidRPr="00355BBE">
              <w:rPr>
                <w:rFonts w:ascii="Arial" w:hAnsi="Arial" w:cs="Arial"/>
                <w:sz w:val="22"/>
                <w:szCs w:val="22"/>
              </w:rPr>
              <w:t>Sicrhau fod mod i wedi darllen trwy’r Llawlyfr cyfeirnodi wrth ychwanegu i’r rhestr gyfeirnodi</w:t>
            </w:r>
            <w:r>
              <w:rPr>
                <w:rFonts w:ascii="Arial" w:hAnsi="Arial" w:cs="Arial"/>
                <w:sz w:val="22"/>
                <w:szCs w:val="22"/>
              </w:rPr>
              <w:t>.</w:t>
            </w:r>
          </w:p>
        </w:tc>
      </w:tr>
    </w:tbl>
    <w:p w14:paraId="39085924" w14:textId="77777777" w:rsidR="001C2521" w:rsidRDefault="001C2521" w:rsidP="00FC1CF8">
      <w:pPr>
        <w:spacing w:line="360" w:lineRule="auto"/>
        <w:rPr>
          <w:rFonts w:ascii="Arial" w:hAnsi="Arial" w:cs="Arial"/>
          <w:b/>
          <w:bCs/>
          <w:sz w:val="36"/>
          <w:szCs w:val="36"/>
          <w:u w:val="single"/>
        </w:rPr>
      </w:pPr>
    </w:p>
    <w:p w14:paraId="68992863" w14:textId="6361C67B" w:rsidR="00FC1CF8" w:rsidRPr="00FC1CF8" w:rsidRDefault="00FC1CF8" w:rsidP="00FC1CF8">
      <w:pPr>
        <w:spacing w:line="360" w:lineRule="auto"/>
        <w:rPr>
          <w:rFonts w:ascii="Arial" w:hAnsi="Arial" w:cs="Arial"/>
          <w:b/>
          <w:bCs/>
          <w:sz w:val="36"/>
          <w:szCs w:val="36"/>
          <w:u w:val="single"/>
        </w:rPr>
      </w:pPr>
      <w:r w:rsidRPr="00FC1CF8">
        <w:rPr>
          <w:rFonts w:ascii="Arial" w:hAnsi="Arial" w:cs="Arial"/>
          <w:b/>
          <w:bCs/>
          <w:sz w:val="36"/>
          <w:szCs w:val="36"/>
          <w:u w:val="single"/>
        </w:rPr>
        <w:t xml:space="preserve">Prosiect Ymchwil: Astudiaeth achos archwiliadol yn seiliedig ar y Profiad Dewisol </w:t>
      </w:r>
    </w:p>
    <w:p w14:paraId="389502B5" w14:textId="3138444E" w:rsidR="00FC1CF8" w:rsidRDefault="00FC1CF8" w:rsidP="00FC1CF8">
      <w:pPr>
        <w:spacing w:line="360" w:lineRule="auto"/>
        <w:rPr>
          <w:rFonts w:ascii="Arial" w:hAnsi="Arial" w:cs="Arial"/>
          <w:b/>
          <w:bCs/>
          <w:sz w:val="36"/>
          <w:szCs w:val="36"/>
          <w:u w:val="single"/>
        </w:rPr>
      </w:pPr>
      <w:r w:rsidRPr="00FC1CF8">
        <w:rPr>
          <w:rFonts w:ascii="Arial" w:hAnsi="Arial" w:cs="Arial"/>
          <w:b/>
          <w:bCs/>
          <w:sz w:val="36"/>
          <w:szCs w:val="36"/>
          <w:u w:val="single"/>
        </w:rPr>
        <w:t xml:space="preserve">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 </w:t>
      </w:r>
    </w:p>
    <w:p w14:paraId="7F1B0136" w14:textId="77777777" w:rsidR="00A82A03" w:rsidRPr="00A82A03" w:rsidRDefault="00A82A03" w:rsidP="00FC1CF8">
      <w:pPr>
        <w:spacing w:line="360" w:lineRule="auto"/>
        <w:rPr>
          <w:rFonts w:ascii="Arial" w:hAnsi="Arial" w:cs="Arial"/>
          <w:b/>
          <w:bCs/>
          <w:sz w:val="36"/>
          <w:szCs w:val="36"/>
          <w:u w:val="single"/>
        </w:rPr>
      </w:pPr>
    </w:p>
    <w:p w14:paraId="5ECE37F3" w14:textId="394F7700" w:rsidR="004E6E31" w:rsidRPr="00BF7187" w:rsidRDefault="004E6E31" w:rsidP="00FC1CF8">
      <w:pPr>
        <w:spacing w:line="360" w:lineRule="auto"/>
        <w:rPr>
          <w:rFonts w:ascii="Arial" w:hAnsi="Arial" w:cs="Arial"/>
          <w:sz w:val="28"/>
          <w:szCs w:val="28"/>
        </w:rPr>
      </w:pPr>
      <w:r w:rsidRPr="00BF7187">
        <w:rPr>
          <w:rFonts w:ascii="Arial" w:hAnsi="Arial" w:cs="Arial"/>
          <w:b/>
          <w:bCs/>
          <w:sz w:val="28"/>
          <w:szCs w:val="28"/>
        </w:rPr>
        <w:t>Nod, ffocws a phwrpas yr ymchwil / Cyd-destun Ymchwil</w:t>
      </w:r>
    </w:p>
    <w:p w14:paraId="6EE8346F" w14:textId="4C2D1E80" w:rsidR="001C2521" w:rsidRDefault="001C2521" w:rsidP="00FC1CF8">
      <w:pPr>
        <w:spacing w:line="360" w:lineRule="auto"/>
        <w:rPr>
          <w:rFonts w:ascii="Arial" w:hAnsi="Arial" w:cs="Arial"/>
          <w:sz w:val="22"/>
          <w:szCs w:val="22"/>
        </w:rPr>
      </w:pPr>
      <w:r w:rsidRPr="001C2521">
        <w:rPr>
          <w:rFonts w:ascii="Arial" w:hAnsi="Arial" w:cs="Arial"/>
          <w:sz w:val="22"/>
          <w:szCs w:val="22"/>
        </w:rPr>
        <w:t xml:space="preserve">Yn yr aseiniad yma byddaf yn trafod fy nghanfyddiadau o'm hymchwil ar strategaethau lles a sut maent yn cael effaith ar gynnydd a hyder dysgwyr hyn yn yr ysgol gynradd. Yn ôl Maslow (Abbas, 2020) awgrymaf fod rhaid i anghenion sylfaenol unigolion gael eu diwallu megis diogelwch, perthyn, a hunan-barch cyn y gallant gyflawni eu potensial llawn mewn dysgu a hunan-wireddu. Mae angen i blant deimlo'n ddiogel, yn gorfforol ac yn emosiynol er mwyn </w:t>
      </w:r>
      <w:r w:rsidRPr="001C2521">
        <w:rPr>
          <w:rFonts w:ascii="Arial" w:hAnsi="Arial" w:cs="Arial"/>
          <w:sz w:val="22"/>
          <w:szCs w:val="22"/>
        </w:rPr>
        <w:lastRenderedPageBreak/>
        <w:t>gallu canolbwyntio ar eu haddysg. Fy nghwestiwn ymchwil oedd ‘pa strategaethau lles mae athrawon yn eu defnyddio i hyrwyddo cynnydd a hybu hyder dysgwyr hyn yn yr ysgol gynradd?’. Dewisais hyn fel fy mhwnc ymchwil oherwydd credaf fod strategaethau lles mewn ysgolion cynradd yn hanfodol er mwyn cefnogi lles y disgyblion, sydd yna'n effeithio'n uniongyrchol ar eu llwyddiant academaidd, eu datblygiad cymdeithasol a'u hapusrwydd cyffredinol. Er mwyn cwblhau'r ymchwil yma treuliais wythnos mewn ysgol gynradd er mwyn gallu profi a gweld yn uniongyrchol pa fath o strategaethau sy’n cael yr effaith fwyaf. Roedd yr ysgol yng nghanol y pentref gyda dim ond 166 o blant yn mynychu bob dydd ( Estyn, 2024). Credai Dewey (Kolb, 1984) y dylid gwreiddio addysg mewn profiadau bywyd go iawn ac y dylai addysgwyr ac ymchwilwyr ymgolli mewn amgylcheddau addysgol gwirioneddol i ddeall anghenion y disgyblion ac effeithiolrwydd dulliau addysgu.</w:t>
      </w:r>
    </w:p>
    <w:p w14:paraId="374E737A" w14:textId="77777777" w:rsidR="001C2521" w:rsidRPr="001C2521" w:rsidRDefault="001C2521" w:rsidP="00FC1CF8">
      <w:pPr>
        <w:spacing w:line="360" w:lineRule="auto"/>
        <w:rPr>
          <w:rFonts w:ascii="Arial" w:hAnsi="Arial" w:cs="Arial"/>
          <w:sz w:val="22"/>
          <w:szCs w:val="22"/>
        </w:rPr>
      </w:pPr>
    </w:p>
    <w:p w14:paraId="5951C560" w14:textId="310DCEEA" w:rsidR="004E6E31" w:rsidRPr="00BF7187" w:rsidRDefault="004E6E31" w:rsidP="00FC1CF8">
      <w:pPr>
        <w:spacing w:line="360" w:lineRule="auto"/>
        <w:rPr>
          <w:rFonts w:ascii="Arial" w:hAnsi="Arial" w:cs="Arial"/>
          <w:sz w:val="28"/>
          <w:szCs w:val="28"/>
        </w:rPr>
      </w:pPr>
      <w:r w:rsidRPr="00BF7187">
        <w:rPr>
          <w:rFonts w:ascii="Arial" w:hAnsi="Arial" w:cs="Arial"/>
          <w:b/>
          <w:bCs/>
          <w:sz w:val="28"/>
          <w:szCs w:val="28"/>
        </w:rPr>
        <w:t>Trosolwg o lenyddiaeth berthnasol</w:t>
      </w:r>
    </w:p>
    <w:p w14:paraId="1389F76C"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I ategu’r hyn am Maslow (Abbas, 2020) mae ei hierarchaeth yn dangos bod rhaid i strategaethau lles mewn ysgolion fynd i’r afael ag anghenion sylfaenol yn gyntaf er mwyn creu sylfaen gadarn ar gyfer dysgu a thwf personol pob plentyn. Trwy ddeall a chefnogi anghenion y disgyblion ar bob lefel, gall ysgolion yna greu amgylchedd sy'n meithrin lles a chyflawni'n academaidd. Mae’r dull hwn hefyd yn helpu i sicrhau bod pob plentyn yn teimlo’n  ddiogel, yn cael ei gefnogi’n emosiynol, a’i gymhelliant i gyrraedd ei lawn botensial, gan gydfynd â nodau cyfannol lles plant mewn addysg. Gwelir mewn ysgolion trwy fynd i'r afael â phob lefel o'r hierarchaeth, gall addysgwyr greu amgylchedd lle mae plant yn teimlo'n ddiogel, yn cael eu gwerthfawrogi a'u hysgogi i ddysgu ( Kline, 2019). Mae anghenion corfforol sylfaenol megis bwyd a dŵr yn cael eu cefnogi gan ddarparu clybiau brecwast a chinio cynnes am ddim i bob plentyn o dan Lywodraeth Cymru (Llywodraeth Cymru, 2024). Yn fy marn i, mae hyn yn fantais enfawr gan welir o lenyddiaeth bod ni fydd plant yn gallu canolbwyntio ar eu haddysg os yw ei lles ac anghenion sylfaenol ddim yn cael eu edrych ar ôl (Department for education, 2024). A trwy ddefnyddio hierarchaeth Maslow fel canllaw, gall ysgolion greu amgylcheddau cadarn sy'n cefnogi nid yn unig llwyddiant academaidd ond hefyd lles cyffredinol pob plentyn (Weinberg, 2011).  Er nad oes lawer o feirniadaeth dros y ddamcaniaeth yma gellir dadlau fod yna heriau sy’n gallu codi megis, mae rhai wedi cwestiynu'r ymarferoldeb a chysylltiadau bywyd go iawn dilys i’r hierarchaeth, y broses bydd pobl yn mynd drwy ,a’i pherthnasedd a’i chymhwysedd i gymdeithas fodern (Rouse G 2004).</w:t>
      </w:r>
    </w:p>
    <w:p w14:paraId="2EE59758" w14:textId="77777777" w:rsidR="00AE1639" w:rsidRPr="00AE1639" w:rsidRDefault="00AE1639" w:rsidP="00AE1639">
      <w:pPr>
        <w:spacing w:line="360" w:lineRule="auto"/>
        <w:rPr>
          <w:rFonts w:ascii="Arial" w:hAnsi="Arial" w:cs="Arial"/>
          <w:sz w:val="22"/>
          <w:szCs w:val="22"/>
        </w:rPr>
      </w:pPr>
    </w:p>
    <w:p w14:paraId="38EBCBC8"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 xml:space="preserve">Gwelir hefyd gan Estyn (2019) bod lles yn flaenoriaeth ddyddiol mewn ysgolion oherwydd ei fod yn sylfaen i ddatblygiad cyffredinol plant, eu llwyddiant academaidd, a'u lles hirdymor. Cysylltu'r hyn a damcaniaeth gymdeithasol ddiwylliannol Vygotsky o ddatblygiad gwybyddol, </w:t>
      </w:r>
      <w:r w:rsidRPr="00AE1639">
        <w:rPr>
          <w:rFonts w:ascii="Arial" w:hAnsi="Arial" w:cs="Arial"/>
          <w:sz w:val="22"/>
          <w:szCs w:val="22"/>
        </w:rPr>
        <w:lastRenderedPageBreak/>
        <w:t xml:space="preserve">yn cynnig mewnwelediad arwyddocaol i bwysigrwydd lles plentyn  (Shabani, Khatib a Ebadi, 2010). Pwysleisiodd Vygotsky y  rôl hanfodol o ryngweithiadau cymdeithasol, diwylliant ac iaith wrth lunio datblygiad gwybyddol. Mae ei syniadau’n ymwneud yn uniongyrchol â llesiant plant yn yr ysgol oherwydd eu bod yn amlygu’r rôl mae ffactorau emosiynol, cymdeithasol a seicolegol yn ei chwarae mewn addysg, yn enwedig yn ystod y blynyddoedd cynradd. </w:t>
      </w:r>
    </w:p>
    <w:p w14:paraId="48F59611" w14:textId="77777777" w:rsidR="00AE1639" w:rsidRPr="00AE1639" w:rsidRDefault="00AE1639" w:rsidP="00AE1639">
      <w:pPr>
        <w:spacing w:line="360" w:lineRule="auto"/>
        <w:rPr>
          <w:rFonts w:ascii="Arial" w:hAnsi="Arial" w:cs="Arial"/>
          <w:sz w:val="22"/>
          <w:szCs w:val="22"/>
        </w:rPr>
      </w:pPr>
    </w:p>
    <w:p w14:paraId="55C139B3" w14:textId="3D3D7BDB" w:rsidR="008C2598" w:rsidRDefault="00AE1639" w:rsidP="00FC1CF8">
      <w:pPr>
        <w:spacing w:line="360" w:lineRule="auto"/>
        <w:rPr>
          <w:rFonts w:ascii="Arial" w:hAnsi="Arial" w:cs="Arial"/>
          <w:sz w:val="22"/>
          <w:szCs w:val="22"/>
        </w:rPr>
      </w:pPr>
      <w:r w:rsidRPr="00AE1639">
        <w:rPr>
          <w:rFonts w:ascii="Arial" w:hAnsi="Arial" w:cs="Arial"/>
          <w:sz w:val="22"/>
          <w:szCs w:val="22"/>
        </w:rPr>
        <w:t>Yn y blynyddoedd diwethaf mae Llywodraeth Cymru wedi cyhoeddi dogfen ‘Llesiant Plant’ (2023) gan bwysleisio lles yn enwedig mewn ysgolion, a thrwy fynd i’r afael ag anghenion cymdeithasol, emosiynol a chorfforol disgyblion, gall ysgolion greu sylfaen sydd nid yn unig yn gwella dysgu academaidd ond sydd hefyd yn hyrwyddo lles a datblygiad cyffredinol. Cytunaf a hyn, oherwydd gwelais i allan yn yr ysgol bod yna bwyslais enfawr ar les yn yr ystafell dosbarth gan ddefnyddio amrywiaeth o dechnegau megis amser cylch, app tracio ymddygiad/teimladau, ymyraethau a llawer mwy. Mae’r technegau yma yn cael eu defnyddio’n ddyddiol ac o ganlyniad i hyn mae’n rhoi offer cywir i blant ddeall a rheoli eu hemosiynau, creu ymdeimlad o berthyn, ac annog cyfathrebu mewn amgylchedd cefnogol (Glazzard, 2016). Mae llesiant yn ganolog i’r Cwricwlwm i Gymru gan fod Iechyd a Lles yn un o’r meysydd dysgu a phrofiad newydd (Llywodraeth Cymru, 2022). Mae disgwyliad i athrawon dysgu gwersi iechyd a lles yn wythnosol gan gynnwys gwersi sydd yn ffocysu ar ymarfer corff neu ar wahanol emosiynau. Gwelir allan yn ysgolion ei fod yn defnyddio ystod eang o dechnegau i ddysgu lles gan gynnwys Jigsaw (2025), mae’r dechneg yma yn ffocysu ar addysg bersonol, gymdeithasol, iechyd ac economaidd yn yr ystafell dosbarth. Mae’n cynnig ffordd strwythuredig o fynd i’r afael a phynciau sensitif, meithrin deallusrwydd emosiynol a hyrwyddo cydweithredu.</w:t>
      </w:r>
    </w:p>
    <w:p w14:paraId="6D2C9E36" w14:textId="77777777" w:rsidR="00AE1639" w:rsidRPr="00BF7187" w:rsidRDefault="00AE1639" w:rsidP="00FC1CF8">
      <w:pPr>
        <w:spacing w:line="360" w:lineRule="auto"/>
        <w:rPr>
          <w:rFonts w:ascii="Arial" w:hAnsi="Arial" w:cs="Arial"/>
          <w:sz w:val="28"/>
          <w:szCs w:val="28"/>
        </w:rPr>
      </w:pPr>
    </w:p>
    <w:p w14:paraId="045571D9" w14:textId="5CFD417C" w:rsidR="004E6E31" w:rsidRPr="00BF7187" w:rsidRDefault="004E6E31" w:rsidP="00FC1CF8">
      <w:pPr>
        <w:spacing w:line="360" w:lineRule="auto"/>
        <w:rPr>
          <w:rFonts w:ascii="Arial" w:hAnsi="Arial" w:cs="Arial"/>
          <w:sz w:val="28"/>
          <w:szCs w:val="28"/>
        </w:rPr>
      </w:pPr>
      <w:r w:rsidRPr="00BF7187">
        <w:rPr>
          <w:rFonts w:ascii="Arial" w:hAnsi="Arial" w:cs="Arial"/>
          <w:b/>
          <w:bCs/>
          <w:sz w:val="28"/>
          <w:szCs w:val="28"/>
        </w:rPr>
        <w:t>Trafodaeth y dyluniad ymchwil</w:t>
      </w:r>
    </w:p>
    <w:p w14:paraId="2EF0019C"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 xml:space="preserve">Mae astudiaeth achos yn ddull ymchwil neu’n declyn addysgu sy’n cynnwys dadansoddiad manwl o unigolyn, grŵp, digwyddiad, sefydliad, neu sefyllfa benodol i archwilio a deall materion cymhleth mewn cyd-destun byd go iawn (Yin, R.K. et al. 2018). Defnyddir astudiaethau achos am nifer o resymau megis archwilio manwl, y gallu i ddarparu dadansoddiad manwl a chynhwysfawr o bwnc penodol, gan alluogi dealltwriaeth ddofn o'i arlliwiau a'i gymhlethdodau (Leavy, 2020). Mantais arall i astudiaethau achos yw ei fod yn cysylltu’r ddamcaniaeth i’r ymarfer, er enghraifft mae'n rhoi cyfle i brofi cysyniadau damcaniaethol mewn lleoliadau bywyd go iawn, gan wella'r cysylltiad rhwng gwybodaeth academaidd a chymwysiadau ymarferol. </w:t>
      </w:r>
    </w:p>
    <w:p w14:paraId="487A7771"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lastRenderedPageBreak/>
        <w:t>Mae hyn yn wir am fy mhrofiad fy hun oherwydd roeddwn i'n gallu cysylltu technegau a strategaethau dysgais am, ac yna gweld pa mor effeithiol oedden nhw'n gweithio tu fewn i'r awyrgylch dosbarth (Leavy, 2020).</w:t>
      </w:r>
    </w:p>
    <w:p w14:paraId="1D45059E" w14:textId="77777777" w:rsidR="00AE1639" w:rsidRPr="00AE1639" w:rsidRDefault="00AE1639" w:rsidP="00AE1639">
      <w:pPr>
        <w:spacing w:line="360" w:lineRule="auto"/>
        <w:rPr>
          <w:rFonts w:ascii="Arial" w:hAnsi="Arial" w:cs="Arial"/>
          <w:sz w:val="22"/>
          <w:szCs w:val="22"/>
        </w:rPr>
      </w:pPr>
    </w:p>
    <w:p w14:paraId="41B76C4C" w14:textId="4A0A6FB9" w:rsidR="00F97BA0" w:rsidRDefault="00AE1639" w:rsidP="00FC1CF8">
      <w:pPr>
        <w:spacing w:line="360" w:lineRule="auto"/>
        <w:rPr>
          <w:rFonts w:ascii="Arial" w:hAnsi="Arial" w:cs="Arial"/>
          <w:sz w:val="22"/>
          <w:szCs w:val="22"/>
        </w:rPr>
      </w:pPr>
      <w:r w:rsidRPr="00AE1639">
        <w:rPr>
          <w:rFonts w:ascii="Arial" w:hAnsi="Arial" w:cs="Arial"/>
          <w:sz w:val="22"/>
          <w:szCs w:val="22"/>
        </w:rPr>
        <w:t>Ond er bod astudiaethau achos yn arf gwerthfawr ar gyfer dadansoddi’n fanwl a chymhwyso ymarferol, mae ganddynt rai cyfyngiadau hefyd. Un gwendid yw y gallai fod potensial ar gyfer tuedd, oherwydd gall ymchwilwyr yn naturiol wrth gasglu neu dehongli data cael dylanwad ar y canlyniadau (Sutton-Tyrrell, 1991). Hefyd mae cynnal astudiaeth achos yn gofyn am gryn dipyn o amser ac ymdrech i gasglu, dadansoddi a dehongli data (Ekdal, 2016). Ac efallai na fydd dadansoddiad manwl bob amser yn ymarferol o fewn terfynau amser tynn, felly gallai adael yr ymchwil heb ei orffen neu gasglu data annibynadwy. Yn achos fy hun cawsom wythnos allan yn yr ysgol felly oedd hyn ddim yn gyfyngiad ond gallant weld sut bydd hyn yn broblem i ymchwilwyr eraill.</w:t>
      </w:r>
    </w:p>
    <w:p w14:paraId="28460F10" w14:textId="77777777" w:rsidR="00A82A03" w:rsidRPr="00A82A03" w:rsidRDefault="00A82A03" w:rsidP="00FC1CF8">
      <w:pPr>
        <w:spacing w:line="360" w:lineRule="auto"/>
        <w:rPr>
          <w:rFonts w:ascii="Arial" w:hAnsi="Arial" w:cs="Arial"/>
          <w:sz w:val="22"/>
          <w:szCs w:val="22"/>
        </w:rPr>
      </w:pPr>
    </w:p>
    <w:p w14:paraId="364D9992" w14:textId="5A094D54" w:rsidR="004E6E31" w:rsidRPr="00BF7187" w:rsidRDefault="004E6E31" w:rsidP="00FC1CF8">
      <w:pPr>
        <w:spacing w:line="360" w:lineRule="auto"/>
        <w:rPr>
          <w:rFonts w:ascii="Arial" w:hAnsi="Arial" w:cs="Arial"/>
          <w:sz w:val="28"/>
          <w:szCs w:val="28"/>
        </w:rPr>
      </w:pPr>
      <w:r w:rsidRPr="00BF7187">
        <w:rPr>
          <w:rFonts w:ascii="Arial" w:hAnsi="Arial" w:cs="Arial"/>
          <w:b/>
          <w:bCs/>
          <w:sz w:val="28"/>
          <w:szCs w:val="28"/>
        </w:rPr>
        <w:t>Dulliau ymchwil</w:t>
      </w:r>
    </w:p>
    <w:p w14:paraId="61304920" w14:textId="77777777" w:rsidR="00A82A03" w:rsidRDefault="00AE1639" w:rsidP="00AE1639">
      <w:pPr>
        <w:spacing w:line="360" w:lineRule="auto"/>
        <w:rPr>
          <w:rFonts w:ascii="Arial" w:hAnsi="Arial" w:cs="Arial"/>
          <w:sz w:val="22"/>
          <w:szCs w:val="22"/>
        </w:rPr>
      </w:pPr>
      <w:r w:rsidRPr="00AE1639">
        <w:rPr>
          <w:rFonts w:ascii="Arial" w:hAnsi="Arial" w:cs="Arial"/>
          <w:sz w:val="22"/>
          <w:szCs w:val="22"/>
        </w:rPr>
        <w:t>Ar gyfer dod o hyd i’r holl ganlyniadau yn yr wythnos ymchwilio, penderfynais i ddefnyddio dau ddull ansoddol sef arsylwi (Atodiad 4) a chynnal cyfweliadau (Atodiad 1). Mae dulliau ymchwil ansoddol yn canolbwyntio ar archwilio sut a pham mae pobl yn profi pethau, gan ddarparu mewnwelediadau manwl i ganfyddiadau, ystyron a chyd-destunau (Tenny, Brannan a Brannan, 2022). Yn fy marn i mae arsylwi yn ddull ymchwil hynod effeithiol mewn amgylchedd ysgol oherwydd ei fod yn caniatáu i ymchwilwyr i gael mewnwelediadau uniongyrchol, dilys am ymddygiad y dysgwyr, rhyngweithio, a phrosesau dysgu. Gwerth arsylwi yw ei fod yn caniatáu i ymchwilwyr astudio pobl yn eu hamgylchedd naturiol er mwyn deall "pethau" o'u safbwynt nhw (Baker, 2006). Mae arsylwi yn enwedig pan mae'n ymwneud ag addysg yn caniatáu i'r ymchwilydd ddal deinameg yr ystafell ddosbarth yn hawdd. Mae'n galluogi ymchwilwyr i ddadansoddi'r rhyngweithio rhwng athrawon a disgyblion, perthnasau cyfoedion, ac effeithiolrwydd strategaethau addysgu (Wragg, 1999). Gwelais hyn fel ffordd effeithiol o weld yn gyflym beth oedd yn gweithio a beth oedd ddim yn gweithio, mae hyn hefyd yn ffordd effeithiol o weld a chymharu sut mae plant gwahanol yn ymateb i strategaethau ystafell ddosbarth fel amser cylch, tracio teimladau a blwch siarad. Gwelais bod rhai plant yn fwy hapus i siarad yn agored wrth rannu eu teimladau nag eraill. Ar gyfer arsylwi penderfynais ddefnyddio graddfa Leuven (Main, 2021) ( gwelir atodiad 4) er mwyn asesu lles emosiynol plentyn a’i gyfranogiad i weithgareddau mewn ffordd strwythuredig. Mae'r raddfa leuven (Laevers, F. 1994) yn arf ymarferol, dibynadwy, sy'n canolbwyntio ar y plentyn sy'n gwella ansawdd arsylwi ac yn cefnogi datblygiad amgylchedd meithringar ac ysgogol i blant.</w:t>
      </w:r>
    </w:p>
    <w:p w14:paraId="65DF17F1" w14:textId="0EF8285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lastRenderedPageBreak/>
        <w:t>Un rheswm y dewisais arsylwi fel dull oedd ei fod yn caniatáu i mi weld beth sy’n digwydd yn syth, mae hefyd yn caniatáu i mi gofnodi syniadau ac ymddygiad fel mae'n digwydd yn naturiol, gan yna ddarparu tystiolaeth ddilys (Williams, 2024). Mae hefyd yn lleihau'r ddibyniaeth ar ddata hunan gofnodedig, a all fod yn unochrog neu'n anghywir. O fy mhrofiad fy hun gwelais fod y pwynt yna'n fantais oherwydd roeddwn i’n gallu dewis beth a pwy i arsylwi, a trwy wneud hyn mi roedd yn hawdd iawn peidio â cholli unrhyw wybodaeth bwysig. Yn bellach mae’r dull yma’n hyblyg iawn ac yn hawdd addasu fel dull ymchwil oherwydd gellir ei ddefnyddio mewn lleoliadau amrywiol megis ystafelloedd dosbarth, awyr agored ac ardaloedd dysgu eraill (Kawulich, 2005). Fodd bynnag, fel pob dull mae ganddo gryfderau a'i gyfyngiadau, un cyfyngiad o arsylwi fel dull ymchwilio yw bod plant weithiau yn gallu newid eu hymddygiad os ydynt yn ymwybodol bydd person yn arsylwi yn y dosbarth, sydd yn gallu arwain at ddata annibynadwy.  Adnabyddir hyn fel yr ‘Hawthorne effect’ (Elston, D.M. 2021) mae hynny'n golygu lle mae unigolion yn newid eu hymddygiad oherwydd eu hymwybyddiaeth o gael eu harsylwi. Mae pobl yn aml yn gweithio'n galetach neu'n ymddwyn yn wahanol pan fyddant yn teimlo bod rhywun yn arsylwi arnynt. Cytunaf gyda’r datganiad hyn gan welaf fy hun fod plant yn tueddu i ymddwyn yn well pan fyddant yn cael eu harsylwi, ond er budd fy ymchwil credaf nad oedd hyn wedi effeithio ar fy nghanlyniadau gormod. Fy marn i yw bod arsylwi yn arf ymchwil pwerus. Fodd bynnag, mae ei effeithiolrwydd yn dibynnu ar gynllunio gofalus, gweithredu medrus, a mynd i'r afael â chyfyngiadau posibl fel rhagfarn a phryderon moesegol.</w:t>
      </w:r>
    </w:p>
    <w:p w14:paraId="3B63F69D" w14:textId="77777777" w:rsidR="00AE1639" w:rsidRPr="00A82A03" w:rsidRDefault="00AE1639" w:rsidP="00AE1639">
      <w:pPr>
        <w:spacing w:line="360" w:lineRule="auto"/>
        <w:rPr>
          <w:rFonts w:ascii="Arial" w:hAnsi="Arial" w:cs="Arial"/>
          <w:sz w:val="22"/>
          <w:szCs w:val="22"/>
        </w:rPr>
      </w:pPr>
    </w:p>
    <w:p w14:paraId="07013048" w14:textId="2FB48520" w:rsidR="00AE1639" w:rsidRPr="00A82A03" w:rsidRDefault="00AE1639" w:rsidP="00AE1639">
      <w:pPr>
        <w:spacing w:line="360" w:lineRule="auto"/>
        <w:rPr>
          <w:rFonts w:ascii="Arial" w:hAnsi="Arial" w:cs="Arial"/>
          <w:sz w:val="22"/>
          <w:szCs w:val="22"/>
        </w:rPr>
      </w:pPr>
      <w:r w:rsidRPr="00A82A03">
        <w:rPr>
          <w:rFonts w:ascii="Arial" w:hAnsi="Arial" w:cs="Arial"/>
          <w:sz w:val="22"/>
          <w:szCs w:val="22"/>
        </w:rPr>
        <w:t xml:space="preserve">Ond gellir dadlau fod yna rhai pwyntiau negyddol i’r dull yma hefyd, gall cynnal cyfweliadau, yn enwedig wyneb i wyneb cymryd llawer o amser yn enwedig wrth ystyried paratoi, cyflawni, trawsgrifio a dadansoddi. Gwelais gall cyfweld fod yn eithaf heriol weithiau i ddod o hyd i amser sydd yn gyfleus i'r cyfranogwr a'r cyfwelydd gan ystyried bu hyn yn galetach wrth gyfled ag athrawon gan ei fod angen trefnu person i fod yn y dosbarth. Credaf fod hyn hyd yn oed yn fwy heriol mewn ysgolion gan fod rhywbeth yn digwydd bob amser a gall cynlluniau newid yn gyflym iawn. Er mwyn atal hyn rhag digwydd roedd y staff yn hapus iawn i mi eu cyfweld mewn unrhyw amser sbâr megis cyn i'r plant gyrraedd, yn ystod ymarfer cyngerdd ac ati. </w:t>
      </w:r>
    </w:p>
    <w:p w14:paraId="76F90A8B" w14:textId="77777777" w:rsidR="00502108" w:rsidRPr="00A82A03" w:rsidRDefault="00502108" w:rsidP="00AE1639">
      <w:pPr>
        <w:spacing w:line="360" w:lineRule="auto"/>
        <w:rPr>
          <w:rFonts w:ascii="Arial" w:hAnsi="Arial" w:cs="Arial"/>
          <w:sz w:val="22"/>
          <w:szCs w:val="22"/>
        </w:rPr>
      </w:pPr>
    </w:p>
    <w:p w14:paraId="4CCFC2F7" w14:textId="55A4E121" w:rsidR="00502108" w:rsidRPr="00A82A03" w:rsidRDefault="00AE1639" w:rsidP="00AE1639">
      <w:pPr>
        <w:spacing w:line="360" w:lineRule="auto"/>
        <w:rPr>
          <w:rFonts w:ascii="Arial" w:hAnsi="Arial" w:cs="Arial"/>
          <w:sz w:val="22"/>
          <w:szCs w:val="22"/>
        </w:rPr>
      </w:pPr>
      <w:r w:rsidRPr="00A82A03">
        <w:rPr>
          <w:rFonts w:ascii="Arial" w:hAnsi="Arial" w:cs="Arial"/>
          <w:sz w:val="22"/>
          <w:szCs w:val="22"/>
        </w:rPr>
        <w:t xml:space="preserve">Yn ogystal penderfynais ddefnyddio dull o gynnal cyfweliadau gan ei fod yn caniatáu i mi gasglu data manwl yn uniongyrchol o’r cyfranogwyr, ac yn y sefyllfa hon penderfynais i gyfweliad ȃ staff yr ysgol. Yn wahanol i ddulliau eraill, mae cyfweliadau'n darparu'r hyblygrwydd i archwilio pynciau'n ddwfn trwy gwestiynau sydd ddim pob tro yn digwydd gyda dulliau fel holiaduron neu arsylwi. Rheswm arall ydy’r ffaith gallech weld emosiynau, cymhellion a safbwyntiau'r person gan eich bod chi’n siarad wyneb i wyneb (Virginia Tech </w:t>
      </w:r>
      <w:r w:rsidRPr="00A82A03">
        <w:rPr>
          <w:rFonts w:ascii="Arial" w:hAnsi="Arial" w:cs="Arial"/>
          <w:sz w:val="22"/>
          <w:szCs w:val="22"/>
        </w:rPr>
        <w:lastRenderedPageBreak/>
        <w:t>2023). Credaf weithiau y bydd gofyn cwestiynau wyneb yn wyneb yn arwain at atebion mwy gonest ac agored gan fod y person yna ac yn barod i ateb unrhyw gwestiynau sydd. I gymharu â holiaduron gallai person gael ei demtio i ruthro neu ei adael heb ei orffen. Ymhellach, mae cyfweliadau hefyd yn galluogi ymchwilwyr i addasu eu hymagwedd yn seiliedig ar ymatebion cyfranogwyr, gan ganiatáu ar gyfer eglurhad a chwilota dyfnach i feysydd arwyddocaol (DiCicco-Bloom a Crabtree, 2006). Mae hyn yn hollbwysig er mwyn sicrhau bod y cyfweliad yn aros yn berthnasol ac yn ddeinamig. Mae'r hyblygrwydd hwn yn gwella ansawdd y data a gasglir ac yn creu profiad mwy deniadol i'r cyfwelydd a'r cyfranogwr (Dai, Free a Gendron, 2019).</w:t>
      </w:r>
    </w:p>
    <w:p w14:paraId="6F9E9BEB" w14:textId="77777777" w:rsidR="00502108" w:rsidRPr="00A82A03" w:rsidRDefault="00502108" w:rsidP="00AE1639">
      <w:pPr>
        <w:spacing w:line="360" w:lineRule="auto"/>
        <w:rPr>
          <w:rFonts w:ascii="Arial" w:hAnsi="Arial" w:cs="Arial"/>
          <w:sz w:val="22"/>
          <w:szCs w:val="22"/>
        </w:rPr>
      </w:pPr>
    </w:p>
    <w:p w14:paraId="47B01151" w14:textId="22BCAFCE" w:rsidR="00DB2F91" w:rsidRDefault="00AE1639" w:rsidP="00FC1CF8">
      <w:pPr>
        <w:spacing w:line="360" w:lineRule="auto"/>
        <w:rPr>
          <w:rFonts w:ascii="Arial" w:hAnsi="Arial" w:cs="Arial"/>
          <w:sz w:val="22"/>
          <w:szCs w:val="22"/>
        </w:rPr>
      </w:pPr>
      <w:r w:rsidRPr="00A82A03">
        <w:rPr>
          <w:rFonts w:ascii="Arial" w:hAnsi="Arial" w:cs="Arial"/>
          <w:sz w:val="22"/>
          <w:szCs w:val="22"/>
        </w:rPr>
        <w:t>Fel y soniwyd uchod roedd yn anodd ar adegau i ddod o hyd i amser i gynnal cyfweliad, felly gofynnwyd fy nghwestiynau mewn ffurf anffurfiol er mwyn cael cymaint o wybodaeth â phosibl mewn amser bach. Mae ymchwil yn dangos bod cyfweliadau anffurfiol yn annog ymgeiswyr i adael eu gwyliadwriaeth i lawr wrth ateb cwestiynau, sydd wedyn yn gallu arwain at sgwrs fwy agored (Envigor, 2018). Wrth edrych yn ôl, credaf fy mod wedi gwneud y penderfyniadau cywir trwy ddewis arsylwadau a chynnal cyfweliadau fel fy nulliau ymchwil, oherwydd llwyddais i gasglu'r atebion mwyaf ystyrlon i'm cwestiwn ymchwil.</w:t>
      </w:r>
    </w:p>
    <w:p w14:paraId="1B076527" w14:textId="77777777" w:rsidR="00A82A03" w:rsidRPr="00A82A03" w:rsidRDefault="00A82A03" w:rsidP="00FC1CF8">
      <w:pPr>
        <w:spacing w:line="360" w:lineRule="auto"/>
        <w:rPr>
          <w:rFonts w:ascii="Arial" w:hAnsi="Arial" w:cs="Arial"/>
          <w:sz w:val="22"/>
          <w:szCs w:val="22"/>
        </w:rPr>
      </w:pPr>
    </w:p>
    <w:p w14:paraId="4337F57C" w14:textId="54D15E20" w:rsidR="004E6E31" w:rsidRPr="00A82A03" w:rsidRDefault="004E6E31" w:rsidP="00FC1CF8">
      <w:pPr>
        <w:spacing w:line="360" w:lineRule="auto"/>
        <w:rPr>
          <w:rFonts w:ascii="Arial" w:hAnsi="Arial" w:cs="Arial"/>
          <w:sz w:val="28"/>
          <w:szCs w:val="28"/>
        </w:rPr>
      </w:pPr>
      <w:r w:rsidRPr="00A82A03">
        <w:rPr>
          <w:rFonts w:ascii="Arial" w:hAnsi="Arial" w:cs="Arial"/>
          <w:b/>
          <w:bCs/>
          <w:sz w:val="28"/>
          <w:szCs w:val="28"/>
        </w:rPr>
        <w:t>Dull(iau) Cyflwyno a Dadansoddi Data</w:t>
      </w:r>
    </w:p>
    <w:p w14:paraId="6E2D0152" w14:textId="77777777" w:rsidR="00AE1639" w:rsidRPr="00A82A03" w:rsidRDefault="00AE1639" w:rsidP="00AE1639">
      <w:pPr>
        <w:spacing w:line="360" w:lineRule="auto"/>
        <w:rPr>
          <w:rFonts w:ascii="Arial" w:hAnsi="Arial" w:cs="Arial"/>
          <w:sz w:val="22"/>
          <w:szCs w:val="22"/>
        </w:rPr>
      </w:pPr>
      <w:r w:rsidRPr="00A82A03">
        <w:rPr>
          <w:rFonts w:ascii="Arial" w:hAnsi="Arial" w:cs="Arial"/>
          <w:sz w:val="22"/>
          <w:szCs w:val="22"/>
        </w:rPr>
        <w:t>Defnyddiais y dull o gofnodi (Atodiad 4) a thrawsgrifio (Atodiad 2) er mwyn crynhoi a dadansoddi’r data casglais yn y cyfweliad ar arsylwadau. Gellir drawsgrifio gan drawsnewid geiriau llafar yn destun ysgrifenedig, gan ei wneud yn haws adnabod themâu, patrymau a mewnwelediadau allweddol. Trwy ganolbwyntio ar drawsgrifio data cyfweliadau, gall ymchwilwyr wella ansawdd eu canfyddiadau a sicrhau bod pob naws o'r sgwrs yn cael ei ddal (Williams, B. 2024). Cytunaf ar ddatganiad yma oherwydd wrth drawsgrifio mae wedi sicrhau fod nad oes unrhyw fanylion yn cael eu colli, neu anghofio sy’n hanfodol ar gyfer dadansoddi data yn gywir. Mae trawsgrifiadau hefyd yn creu cofnod parhaol o'r cyfweliad y gellir ailymweld unrhyw bryd. Yn debyg, wrth gadw cofnod o'r arsylwadau, roedd yn ddefnyddiol iawn darllen yn ôl trwy'r nodiadau ar ôl gorffen gan fod cymaint o bethau'n digwydd ac mae'n anodd cofio popeth. Yn ôl Williams ( 2024) mae nodiadau arsylwi yn cadw cofnod ar ddigwyddiadau, ymddygiadau a rhyngweithiadau wrth iddynt ddigwydd. Mae nodiadau yn cael ei ysgrifennu’n syth ac yna yn lleihau’r ddibyniaeth ar y cof, gan sicrhau cywirdeb a lleihau'r risg o ragfarn adalw.</w:t>
      </w:r>
    </w:p>
    <w:p w14:paraId="4F98A904" w14:textId="77777777" w:rsidR="00AE1639" w:rsidRPr="00A82A03" w:rsidRDefault="00AE1639" w:rsidP="00AE1639">
      <w:pPr>
        <w:spacing w:line="360" w:lineRule="auto"/>
        <w:rPr>
          <w:rFonts w:ascii="Arial" w:hAnsi="Arial" w:cs="Arial"/>
          <w:sz w:val="22"/>
          <w:szCs w:val="22"/>
        </w:rPr>
      </w:pPr>
    </w:p>
    <w:p w14:paraId="2E98CC74" w14:textId="77777777" w:rsidR="00AE1639" w:rsidRPr="00A82A03" w:rsidRDefault="00AE1639" w:rsidP="00AE1639">
      <w:pPr>
        <w:spacing w:line="360" w:lineRule="auto"/>
        <w:rPr>
          <w:rFonts w:ascii="Arial" w:hAnsi="Arial" w:cs="Arial"/>
          <w:sz w:val="22"/>
          <w:szCs w:val="22"/>
        </w:rPr>
      </w:pPr>
      <w:r w:rsidRPr="00A82A03">
        <w:rPr>
          <w:rFonts w:ascii="Arial" w:hAnsi="Arial" w:cs="Arial"/>
          <w:sz w:val="22"/>
          <w:szCs w:val="22"/>
        </w:rPr>
        <w:t xml:space="preserve">Mae dadansoddiad thematig Clark a Braun (2006) yn chwarae rhan hanfodol wrth drefnu a gwneud synnwyr o ddata ansoddol trwy nodi themâu allweddol, categoreiddio data, a </w:t>
      </w:r>
      <w:r w:rsidRPr="00A82A03">
        <w:rPr>
          <w:rFonts w:ascii="Arial" w:hAnsi="Arial" w:cs="Arial"/>
          <w:sz w:val="22"/>
          <w:szCs w:val="22"/>
        </w:rPr>
        <w:lastRenderedPageBreak/>
        <w:t>chysylltu canfyddiadau â chwestiynau ymchwil neu fframweithiau damcaniaethol. Mae’r dull yn annog ailedrych ar themâu a’u mireinio drwy gydol y broses ddadansoddi, sydd wedyn yn cryfhau dibynadwyedd data drwy gynnal cysondeb yn y modd y caiff data ei gategoreiddio a’i ddehongli. Ac er ei fod yn cael ei ganmol gan lawer mae yna feirniadaeth am y ddogfen yma sy'n ddweud, bod y dadansoddiad thematig yn cynnig hyblygrwydd sylweddol, ond gellir hyn ei weld fel anfantais (Alhojailan, 2012). Gall absenoldeb proses safonedig ei gwneud yn heriol i gymharu canfyddiadau ar draws astudiaethau gwahanol yn uniongyrchol. Er bod llawer o bethau cadarnhaol a negyddol ar gael am y dadansoddiad thematig, credaf ei fod wedi helpu fi i wneud yn siŵr bod fy nata yn ddibynadwy.</w:t>
      </w:r>
    </w:p>
    <w:p w14:paraId="01CF9057" w14:textId="77777777" w:rsidR="004E6E31" w:rsidRPr="00A82A03" w:rsidRDefault="004E6E31" w:rsidP="00FC1CF8">
      <w:pPr>
        <w:spacing w:line="360" w:lineRule="auto"/>
        <w:rPr>
          <w:rFonts w:ascii="Arial" w:hAnsi="Arial" w:cs="Arial"/>
          <w:sz w:val="22"/>
          <w:szCs w:val="22"/>
        </w:rPr>
      </w:pPr>
    </w:p>
    <w:p w14:paraId="1180CBD1" w14:textId="6D26C360" w:rsidR="005D55C4" w:rsidRPr="00A82A03" w:rsidRDefault="005D55C4" w:rsidP="00FC1CF8">
      <w:pPr>
        <w:spacing w:line="360" w:lineRule="auto"/>
        <w:rPr>
          <w:rFonts w:ascii="Arial" w:hAnsi="Arial" w:cs="Arial"/>
          <w:b/>
          <w:bCs/>
          <w:sz w:val="28"/>
          <w:szCs w:val="28"/>
        </w:rPr>
      </w:pPr>
      <w:r w:rsidRPr="00A82A03">
        <w:rPr>
          <w:rFonts w:ascii="Arial" w:hAnsi="Arial" w:cs="Arial"/>
          <w:b/>
          <w:bCs/>
          <w:sz w:val="28"/>
          <w:szCs w:val="28"/>
        </w:rPr>
        <w:t>Bod yn foesegol</w:t>
      </w:r>
    </w:p>
    <w:p w14:paraId="0B7871DE" w14:textId="77777777" w:rsidR="00AE1639" w:rsidRPr="00AE1639" w:rsidRDefault="00AE1639" w:rsidP="00AE1639">
      <w:pPr>
        <w:spacing w:line="360" w:lineRule="auto"/>
        <w:rPr>
          <w:rFonts w:ascii="Arial" w:hAnsi="Arial" w:cs="Arial"/>
          <w:sz w:val="22"/>
          <w:szCs w:val="22"/>
        </w:rPr>
      </w:pPr>
      <w:r w:rsidRPr="00A82A03">
        <w:rPr>
          <w:rFonts w:ascii="Arial" w:hAnsi="Arial" w:cs="Arial"/>
          <w:sz w:val="22"/>
          <w:szCs w:val="22"/>
        </w:rPr>
        <w:t>Mae sicrhau ymchwil foesegol mewn lleoliad ysgol yn hanfodol ar gyfer amddiffyn hawliau a lles pawb sy’n cymryd rhan gan gynnwys plant, athrawon a staff yr ysgol. Mae arferion ymchwil moesegol yn helpu i gynnal ymddiriedaeth, hyrwyddo tegwch, a diogelu uniondeb y broses ymchwil a'r canlyniadau (NSPCC, 2023).  Er mwyn sicrhau hyn oedd rhaid i mi lenwi mewn ffurflen foeseg (Gweler atodiad 5) a danfon i’r ysgol o falen llaw, mae hyn er mwyn sicrhau bod yr ymchwil yn glynu at egwyddorion moesegol ac i ddiogelu hawliau a lles y rhai sy'n cymryd rhan yn yr ymchwil (World Health Organisation, 2021). Yn ogystal, sicrheais fy mod i wedi dosbarthu llythyron caniatâd (Gwelir atodiad 3) i’r ysgolion yn flaenorol er mwyn</w:t>
      </w:r>
      <w:r w:rsidRPr="00AE1639">
        <w:rPr>
          <w:rFonts w:ascii="Arial" w:hAnsi="Arial" w:cs="Arial"/>
          <w:sz w:val="22"/>
          <w:szCs w:val="22"/>
        </w:rPr>
        <w:t xml:space="preserve"> iddyn nhw dosbarthu cyn i mi ddechrau’r ymchwil. Wrth gynnal yr ymchwiliad yma penderfynais ffocysu ar blant hŷn yr ysgol, gan wneud yn siŵr gan ddilyn Holmes (2020) fy mod yn aros yn gynhwysol ac nad oeddwn yn mynd yn rhagfarnllyd mewn unrhyw ffordd. Ymhellach, roedd yn bwysig iawn i bawb oedd yn cymryd rhan gwybod bod ganddynt yr hawl i adael ar unrhyw adeg benodol. Yn ogystal â gwneud yn siŵr i gael cydsyniad y plant cyn dechrau unrhyw fath o arsylwi neu gwestiynu. Yn ychwanegol gan ei fod yn ymchwil mewn ysgol yn cynnwys plant roedd yn bwysig iawn i mi wneud yn siŵr bod pob darn o wybodaeth yn gyfrinachol ac wrth i mi rannu’r ymchwiliad i wneud popeth yn anhysbys gan ddilyn canllawiau BERA (2024).</w:t>
      </w:r>
    </w:p>
    <w:p w14:paraId="4A638DCA" w14:textId="77777777" w:rsidR="005D55C4" w:rsidRPr="00BF7187" w:rsidRDefault="005D55C4" w:rsidP="00FC1CF8">
      <w:pPr>
        <w:spacing w:line="360" w:lineRule="auto"/>
        <w:rPr>
          <w:rFonts w:ascii="Arial" w:hAnsi="Arial" w:cs="Arial"/>
          <w:sz w:val="22"/>
          <w:szCs w:val="22"/>
        </w:rPr>
      </w:pPr>
    </w:p>
    <w:p w14:paraId="7ABED2D3" w14:textId="2D159C73" w:rsidR="005D55C4" w:rsidRPr="00BF7187" w:rsidRDefault="005B04C5" w:rsidP="00FC1CF8">
      <w:pPr>
        <w:spacing w:line="360" w:lineRule="auto"/>
        <w:rPr>
          <w:rFonts w:ascii="Arial" w:hAnsi="Arial" w:cs="Arial"/>
          <w:b/>
          <w:bCs/>
          <w:sz w:val="28"/>
          <w:szCs w:val="28"/>
        </w:rPr>
      </w:pPr>
      <w:r w:rsidRPr="00BF7187">
        <w:rPr>
          <w:rFonts w:ascii="Arial" w:hAnsi="Arial" w:cs="Arial"/>
          <w:b/>
          <w:bCs/>
          <w:sz w:val="28"/>
          <w:szCs w:val="28"/>
        </w:rPr>
        <w:t>Canlyniadau / Dadansoddiad o ganlyniadau / Trafodaeth</w:t>
      </w:r>
    </w:p>
    <w:p w14:paraId="74B047BF"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 xml:space="preserve">Trwy gydol fy wythnos ymchwil, rwyf wedi gweld a chlywed am gymaint o strategaethau newydd sy’n ymwneud a lles yn yr ystafell dosbarth. Yn gyntaf, byddaf yn tynnu sylw at yr hyn a welais o ddosbarthiadau blwyddyn tri, pedwar, pump a chwech. Y strategaeth gyntaf gwelais oedd ‘Moodtrackers’, gwelais wrth i’r athrawes dosbarth defnyddio'r rhaglenni teimladau yma yn y dosbarth oedd y plant yn fwy hapus i rannu eu teimladau gan y gallent ateb yn onest ac  mewn ffordd breifat lle dim ond nhw a'r athrawes yn unig fydd yn gweld yr </w:t>
      </w:r>
      <w:r w:rsidRPr="00AE1639">
        <w:rPr>
          <w:rFonts w:ascii="Arial" w:hAnsi="Arial" w:cs="Arial"/>
          <w:sz w:val="22"/>
          <w:szCs w:val="22"/>
        </w:rPr>
        <w:lastRenderedPageBreak/>
        <w:t>atebion. I gymharu â strategaethau fel amser cylch, credaf fod hyn yn gweithio gyda phlant ifanc ond wrth iddynt fynd yn hŷn efallai na fydd y plant eisiau rhannu’n agored â’r dosbarth cyfan sut maen nhw’n teimlo mewn gwirionedd. Cysyllta’r hyn a gwaith Goleman (2020) sydd yn edrych ar ddeallusrwydd emosiynol ac yn amlygu pwysigrwydd adnabod, deall a rheoli emosiynau fel sgil sylfaenol ar gyfer llwyddiant yn llesiant y plentyn. Credaf fod wrth i ni annog plant i siarad am eu teimladau mae’n adeiladu deallusrwydd emosiynol, gan hefyd wella eu hempathi tuag at bobl eraill (Goodstart, 2018). Ar y llaw arall dadleua Hirsch (Hirsch, Rowland a Stanford, 1998) dylai ysgolion ganolbwyntio ar sgiliau megis llythrennedd diwylliannol sy’n angenrheidiol ar gyfer cyfranogiad cymdeithasol, yn hytrach na phwysleisio mynegiant emosiynol neu les. Anghytunaf gyda’r pwynt yma, oherwydd credaf y peth mwyaf pwysig wrth ddechrau dydd gyda plant eu bod nhw’n teimlo'n hapus ac yn ddiogel cyn iddyn nhw wneud unrhyw beth arall.</w:t>
      </w:r>
    </w:p>
    <w:p w14:paraId="04045B80" w14:textId="77777777" w:rsidR="00AE1639" w:rsidRPr="00AE1639" w:rsidRDefault="00AE1639" w:rsidP="00AE1639">
      <w:pPr>
        <w:spacing w:line="360" w:lineRule="auto"/>
        <w:rPr>
          <w:rFonts w:ascii="Arial" w:hAnsi="Arial" w:cs="Arial"/>
          <w:sz w:val="22"/>
          <w:szCs w:val="22"/>
        </w:rPr>
      </w:pPr>
    </w:p>
    <w:p w14:paraId="3F1D51B8" w14:textId="06F1C44C"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Yn dilyn hyn hefyd gwelais ymyrraeth o’r enw CHATT (Cyngor Sir Gar, 2024), sydd yn gymysgedd o weithgareddau cymdeithasol a gweithgareddau sylw a gwrando. Trwy arsylwi’r ar y sesiynau yma gwelaf eu bod yn ffocysu ar gymysgedd o wahanol bynciau megis, teimladau, ymddygiad, bwlio, ffrindiau, empathi ac ati. Trwy gynnal sesiynau sy'n sôn am bwysigrwydd y pethau hyn roeddwn yn gallu gweld fy mod yn tawelu'n fawr i lawer ohonyn nhw allu siarad yn rhydd a phan fyddent yn dychwelyd i'r dosbarth ar ôl 15 munud eu bod yn barod i ddysgu a pharhau gyda’r gwaith. Mae nifer o ddamcaniaethwyr a fframweithiau yn cefnogi pwysigrwydd rhoi amser i blant dawelu a myfyrio y tu allan i’r ystafell ddosbarth gan gynnwys Maria Montessori. Pwysleisiodd Montessori (American Montessori Society, 2023) y pwysigrwydd o rhyddid a dysgu, sy'n cynnwys amser i fyfyrio a thawelwch. Credai fod plant angen eiliadau o dawelwch i brosesu eu profiadau a meithrin disgyblaeth fewnol. Mae darparu amser tawel y tu allan i'r dosbarth yn cyd-fynd â'i syniad o greu amgylchedd parod sy'n meithrin twf academaidd ac emosiynol. Mae’r sesiynau yma’n digwydd tair gwaith yr wythnos a thrwy ddilyn tystiolaeth yr ysgol, maent hefyd yn effeithiol iawn i gynnydd a’u canolbwyntid wrth iddyn nhw fynd nôl mewn i’r ystafell dosbarth. Gan amlaf, plant sydd ȃ problemau ymddygiad neu ddiffyg sgiliau canolbwyntiad sydd yn mynychu'r sesiynau yma.</w:t>
      </w:r>
    </w:p>
    <w:p w14:paraId="15D81BB0" w14:textId="77777777" w:rsidR="00DF51AE" w:rsidRPr="00AE1639" w:rsidRDefault="00DF51AE" w:rsidP="00AE1639">
      <w:pPr>
        <w:spacing w:line="360" w:lineRule="auto"/>
        <w:rPr>
          <w:rFonts w:ascii="Arial" w:hAnsi="Arial" w:cs="Arial"/>
          <w:sz w:val="21"/>
          <w:szCs w:val="21"/>
        </w:rPr>
      </w:pPr>
    </w:p>
    <w:p w14:paraId="3C0B9866" w14:textId="05C04929" w:rsidR="00253580" w:rsidRDefault="00AE1639" w:rsidP="00FC1CF8">
      <w:pPr>
        <w:spacing w:line="360" w:lineRule="auto"/>
        <w:rPr>
          <w:rFonts w:ascii="Arial" w:hAnsi="Arial" w:cs="Arial"/>
          <w:sz w:val="22"/>
          <w:szCs w:val="22"/>
        </w:rPr>
      </w:pPr>
      <w:r w:rsidRPr="00AE1639">
        <w:rPr>
          <w:rFonts w:ascii="Arial" w:hAnsi="Arial" w:cs="Arial"/>
          <w:sz w:val="22"/>
          <w:szCs w:val="22"/>
        </w:rPr>
        <w:t xml:space="preserve">Dull arall welais o gefnogi lles y plant oedd Jax y ci, mae'n gi therapi sy'n dod i mewn unwaith yr wythnos ac mae'r plant yn cael  siarad â Jax am unrhyw beth sy'n eu poeni. Mae Jax hefyd yn mynd am dro o gwmpas pob dosbarth fel eu bod nhw i gyd yn cael cyfle i'w weld. Yn ôl llenyddiaeth mae cael ci therapi mewn ysgolion yn dod â nifer o bethau cadarnhaol megis, helpu i leihau straen a phryder (Alliance of Therapy Dogs Inc., 2022). Hefyd mae treulio amser gyda chi therapi yn helpu plant i ddysgu sut i reoli eu hemosiynau, gall hyn fod yn arbennig o fuddiol i blant â heriau emosiynol neu ymddygiadol, gan eu helpu i </w:t>
      </w:r>
      <w:r w:rsidRPr="00AE1639">
        <w:rPr>
          <w:rFonts w:ascii="Arial" w:hAnsi="Arial" w:cs="Arial"/>
          <w:sz w:val="22"/>
          <w:szCs w:val="22"/>
        </w:rPr>
        <w:lastRenderedPageBreak/>
        <w:t>ymdopi’n well mewn ysgol. Cytunaf ar ddatganiad yma, gan welaf fod y plant yn edrych yn fwy hapus pan fyddai Jax yn dod i mewn i'r ystafell ddosbarth ac ar ôl iddo adael, roedden nhw’n fwy parod i roi mwy o ymdrech mewn i waith dosbarth. Mae effaith hyn mewn gwirionedd yn sylfaenol i rai plant er mwyn iddynt ddod i'r ysgol bob dydd, gwelais byddai rhai plant yn gwrthod dechrau gweithio cyn cael cyfle i siarad ac ymlacio gyda Jax. Rydw i'n ymwybodol na fydd hyn yn effeithiol i bob plentyn ond i'r rhai sydd â materion ymddiriedaeth mewn oedolion mae hyn mor effeithiol. Mae’n anodd weithiau i ddeall pam y byddai plant yn teimlo'n fwy cyfforddus yn siarad â'r ci nac athro ond mae'r ymchwil yn dangos yn glir mai dyma'r achos ac fel rwyf wedi gweld mae cael pum munud gyda Jax wir yn helpu rhai plant i deimlo'n well.</w:t>
      </w:r>
    </w:p>
    <w:p w14:paraId="2E940F2B" w14:textId="77777777" w:rsidR="00A82A03" w:rsidRPr="00BF7187" w:rsidRDefault="00A82A03" w:rsidP="00FC1CF8">
      <w:pPr>
        <w:spacing w:line="360" w:lineRule="auto"/>
        <w:rPr>
          <w:rFonts w:ascii="Arial" w:hAnsi="Arial" w:cs="Arial"/>
          <w:sz w:val="22"/>
          <w:szCs w:val="22"/>
        </w:rPr>
      </w:pPr>
    </w:p>
    <w:p w14:paraId="3BB7CC88" w14:textId="1CD9B044" w:rsidR="00253580" w:rsidRPr="00BF7187" w:rsidRDefault="00253580" w:rsidP="00FC1CF8">
      <w:pPr>
        <w:spacing w:line="360" w:lineRule="auto"/>
        <w:rPr>
          <w:rFonts w:ascii="Arial" w:hAnsi="Arial" w:cs="Arial"/>
          <w:sz w:val="28"/>
          <w:szCs w:val="28"/>
        </w:rPr>
      </w:pPr>
      <w:r w:rsidRPr="00BF7187">
        <w:rPr>
          <w:rFonts w:ascii="Arial" w:hAnsi="Arial" w:cs="Arial"/>
          <w:b/>
          <w:bCs/>
          <w:sz w:val="28"/>
          <w:szCs w:val="28"/>
        </w:rPr>
        <w:t>Casgliadau/ Argymhellion</w:t>
      </w:r>
    </w:p>
    <w:p w14:paraId="3E8F6C8F"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Mae dysgu am strategaethau lles newydd yn hollol bwysig i mi fel darpar athrawes oherwydd un o’r pethau rydw i’n blaenoriaethu yw creu amgylchedd diogel a hapus i’r plant. Rwyf wedi dysgu llawer am sut y gall technegau gwahanol yn yr ystafell ddosbarth effeithio ar les plentyn a hefyd sut y gall pethau y tu allan i'r dosbarth hefyd gael effaith enfawr. Rwy’n deall y gall lawer ddigwydd yn y boreau cyn i blant gyrraedd yr ysgol sydd yn gallu cael effaith negyddol ar eu lles, felly dylai amser lles fod yn brif flaenoriaeth mewn pob dosbarth er mwyn teimlo’n ymlaciedig ac yn barod i ddysgu. Credaf fod ysgolion yn allweddol i hybu iechyd meddwl a lles ymhlith pobl ifanc, gan fod y rhain yn amgylcheddau lle maent yn treulio llawer o amser yn ystod eu blynyddoedd datblygiadol (education.ec.europa.eu, d.d.).</w:t>
      </w:r>
    </w:p>
    <w:p w14:paraId="1F4474CE" w14:textId="77777777" w:rsidR="00AE1639" w:rsidRPr="00AE1639" w:rsidRDefault="00AE1639" w:rsidP="00AE1639">
      <w:pPr>
        <w:spacing w:line="360" w:lineRule="auto"/>
        <w:rPr>
          <w:rFonts w:ascii="Arial" w:hAnsi="Arial" w:cs="Arial"/>
          <w:sz w:val="22"/>
          <w:szCs w:val="22"/>
        </w:rPr>
      </w:pPr>
    </w:p>
    <w:p w14:paraId="2041C7EC" w14:textId="77777777" w:rsidR="00AE1639" w:rsidRPr="00AE1639" w:rsidRDefault="00AE1639" w:rsidP="00AE1639">
      <w:pPr>
        <w:spacing w:line="360" w:lineRule="auto"/>
        <w:rPr>
          <w:rFonts w:ascii="Arial" w:hAnsi="Arial" w:cs="Arial"/>
          <w:sz w:val="22"/>
          <w:szCs w:val="22"/>
        </w:rPr>
      </w:pPr>
      <w:r w:rsidRPr="00AE1639">
        <w:rPr>
          <w:rFonts w:ascii="Arial" w:hAnsi="Arial" w:cs="Arial"/>
          <w:sz w:val="22"/>
          <w:szCs w:val="22"/>
        </w:rPr>
        <w:t>Wrth gynnal yr ymchwiliad yma, un o fy mhrif flaenoriaethau oedd gwneud yn siŵr bod yr holl ddata yn ddilys a bod popeth yn cael eu cofnodi’n gywir. Dwi’n falch penderfynais i ddefnyddio’r dulliau o arsylwi a chynnal cyfweliad oherwydd credaf ni fydd unrhyw ddull arall wedi rhoi’r holl wybodaeth yma i mi. Wrth fyfyrio, penderfynais ddefnyddio model myfyrio Kolb (Brown, 2019), sy’n golygu dysgu trwy brofiadau. Sail y model hwn yw ein profiad ein hunain, sydd wedyn yn cael ei adolygu, ei ddadansoddi a'i werthuso'n systematig mewn tri cham. Mae’n golygu eich bod chi’n profi sefyllfa yn ymwybodol ac yn gorfforol, sy’n gwneud i chi sylwi bod angen i chi fyfyrio’n systematig er mwyn dysgu rhywbeth newydd neu wella eich sgil a’ch ymarfer proffesiynol. Rwyf wedi dysgu cymaint o'r ymchwil yma ac rwy'n bwriadu defnyddio fy holl ganfyddiadau ar fy lleoliad terfynol a hefyd y flwyddyn nesaf ar ôl i mi raddio. Mae gen i ddiddordeb yn y pwnc yma  a hoffwn ymchwilio mwy mewn i les yn y dyfodol, gan fy mod yn credu y bydd yn ddefnyddiol iawn ar gyfer fy natblygiad fel athrawes.</w:t>
      </w:r>
    </w:p>
    <w:p w14:paraId="4618341F" w14:textId="77777777" w:rsidR="00B95337" w:rsidRPr="00BF7187" w:rsidRDefault="00B95337"/>
    <w:p w14:paraId="24850C2A" w14:textId="77777777" w:rsidR="001C1D17" w:rsidRPr="00BF7187" w:rsidRDefault="001C1D17"/>
    <w:p w14:paraId="0065DBD1" w14:textId="5CB8B307" w:rsidR="00BF5AEE" w:rsidRPr="00BF7187" w:rsidRDefault="00FC1CF8" w:rsidP="00DF7548">
      <w:pPr>
        <w:rPr>
          <w:rFonts w:ascii="Arial" w:hAnsi="Arial" w:cs="Arial"/>
          <w:b/>
          <w:bCs/>
          <w:sz w:val="28"/>
          <w:szCs w:val="28"/>
        </w:rPr>
      </w:pPr>
      <w:r w:rsidRPr="00BF7187">
        <w:rPr>
          <w:rFonts w:ascii="Arial" w:hAnsi="Arial" w:cs="Arial"/>
          <w:b/>
          <w:bCs/>
          <w:sz w:val="28"/>
          <w:szCs w:val="28"/>
        </w:rPr>
        <w:t>R</w:t>
      </w:r>
      <w:r w:rsidR="00B72E91" w:rsidRPr="00BF7187">
        <w:rPr>
          <w:rFonts w:ascii="Arial" w:hAnsi="Arial" w:cs="Arial"/>
          <w:b/>
          <w:bCs/>
          <w:sz w:val="28"/>
          <w:szCs w:val="28"/>
        </w:rPr>
        <w:t xml:space="preserve">hestr </w:t>
      </w:r>
      <w:r w:rsidR="00A82A03">
        <w:rPr>
          <w:rFonts w:ascii="Arial" w:hAnsi="Arial" w:cs="Arial"/>
          <w:b/>
          <w:bCs/>
          <w:sz w:val="28"/>
          <w:szCs w:val="28"/>
        </w:rPr>
        <w:t>G</w:t>
      </w:r>
      <w:r w:rsidR="00B72E91" w:rsidRPr="00BF7187">
        <w:rPr>
          <w:rFonts w:ascii="Arial" w:hAnsi="Arial" w:cs="Arial"/>
          <w:b/>
          <w:bCs/>
          <w:sz w:val="28"/>
          <w:szCs w:val="28"/>
        </w:rPr>
        <w:t>yfeirnodi</w:t>
      </w:r>
    </w:p>
    <w:p w14:paraId="545B19B3" w14:textId="77777777" w:rsidR="00B72E91" w:rsidRPr="00BF7187" w:rsidRDefault="00B72E91" w:rsidP="00DF7548"/>
    <w:p w14:paraId="39ABD315" w14:textId="77777777" w:rsidR="0085325A" w:rsidRPr="00BF7187" w:rsidRDefault="0085325A" w:rsidP="0085325A">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w:t>
      </w:r>
      <w:r w:rsidR="00AB49B6" w:rsidRPr="00BF7187">
        <w:rPr>
          <w:rFonts w:ascii="Arial" w:hAnsi="Arial" w:cs="Arial"/>
          <w:color w:val="000000" w:themeColor="text1"/>
          <w:sz w:val="22"/>
          <w:szCs w:val="22"/>
        </w:rPr>
        <w:t xml:space="preserve">Abbas, J. (2020). Service quality in higher education institutions: qualitative evidence from the students’ perspectives using Maslow hierarchy of needs. International Journal of Quality and Service Sciences, 12(3), </w:t>
      </w:r>
      <w:r w:rsidR="00FC1CF8" w:rsidRPr="00BF7187">
        <w:rPr>
          <w:rFonts w:ascii="Arial" w:hAnsi="Arial" w:cs="Arial"/>
          <w:color w:val="000000" w:themeColor="text1"/>
          <w:sz w:val="22"/>
          <w:szCs w:val="22"/>
        </w:rPr>
        <w:t xml:space="preserve">Tud </w:t>
      </w:r>
      <w:r w:rsidR="00AB49B6" w:rsidRPr="00BF7187">
        <w:rPr>
          <w:rFonts w:ascii="Arial" w:hAnsi="Arial" w:cs="Arial"/>
          <w:color w:val="000000" w:themeColor="text1"/>
          <w:sz w:val="22"/>
          <w:szCs w:val="22"/>
        </w:rPr>
        <w:t>.371–384.</w:t>
      </w:r>
    </w:p>
    <w:p w14:paraId="1778B9ED" w14:textId="0627A32E" w:rsidR="00AB49B6" w:rsidRPr="00BF7187" w:rsidRDefault="00AB49B6" w:rsidP="0085325A">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 xml:space="preserve"> </w:t>
      </w:r>
      <w:hyperlink r:id="rId6" w:history="1">
        <w:r w:rsidRPr="00BF7187">
          <w:rPr>
            <w:rStyle w:val="Hyperlink"/>
            <w:rFonts w:ascii="Arial" w:hAnsi="Arial" w:cs="Arial"/>
            <w:color w:val="000000" w:themeColor="text1"/>
            <w:sz w:val="22"/>
            <w:szCs w:val="22"/>
          </w:rPr>
          <w:t>https://doi.org/10.1108/ijqss-02-2020-0016</w:t>
        </w:r>
      </w:hyperlink>
    </w:p>
    <w:p w14:paraId="0A43BD71"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4F719B7D" w14:textId="45543426"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w:t>
      </w:r>
      <w:r w:rsidR="00FC1CF8" w:rsidRPr="00BF7187">
        <w:rPr>
          <w:rFonts w:ascii="Arial" w:hAnsi="Arial" w:cs="Arial"/>
          <w:color w:val="000000" w:themeColor="text1"/>
          <w:sz w:val="22"/>
          <w:szCs w:val="22"/>
        </w:rPr>
        <w:t>Alhojailan, M.I. (2012). Thematic Analysis: A Critical Review of Its Process and Evaluation. https://citeseerx.ist.psu.edu/document?repid=rep1&amp;type=pdf&amp;doi=0c66700a0f4b4a0626f87a3692d4f34e599c4d0e.</w:t>
      </w:r>
    </w:p>
    <w:p w14:paraId="23F6526C" w14:textId="77777777" w:rsidR="00FC1CF8" w:rsidRPr="00BF7187" w:rsidRDefault="00FC1CF8" w:rsidP="00FC1CF8">
      <w:pPr>
        <w:spacing w:line="360" w:lineRule="auto"/>
        <w:rPr>
          <w:rFonts w:ascii="Arial" w:hAnsi="Arial" w:cs="Arial"/>
          <w:color w:val="000000" w:themeColor="text1"/>
          <w:sz w:val="22"/>
          <w:szCs w:val="22"/>
        </w:rPr>
      </w:pPr>
    </w:p>
    <w:p w14:paraId="60CE2BE0" w14:textId="77777777" w:rsidR="0085325A" w:rsidRPr="00BF7187" w:rsidRDefault="0085325A" w:rsidP="00FC1CF8">
      <w:pPr>
        <w:spacing w:line="360" w:lineRule="auto"/>
        <w:rPr>
          <w:rFonts w:ascii="Arial" w:hAnsi="Arial" w:cs="Arial"/>
          <w:color w:val="000000" w:themeColor="text1"/>
          <w:sz w:val="22"/>
          <w:szCs w:val="22"/>
        </w:rPr>
      </w:pPr>
    </w:p>
    <w:p w14:paraId="39AA2E5D" w14:textId="0FCDAF63" w:rsidR="0085325A"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w:t>
      </w:r>
      <w:r w:rsidR="00FC1CF8" w:rsidRPr="00BF7187">
        <w:rPr>
          <w:rFonts w:ascii="Arial" w:hAnsi="Arial" w:cs="Arial"/>
          <w:color w:val="000000" w:themeColor="text1"/>
          <w:sz w:val="22"/>
          <w:szCs w:val="22"/>
        </w:rPr>
        <w:t>American Montessori Society (2023). What Is Montessori education? </w:t>
      </w:r>
    </w:p>
    <w:p w14:paraId="0A1353E5" w14:textId="7C4FFC94" w:rsidR="00FC1CF8" w:rsidRPr="00BF7187" w:rsidRDefault="00FC1CF8"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 xml:space="preserve"> </w:t>
      </w:r>
      <w:hyperlink r:id="rId7" w:history="1">
        <w:r w:rsidR="0085325A" w:rsidRPr="00BF7187">
          <w:rPr>
            <w:rStyle w:val="Hyperlink"/>
            <w:rFonts w:ascii="Arial" w:hAnsi="Arial" w:cs="Arial"/>
            <w:color w:val="000000" w:themeColor="text1"/>
            <w:sz w:val="22"/>
            <w:szCs w:val="22"/>
          </w:rPr>
          <w:t>https://amshq.org/About-Montessori/What-Is-Montessori</w:t>
        </w:r>
      </w:hyperlink>
      <w:r w:rsidRPr="00BF7187">
        <w:rPr>
          <w:rFonts w:ascii="Arial" w:hAnsi="Arial" w:cs="Arial"/>
          <w:color w:val="000000" w:themeColor="text1"/>
          <w:sz w:val="22"/>
          <w:szCs w:val="22"/>
        </w:rPr>
        <w:t>.</w:t>
      </w:r>
    </w:p>
    <w:p w14:paraId="2286333D" w14:textId="60761214" w:rsidR="00FC1CF8" w:rsidRPr="00BF7187" w:rsidRDefault="00FC1CF8" w:rsidP="00FC1CF8">
      <w:pPr>
        <w:spacing w:line="360" w:lineRule="auto"/>
        <w:rPr>
          <w:rFonts w:ascii="Arial" w:hAnsi="Arial" w:cs="Arial"/>
          <w:color w:val="000000" w:themeColor="text1"/>
          <w:sz w:val="22"/>
          <w:szCs w:val="22"/>
        </w:rPr>
      </w:pPr>
    </w:p>
    <w:p w14:paraId="1DBC87D6" w14:textId="77777777" w:rsidR="0085325A"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w:t>
      </w:r>
      <w:r w:rsidR="00FC1CF8" w:rsidRPr="00BF7187">
        <w:rPr>
          <w:rFonts w:ascii="Arial" w:hAnsi="Arial" w:cs="Arial"/>
          <w:color w:val="000000" w:themeColor="text1"/>
          <w:sz w:val="22"/>
          <w:szCs w:val="22"/>
        </w:rPr>
        <w:t>Alliance of Therapy Dogs Inc. (2022). How do Therapy Dogs Help in the Classroom</w:t>
      </w:r>
      <w:r w:rsidRPr="00BF7187">
        <w:rPr>
          <w:rFonts w:ascii="Arial" w:hAnsi="Arial" w:cs="Arial"/>
          <w:color w:val="000000" w:themeColor="text1"/>
          <w:sz w:val="22"/>
          <w:szCs w:val="22"/>
        </w:rPr>
        <w:t>?</w:t>
      </w:r>
    </w:p>
    <w:p w14:paraId="116863BC" w14:textId="74773F19" w:rsidR="00FC1CF8" w:rsidRPr="00BF7187" w:rsidRDefault="00FC1CF8" w:rsidP="00FC1CF8">
      <w:pPr>
        <w:spacing w:line="360" w:lineRule="auto"/>
        <w:rPr>
          <w:rFonts w:ascii="Arial" w:hAnsi="Arial" w:cs="Arial"/>
          <w:color w:val="000000" w:themeColor="text1"/>
          <w:sz w:val="22"/>
          <w:szCs w:val="22"/>
        </w:rPr>
      </w:pPr>
      <w:hyperlink r:id="rId8" w:history="1">
        <w:r w:rsidRPr="00BF7187">
          <w:rPr>
            <w:rStyle w:val="Hyperlink"/>
            <w:rFonts w:ascii="Arial" w:hAnsi="Arial" w:cs="Arial"/>
            <w:color w:val="000000" w:themeColor="text1"/>
            <w:sz w:val="22"/>
            <w:szCs w:val="22"/>
          </w:rPr>
          <w:t>https://www.therapydogs.com/how-do-therapy-dogs-help-in-the-classroom/</w:t>
        </w:r>
      </w:hyperlink>
      <w:r w:rsidRPr="00BF7187">
        <w:rPr>
          <w:rFonts w:ascii="Arial" w:hAnsi="Arial" w:cs="Arial"/>
          <w:color w:val="000000" w:themeColor="text1"/>
          <w:sz w:val="22"/>
          <w:szCs w:val="22"/>
        </w:rPr>
        <w:t>.</w:t>
      </w:r>
    </w:p>
    <w:p w14:paraId="129A3759" w14:textId="77777777" w:rsidR="00FC1CF8" w:rsidRPr="00BF7187" w:rsidRDefault="00FC1CF8" w:rsidP="00FC1CF8">
      <w:pPr>
        <w:spacing w:line="360" w:lineRule="auto"/>
        <w:rPr>
          <w:rFonts w:ascii="Arial" w:hAnsi="Arial" w:cs="Arial"/>
          <w:color w:val="000000" w:themeColor="text1"/>
          <w:sz w:val="22"/>
          <w:szCs w:val="22"/>
        </w:rPr>
      </w:pPr>
    </w:p>
    <w:p w14:paraId="1353B904" w14:textId="77777777" w:rsidR="0085325A"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5.</w:t>
      </w:r>
      <w:r w:rsidR="00FC1CF8" w:rsidRPr="00BF7187">
        <w:rPr>
          <w:rFonts w:ascii="Arial" w:hAnsi="Arial" w:cs="Arial"/>
          <w:color w:val="000000" w:themeColor="text1"/>
          <w:sz w:val="22"/>
          <w:szCs w:val="22"/>
        </w:rPr>
        <w:t>Baker, L. (2006) ‘Observation: A Complex Research Method’, </w:t>
      </w:r>
      <w:r w:rsidR="00FC1CF8" w:rsidRPr="00BF7187">
        <w:rPr>
          <w:rFonts w:ascii="Arial" w:hAnsi="Arial" w:cs="Arial"/>
          <w:i/>
          <w:iCs/>
          <w:color w:val="000000" w:themeColor="text1"/>
          <w:sz w:val="22"/>
          <w:szCs w:val="22"/>
        </w:rPr>
        <w:t>Library trends</w:t>
      </w:r>
      <w:r w:rsidR="00FC1CF8" w:rsidRPr="00BF7187">
        <w:rPr>
          <w:rFonts w:ascii="Arial" w:hAnsi="Arial" w:cs="Arial"/>
          <w:color w:val="000000" w:themeColor="text1"/>
          <w:sz w:val="22"/>
          <w:szCs w:val="22"/>
        </w:rPr>
        <w:t xml:space="preserve">, 55(1), </w:t>
      </w:r>
      <w:r w:rsidR="00FC1CF8"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 171–189</w:t>
      </w:r>
    </w:p>
    <w:p w14:paraId="7C6D62B9" w14:textId="7B8B41A7" w:rsidR="00FC1CF8" w:rsidRPr="00BF7187" w:rsidRDefault="0085325A" w:rsidP="00FC1CF8">
      <w:pPr>
        <w:spacing w:line="360" w:lineRule="auto"/>
        <w:rPr>
          <w:rFonts w:ascii="Arial" w:hAnsi="Arial" w:cs="Arial"/>
          <w:color w:val="000000" w:themeColor="text1"/>
          <w:sz w:val="22"/>
          <w:szCs w:val="22"/>
        </w:rPr>
      </w:pPr>
      <w:hyperlink r:id="rId9" w:history="1">
        <w:r w:rsidRPr="00BF7187">
          <w:rPr>
            <w:rStyle w:val="Hyperlink"/>
            <w:rFonts w:ascii="Arial" w:hAnsi="Arial" w:cs="Arial"/>
            <w:sz w:val="22"/>
            <w:szCs w:val="22"/>
          </w:rPr>
          <w:t>https://doi.org/10.1353/lib.2006.0045</w:t>
        </w:r>
      </w:hyperlink>
      <w:r w:rsidR="00FC1CF8" w:rsidRPr="00BF7187">
        <w:rPr>
          <w:rFonts w:ascii="Arial" w:hAnsi="Arial" w:cs="Arial"/>
          <w:color w:val="000000" w:themeColor="text1"/>
          <w:sz w:val="22"/>
          <w:szCs w:val="22"/>
        </w:rPr>
        <w:t>.</w:t>
      </w:r>
    </w:p>
    <w:p w14:paraId="4123C02D" w14:textId="77777777" w:rsidR="00FC1CF8" w:rsidRPr="00BF7187" w:rsidRDefault="00FC1CF8" w:rsidP="00FC1CF8">
      <w:pPr>
        <w:spacing w:line="360" w:lineRule="auto"/>
        <w:rPr>
          <w:rFonts w:ascii="Arial" w:hAnsi="Arial" w:cs="Arial"/>
          <w:color w:val="000000" w:themeColor="text1"/>
          <w:sz w:val="22"/>
          <w:szCs w:val="22"/>
        </w:rPr>
      </w:pPr>
    </w:p>
    <w:p w14:paraId="26420FA5" w14:textId="77777777" w:rsidR="0085325A"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6.</w:t>
      </w:r>
      <w:r w:rsidR="00FC1CF8" w:rsidRPr="00BF7187">
        <w:rPr>
          <w:rFonts w:ascii="Arial" w:hAnsi="Arial" w:cs="Arial"/>
          <w:color w:val="000000" w:themeColor="text1"/>
          <w:sz w:val="22"/>
          <w:szCs w:val="22"/>
        </w:rPr>
        <w:t>Bella Williams (2024). Market Research Sustainability: 5 Eco-Friendly Practices</w:t>
      </w:r>
    </w:p>
    <w:p w14:paraId="76701421" w14:textId="28D8C641" w:rsidR="00FC1CF8" w:rsidRPr="00BF7187" w:rsidRDefault="0085325A" w:rsidP="00FC1CF8">
      <w:pPr>
        <w:spacing w:line="360" w:lineRule="auto"/>
        <w:rPr>
          <w:rFonts w:ascii="Arial" w:hAnsi="Arial" w:cs="Arial"/>
          <w:color w:val="000000" w:themeColor="text1"/>
          <w:sz w:val="22"/>
          <w:szCs w:val="22"/>
        </w:rPr>
      </w:pPr>
      <w:hyperlink r:id="rId10" w:history="1">
        <w:r w:rsidRPr="00BF7187">
          <w:rPr>
            <w:rStyle w:val="Hyperlink"/>
            <w:rFonts w:ascii="Arial" w:hAnsi="Arial" w:cs="Arial"/>
            <w:sz w:val="22"/>
            <w:szCs w:val="22"/>
          </w:rPr>
          <w:t>https://doi.org/10962523357/hYhvCNfjiqkZEN2pq-so</w:t>
        </w:r>
      </w:hyperlink>
    </w:p>
    <w:p w14:paraId="522338B4"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7770F67A" w14:textId="77777777" w:rsidR="0085325A"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7.</w:t>
      </w:r>
      <w:r w:rsidR="00FC1CF8" w:rsidRPr="00BF7187">
        <w:rPr>
          <w:rFonts w:ascii="Arial" w:hAnsi="Arial" w:cs="Arial"/>
          <w:color w:val="000000" w:themeColor="text1"/>
          <w:sz w:val="22"/>
          <w:szCs w:val="22"/>
        </w:rPr>
        <w:t>Braun, V. and Clarke, V. (2006). Using thematic analysis in psychology. </w:t>
      </w:r>
      <w:r w:rsidR="00FC1CF8" w:rsidRPr="00BF7187">
        <w:rPr>
          <w:rFonts w:ascii="Arial" w:hAnsi="Arial" w:cs="Arial"/>
          <w:i/>
          <w:iCs/>
          <w:color w:val="000000" w:themeColor="text1"/>
          <w:sz w:val="22"/>
          <w:szCs w:val="22"/>
        </w:rPr>
        <w:t>Qualitative Research in Psychology</w:t>
      </w:r>
      <w:r w:rsidR="00FC1CF8" w:rsidRPr="00BF7187">
        <w:rPr>
          <w:rFonts w:ascii="Arial" w:hAnsi="Arial" w:cs="Arial"/>
          <w:color w:val="000000" w:themeColor="text1"/>
          <w:sz w:val="22"/>
          <w:szCs w:val="22"/>
        </w:rPr>
        <w:t xml:space="preserve">, 3(2), </w:t>
      </w:r>
      <w:r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 xml:space="preserve">.77–101. </w:t>
      </w:r>
    </w:p>
    <w:p w14:paraId="72107009" w14:textId="5C27A1A4" w:rsidR="00FC1CF8" w:rsidRPr="00BF7187" w:rsidRDefault="00FC1CF8"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https://doi.org/10.1191/1478088706qp063oa.</w:t>
      </w:r>
    </w:p>
    <w:p w14:paraId="5C4894B8" w14:textId="77777777" w:rsidR="00FC1CF8" w:rsidRPr="00BF7187" w:rsidRDefault="00FC1CF8" w:rsidP="00FC1CF8">
      <w:pPr>
        <w:spacing w:line="360" w:lineRule="auto"/>
        <w:rPr>
          <w:rFonts w:ascii="Arial" w:hAnsi="Arial" w:cs="Arial"/>
          <w:color w:val="000000" w:themeColor="text1"/>
          <w:sz w:val="22"/>
          <w:szCs w:val="22"/>
        </w:rPr>
      </w:pPr>
    </w:p>
    <w:p w14:paraId="6C733B65" w14:textId="51AB325B"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8.</w:t>
      </w:r>
      <w:r w:rsidR="00FC1CF8" w:rsidRPr="00BF7187">
        <w:rPr>
          <w:rFonts w:ascii="Arial" w:hAnsi="Arial" w:cs="Arial"/>
          <w:color w:val="000000" w:themeColor="text1"/>
          <w:sz w:val="22"/>
          <w:szCs w:val="22"/>
        </w:rPr>
        <w:t>British Educational Research Association (2024). </w:t>
      </w:r>
      <w:r w:rsidR="00FC1CF8" w:rsidRPr="00BF7187">
        <w:rPr>
          <w:rFonts w:ascii="Arial" w:hAnsi="Arial" w:cs="Arial"/>
          <w:i/>
          <w:iCs/>
          <w:color w:val="000000" w:themeColor="text1"/>
          <w:sz w:val="22"/>
          <w:szCs w:val="22"/>
        </w:rPr>
        <w:t>Ethical Guidelines for Educational Research (fifth Edition)</w:t>
      </w:r>
      <w:r w:rsidR="00FC1CF8" w:rsidRPr="00BF7187">
        <w:rPr>
          <w:rFonts w:ascii="Arial" w:hAnsi="Arial" w:cs="Arial"/>
          <w:color w:val="000000" w:themeColor="text1"/>
          <w:sz w:val="22"/>
          <w:szCs w:val="22"/>
        </w:rPr>
        <w:t>.</w:t>
      </w:r>
    </w:p>
    <w:p w14:paraId="79AF7228" w14:textId="77777777" w:rsidR="00FC1CF8" w:rsidRPr="00BF7187" w:rsidRDefault="00FC1CF8" w:rsidP="00FC1CF8">
      <w:pPr>
        <w:spacing w:line="360" w:lineRule="auto"/>
        <w:rPr>
          <w:rFonts w:ascii="Arial" w:hAnsi="Arial" w:cs="Arial"/>
          <w:color w:val="000000" w:themeColor="text1"/>
          <w:sz w:val="22"/>
          <w:szCs w:val="22"/>
        </w:rPr>
      </w:pPr>
    </w:p>
    <w:p w14:paraId="7F2D27D5" w14:textId="3622995A"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9.</w:t>
      </w:r>
      <w:r w:rsidR="00FC1CF8" w:rsidRPr="00BF7187">
        <w:rPr>
          <w:rFonts w:ascii="Arial" w:hAnsi="Arial" w:cs="Arial"/>
          <w:color w:val="000000" w:themeColor="text1"/>
          <w:sz w:val="22"/>
          <w:szCs w:val="22"/>
        </w:rPr>
        <w:t>Brown, N. (2019). </w:t>
      </w:r>
      <w:r w:rsidR="00FC1CF8" w:rsidRPr="00BF7187">
        <w:rPr>
          <w:rFonts w:ascii="Arial" w:hAnsi="Arial" w:cs="Arial"/>
          <w:i/>
          <w:iCs/>
          <w:color w:val="000000" w:themeColor="text1"/>
          <w:sz w:val="22"/>
          <w:szCs w:val="22"/>
        </w:rPr>
        <w:t>Reflective Model according to Kolb</w:t>
      </w:r>
      <w:r w:rsidR="00FC1CF8" w:rsidRPr="00BF7187">
        <w:rPr>
          <w:rFonts w:ascii="Arial" w:hAnsi="Arial" w:cs="Arial"/>
          <w:color w:val="000000" w:themeColor="text1"/>
          <w:sz w:val="22"/>
          <w:szCs w:val="22"/>
        </w:rPr>
        <w:t xml:space="preserve">. </w:t>
      </w:r>
    </w:p>
    <w:p w14:paraId="28A2E6D9" w14:textId="74412A21" w:rsidR="00FC1CF8" w:rsidRPr="00BF7187" w:rsidRDefault="0085325A" w:rsidP="00FC1CF8">
      <w:pPr>
        <w:spacing w:line="360" w:lineRule="auto"/>
        <w:rPr>
          <w:rFonts w:ascii="Arial" w:hAnsi="Arial" w:cs="Arial"/>
          <w:color w:val="000000" w:themeColor="text1"/>
          <w:sz w:val="22"/>
          <w:szCs w:val="22"/>
        </w:rPr>
      </w:pPr>
      <w:hyperlink r:id="rId11" w:history="1">
        <w:r w:rsidRPr="00BF7187">
          <w:rPr>
            <w:rStyle w:val="Hyperlink"/>
            <w:rFonts w:ascii="Arial" w:hAnsi="Arial" w:cs="Arial"/>
            <w:sz w:val="22"/>
            <w:szCs w:val="22"/>
          </w:rPr>
          <w:t>https://www.nicole-brown.co.uk/reflective-model-according-to-kolb/</w:t>
        </w:r>
      </w:hyperlink>
    </w:p>
    <w:p w14:paraId="265859BC" w14:textId="77777777" w:rsidR="00FC1CF8" w:rsidRPr="00BF7187" w:rsidRDefault="00FC1CF8" w:rsidP="00FC1CF8">
      <w:pPr>
        <w:spacing w:line="360" w:lineRule="auto"/>
        <w:rPr>
          <w:rFonts w:ascii="Arial" w:hAnsi="Arial" w:cs="Arial"/>
          <w:color w:val="000000" w:themeColor="text1"/>
          <w:sz w:val="22"/>
          <w:szCs w:val="22"/>
        </w:rPr>
      </w:pPr>
    </w:p>
    <w:p w14:paraId="162A2083" w14:textId="49A5BB42"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10.</w:t>
      </w:r>
      <w:r w:rsidR="00FC1CF8" w:rsidRPr="00BF7187">
        <w:rPr>
          <w:rFonts w:ascii="Arial" w:hAnsi="Arial" w:cs="Arial"/>
          <w:color w:val="000000" w:themeColor="text1"/>
          <w:sz w:val="22"/>
          <w:szCs w:val="22"/>
        </w:rPr>
        <w:t>Cyngor Sir Gar (2024). </w:t>
      </w:r>
      <w:r w:rsidR="00FC1CF8" w:rsidRPr="00BF7187">
        <w:rPr>
          <w:rFonts w:ascii="Arial" w:hAnsi="Arial" w:cs="Arial"/>
          <w:i/>
          <w:iCs/>
          <w:color w:val="000000" w:themeColor="text1"/>
          <w:sz w:val="22"/>
          <w:szCs w:val="22"/>
        </w:rPr>
        <w:t>Reading and writing</w:t>
      </w:r>
      <w:r w:rsidR="00FC1CF8" w:rsidRPr="00BF7187">
        <w:rPr>
          <w:rFonts w:ascii="Arial" w:hAnsi="Arial" w:cs="Arial"/>
          <w:color w:val="000000" w:themeColor="text1"/>
          <w:sz w:val="22"/>
          <w:szCs w:val="22"/>
        </w:rPr>
        <w:t xml:space="preserve">. </w:t>
      </w:r>
      <w:hyperlink r:id="rId12" w:history="1">
        <w:r w:rsidRPr="00BF7187">
          <w:rPr>
            <w:rStyle w:val="Hyperlink"/>
            <w:rFonts w:ascii="Arial" w:hAnsi="Arial" w:cs="Arial"/>
            <w:sz w:val="22"/>
            <w:szCs w:val="22"/>
          </w:rPr>
          <w:t>https://www.carmarthenshire.gov.wales/council-services/education-schools/additional-learning-needs/reading-and-writing/</w:t>
        </w:r>
      </w:hyperlink>
    </w:p>
    <w:p w14:paraId="0293C015"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2770C91C" w14:textId="77777777" w:rsidR="0085325A"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11.</w:t>
      </w:r>
      <w:r w:rsidR="00FC1CF8" w:rsidRPr="00BF7187">
        <w:rPr>
          <w:rFonts w:ascii="Arial" w:hAnsi="Arial" w:cs="Arial"/>
          <w:color w:val="000000" w:themeColor="text1"/>
          <w:sz w:val="22"/>
          <w:szCs w:val="22"/>
        </w:rPr>
        <w:t>Dai, N.T., Free, C. and Gendron, Y. (2019). Interview-based research in accounting 2000–2014: Informal norms, translation and vibrancy. </w:t>
      </w:r>
      <w:r w:rsidR="00FC1CF8" w:rsidRPr="00BF7187">
        <w:rPr>
          <w:rFonts w:ascii="Arial" w:hAnsi="Arial" w:cs="Arial"/>
          <w:i/>
          <w:iCs/>
          <w:color w:val="000000" w:themeColor="text1"/>
          <w:sz w:val="22"/>
          <w:szCs w:val="22"/>
        </w:rPr>
        <w:t>Management Accounting Research</w:t>
      </w:r>
      <w:r w:rsidR="00FC1CF8" w:rsidRPr="00BF7187">
        <w:rPr>
          <w:rFonts w:ascii="Arial" w:hAnsi="Arial" w:cs="Arial"/>
          <w:color w:val="000000" w:themeColor="text1"/>
          <w:sz w:val="22"/>
          <w:szCs w:val="22"/>
        </w:rPr>
        <w:t xml:space="preserve">, 42, pp.26–38. </w:t>
      </w:r>
    </w:p>
    <w:p w14:paraId="2958A484" w14:textId="7F43EBDC" w:rsidR="0085325A" w:rsidRPr="00BF7187" w:rsidRDefault="0085325A" w:rsidP="00FC1CF8">
      <w:pPr>
        <w:tabs>
          <w:tab w:val="left" w:pos="5546"/>
        </w:tabs>
        <w:spacing w:line="360" w:lineRule="auto"/>
        <w:rPr>
          <w:rFonts w:ascii="Arial" w:hAnsi="Arial" w:cs="Arial"/>
          <w:color w:val="000000" w:themeColor="text1"/>
          <w:sz w:val="22"/>
          <w:szCs w:val="22"/>
        </w:rPr>
      </w:pPr>
      <w:hyperlink r:id="rId13" w:history="1">
        <w:r w:rsidRPr="00BF7187">
          <w:rPr>
            <w:rStyle w:val="Hyperlink"/>
            <w:rFonts w:ascii="Arial" w:hAnsi="Arial" w:cs="Arial"/>
            <w:sz w:val="22"/>
            <w:szCs w:val="22"/>
          </w:rPr>
          <w:t>https://doi.org/10.1016/j.mar.2018.06.002</w:t>
        </w:r>
      </w:hyperlink>
    </w:p>
    <w:p w14:paraId="4A00BDDB" w14:textId="77777777" w:rsidR="00FC1CF8" w:rsidRPr="00BF7187" w:rsidRDefault="00FC1CF8" w:rsidP="00FC1CF8">
      <w:pPr>
        <w:spacing w:line="360" w:lineRule="auto"/>
        <w:rPr>
          <w:rFonts w:ascii="Arial" w:hAnsi="Arial" w:cs="Arial"/>
          <w:color w:val="000000" w:themeColor="text1"/>
          <w:sz w:val="22"/>
          <w:szCs w:val="22"/>
        </w:rPr>
      </w:pPr>
    </w:p>
    <w:p w14:paraId="037E943A" w14:textId="2D64A83B"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12.</w:t>
      </w:r>
      <w:r w:rsidR="00FC1CF8" w:rsidRPr="00BF7187">
        <w:rPr>
          <w:rFonts w:ascii="Arial" w:hAnsi="Arial" w:cs="Arial"/>
          <w:color w:val="000000" w:themeColor="text1"/>
          <w:sz w:val="22"/>
          <w:szCs w:val="22"/>
        </w:rPr>
        <w:t>Department for education (2024). </w:t>
      </w:r>
      <w:r w:rsidR="00FC1CF8" w:rsidRPr="00BF7187">
        <w:rPr>
          <w:rFonts w:ascii="Arial" w:hAnsi="Arial" w:cs="Arial"/>
          <w:i/>
          <w:iCs/>
          <w:color w:val="000000" w:themeColor="text1"/>
          <w:sz w:val="22"/>
          <w:szCs w:val="22"/>
        </w:rPr>
        <w:t>School food standards practical guide</w:t>
      </w:r>
      <w:r w:rsidR="00FC1CF8" w:rsidRPr="00BF7187">
        <w:rPr>
          <w:rFonts w:ascii="Arial" w:hAnsi="Arial" w:cs="Arial"/>
          <w:color w:val="000000" w:themeColor="text1"/>
          <w:sz w:val="22"/>
          <w:szCs w:val="22"/>
        </w:rPr>
        <w:t xml:space="preserve">. </w:t>
      </w:r>
      <w:hyperlink r:id="rId14" w:history="1">
        <w:r w:rsidRPr="00BF7187">
          <w:rPr>
            <w:rStyle w:val="Hyperlink"/>
            <w:rFonts w:ascii="Arial" w:hAnsi="Arial" w:cs="Arial"/>
            <w:sz w:val="22"/>
            <w:szCs w:val="22"/>
          </w:rPr>
          <w:t>https://www.gov.uk/government/publications/school-food-standards-resources-for-schools/school-food-standards-practical-guide</w:t>
        </w:r>
      </w:hyperlink>
    </w:p>
    <w:p w14:paraId="2046F80B" w14:textId="77777777" w:rsidR="0085325A" w:rsidRPr="00BF7187" w:rsidRDefault="0085325A" w:rsidP="00FC1CF8">
      <w:pPr>
        <w:spacing w:line="360" w:lineRule="auto"/>
        <w:rPr>
          <w:rFonts w:ascii="Arial" w:hAnsi="Arial" w:cs="Arial"/>
          <w:color w:val="000000" w:themeColor="text1"/>
          <w:sz w:val="22"/>
          <w:szCs w:val="22"/>
        </w:rPr>
      </w:pPr>
    </w:p>
    <w:p w14:paraId="0B988264"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41FD6D25" w14:textId="77777777" w:rsidR="0085325A"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13.</w:t>
      </w:r>
      <w:r w:rsidR="00FC1CF8" w:rsidRPr="00BF7187">
        <w:rPr>
          <w:rFonts w:ascii="Arial" w:hAnsi="Arial" w:cs="Arial"/>
          <w:color w:val="000000" w:themeColor="text1"/>
          <w:sz w:val="22"/>
          <w:szCs w:val="22"/>
        </w:rPr>
        <w:t>DiCicco-Bloom, B. and Crabtree, B.F. (2006). The Qualitative Research Interview. </w:t>
      </w:r>
      <w:r w:rsidR="00FC1CF8" w:rsidRPr="00BF7187">
        <w:rPr>
          <w:rFonts w:ascii="Arial" w:hAnsi="Arial" w:cs="Arial"/>
          <w:i/>
          <w:iCs/>
          <w:color w:val="000000" w:themeColor="text1"/>
          <w:sz w:val="22"/>
          <w:szCs w:val="22"/>
        </w:rPr>
        <w:t>Medical Education</w:t>
      </w:r>
      <w:r w:rsidR="00FC1CF8" w:rsidRPr="00BF7187">
        <w:rPr>
          <w:rFonts w:ascii="Arial" w:hAnsi="Arial" w:cs="Arial"/>
          <w:color w:val="000000" w:themeColor="text1"/>
          <w:sz w:val="22"/>
          <w:szCs w:val="22"/>
        </w:rPr>
        <w:t xml:space="preserve">, [online] 40(4), pp.314–321. </w:t>
      </w:r>
    </w:p>
    <w:p w14:paraId="1A408680" w14:textId="506A4730" w:rsidR="00FC1CF8" w:rsidRPr="00BF7187" w:rsidRDefault="0085325A" w:rsidP="00FC1CF8">
      <w:pPr>
        <w:tabs>
          <w:tab w:val="left" w:pos="5546"/>
        </w:tabs>
        <w:spacing w:line="360" w:lineRule="auto"/>
        <w:rPr>
          <w:rFonts w:ascii="Arial" w:hAnsi="Arial" w:cs="Arial"/>
          <w:color w:val="000000" w:themeColor="text1"/>
          <w:sz w:val="22"/>
          <w:szCs w:val="22"/>
        </w:rPr>
      </w:pPr>
      <w:hyperlink r:id="rId15" w:history="1">
        <w:r w:rsidRPr="00BF7187">
          <w:rPr>
            <w:rStyle w:val="Hyperlink"/>
            <w:rFonts w:ascii="Arial" w:hAnsi="Arial" w:cs="Arial"/>
            <w:sz w:val="22"/>
            <w:szCs w:val="22"/>
          </w:rPr>
          <w:t>https://doi.org/10.1111/j.1365-2929.2006.02418.x</w:t>
        </w:r>
      </w:hyperlink>
    </w:p>
    <w:p w14:paraId="04B485FC" w14:textId="77777777" w:rsidR="0085325A" w:rsidRPr="00BF7187" w:rsidRDefault="0085325A" w:rsidP="00FC1CF8">
      <w:pPr>
        <w:spacing w:line="360" w:lineRule="auto"/>
        <w:rPr>
          <w:rFonts w:ascii="Arial" w:hAnsi="Arial" w:cs="Arial"/>
          <w:color w:val="000000" w:themeColor="text1"/>
          <w:sz w:val="22"/>
          <w:szCs w:val="22"/>
        </w:rPr>
      </w:pPr>
    </w:p>
    <w:p w14:paraId="5FFF03EA" w14:textId="64285001"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14.</w:t>
      </w:r>
      <w:r w:rsidR="00FC1CF8" w:rsidRPr="00BF7187">
        <w:rPr>
          <w:rFonts w:ascii="Arial" w:hAnsi="Arial" w:cs="Arial"/>
          <w:color w:val="000000" w:themeColor="text1"/>
          <w:sz w:val="22"/>
          <w:szCs w:val="22"/>
        </w:rPr>
        <w:t>education.ec.europa.eu. (d.d.). </w:t>
      </w:r>
      <w:r w:rsidR="00FC1CF8" w:rsidRPr="00BF7187">
        <w:rPr>
          <w:rFonts w:ascii="Arial" w:hAnsi="Arial" w:cs="Arial"/>
          <w:i/>
          <w:iCs/>
          <w:color w:val="000000" w:themeColor="text1"/>
          <w:sz w:val="22"/>
          <w:szCs w:val="22"/>
        </w:rPr>
        <w:t>Wellbeing at school | European Education Area</w:t>
      </w:r>
      <w:r w:rsidR="00FC1CF8" w:rsidRPr="00BF7187">
        <w:rPr>
          <w:rFonts w:ascii="Arial" w:hAnsi="Arial" w:cs="Arial"/>
          <w:color w:val="000000" w:themeColor="text1"/>
          <w:sz w:val="22"/>
          <w:szCs w:val="22"/>
        </w:rPr>
        <w:t xml:space="preserve">. </w:t>
      </w:r>
      <w:hyperlink r:id="rId16" w:history="1">
        <w:r w:rsidRPr="00BF7187">
          <w:rPr>
            <w:rStyle w:val="Hyperlink"/>
            <w:rFonts w:ascii="Arial" w:hAnsi="Arial" w:cs="Arial"/>
            <w:sz w:val="22"/>
            <w:szCs w:val="22"/>
          </w:rPr>
          <w:t>https://education.ec.europa.eu/education-levels/school-education/wellbeing-at-school</w:t>
        </w:r>
      </w:hyperlink>
    </w:p>
    <w:p w14:paraId="6E61D601" w14:textId="77777777" w:rsidR="00FC1CF8" w:rsidRPr="00BF7187" w:rsidRDefault="00FC1CF8" w:rsidP="00FC1CF8">
      <w:pPr>
        <w:spacing w:line="360" w:lineRule="auto"/>
        <w:rPr>
          <w:rFonts w:ascii="Arial" w:hAnsi="Arial" w:cs="Arial"/>
          <w:color w:val="000000" w:themeColor="text1"/>
          <w:sz w:val="22"/>
          <w:szCs w:val="22"/>
        </w:rPr>
      </w:pPr>
    </w:p>
    <w:p w14:paraId="4342D2BE" w14:textId="3496F9F7"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15.</w:t>
      </w:r>
      <w:r w:rsidR="00FC1CF8" w:rsidRPr="00BF7187">
        <w:rPr>
          <w:rFonts w:ascii="Arial" w:hAnsi="Arial" w:cs="Arial"/>
          <w:color w:val="000000" w:themeColor="text1"/>
          <w:sz w:val="22"/>
          <w:szCs w:val="22"/>
        </w:rPr>
        <w:t>Ekdal, J. (2016). Cases as a time consuming way of covering theory.</w:t>
      </w:r>
    </w:p>
    <w:p w14:paraId="45BEC748" w14:textId="77777777" w:rsidR="00FC1CF8" w:rsidRPr="00BF7187" w:rsidRDefault="00FC1CF8" w:rsidP="00FC1CF8">
      <w:pPr>
        <w:tabs>
          <w:tab w:val="left" w:pos="2667"/>
        </w:tabs>
        <w:spacing w:line="360" w:lineRule="auto"/>
        <w:rPr>
          <w:rFonts w:ascii="Arial" w:hAnsi="Arial" w:cs="Arial"/>
          <w:color w:val="000000" w:themeColor="text1"/>
          <w:sz w:val="22"/>
          <w:szCs w:val="22"/>
        </w:rPr>
      </w:pPr>
    </w:p>
    <w:p w14:paraId="49D02827" w14:textId="77777777" w:rsidR="0085325A" w:rsidRPr="00BF7187" w:rsidRDefault="0085325A" w:rsidP="00FC1CF8">
      <w:pPr>
        <w:tabs>
          <w:tab w:val="left" w:pos="2667"/>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16.</w:t>
      </w:r>
      <w:r w:rsidR="00FC1CF8" w:rsidRPr="00BF7187">
        <w:rPr>
          <w:rFonts w:ascii="Arial" w:hAnsi="Arial" w:cs="Arial"/>
          <w:color w:val="000000" w:themeColor="text1"/>
          <w:sz w:val="22"/>
          <w:szCs w:val="22"/>
        </w:rPr>
        <w:t>Elston, D.M. (2021) ‘The Hawthorne effect’, </w:t>
      </w:r>
      <w:r w:rsidR="00FC1CF8" w:rsidRPr="00BF7187">
        <w:rPr>
          <w:rFonts w:ascii="Arial" w:hAnsi="Arial" w:cs="Arial"/>
          <w:i/>
          <w:iCs/>
          <w:color w:val="000000" w:themeColor="text1"/>
          <w:sz w:val="22"/>
          <w:szCs w:val="22"/>
        </w:rPr>
        <w:t>Journal of the American Academy of Dermatology</w:t>
      </w:r>
      <w:r w:rsidR="00FC1CF8" w:rsidRPr="00BF7187">
        <w:rPr>
          <w:rFonts w:ascii="Arial" w:hAnsi="Arial" w:cs="Arial"/>
          <w:color w:val="000000" w:themeColor="text1"/>
          <w:sz w:val="22"/>
          <w:szCs w:val="22"/>
        </w:rPr>
        <w:t> </w:t>
      </w:r>
    </w:p>
    <w:p w14:paraId="59801FF2" w14:textId="25410100" w:rsidR="00FC1CF8" w:rsidRPr="00BF7187" w:rsidRDefault="00FC1CF8" w:rsidP="00FC1CF8">
      <w:pPr>
        <w:tabs>
          <w:tab w:val="left" w:pos="2667"/>
        </w:tabs>
        <w:spacing w:line="360" w:lineRule="auto"/>
        <w:rPr>
          <w:rFonts w:ascii="Arial" w:hAnsi="Arial" w:cs="Arial"/>
          <w:color w:val="000000" w:themeColor="text1"/>
          <w:sz w:val="22"/>
          <w:szCs w:val="22"/>
        </w:rPr>
      </w:pPr>
      <w:hyperlink r:id="rId17" w:history="1">
        <w:r w:rsidRPr="00BF7187">
          <w:rPr>
            <w:rStyle w:val="Hyperlink"/>
            <w:rFonts w:ascii="Arial" w:hAnsi="Arial" w:cs="Arial"/>
            <w:color w:val="000000" w:themeColor="text1"/>
            <w:sz w:val="22"/>
            <w:szCs w:val="22"/>
          </w:rPr>
          <w:t>https://doi.org/10.1016/j.jaad.2021.01.085</w:t>
        </w:r>
      </w:hyperlink>
    </w:p>
    <w:p w14:paraId="241D503E" w14:textId="77777777" w:rsidR="00FC1CF8" w:rsidRPr="00BF7187" w:rsidRDefault="00FC1CF8"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w:t>
      </w:r>
    </w:p>
    <w:p w14:paraId="2386F4F8" w14:textId="77777777" w:rsidR="0085325A"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17.</w:t>
      </w:r>
      <w:r w:rsidR="00FC1CF8" w:rsidRPr="00BF7187">
        <w:rPr>
          <w:rFonts w:ascii="Arial" w:hAnsi="Arial" w:cs="Arial"/>
          <w:color w:val="000000" w:themeColor="text1"/>
          <w:sz w:val="22"/>
          <w:szCs w:val="22"/>
        </w:rPr>
        <w:t>Envigor (2018). </w:t>
      </w:r>
      <w:r w:rsidR="00FC1CF8" w:rsidRPr="00BF7187">
        <w:rPr>
          <w:rFonts w:ascii="Arial" w:hAnsi="Arial" w:cs="Arial"/>
          <w:i/>
          <w:iCs/>
          <w:color w:val="000000" w:themeColor="text1"/>
          <w:sz w:val="22"/>
          <w:szCs w:val="22"/>
        </w:rPr>
        <w:t>Formal vs. Informal Interviews</w:t>
      </w:r>
      <w:r w:rsidR="00FC1CF8" w:rsidRPr="00BF7187">
        <w:rPr>
          <w:rFonts w:ascii="Arial" w:hAnsi="Arial" w:cs="Arial"/>
          <w:color w:val="000000" w:themeColor="text1"/>
          <w:sz w:val="22"/>
          <w:szCs w:val="22"/>
        </w:rPr>
        <w:t xml:space="preserve">. </w:t>
      </w:r>
    </w:p>
    <w:p w14:paraId="21AE364F" w14:textId="0A3B6464" w:rsidR="00FC1CF8" w:rsidRPr="00BF7187" w:rsidRDefault="00FC1CF8"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https://ectohr.com/blog/formal-versus-informal-interviews/.</w:t>
      </w:r>
    </w:p>
    <w:p w14:paraId="1B350397" w14:textId="77777777" w:rsidR="00AB49B6" w:rsidRPr="00BF7187" w:rsidRDefault="00AB49B6" w:rsidP="00FC1CF8">
      <w:pPr>
        <w:spacing w:line="360" w:lineRule="auto"/>
        <w:rPr>
          <w:rFonts w:ascii="Arial" w:hAnsi="Arial" w:cs="Arial"/>
          <w:color w:val="000000" w:themeColor="text1"/>
          <w:sz w:val="22"/>
          <w:szCs w:val="22"/>
        </w:rPr>
      </w:pPr>
    </w:p>
    <w:p w14:paraId="585FF19B" w14:textId="408D367A"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18.</w:t>
      </w:r>
      <w:r w:rsidR="00AC632B" w:rsidRPr="00BF7187">
        <w:rPr>
          <w:rFonts w:ascii="Arial" w:hAnsi="Arial" w:cs="Arial"/>
          <w:color w:val="000000" w:themeColor="text1"/>
          <w:sz w:val="22"/>
          <w:szCs w:val="22"/>
        </w:rPr>
        <w:t>Estyn. (2024). </w:t>
      </w:r>
      <w:r w:rsidR="00AC632B" w:rsidRPr="00BF7187">
        <w:rPr>
          <w:rFonts w:ascii="Arial" w:hAnsi="Arial" w:cs="Arial"/>
          <w:color w:val="000000" w:themeColor="text1"/>
          <w:sz w:val="22"/>
          <w:szCs w:val="22"/>
          <w:highlight w:val="black"/>
        </w:rPr>
        <w:t>Trimsaran C.P. School</w:t>
      </w:r>
      <w:r w:rsidR="00AC632B" w:rsidRPr="00BF7187">
        <w:rPr>
          <w:rFonts w:ascii="Arial" w:hAnsi="Arial" w:cs="Arial"/>
          <w:color w:val="000000" w:themeColor="text1"/>
          <w:sz w:val="22"/>
          <w:szCs w:val="22"/>
        </w:rPr>
        <w:t xml:space="preserve"> - Estyn. </w:t>
      </w:r>
    </w:p>
    <w:p w14:paraId="41BA24C2" w14:textId="6625EF73" w:rsidR="00AC632B" w:rsidRPr="00BF7187" w:rsidRDefault="00AC632B"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https://estyn.gov.wales/education-providers/</w:t>
      </w:r>
      <w:r w:rsidRPr="00BF7187">
        <w:rPr>
          <w:rFonts w:ascii="Arial" w:hAnsi="Arial" w:cs="Arial"/>
          <w:color w:val="000000" w:themeColor="text1"/>
          <w:sz w:val="22"/>
          <w:szCs w:val="22"/>
          <w:highlight w:val="black"/>
        </w:rPr>
        <w:t>trimsaran-c-p-school/.</w:t>
      </w:r>
    </w:p>
    <w:p w14:paraId="72EFF7AE" w14:textId="77777777" w:rsidR="00FC1CF8" w:rsidRPr="00BF7187" w:rsidRDefault="00AC632B"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w:t>
      </w:r>
    </w:p>
    <w:p w14:paraId="4EBF5CD6" w14:textId="45105088"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19.</w:t>
      </w:r>
      <w:r w:rsidR="00FC1CF8" w:rsidRPr="00BF7187">
        <w:rPr>
          <w:rFonts w:ascii="Arial" w:hAnsi="Arial" w:cs="Arial"/>
          <w:color w:val="000000" w:themeColor="text1"/>
          <w:sz w:val="22"/>
          <w:szCs w:val="22"/>
        </w:rPr>
        <w:t>Estyn. (2024). </w:t>
      </w:r>
      <w:r w:rsidR="00FC1CF8" w:rsidRPr="00BF7187">
        <w:rPr>
          <w:rFonts w:ascii="Arial" w:hAnsi="Arial" w:cs="Arial"/>
          <w:i/>
          <w:iCs/>
          <w:color w:val="000000" w:themeColor="text1"/>
          <w:sz w:val="22"/>
          <w:szCs w:val="22"/>
        </w:rPr>
        <w:t xml:space="preserve">Gwella lles disgyblion trwy ymgysylltu â disgyblion </w:t>
      </w:r>
      <w:r w:rsidR="00FC1CF8" w:rsidRPr="00BF7187">
        <w:rPr>
          <w:rFonts w:ascii="Arial" w:hAnsi="Arial" w:cs="Arial"/>
          <w:color w:val="000000" w:themeColor="text1"/>
          <w:sz w:val="22"/>
          <w:szCs w:val="22"/>
        </w:rPr>
        <w:t>https://www.estyn.llyw.cymru/adnoddau-gwella/gwella-lles-disgyblion-trwy-ymgysylltu-a-disgyblion/</w:t>
      </w:r>
    </w:p>
    <w:p w14:paraId="262F7105" w14:textId="77777777" w:rsidR="00FC1CF8" w:rsidRPr="00BF7187" w:rsidRDefault="00FC1CF8" w:rsidP="00FC1CF8">
      <w:pPr>
        <w:spacing w:line="360" w:lineRule="auto"/>
        <w:rPr>
          <w:rFonts w:ascii="Arial" w:hAnsi="Arial" w:cs="Arial"/>
          <w:color w:val="000000" w:themeColor="text1"/>
          <w:sz w:val="22"/>
          <w:szCs w:val="22"/>
        </w:rPr>
      </w:pPr>
    </w:p>
    <w:p w14:paraId="317AE931" w14:textId="4A398D1D"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20.</w:t>
      </w:r>
      <w:r w:rsidR="00FC1CF8" w:rsidRPr="00BF7187">
        <w:rPr>
          <w:rFonts w:ascii="Arial" w:hAnsi="Arial" w:cs="Arial"/>
          <w:color w:val="000000" w:themeColor="text1"/>
          <w:sz w:val="22"/>
          <w:szCs w:val="22"/>
        </w:rPr>
        <w:t>Estyn (2019) Iach a hapus Effaith yr ysgol ar iechyd a llesiant disgyblion.</w:t>
      </w:r>
    </w:p>
    <w:p w14:paraId="5350C122" w14:textId="3389AFEA" w:rsidR="00FC1CF8" w:rsidRPr="00BF7187" w:rsidRDefault="0085325A" w:rsidP="00FC1CF8">
      <w:pPr>
        <w:spacing w:line="360" w:lineRule="auto"/>
        <w:rPr>
          <w:rFonts w:ascii="Arial" w:hAnsi="Arial" w:cs="Arial"/>
          <w:color w:val="000000" w:themeColor="text1"/>
          <w:sz w:val="22"/>
          <w:szCs w:val="22"/>
        </w:rPr>
      </w:pPr>
      <w:hyperlink r:id="rId18" w:history="1">
        <w:r w:rsidRPr="00BF7187">
          <w:rPr>
            <w:rStyle w:val="Hyperlink"/>
            <w:rFonts w:ascii="Arial" w:hAnsi="Arial" w:cs="Arial"/>
            <w:sz w:val="22"/>
            <w:szCs w:val="22"/>
          </w:rPr>
          <w:t>https://www.estyn.gov.wales/system/files/2021-08/Healthy%2520and%2520Happy%2520report%2520Cy_0.pdf</w:t>
        </w:r>
      </w:hyperlink>
    </w:p>
    <w:p w14:paraId="435D64E1" w14:textId="77777777" w:rsidR="00FC1CF8" w:rsidRPr="00BF7187" w:rsidRDefault="00FC1CF8" w:rsidP="00FC1CF8">
      <w:pPr>
        <w:spacing w:line="360" w:lineRule="auto"/>
        <w:rPr>
          <w:rFonts w:ascii="Arial" w:hAnsi="Arial" w:cs="Arial"/>
          <w:color w:val="000000" w:themeColor="text1"/>
          <w:sz w:val="22"/>
          <w:szCs w:val="22"/>
        </w:rPr>
      </w:pPr>
    </w:p>
    <w:p w14:paraId="6106D6E4" w14:textId="4288B246"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21.</w:t>
      </w:r>
      <w:r w:rsidR="00FC1CF8" w:rsidRPr="00BF7187">
        <w:rPr>
          <w:rFonts w:ascii="Arial" w:hAnsi="Arial" w:cs="Arial"/>
          <w:color w:val="000000" w:themeColor="text1"/>
          <w:sz w:val="22"/>
          <w:szCs w:val="22"/>
        </w:rPr>
        <w:t>Glazzard, J. (2016). The Value of Circle Time as an Intervention Strategy. </w:t>
      </w:r>
      <w:r w:rsidR="00FC1CF8" w:rsidRPr="00BF7187">
        <w:rPr>
          <w:rFonts w:ascii="Arial" w:hAnsi="Arial" w:cs="Arial"/>
          <w:i/>
          <w:iCs/>
          <w:color w:val="000000" w:themeColor="text1"/>
          <w:sz w:val="22"/>
          <w:szCs w:val="22"/>
        </w:rPr>
        <w:t>Journal of Educational and Developmental Psychology</w:t>
      </w:r>
      <w:r w:rsidR="00FC1CF8" w:rsidRPr="00BF7187">
        <w:rPr>
          <w:rFonts w:ascii="Arial" w:hAnsi="Arial" w:cs="Arial"/>
          <w:color w:val="000000" w:themeColor="text1"/>
          <w:sz w:val="22"/>
          <w:szCs w:val="22"/>
        </w:rPr>
        <w:t>,</w:t>
      </w:r>
    </w:p>
    <w:p w14:paraId="77A6D024" w14:textId="2BDF4B24" w:rsidR="00FC1CF8" w:rsidRPr="00BF7187" w:rsidRDefault="00FC1CF8"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 xml:space="preserve"> </w:t>
      </w:r>
      <w:hyperlink r:id="rId19" w:history="1">
        <w:r w:rsidR="0085325A" w:rsidRPr="00BF7187">
          <w:rPr>
            <w:rStyle w:val="Hyperlink"/>
            <w:rFonts w:ascii="Arial" w:hAnsi="Arial" w:cs="Arial"/>
            <w:sz w:val="22"/>
            <w:szCs w:val="22"/>
          </w:rPr>
          <w:t>https://doi.org/10.5539/jedp.v6n2p207</w:t>
        </w:r>
      </w:hyperlink>
    </w:p>
    <w:p w14:paraId="4106B5AC" w14:textId="77777777" w:rsidR="00FC1CF8" w:rsidRPr="00BF7187" w:rsidRDefault="00FC1CF8" w:rsidP="00FC1CF8">
      <w:pPr>
        <w:spacing w:line="360" w:lineRule="auto"/>
        <w:rPr>
          <w:rFonts w:ascii="Arial" w:hAnsi="Arial" w:cs="Arial"/>
          <w:color w:val="000000" w:themeColor="text1"/>
          <w:sz w:val="22"/>
          <w:szCs w:val="22"/>
        </w:rPr>
      </w:pPr>
    </w:p>
    <w:p w14:paraId="7296B348" w14:textId="6A371B2F"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22.</w:t>
      </w:r>
      <w:r w:rsidR="00FC1CF8" w:rsidRPr="00BF7187">
        <w:rPr>
          <w:rFonts w:ascii="Arial" w:hAnsi="Arial" w:cs="Arial"/>
          <w:color w:val="000000" w:themeColor="text1"/>
          <w:sz w:val="22"/>
          <w:szCs w:val="22"/>
        </w:rPr>
        <w:t>Goleman, D. (2020). </w:t>
      </w:r>
      <w:r w:rsidR="00FC1CF8" w:rsidRPr="00BF7187">
        <w:rPr>
          <w:rFonts w:ascii="Arial" w:hAnsi="Arial" w:cs="Arial"/>
          <w:i/>
          <w:iCs/>
          <w:color w:val="000000" w:themeColor="text1"/>
          <w:sz w:val="22"/>
          <w:szCs w:val="22"/>
        </w:rPr>
        <w:t>Emotional intelligence: Why it can matter more than IQ</w:t>
      </w:r>
      <w:r w:rsidR="00FC1CF8" w:rsidRPr="00BF7187">
        <w:rPr>
          <w:rFonts w:ascii="Arial" w:hAnsi="Arial" w:cs="Arial"/>
          <w:color w:val="000000" w:themeColor="text1"/>
          <w:sz w:val="22"/>
          <w:szCs w:val="22"/>
        </w:rPr>
        <w:t>. London: Bloomsbury.</w:t>
      </w:r>
    </w:p>
    <w:p w14:paraId="03736A04" w14:textId="77777777" w:rsidR="00FC1CF8" w:rsidRPr="00BF7187" w:rsidRDefault="00FC1CF8" w:rsidP="00FC1CF8">
      <w:pPr>
        <w:spacing w:line="360" w:lineRule="auto"/>
        <w:rPr>
          <w:rFonts w:ascii="Arial" w:hAnsi="Arial" w:cs="Arial"/>
          <w:color w:val="000000" w:themeColor="text1"/>
          <w:sz w:val="22"/>
          <w:szCs w:val="22"/>
        </w:rPr>
      </w:pPr>
    </w:p>
    <w:p w14:paraId="52EC1B7F" w14:textId="46E7B519" w:rsidR="0085325A"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23.</w:t>
      </w:r>
      <w:r w:rsidR="00FC1CF8" w:rsidRPr="00BF7187">
        <w:rPr>
          <w:rFonts w:ascii="Arial" w:hAnsi="Arial" w:cs="Arial"/>
          <w:color w:val="000000" w:themeColor="text1"/>
          <w:sz w:val="22"/>
          <w:szCs w:val="22"/>
        </w:rPr>
        <w:t>Goodstart Corporate. (2018).</w:t>
      </w:r>
      <w:r w:rsidR="00FC1CF8" w:rsidRPr="00BF7187">
        <w:rPr>
          <w:rFonts w:ascii="Arial" w:hAnsi="Arial" w:cs="Arial"/>
          <w:i/>
          <w:iCs/>
          <w:color w:val="000000" w:themeColor="text1"/>
          <w:sz w:val="22"/>
          <w:szCs w:val="22"/>
        </w:rPr>
        <w:t>Why teaching children empathy is more important than ever</w:t>
      </w:r>
      <w:r w:rsidR="00FC1CF8" w:rsidRPr="00BF7187">
        <w:rPr>
          <w:rFonts w:ascii="Arial" w:hAnsi="Arial" w:cs="Arial"/>
          <w:color w:val="000000" w:themeColor="text1"/>
          <w:sz w:val="22"/>
          <w:szCs w:val="22"/>
        </w:rPr>
        <w:t xml:space="preserve">. </w:t>
      </w:r>
    </w:p>
    <w:p w14:paraId="1DAAE911" w14:textId="198AB7AA" w:rsidR="00FC1CF8" w:rsidRPr="00BF7187" w:rsidRDefault="0085325A" w:rsidP="00FC1CF8">
      <w:pPr>
        <w:spacing w:line="360" w:lineRule="auto"/>
        <w:rPr>
          <w:rFonts w:ascii="Arial" w:hAnsi="Arial" w:cs="Arial"/>
          <w:color w:val="000000" w:themeColor="text1"/>
          <w:sz w:val="22"/>
          <w:szCs w:val="22"/>
        </w:rPr>
      </w:pPr>
      <w:hyperlink r:id="rId20" w:history="1">
        <w:r w:rsidRPr="00BF7187">
          <w:rPr>
            <w:rStyle w:val="Hyperlink"/>
            <w:rFonts w:ascii="Arial" w:hAnsi="Arial" w:cs="Arial"/>
            <w:sz w:val="22"/>
            <w:szCs w:val="22"/>
          </w:rPr>
          <w:t>https://www.goodstart.org.au/parenting/why-teaching-children-empathy-is-more-important-than-ever</w:t>
        </w:r>
      </w:hyperlink>
      <w:r w:rsidR="00FC1CF8" w:rsidRPr="00BF7187">
        <w:rPr>
          <w:rFonts w:ascii="Arial" w:hAnsi="Arial" w:cs="Arial"/>
          <w:color w:val="000000" w:themeColor="text1"/>
          <w:sz w:val="22"/>
          <w:szCs w:val="22"/>
        </w:rPr>
        <w:t>.</w:t>
      </w:r>
    </w:p>
    <w:p w14:paraId="11D270CA" w14:textId="0776193D"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24.</w:t>
      </w:r>
      <w:r w:rsidR="00FC1CF8" w:rsidRPr="00BF7187">
        <w:rPr>
          <w:rFonts w:ascii="Arial" w:hAnsi="Arial" w:cs="Arial"/>
          <w:color w:val="000000" w:themeColor="text1"/>
          <w:sz w:val="22"/>
          <w:szCs w:val="22"/>
        </w:rPr>
        <w:t>GORDON ROUSE, K.,A., 2004. BEYOND MASLOW'S HIERARCHY OF NEEDS: What Do People Strive For? </w:t>
      </w:r>
      <w:r w:rsidR="00FC1CF8" w:rsidRPr="00BF7187">
        <w:rPr>
          <w:rFonts w:ascii="Arial" w:hAnsi="Arial" w:cs="Arial"/>
          <w:i/>
          <w:iCs/>
          <w:color w:val="000000" w:themeColor="text1"/>
          <w:sz w:val="22"/>
          <w:szCs w:val="22"/>
        </w:rPr>
        <w:t>Performance Improvement, </w:t>
      </w:r>
      <w:r w:rsidR="00FC1CF8" w:rsidRPr="00BF7187">
        <w:rPr>
          <w:rFonts w:ascii="Arial" w:hAnsi="Arial" w:cs="Arial"/>
          <w:b/>
          <w:bCs/>
          <w:color w:val="000000" w:themeColor="text1"/>
          <w:sz w:val="22"/>
          <w:szCs w:val="22"/>
        </w:rPr>
        <w:t>43</w:t>
      </w:r>
      <w:r w:rsidR="00FC1CF8" w:rsidRPr="00BF7187">
        <w:rPr>
          <w:rFonts w:ascii="Arial" w:hAnsi="Arial" w:cs="Arial"/>
          <w:color w:val="000000" w:themeColor="text1"/>
          <w:sz w:val="22"/>
          <w:szCs w:val="22"/>
        </w:rPr>
        <w:t xml:space="preserve">(10), </w:t>
      </w:r>
      <w:r w:rsidR="00FC1CF8"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 27-31.</w:t>
      </w:r>
    </w:p>
    <w:p w14:paraId="59332C36"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041DEA2E" w14:textId="77777777" w:rsidR="0085325A"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25.</w:t>
      </w:r>
      <w:r w:rsidR="00FC1CF8" w:rsidRPr="00BF7187">
        <w:rPr>
          <w:rFonts w:ascii="Arial" w:hAnsi="Arial" w:cs="Arial"/>
          <w:color w:val="000000" w:themeColor="text1"/>
          <w:sz w:val="22"/>
          <w:szCs w:val="22"/>
        </w:rPr>
        <w:t>Hecker, J. and Kalpokas, N. (2024). </w:t>
      </w:r>
      <w:r w:rsidR="00FC1CF8" w:rsidRPr="00BF7187">
        <w:rPr>
          <w:rFonts w:ascii="Arial" w:hAnsi="Arial" w:cs="Arial"/>
          <w:i/>
          <w:iCs/>
          <w:color w:val="000000" w:themeColor="text1"/>
          <w:sz w:val="22"/>
          <w:szCs w:val="22"/>
        </w:rPr>
        <w:t>Disadvantages of Thematic Analysis | Challenges &amp; Weaknesses</w:t>
      </w:r>
      <w:r w:rsidR="00FC1CF8" w:rsidRPr="00BF7187">
        <w:rPr>
          <w:rFonts w:ascii="Arial" w:hAnsi="Arial" w:cs="Arial"/>
          <w:color w:val="000000" w:themeColor="text1"/>
          <w:sz w:val="22"/>
          <w:szCs w:val="22"/>
        </w:rPr>
        <w:t xml:space="preserve">. </w:t>
      </w:r>
    </w:p>
    <w:p w14:paraId="13AD5F8F" w14:textId="0AE9EBA7" w:rsidR="00FC1CF8" w:rsidRPr="00BF7187" w:rsidRDefault="0085325A" w:rsidP="00FC1CF8">
      <w:pPr>
        <w:tabs>
          <w:tab w:val="left" w:pos="5546"/>
        </w:tabs>
        <w:spacing w:line="360" w:lineRule="auto"/>
        <w:rPr>
          <w:rFonts w:ascii="Arial" w:hAnsi="Arial" w:cs="Arial"/>
          <w:color w:val="000000" w:themeColor="text1"/>
          <w:sz w:val="22"/>
          <w:szCs w:val="22"/>
        </w:rPr>
      </w:pPr>
      <w:hyperlink r:id="rId21" w:history="1">
        <w:r w:rsidRPr="00BF7187">
          <w:rPr>
            <w:rStyle w:val="Hyperlink"/>
            <w:rFonts w:ascii="Arial" w:hAnsi="Arial" w:cs="Arial"/>
            <w:sz w:val="22"/>
            <w:szCs w:val="22"/>
          </w:rPr>
          <w:t>https://atlasti.com/guides/thematic-analysis/thematic-analysis-disadvantages-challenges-weaknesses</w:t>
        </w:r>
      </w:hyperlink>
    </w:p>
    <w:p w14:paraId="0A497618" w14:textId="77777777" w:rsidR="00FC1CF8" w:rsidRPr="00BF7187" w:rsidRDefault="00FC1CF8" w:rsidP="00FC1CF8">
      <w:pPr>
        <w:spacing w:line="360" w:lineRule="auto"/>
        <w:rPr>
          <w:rFonts w:ascii="Arial" w:hAnsi="Arial" w:cs="Arial"/>
          <w:color w:val="000000" w:themeColor="text1"/>
          <w:sz w:val="22"/>
          <w:szCs w:val="22"/>
        </w:rPr>
      </w:pPr>
    </w:p>
    <w:p w14:paraId="5E8182D9" w14:textId="091DBCA0"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26.</w:t>
      </w:r>
      <w:r w:rsidR="00FC1CF8" w:rsidRPr="00BF7187">
        <w:rPr>
          <w:rFonts w:ascii="Arial" w:hAnsi="Arial" w:cs="Arial"/>
          <w:color w:val="000000" w:themeColor="text1"/>
          <w:sz w:val="22"/>
          <w:szCs w:val="22"/>
        </w:rPr>
        <w:t>Hirsch, E.D., Rowland, W.G. and Stanford, M. (1998). </w:t>
      </w:r>
      <w:r w:rsidR="00FC1CF8" w:rsidRPr="00BF7187">
        <w:rPr>
          <w:rFonts w:ascii="Arial" w:hAnsi="Arial" w:cs="Arial"/>
          <w:i/>
          <w:iCs/>
          <w:color w:val="000000" w:themeColor="text1"/>
          <w:sz w:val="22"/>
          <w:szCs w:val="22"/>
        </w:rPr>
        <w:t>A first dictionary of cultural literacy : what our children need to know</w:t>
      </w:r>
      <w:r w:rsidR="00FC1CF8" w:rsidRPr="00BF7187">
        <w:rPr>
          <w:rFonts w:ascii="Arial" w:hAnsi="Arial" w:cs="Arial"/>
          <w:color w:val="000000" w:themeColor="text1"/>
          <w:sz w:val="22"/>
          <w:szCs w:val="22"/>
        </w:rPr>
        <w:t>. Boston: Houghton Mifflin.</w:t>
      </w:r>
    </w:p>
    <w:p w14:paraId="29F4BEBB" w14:textId="77777777" w:rsidR="00FC1CF8" w:rsidRPr="00BF7187" w:rsidRDefault="00FC1CF8" w:rsidP="00FC1CF8">
      <w:pPr>
        <w:spacing w:line="360" w:lineRule="auto"/>
        <w:rPr>
          <w:rFonts w:ascii="Arial" w:hAnsi="Arial" w:cs="Arial"/>
          <w:color w:val="000000" w:themeColor="text1"/>
          <w:sz w:val="22"/>
          <w:szCs w:val="22"/>
        </w:rPr>
      </w:pPr>
    </w:p>
    <w:p w14:paraId="17221B10" w14:textId="78529DCD"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27.</w:t>
      </w:r>
      <w:r w:rsidR="00FC1CF8" w:rsidRPr="00BF7187">
        <w:rPr>
          <w:rFonts w:ascii="Arial" w:hAnsi="Arial" w:cs="Arial"/>
          <w:color w:val="000000" w:themeColor="text1"/>
          <w:sz w:val="22"/>
          <w:szCs w:val="22"/>
        </w:rPr>
        <w:t>Holmes, A.G.D. (2020). Researcher Positionality - a Consideration of Its Influence and Place in Qualitative Research - a New Researcher Guide. </w:t>
      </w:r>
      <w:r w:rsidR="00FC1CF8" w:rsidRPr="00BF7187">
        <w:rPr>
          <w:rFonts w:ascii="Arial" w:hAnsi="Arial" w:cs="Arial"/>
          <w:i/>
          <w:iCs/>
          <w:color w:val="000000" w:themeColor="text1"/>
          <w:sz w:val="22"/>
          <w:szCs w:val="22"/>
        </w:rPr>
        <w:t>Shanlax International Journal of Education</w:t>
      </w:r>
      <w:r w:rsidR="00FC1CF8" w:rsidRPr="00BF7187">
        <w:rPr>
          <w:rFonts w:ascii="Arial" w:hAnsi="Arial" w:cs="Arial"/>
          <w:color w:val="000000" w:themeColor="text1"/>
          <w:sz w:val="22"/>
          <w:szCs w:val="22"/>
        </w:rPr>
        <w:t xml:space="preserve">, 8(4), </w:t>
      </w:r>
      <w:r w:rsidRPr="00BF7187">
        <w:rPr>
          <w:rFonts w:ascii="Arial" w:hAnsi="Arial" w:cs="Arial"/>
          <w:color w:val="000000" w:themeColor="text1"/>
          <w:sz w:val="22"/>
          <w:szCs w:val="22"/>
        </w:rPr>
        <w:t xml:space="preserve">Tud </w:t>
      </w:r>
      <w:r w:rsidR="00FC1CF8" w:rsidRPr="00BF7187">
        <w:rPr>
          <w:rFonts w:ascii="Arial" w:hAnsi="Arial" w:cs="Arial"/>
          <w:color w:val="000000" w:themeColor="text1"/>
          <w:sz w:val="22"/>
          <w:szCs w:val="22"/>
        </w:rPr>
        <w:t>1–10.</w:t>
      </w:r>
    </w:p>
    <w:p w14:paraId="79671829" w14:textId="77777777" w:rsidR="00FC1CF8" w:rsidRPr="00BF7187" w:rsidRDefault="00FC1CF8" w:rsidP="00FC1CF8">
      <w:pPr>
        <w:spacing w:line="360" w:lineRule="auto"/>
        <w:rPr>
          <w:rFonts w:ascii="Arial" w:hAnsi="Arial" w:cs="Arial"/>
          <w:color w:val="000000" w:themeColor="text1"/>
          <w:sz w:val="22"/>
          <w:szCs w:val="22"/>
        </w:rPr>
      </w:pPr>
    </w:p>
    <w:p w14:paraId="329AACE3" w14:textId="79F22401"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28.</w:t>
      </w:r>
      <w:r w:rsidR="00FC1CF8" w:rsidRPr="00BF7187">
        <w:rPr>
          <w:rFonts w:ascii="Arial" w:hAnsi="Arial" w:cs="Arial"/>
          <w:color w:val="000000" w:themeColor="text1"/>
          <w:sz w:val="22"/>
          <w:szCs w:val="22"/>
        </w:rPr>
        <w:t xml:space="preserve">Jigsaw (2025) </w:t>
      </w:r>
      <w:r w:rsidR="00FC1CF8" w:rsidRPr="00BF7187">
        <w:rPr>
          <w:rFonts w:ascii="Arial" w:hAnsi="Arial" w:cs="Arial"/>
          <w:i/>
          <w:iCs/>
          <w:color w:val="000000" w:themeColor="text1"/>
          <w:sz w:val="22"/>
          <w:szCs w:val="22"/>
        </w:rPr>
        <w:t>Jigsaw Education Group</w:t>
      </w:r>
      <w:r w:rsidR="00FC1CF8" w:rsidRPr="00BF7187">
        <w:rPr>
          <w:rFonts w:ascii="Arial" w:hAnsi="Arial" w:cs="Arial"/>
          <w:color w:val="000000" w:themeColor="text1"/>
          <w:sz w:val="22"/>
          <w:szCs w:val="22"/>
        </w:rPr>
        <w:t>.</w:t>
      </w:r>
    </w:p>
    <w:p w14:paraId="334C42ED" w14:textId="39A97DFB" w:rsidR="00FC1CF8" w:rsidRPr="00BF7187" w:rsidRDefault="00FC1CF8"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 xml:space="preserve"> </w:t>
      </w:r>
      <w:hyperlink r:id="rId22" w:history="1">
        <w:r w:rsidR="0085325A" w:rsidRPr="00BF7187">
          <w:rPr>
            <w:rStyle w:val="Hyperlink"/>
            <w:rFonts w:ascii="Arial" w:hAnsi="Arial" w:cs="Arial"/>
            <w:sz w:val="22"/>
            <w:szCs w:val="22"/>
          </w:rPr>
          <w:t>https://jigsaweducationgroup.com</w:t>
        </w:r>
      </w:hyperlink>
    </w:p>
    <w:p w14:paraId="1C04CBBF" w14:textId="77777777" w:rsidR="0085325A" w:rsidRPr="00BF7187" w:rsidRDefault="0085325A" w:rsidP="00FC1CF8">
      <w:pPr>
        <w:spacing w:line="360" w:lineRule="auto"/>
        <w:rPr>
          <w:rFonts w:ascii="Arial" w:hAnsi="Arial" w:cs="Arial"/>
          <w:color w:val="000000" w:themeColor="text1"/>
          <w:sz w:val="22"/>
          <w:szCs w:val="22"/>
        </w:rPr>
      </w:pPr>
    </w:p>
    <w:p w14:paraId="554E100B" w14:textId="775AAB2A"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29.</w:t>
      </w:r>
      <w:r w:rsidR="00FC1CF8" w:rsidRPr="00BF7187">
        <w:rPr>
          <w:rFonts w:ascii="Arial" w:hAnsi="Arial" w:cs="Arial"/>
          <w:color w:val="000000" w:themeColor="text1"/>
          <w:sz w:val="22"/>
          <w:szCs w:val="22"/>
        </w:rPr>
        <w:t>Kawulich, B. (2005). Participant Observation as a Data Collection Method. </w:t>
      </w:r>
      <w:r w:rsidR="00FC1CF8" w:rsidRPr="00BF7187">
        <w:rPr>
          <w:rFonts w:ascii="Arial" w:hAnsi="Arial" w:cs="Arial"/>
          <w:i/>
          <w:iCs/>
          <w:color w:val="000000" w:themeColor="text1"/>
          <w:sz w:val="22"/>
          <w:szCs w:val="22"/>
        </w:rPr>
        <w:t>FORUM: QUALITATIVE SOCIAL RESEARCH</w:t>
      </w:r>
      <w:r w:rsidR="00FC1CF8" w:rsidRPr="00BF7187">
        <w:rPr>
          <w:rFonts w:ascii="Arial" w:hAnsi="Arial" w:cs="Arial"/>
          <w:color w:val="000000" w:themeColor="text1"/>
          <w:sz w:val="22"/>
          <w:szCs w:val="22"/>
        </w:rPr>
        <w:t xml:space="preserve">, 6(2), </w:t>
      </w:r>
      <w:r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.1–28.</w:t>
      </w:r>
    </w:p>
    <w:p w14:paraId="58E0633F" w14:textId="77777777" w:rsidR="00FC1CF8" w:rsidRPr="00BF7187" w:rsidRDefault="00FC1CF8" w:rsidP="00FC1CF8">
      <w:pPr>
        <w:spacing w:line="360" w:lineRule="auto"/>
        <w:rPr>
          <w:rFonts w:ascii="Arial" w:hAnsi="Arial" w:cs="Arial"/>
          <w:color w:val="000000" w:themeColor="text1"/>
          <w:sz w:val="22"/>
          <w:szCs w:val="22"/>
        </w:rPr>
      </w:pPr>
    </w:p>
    <w:p w14:paraId="113ACB7C" w14:textId="09699694"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30.</w:t>
      </w:r>
      <w:r w:rsidR="00FC1CF8" w:rsidRPr="00BF7187">
        <w:rPr>
          <w:rFonts w:ascii="Arial" w:hAnsi="Arial" w:cs="Arial"/>
          <w:color w:val="000000" w:themeColor="text1"/>
          <w:sz w:val="22"/>
          <w:szCs w:val="22"/>
        </w:rPr>
        <w:t>Kline, T. (2019). </w:t>
      </w:r>
      <w:r w:rsidR="00FC1CF8" w:rsidRPr="00BF7187">
        <w:rPr>
          <w:rFonts w:ascii="Arial" w:hAnsi="Arial" w:cs="Arial"/>
          <w:i/>
          <w:iCs/>
          <w:color w:val="000000" w:themeColor="text1"/>
          <w:sz w:val="22"/>
          <w:szCs w:val="22"/>
        </w:rPr>
        <w:t>Applying Maslow’s Hierarchy of Needs In Our Classrooms</w:t>
      </w:r>
    </w:p>
    <w:p w14:paraId="06EC9EFF" w14:textId="2F7DF5F2" w:rsidR="00FC1CF8" w:rsidRPr="00BF7187" w:rsidRDefault="0085325A" w:rsidP="00FC1CF8">
      <w:pPr>
        <w:spacing w:line="360" w:lineRule="auto"/>
        <w:rPr>
          <w:rFonts w:ascii="Arial" w:hAnsi="Arial" w:cs="Arial"/>
          <w:color w:val="000000" w:themeColor="text1"/>
          <w:sz w:val="22"/>
          <w:szCs w:val="22"/>
        </w:rPr>
      </w:pPr>
      <w:hyperlink r:id="rId23" w:history="1">
        <w:r w:rsidRPr="00BF7187">
          <w:rPr>
            <w:rStyle w:val="Hyperlink"/>
            <w:rFonts w:ascii="Arial" w:hAnsi="Arial" w:cs="Arial"/>
            <w:sz w:val="22"/>
            <w:szCs w:val="22"/>
          </w:rPr>
          <w:t>http://www.changekidslives.org/actions-4</w:t>
        </w:r>
      </w:hyperlink>
    </w:p>
    <w:p w14:paraId="4834AE44" w14:textId="77777777" w:rsidR="0085325A" w:rsidRPr="00BF7187" w:rsidRDefault="0085325A" w:rsidP="00FC1CF8">
      <w:pPr>
        <w:spacing w:line="360" w:lineRule="auto"/>
        <w:rPr>
          <w:rFonts w:ascii="Arial" w:hAnsi="Arial" w:cs="Arial"/>
          <w:color w:val="000000" w:themeColor="text1"/>
          <w:sz w:val="22"/>
          <w:szCs w:val="22"/>
        </w:rPr>
      </w:pPr>
    </w:p>
    <w:p w14:paraId="6FABD78B" w14:textId="00DE71A1" w:rsidR="00487189"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31.</w:t>
      </w:r>
      <w:r w:rsidR="00487189" w:rsidRPr="00BF7187">
        <w:rPr>
          <w:rFonts w:ascii="Arial" w:hAnsi="Arial" w:cs="Arial"/>
          <w:color w:val="000000" w:themeColor="text1"/>
          <w:sz w:val="22"/>
          <w:szCs w:val="22"/>
        </w:rPr>
        <w:t>Kolb, D. (1984). Experiential learning: Experience as the source of learning and development. 2nd ed. Upper Saddle River, New Jersey: Pearson Education, Inc.</w:t>
      </w:r>
    </w:p>
    <w:p w14:paraId="298ACF7D" w14:textId="77777777" w:rsidR="00FC1CF8" w:rsidRPr="00BF7187" w:rsidRDefault="00487189"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lastRenderedPageBreak/>
        <w:t>‌</w:t>
      </w:r>
    </w:p>
    <w:p w14:paraId="6C1F9E70" w14:textId="2CE87397"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32.</w:t>
      </w:r>
      <w:r w:rsidR="00FC1CF8" w:rsidRPr="00BF7187">
        <w:rPr>
          <w:rFonts w:ascii="Arial" w:hAnsi="Arial" w:cs="Arial"/>
          <w:color w:val="000000" w:themeColor="text1"/>
          <w:sz w:val="22"/>
          <w:szCs w:val="22"/>
        </w:rPr>
        <w:t>Laevers, F. (1994) </w:t>
      </w:r>
      <w:r w:rsidR="00FC1CF8" w:rsidRPr="00BF7187">
        <w:rPr>
          <w:rFonts w:ascii="Arial" w:hAnsi="Arial" w:cs="Arial"/>
          <w:i/>
          <w:iCs/>
          <w:color w:val="000000" w:themeColor="text1"/>
          <w:sz w:val="22"/>
          <w:szCs w:val="22"/>
        </w:rPr>
        <w:t>Defining and assessing quality in early childhood education</w:t>
      </w:r>
      <w:r w:rsidR="00FC1CF8" w:rsidRPr="00BF7187">
        <w:rPr>
          <w:rFonts w:ascii="Arial" w:hAnsi="Arial" w:cs="Arial"/>
          <w:color w:val="000000" w:themeColor="text1"/>
          <w:sz w:val="22"/>
          <w:szCs w:val="22"/>
        </w:rPr>
        <w:t>. Leuven: Leuven University Press.</w:t>
      </w:r>
    </w:p>
    <w:p w14:paraId="6A40141A" w14:textId="140E15A4" w:rsidR="00FC1CF8" w:rsidRPr="00BF7187" w:rsidRDefault="00FC1CF8" w:rsidP="00FC1CF8">
      <w:pPr>
        <w:spacing w:line="360" w:lineRule="auto"/>
        <w:rPr>
          <w:rFonts w:ascii="Arial" w:hAnsi="Arial" w:cs="Arial"/>
          <w:color w:val="000000" w:themeColor="text1"/>
          <w:sz w:val="22"/>
          <w:szCs w:val="22"/>
        </w:rPr>
      </w:pPr>
    </w:p>
    <w:p w14:paraId="2BD5A482" w14:textId="593ADFB0"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33.</w:t>
      </w:r>
      <w:r w:rsidR="00FC1CF8" w:rsidRPr="00BF7187">
        <w:rPr>
          <w:rFonts w:ascii="Arial" w:hAnsi="Arial" w:cs="Arial"/>
          <w:color w:val="000000" w:themeColor="text1"/>
          <w:sz w:val="22"/>
          <w:szCs w:val="22"/>
        </w:rPr>
        <w:t>Leavy, P. (2020). </w:t>
      </w:r>
      <w:r w:rsidR="00FC1CF8" w:rsidRPr="00BF7187">
        <w:rPr>
          <w:rFonts w:ascii="Arial" w:hAnsi="Arial" w:cs="Arial"/>
          <w:i/>
          <w:iCs/>
          <w:color w:val="000000" w:themeColor="text1"/>
          <w:sz w:val="22"/>
          <w:szCs w:val="22"/>
        </w:rPr>
        <w:t>The Oxford Handbook of Qualitative Research</w:t>
      </w:r>
      <w:r w:rsidR="00FC1CF8" w:rsidRPr="00BF7187">
        <w:rPr>
          <w:rFonts w:ascii="Arial" w:hAnsi="Arial" w:cs="Arial"/>
          <w:color w:val="000000" w:themeColor="text1"/>
          <w:sz w:val="22"/>
          <w:szCs w:val="22"/>
        </w:rPr>
        <w:t>. New York: Oxford University Press.</w:t>
      </w:r>
    </w:p>
    <w:p w14:paraId="3C1FD25A" w14:textId="77777777" w:rsidR="00FC1CF8" w:rsidRPr="00BF7187" w:rsidRDefault="00FC1CF8" w:rsidP="00FC1CF8">
      <w:pPr>
        <w:spacing w:line="360" w:lineRule="auto"/>
        <w:rPr>
          <w:rFonts w:ascii="Arial" w:hAnsi="Arial" w:cs="Arial"/>
          <w:color w:val="000000" w:themeColor="text1"/>
          <w:sz w:val="22"/>
          <w:szCs w:val="22"/>
        </w:rPr>
      </w:pPr>
    </w:p>
    <w:p w14:paraId="7080234C" w14:textId="14F026C2" w:rsidR="003218EE"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34.</w:t>
      </w:r>
      <w:r w:rsidR="003218EE" w:rsidRPr="00BF7187">
        <w:rPr>
          <w:rFonts w:ascii="Arial" w:hAnsi="Arial" w:cs="Arial"/>
          <w:color w:val="000000" w:themeColor="text1"/>
          <w:sz w:val="22"/>
          <w:szCs w:val="22"/>
        </w:rPr>
        <w:t xml:space="preserve">Llywodraeth Cymru (2022) </w:t>
      </w:r>
      <w:r w:rsidR="003218EE" w:rsidRPr="00BF7187">
        <w:rPr>
          <w:rFonts w:ascii="Arial" w:hAnsi="Arial" w:cs="Arial"/>
          <w:i/>
          <w:iCs/>
          <w:color w:val="000000" w:themeColor="text1"/>
          <w:sz w:val="22"/>
          <w:szCs w:val="22"/>
        </w:rPr>
        <w:t>Cwricwlwm i Gymru:</w:t>
      </w:r>
      <w:r w:rsidR="003218EE" w:rsidRPr="00BF7187">
        <w:rPr>
          <w:rFonts w:ascii="Arial" w:hAnsi="Arial" w:cs="Arial"/>
          <w:color w:val="000000" w:themeColor="text1"/>
          <w:sz w:val="22"/>
          <w:szCs w:val="22"/>
        </w:rPr>
        <w:t xml:space="preserve"> Maes Dysgu a Phrofiad Iechyd a Lles. Caerdydd: Llywodraeth Cymu.</w:t>
      </w:r>
    </w:p>
    <w:p w14:paraId="00164306" w14:textId="1677E3E1" w:rsidR="00FC1CF8" w:rsidRPr="00BF7187" w:rsidRDefault="00FC1CF8" w:rsidP="00FC1CF8">
      <w:pPr>
        <w:spacing w:line="360" w:lineRule="auto"/>
        <w:rPr>
          <w:rFonts w:ascii="Arial" w:hAnsi="Arial" w:cs="Arial"/>
          <w:color w:val="000000" w:themeColor="text1"/>
          <w:sz w:val="22"/>
          <w:szCs w:val="22"/>
        </w:rPr>
      </w:pPr>
      <w:hyperlink r:id="rId24" w:history="1">
        <w:r w:rsidRPr="00BF7187">
          <w:rPr>
            <w:rStyle w:val="Hyperlink"/>
            <w:rFonts w:ascii="Arial" w:hAnsi="Arial" w:cs="Arial"/>
            <w:color w:val="000000" w:themeColor="text1"/>
            <w:sz w:val="22"/>
            <w:szCs w:val="22"/>
          </w:rPr>
          <w:t>https://hwb.gov.wales/cwricwlwm-i-gymru/iechyd-a-lles/</w:t>
        </w:r>
      </w:hyperlink>
    </w:p>
    <w:p w14:paraId="7ED71B68" w14:textId="77777777" w:rsidR="003218EE" w:rsidRPr="00BF7187" w:rsidRDefault="003218EE" w:rsidP="00FC1CF8">
      <w:pPr>
        <w:spacing w:line="360" w:lineRule="auto"/>
        <w:rPr>
          <w:rFonts w:ascii="Arial" w:hAnsi="Arial" w:cs="Arial"/>
          <w:color w:val="000000" w:themeColor="text1"/>
          <w:sz w:val="22"/>
          <w:szCs w:val="22"/>
        </w:rPr>
      </w:pPr>
    </w:p>
    <w:p w14:paraId="60B9134D" w14:textId="1EF8FF88"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35.</w:t>
      </w:r>
      <w:r w:rsidR="003218EE" w:rsidRPr="00BF7187">
        <w:rPr>
          <w:rFonts w:ascii="Arial" w:hAnsi="Arial" w:cs="Arial"/>
          <w:color w:val="000000" w:themeColor="text1"/>
          <w:sz w:val="22"/>
          <w:szCs w:val="22"/>
        </w:rPr>
        <w:t xml:space="preserve">Llywodraeth Cymru (2023) Llesiant Cymru: </w:t>
      </w:r>
    </w:p>
    <w:p w14:paraId="1D436E47" w14:textId="34775307" w:rsidR="003218EE" w:rsidRPr="00BF7187" w:rsidRDefault="003218EE" w:rsidP="00FC1CF8">
      <w:pPr>
        <w:spacing w:line="360" w:lineRule="auto"/>
        <w:rPr>
          <w:rFonts w:ascii="Arial" w:hAnsi="Arial" w:cs="Arial"/>
          <w:color w:val="000000" w:themeColor="text1"/>
          <w:sz w:val="22"/>
          <w:szCs w:val="22"/>
        </w:rPr>
      </w:pPr>
      <w:hyperlink r:id="rId25" w:history="1">
        <w:r w:rsidRPr="00BF7187">
          <w:rPr>
            <w:rStyle w:val="Hyperlink"/>
            <w:rFonts w:ascii="Arial" w:hAnsi="Arial" w:cs="Arial"/>
            <w:color w:val="000000" w:themeColor="text1"/>
            <w:sz w:val="22"/>
            <w:szCs w:val="22"/>
          </w:rPr>
          <w:t>https://www.llyw.cymru/llesiant-cymru-2023</w:t>
        </w:r>
      </w:hyperlink>
    </w:p>
    <w:p w14:paraId="48DEB4FB" w14:textId="77777777" w:rsidR="00D66BF8" w:rsidRPr="00BF7187" w:rsidRDefault="00D66BF8" w:rsidP="00FC1CF8">
      <w:pPr>
        <w:spacing w:line="360" w:lineRule="auto"/>
        <w:rPr>
          <w:rFonts w:ascii="Arial" w:hAnsi="Arial" w:cs="Arial"/>
          <w:color w:val="000000" w:themeColor="text1"/>
          <w:sz w:val="22"/>
          <w:szCs w:val="22"/>
        </w:rPr>
      </w:pPr>
    </w:p>
    <w:p w14:paraId="2DEEDB02" w14:textId="38FC26AC"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36.</w:t>
      </w:r>
      <w:r w:rsidR="00D66BF8" w:rsidRPr="00BF7187">
        <w:rPr>
          <w:rFonts w:ascii="Arial" w:hAnsi="Arial" w:cs="Arial"/>
          <w:color w:val="000000" w:themeColor="text1"/>
          <w:sz w:val="22"/>
          <w:szCs w:val="22"/>
        </w:rPr>
        <w:t>L</w:t>
      </w:r>
      <w:r w:rsidR="00FC1CF8" w:rsidRPr="00BF7187">
        <w:rPr>
          <w:rFonts w:ascii="Arial" w:hAnsi="Arial" w:cs="Arial"/>
          <w:color w:val="000000" w:themeColor="text1"/>
          <w:sz w:val="22"/>
          <w:szCs w:val="22"/>
        </w:rPr>
        <w:t xml:space="preserve">lywodraeth </w:t>
      </w:r>
      <w:r w:rsidR="00D66BF8" w:rsidRPr="00BF7187">
        <w:rPr>
          <w:rFonts w:ascii="Arial" w:hAnsi="Arial" w:cs="Arial"/>
          <w:color w:val="000000" w:themeColor="text1"/>
          <w:sz w:val="22"/>
          <w:szCs w:val="22"/>
        </w:rPr>
        <w:t>C</w:t>
      </w:r>
      <w:r w:rsidR="00FC1CF8" w:rsidRPr="00BF7187">
        <w:rPr>
          <w:rFonts w:ascii="Arial" w:hAnsi="Arial" w:cs="Arial"/>
          <w:color w:val="000000" w:themeColor="text1"/>
          <w:sz w:val="22"/>
          <w:szCs w:val="22"/>
        </w:rPr>
        <w:t>ymru</w:t>
      </w:r>
      <w:r w:rsidR="00D66BF8" w:rsidRPr="00BF7187">
        <w:rPr>
          <w:rFonts w:ascii="Arial" w:hAnsi="Arial" w:cs="Arial"/>
          <w:color w:val="000000" w:themeColor="text1"/>
          <w:sz w:val="22"/>
          <w:szCs w:val="22"/>
        </w:rPr>
        <w:t xml:space="preserve"> (2024). </w:t>
      </w:r>
      <w:r w:rsidR="00D66BF8" w:rsidRPr="00BF7187">
        <w:rPr>
          <w:rFonts w:ascii="Arial" w:hAnsi="Arial" w:cs="Arial"/>
          <w:i/>
          <w:iCs/>
          <w:color w:val="000000" w:themeColor="text1"/>
          <w:sz w:val="22"/>
          <w:szCs w:val="22"/>
        </w:rPr>
        <w:t xml:space="preserve">Y rhaglen i gyflwyno prydau ysgol am ddim i holl blant ysgolion cynradd yng Nghymru wedi’i chyflawni </w:t>
      </w:r>
    </w:p>
    <w:p w14:paraId="32927343" w14:textId="38134653" w:rsidR="00D66BF8" w:rsidRPr="00BF7187" w:rsidRDefault="00FC1CF8" w:rsidP="00FC1CF8">
      <w:pPr>
        <w:spacing w:line="360" w:lineRule="auto"/>
        <w:rPr>
          <w:rFonts w:ascii="Arial" w:hAnsi="Arial" w:cs="Arial"/>
          <w:color w:val="000000" w:themeColor="text1"/>
          <w:sz w:val="22"/>
          <w:szCs w:val="22"/>
        </w:rPr>
      </w:pPr>
      <w:hyperlink r:id="rId26" w:history="1">
        <w:r w:rsidRPr="00BF7187">
          <w:rPr>
            <w:rStyle w:val="Hyperlink"/>
            <w:rFonts w:ascii="Arial" w:hAnsi="Arial" w:cs="Arial"/>
            <w:sz w:val="22"/>
            <w:szCs w:val="22"/>
          </w:rPr>
          <w:t>https://www.llyw.cymru/y-rhaglen-i-gyflwyno-prydau-ysgol-am-ddim-i-holl-blant-ysgolion-cynradd-yng-nghymru-wedii-chyflawni</w:t>
        </w:r>
      </w:hyperlink>
    </w:p>
    <w:p w14:paraId="37C39E65" w14:textId="77777777" w:rsidR="00FC1CF8" w:rsidRPr="00BF7187" w:rsidRDefault="00D66BF8"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w:t>
      </w:r>
    </w:p>
    <w:p w14:paraId="561F1353" w14:textId="36D8B550" w:rsidR="0085325A" w:rsidRPr="00BF7187" w:rsidRDefault="0085325A" w:rsidP="0085325A">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37.</w:t>
      </w:r>
      <w:r w:rsidR="00FC1CF8" w:rsidRPr="00BF7187">
        <w:rPr>
          <w:rFonts w:ascii="Arial" w:hAnsi="Arial" w:cs="Arial"/>
          <w:color w:val="000000" w:themeColor="text1"/>
          <w:sz w:val="22"/>
          <w:szCs w:val="22"/>
        </w:rPr>
        <w:t>Main, P. (2021). </w:t>
      </w:r>
      <w:r w:rsidR="00FC1CF8" w:rsidRPr="00BF7187">
        <w:rPr>
          <w:rFonts w:ascii="Arial" w:hAnsi="Arial" w:cs="Arial"/>
          <w:i/>
          <w:iCs/>
          <w:color w:val="000000" w:themeColor="text1"/>
          <w:sz w:val="22"/>
          <w:szCs w:val="22"/>
        </w:rPr>
        <w:t>Leuven Scale: A teacher’s guide</w:t>
      </w:r>
      <w:r w:rsidR="00FC1CF8" w:rsidRPr="00BF7187">
        <w:rPr>
          <w:rFonts w:ascii="Arial" w:hAnsi="Arial" w:cs="Arial"/>
          <w:color w:val="000000" w:themeColor="text1"/>
          <w:sz w:val="22"/>
          <w:szCs w:val="22"/>
        </w:rPr>
        <w:t>.</w:t>
      </w:r>
    </w:p>
    <w:p w14:paraId="2547B5E7" w14:textId="2866E872" w:rsidR="00FC1CF8" w:rsidRPr="00BF7187" w:rsidRDefault="0085325A" w:rsidP="00FC1CF8">
      <w:pPr>
        <w:spacing w:line="360" w:lineRule="auto"/>
        <w:rPr>
          <w:rFonts w:ascii="Arial" w:hAnsi="Arial" w:cs="Arial"/>
          <w:color w:val="000000" w:themeColor="text1"/>
          <w:sz w:val="22"/>
          <w:szCs w:val="22"/>
        </w:rPr>
      </w:pPr>
      <w:hyperlink r:id="rId27" w:history="1">
        <w:r w:rsidRPr="00BF7187">
          <w:rPr>
            <w:rStyle w:val="Hyperlink"/>
            <w:rFonts w:ascii="Arial" w:hAnsi="Arial" w:cs="Arial"/>
            <w:sz w:val="22"/>
            <w:szCs w:val="22"/>
          </w:rPr>
          <w:t>https://www.structural-learning.com/post/leuven-scale-a-teachers-guide</w:t>
        </w:r>
      </w:hyperlink>
    </w:p>
    <w:p w14:paraId="1241E68B" w14:textId="77777777" w:rsidR="0085325A" w:rsidRPr="00BF7187" w:rsidRDefault="0085325A" w:rsidP="00FC1CF8">
      <w:pPr>
        <w:spacing w:line="360" w:lineRule="auto"/>
        <w:rPr>
          <w:rFonts w:ascii="Arial" w:hAnsi="Arial" w:cs="Arial"/>
          <w:color w:val="000000" w:themeColor="text1"/>
          <w:sz w:val="22"/>
          <w:szCs w:val="22"/>
        </w:rPr>
      </w:pPr>
    </w:p>
    <w:p w14:paraId="0CAD4D61" w14:textId="3CEE1D03"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38.</w:t>
      </w:r>
      <w:r w:rsidR="00FC1CF8" w:rsidRPr="00BF7187">
        <w:rPr>
          <w:rFonts w:ascii="Arial" w:hAnsi="Arial" w:cs="Arial"/>
          <w:color w:val="000000" w:themeColor="text1"/>
          <w:sz w:val="22"/>
          <w:szCs w:val="22"/>
        </w:rPr>
        <w:t>NSPCC (2023). </w:t>
      </w:r>
      <w:r w:rsidR="00FC1CF8" w:rsidRPr="00BF7187">
        <w:rPr>
          <w:rFonts w:ascii="Arial" w:hAnsi="Arial" w:cs="Arial"/>
          <w:i/>
          <w:iCs/>
          <w:color w:val="000000" w:themeColor="text1"/>
          <w:sz w:val="22"/>
          <w:szCs w:val="22"/>
        </w:rPr>
        <w:t>Research with children: Ethics, safety and promoting inclusion</w:t>
      </w:r>
      <w:r w:rsidR="00FC1CF8" w:rsidRPr="00BF7187">
        <w:rPr>
          <w:rFonts w:ascii="Arial" w:hAnsi="Arial" w:cs="Arial"/>
          <w:color w:val="000000" w:themeColor="text1"/>
          <w:sz w:val="22"/>
          <w:szCs w:val="22"/>
        </w:rPr>
        <w:t xml:space="preserve">. </w:t>
      </w:r>
      <w:hyperlink r:id="rId28" w:history="1">
        <w:r w:rsidRPr="00BF7187">
          <w:rPr>
            <w:rStyle w:val="Hyperlink"/>
            <w:rFonts w:ascii="Arial" w:hAnsi="Arial" w:cs="Arial"/>
            <w:sz w:val="22"/>
            <w:szCs w:val="22"/>
          </w:rPr>
          <w:t>https://learning.nspcc.org.uk/research-resources/briefings/research-with-children-ethics-safety-promoting-inclusion</w:t>
        </w:r>
      </w:hyperlink>
    </w:p>
    <w:p w14:paraId="58BAE83C" w14:textId="77777777" w:rsidR="0085325A" w:rsidRPr="00BF7187" w:rsidRDefault="0085325A" w:rsidP="00FC1CF8">
      <w:pPr>
        <w:tabs>
          <w:tab w:val="left" w:pos="5546"/>
        </w:tabs>
        <w:spacing w:line="360" w:lineRule="auto"/>
        <w:rPr>
          <w:rFonts w:ascii="Arial" w:hAnsi="Arial" w:cs="Arial"/>
          <w:color w:val="000000" w:themeColor="text1"/>
          <w:sz w:val="22"/>
          <w:szCs w:val="22"/>
        </w:rPr>
      </w:pPr>
    </w:p>
    <w:p w14:paraId="6F7FE1A2" w14:textId="15AE757A"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39.</w:t>
      </w:r>
      <w:r w:rsidR="00FC1CF8" w:rsidRPr="00BF7187">
        <w:rPr>
          <w:rFonts w:ascii="Arial" w:hAnsi="Arial" w:cs="Arial"/>
          <w:color w:val="000000" w:themeColor="text1"/>
          <w:sz w:val="22"/>
          <w:szCs w:val="22"/>
        </w:rPr>
        <w:t>Shabani, K., Khatib, M. and Ebadi, S. (2010). Vygotsky’s Zone of Proximal Development: Instructional Implications and Teachers’ Professional Development. </w:t>
      </w:r>
      <w:r w:rsidR="00FC1CF8" w:rsidRPr="00BF7187">
        <w:rPr>
          <w:rFonts w:ascii="Arial" w:hAnsi="Arial" w:cs="Arial"/>
          <w:i/>
          <w:iCs/>
          <w:color w:val="000000" w:themeColor="text1"/>
          <w:sz w:val="22"/>
          <w:szCs w:val="22"/>
        </w:rPr>
        <w:t>English Language Teaching</w:t>
      </w:r>
      <w:r w:rsidR="00FC1CF8" w:rsidRPr="00BF7187">
        <w:rPr>
          <w:rFonts w:ascii="Arial" w:hAnsi="Arial" w:cs="Arial"/>
          <w:color w:val="000000" w:themeColor="text1"/>
          <w:sz w:val="22"/>
          <w:szCs w:val="22"/>
        </w:rPr>
        <w:t xml:space="preserve">, 3(4), </w:t>
      </w:r>
      <w:r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.237–248.</w:t>
      </w:r>
    </w:p>
    <w:p w14:paraId="715D61FB" w14:textId="77777777" w:rsidR="00FC1CF8" w:rsidRPr="00BF7187" w:rsidRDefault="00FC1CF8"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 xml:space="preserve"> </w:t>
      </w:r>
    </w:p>
    <w:p w14:paraId="0C7665F8" w14:textId="2447170D" w:rsidR="00FC1CF8"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40.</w:t>
      </w:r>
      <w:r w:rsidR="00FC1CF8" w:rsidRPr="00BF7187">
        <w:rPr>
          <w:rFonts w:ascii="Arial" w:hAnsi="Arial" w:cs="Arial"/>
          <w:color w:val="000000" w:themeColor="text1"/>
          <w:sz w:val="22"/>
          <w:szCs w:val="22"/>
        </w:rPr>
        <w:t>Sutton-Tyrrell, K. (1991). Assessing bias in case-control studies. Proper selection of cases and controls. </w:t>
      </w:r>
      <w:r w:rsidR="00FC1CF8" w:rsidRPr="00BF7187">
        <w:rPr>
          <w:rFonts w:ascii="Arial" w:hAnsi="Arial" w:cs="Arial"/>
          <w:i/>
          <w:iCs/>
          <w:color w:val="000000" w:themeColor="text1"/>
          <w:sz w:val="22"/>
          <w:szCs w:val="22"/>
        </w:rPr>
        <w:t>Stroke</w:t>
      </w:r>
      <w:r w:rsidR="00FC1CF8" w:rsidRPr="00BF7187">
        <w:rPr>
          <w:rFonts w:ascii="Arial" w:hAnsi="Arial" w:cs="Arial"/>
          <w:color w:val="000000" w:themeColor="text1"/>
          <w:sz w:val="22"/>
          <w:szCs w:val="22"/>
        </w:rPr>
        <w:t xml:space="preserve">, </w:t>
      </w:r>
      <w:r w:rsidR="00FC1CF8" w:rsidRPr="00BF7187">
        <w:rPr>
          <w:rFonts w:ascii="Arial" w:hAnsi="Arial" w:cs="Arial"/>
          <w:color w:val="000000" w:themeColor="text1"/>
          <w:sz w:val="22"/>
          <w:szCs w:val="22"/>
        </w:rPr>
        <w:t>Tud</w:t>
      </w:r>
      <w:r w:rsidR="00FC1CF8" w:rsidRPr="00BF7187">
        <w:rPr>
          <w:rFonts w:ascii="Arial" w:hAnsi="Arial" w:cs="Arial"/>
          <w:color w:val="000000" w:themeColor="text1"/>
          <w:sz w:val="22"/>
          <w:szCs w:val="22"/>
        </w:rPr>
        <w:t xml:space="preserve">.938–942. </w:t>
      </w:r>
    </w:p>
    <w:p w14:paraId="1497E4D1" w14:textId="48614E91" w:rsidR="00FC1CF8" w:rsidRPr="00BF7187" w:rsidRDefault="0085325A" w:rsidP="00FC1CF8">
      <w:pPr>
        <w:spacing w:line="360" w:lineRule="auto"/>
        <w:rPr>
          <w:rFonts w:ascii="Arial" w:hAnsi="Arial" w:cs="Arial"/>
          <w:color w:val="000000" w:themeColor="text1"/>
          <w:sz w:val="22"/>
          <w:szCs w:val="22"/>
        </w:rPr>
      </w:pPr>
      <w:hyperlink r:id="rId29" w:history="1">
        <w:r w:rsidRPr="00BF7187">
          <w:rPr>
            <w:rStyle w:val="Hyperlink"/>
            <w:rFonts w:ascii="Arial" w:hAnsi="Arial" w:cs="Arial"/>
            <w:sz w:val="22"/>
            <w:szCs w:val="22"/>
          </w:rPr>
          <w:t>https://doi.org/10.1161/01.str.22.7.938</w:t>
        </w:r>
      </w:hyperlink>
    </w:p>
    <w:p w14:paraId="03D7C1E4" w14:textId="77777777" w:rsidR="0085325A" w:rsidRPr="00BF7187" w:rsidRDefault="0085325A" w:rsidP="00FC1CF8">
      <w:pPr>
        <w:spacing w:line="360" w:lineRule="auto"/>
        <w:rPr>
          <w:rFonts w:ascii="Arial" w:hAnsi="Arial" w:cs="Arial"/>
          <w:color w:val="000000" w:themeColor="text1"/>
          <w:sz w:val="22"/>
          <w:szCs w:val="22"/>
        </w:rPr>
      </w:pPr>
    </w:p>
    <w:p w14:paraId="28DB3CBA" w14:textId="0D805DD7"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41.</w:t>
      </w:r>
      <w:r w:rsidR="00FC1CF8" w:rsidRPr="00BF7187">
        <w:rPr>
          <w:rFonts w:ascii="Arial" w:hAnsi="Arial" w:cs="Arial"/>
          <w:color w:val="000000" w:themeColor="text1"/>
          <w:sz w:val="22"/>
          <w:szCs w:val="22"/>
        </w:rPr>
        <w:t>Tenny, S., Brannan, J. and Brannan, G. (2022). </w:t>
      </w:r>
      <w:r w:rsidR="00FC1CF8" w:rsidRPr="00BF7187">
        <w:rPr>
          <w:rFonts w:ascii="Arial" w:hAnsi="Arial" w:cs="Arial"/>
          <w:i/>
          <w:iCs/>
          <w:color w:val="000000" w:themeColor="text1"/>
          <w:sz w:val="22"/>
          <w:szCs w:val="22"/>
        </w:rPr>
        <w:t>Qualitative Study</w:t>
      </w:r>
      <w:r w:rsidR="00FC1CF8" w:rsidRPr="00BF7187">
        <w:rPr>
          <w:rFonts w:ascii="Arial" w:hAnsi="Arial" w:cs="Arial"/>
          <w:color w:val="000000" w:themeColor="text1"/>
          <w:sz w:val="22"/>
          <w:szCs w:val="22"/>
        </w:rPr>
        <w:t xml:space="preserve">. </w:t>
      </w:r>
      <w:hyperlink r:id="rId30" w:history="1">
        <w:r w:rsidRPr="00BF7187">
          <w:rPr>
            <w:rStyle w:val="Hyperlink"/>
            <w:rFonts w:ascii="Arial" w:hAnsi="Arial" w:cs="Arial"/>
            <w:sz w:val="22"/>
            <w:szCs w:val="22"/>
          </w:rPr>
          <w:t>https://www.ncbi.nlm.nih.gov/books/NBK470395/</w:t>
        </w:r>
      </w:hyperlink>
    </w:p>
    <w:p w14:paraId="35325480" w14:textId="77777777" w:rsidR="0085325A" w:rsidRPr="00BF7187" w:rsidRDefault="0085325A" w:rsidP="00FC1CF8">
      <w:pPr>
        <w:tabs>
          <w:tab w:val="left" w:pos="5546"/>
        </w:tabs>
        <w:spacing w:line="360" w:lineRule="auto"/>
        <w:rPr>
          <w:rFonts w:ascii="Arial" w:hAnsi="Arial" w:cs="Arial"/>
          <w:color w:val="000000" w:themeColor="text1"/>
          <w:sz w:val="22"/>
          <w:szCs w:val="22"/>
        </w:rPr>
      </w:pPr>
    </w:p>
    <w:p w14:paraId="4CB95578" w14:textId="4773D702" w:rsidR="00FC1CF8" w:rsidRPr="00BF7187" w:rsidRDefault="0085325A" w:rsidP="00FC1CF8">
      <w:pPr>
        <w:tabs>
          <w:tab w:val="left" w:pos="2667"/>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lastRenderedPageBreak/>
        <w:t>42.</w:t>
      </w:r>
      <w:r w:rsidR="00FC1CF8" w:rsidRPr="00BF7187">
        <w:rPr>
          <w:rFonts w:ascii="Arial" w:hAnsi="Arial" w:cs="Arial"/>
          <w:color w:val="000000" w:themeColor="text1"/>
          <w:sz w:val="22"/>
          <w:szCs w:val="22"/>
        </w:rPr>
        <w:t>Virginia Tech (2023). </w:t>
      </w:r>
      <w:r w:rsidR="00FC1CF8" w:rsidRPr="00BF7187">
        <w:rPr>
          <w:rFonts w:ascii="Arial" w:hAnsi="Arial" w:cs="Arial"/>
          <w:i/>
          <w:iCs/>
          <w:color w:val="000000" w:themeColor="text1"/>
          <w:sz w:val="22"/>
          <w:szCs w:val="22"/>
        </w:rPr>
        <w:t>Research Guides: Research Methods Guide: Interview Research</w:t>
      </w:r>
      <w:r w:rsidR="00FC1CF8" w:rsidRPr="00BF7187">
        <w:rPr>
          <w:rFonts w:ascii="Arial" w:hAnsi="Arial" w:cs="Arial"/>
          <w:color w:val="000000" w:themeColor="text1"/>
          <w:sz w:val="22"/>
          <w:szCs w:val="22"/>
        </w:rPr>
        <w:t xml:space="preserve">. </w:t>
      </w:r>
      <w:hyperlink r:id="rId31" w:history="1">
        <w:r w:rsidRPr="00BF7187">
          <w:rPr>
            <w:rStyle w:val="Hyperlink"/>
            <w:rFonts w:ascii="Arial" w:hAnsi="Arial" w:cs="Arial"/>
            <w:sz w:val="22"/>
            <w:szCs w:val="22"/>
          </w:rPr>
          <w:t>https://guides.lib.vt.edu/researchmethods/interviews</w:t>
        </w:r>
      </w:hyperlink>
    </w:p>
    <w:p w14:paraId="3534BE81" w14:textId="77777777" w:rsidR="0085325A" w:rsidRPr="00BF7187" w:rsidRDefault="0085325A" w:rsidP="00FC1CF8">
      <w:pPr>
        <w:tabs>
          <w:tab w:val="left" w:pos="2667"/>
        </w:tabs>
        <w:spacing w:line="360" w:lineRule="auto"/>
        <w:rPr>
          <w:rFonts w:ascii="Arial" w:hAnsi="Arial" w:cs="Arial"/>
          <w:color w:val="000000" w:themeColor="text1"/>
          <w:sz w:val="22"/>
          <w:szCs w:val="22"/>
        </w:rPr>
      </w:pPr>
    </w:p>
    <w:p w14:paraId="23806A5F" w14:textId="012B0063" w:rsidR="0027683D"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43.</w:t>
      </w:r>
      <w:r w:rsidR="009F03DA" w:rsidRPr="00BF7187">
        <w:rPr>
          <w:rFonts w:ascii="Arial" w:hAnsi="Arial" w:cs="Arial"/>
          <w:color w:val="000000" w:themeColor="text1"/>
          <w:sz w:val="22"/>
          <w:szCs w:val="22"/>
        </w:rPr>
        <w:t>Weinberg, D.R. (2011) </w:t>
      </w:r>
      <w:r w:rsidR="009F03DA" w:rsidRPr="00BF7187">
        <w:rPr>
          <w:rFonts w:ascii="Arial" w:hAnsi="Arial" w:cs="Arial"/>
          <w:i/>
          <w:iCs/>
          <w:color w:val="000000" w:themeColor="text1"/>
          <w:sz w:val="22"/>
          <w:szCs w:val="22"/>
        </w:rPr>
        <w:t>Montessori, Maslow, and Self-Actualization</w:t>
      </w:r>
      <w:r w:rsidR="009F03DA" w:rsidRPr="00BF7187">
        <w:rPr>
          <w:rFonts w:ascii="Arial" w:hAnsi="Arial" w:cs="Arial"/>
          <w:color w:val="000000" w:themeColor="text1"/>
          <w:sz w:val="22"/>
          <w:szCs w:val="22"/>
        </w:rPr>
        <w:t>, </w:t>
      </w:r>
      <w:r w:rsidR="009F03DA" w:rsidRPr="00BF7187">
        <w:rPr>
          <w:rFonts w:ascii="Arial" w:hAnsi="Arial" w:cs="Arial"/>
          <w:i/>
          <w:iCs/>
          <w:color w:val="000000" w:themeColor="text1"/>
          <w:sz w:val="22"/>
          <w:szCs w:val="22"/>
        </w:rPr>
        <w:t>Montessori life</w:t>
      </w:r>
      <w:r w:rsidR="009F03DA" w:rsidRPr="00BF7187">
        <w:rPr>
          <w:rFonts w:ascii="Arial" w:hAnsi="Arial" w:cs="Arial"/>
          <w:color w:val="000000" w:themeColor="text1"/>
          <w:sz w:val="22"/>
          <w:szCs w:val="22"/>
        </w:rPr>
        <w:t>. New York: American Montessori Society, pp. 16</w:t>
      </w:r>
    </w:p>
    <w:p w14:paraId="1FA5A7C1" w14:textId="77777777" w:rsidR="00FC1CF8" w:rsidRPr="00BF7187" w:rsidRDefault="00B53880"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w:t>
      </w:r>
    </w:p>
    <w:p w14:paraId="37F956E4" w14:textId="1DF18AD6"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44.</w:t>
      </w:r>
      <w:r w:rsidR="00FC1CF8" w:rsidRPr="00BF7187">
        <w:rPr>
          <w:rFonts w:ascii="Arial" w:hAnsi="Arial" w:cs="Arial"/>
          <w:color w:val="000000" w:themeColor="text1"/>
          <w:sz w:val="22"/>
          <w:szCs w:val="22"/>
        </w:rPr>
        <w:t xml:space="preserve"> </w:t>
      </w:r>
      <w:r w:rsidR="00FC1CF8" w:rsidRPr="00BF7187">
        <w:rPr>
          <w:rFonts w:ascii="Arial" w:hAnsi="Arial" w:cs="Arial"/>
          <w:color w:val="000000" w:themeColor="text1"/>
          <w:sz w:val="22"/>
          <w:szCs w:val="22"/>
        </w:rPr>
        <w:t>Williams, B (2024). </w:t>
      </w:r>
      <w:r w:rsidR="00FC1CF8" w:rsidRPr="00BF7187">
        <w:rPr>
          <w:rFonts w:ascii="Arial" w:hAnsi="Arial" w:cs="Arial"/>
          <w:i/>
          <w:iCs/>
          <w:color w:val="000000" w:themeColor="text1"/>
          <w:sz w:val="22"/>
          <w:szCs w:val="22"/>
        </w:rPr>
        <w:t xml:space="preserve">Example of Field Notes for Observational Research </w:t>
      </w:r>
      <w:hyperlink r:id="rId32" w:history="1">
        <w:r w:rsidRPr="00BF7187">
          <w:rPr>
            <w:rStyle w:val="Hyperlink"/>
            <w:rFonts w:ascii="Arial" w:hAnsi="Arial" w:cs="Arial"/>
            <w:sz w:val="22"/>
            <w:szCs w:val="22"/>
          </w:rPr>
          <w:t>https://insight7.io/example-of-field-notes-for-observational-research/</w:t>
        </w:r>
      </w:hyperlink>
    </w:p>
    <w:p w14:paraId="43EC7D1D" w14:textId="77777777" w:rsidR="0085325A" w:rsidRPr="00BF7187" w:rsidRDefault="0085325A" w:rsidP="00FC1CF8">
      <w:pPr>
        <w:tabs>
          <w:tab w:val="left" w:pos="5546"/>
        </w:tabs>
        <w:spacing w:line="360" w:lineRule="auto"/>
        <w:rPr>
          <w:rFonts w:ascii="Arial" w:hAnsi="Arial" w:cs="Arial"/>
          <w:color w:val="000000" w:themeColor="text1"/>
          <w:sz w:val="22"/>
          <w:szCs w:val="22"/>
        </w:rPr>
      </w:pPr>
    </w:p>
    <w:p w14:paraId="71BAFE79" w14:textId="738733E7" w:rsidR="00FC1CF8" w:rsidRPr="00BF7187" w:rsidRDefault="00FC1CF8" w:rsidP="00FC1CF8">
      <w:pPr>
        <w:tabs>
          <w:tab w:val="left" w:pos="5546"/>
        </w:tabs>
        <w:spacing w:line="360" w:lineRule="auto"/>
        <w:rPr>
          <w:rFonts w:ascii="Arial" w:hAnsi="Arial" w:cs="Arial"/>
          <w:color w:val="000000" w:themeColor="text1"/>
          <w:sz w:val="22"/>
          <w:szCs w:val="22"/>
        </w:rPr>
      </w:pPr>
    </w:p>
    <w:p w14:paraId="689A9C16" w14:textId="64F23FD5"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45.</w:t>
      </w:r>
      <w:r w:rsidR="00FC1CF8" w:rsidRPr="00BF7187">
        <w:rPr>
          <w:rFonts w:ascii="Arial" w:hAnsi="Arial" w:cs="Arial"/>
          <w:color w:val="000000" w:themeColor="text1"/>
          <w:sz w:val="22"/>
          <w:szCs w:val="22"/>
        </w:rPr>
        <w:t>Williams, B. (2024). </w:t>
      </w:r>
      <w:r w:rsidR="00FC1CF8" w:rsidRPr="00BF7187">
        <w:rPr>
          <w:rFonts w:ascii="Arial" w:hAnsi="Arial" w:cs="Arial"/>
          <w:i/>
          <w:iCs/>
          <w:color w:val="000000" w:themeColor="text1"/>
          <w:sz w:val="22"/>
          <w:szCs w:val="22"/>
        </w:rPr>
        <w:t xml:space="preserve">How to Accurately Capture and Prepare Interview Data for Analysis: Transcription Fundamentals - </w:t>
      </w:r>
      <w:hyperlink r:id="rId33" w:history="1">
        <w:r w:rsidRPr="00BF7187">
          <w:rPr>
            <w:rStyle w:val="Hyperlink"/>
            <w:rFonts w:ascii="Arial" w:hAnsi="Arial" w:cs="Arial"/>
            <w:sz w:val="22"/>
            <w:szCs w:val="22"/>
          </w:rPr>
          <w:t>https://insight7.io/how-to-accurately-capture-and-prepare-interview-data-for-analysis-transcription-fundamentals/</w:t>
        </w:r>
      </w:hyperlink>
    </w:p>
    <w:p w14:paraId="52FCE5CF" w14:textId="77777777" w:rsidR="00FC1CF8" w:rsidRPr="00BF7187" w:rsidRDefault="00FC1CF8" w:rsidP="00FC1CF8">
      <w:pPr>
        <w:tabs>
          <w:tab w:val="left" w:pos="5546"/>
        </w:tabs>
        <w:spacing w:line="360" w:lineRule="auto"/>
        <w:rPr>
          <w:rFonts w:ascii="Arial" w:hAnsi="Arial" w:cs="Arial"/>
          <w:color w:val="000000" w:themeColor="text1"/>
          <w:sz w:val="22"/>
          <w:szCs w:val="22"/>
        </w:rPr>
      </w:pPr>
    </w:p>
    <w:p w14:paraId="46E5F7AF" w14:textId="3E19D6BD" w:rsidR="00FC1CF8" w:rsidRPr="00BF7187" w:rsidRDefault="0085325A" w:rsidP="00FC1CF8">
      <w:pPr>
        <w:tabs>
          <w:tab w:val="left" w:pos="5546"/>
        </w:tabs>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46.</w:t>
      </w:r>
      <w:r w:rsidR="00FC1CF8" w:rsidRPr="00BF7187">
        <w:rPr>
          <w:rFonts w:ascii="Arial" w:hAnsi="Arial" w:cs="Arial"/>
          <w:color w:val="000000" w:themeColor="text1"/>
          <w:sz w:val="22"/>
          <w:szCs w:val="22"/>
        </w:rPr>
        <w:t>World Health Organisation (2021). </w:t>
      </w:r>
      <w:r w:rsidR="00FC1CF8" w:rsidRPr="00BF7187">
        <w:rPr>
          <w:rFonts w:ascii="Arial" w:hAnsi="Arial" w:cs="Arial"/>
          <w:i/>
          <w:iCs/>
          <w:color w:val="000000" w:themeColor="text1"/>
          <w:sz w:val="22"/>
          <w:szCs w:val="22"/>
        </w:rPr>
        <w:t>Ensuring Ethical Standards and Procedures for Research with Human Beings</w:t>
      </w:r>
      <w:r w:rsidR="00FC1CF8" w:rsidRPr="00BF7187">
        <w:rPr>
          <w:rFonts w:ascii="Arial" w:hAnsi="Arial" w:cs="Arial"/>
          <w:color w:val="000000" w:themeColor="text1"/>
          <w:sz w:val="22"/>
          <w:szCs w:val="22"/>
        </w:rPr>
        <w:t xml:space="preserve">. </w:t>
      </w:r>
      <w:hyperlink r:id="rId34" w:history="1">
        <w:r w:rsidRPr="00BF7187">
          <w:rPr>
            <w:rStyle w:val="Hyperlink"/>
            <w:rFonts w:ascii="Arial" w:hAnsi="Arial" w:cs="Arial"/>
            <w:sz w:val="22"/>
            <w:szCs w:val="22"/>
          </w:rPr>
          <w:t>https://www.who.int/activities/ensuring-ethical-standards-and-procedures-for-research-with-human-beings</w:t>
        </w:r>
      </w:hyperlink>
      <w:r w:rsidR="00FC1CF8" w:rsidRPr="00BF7187">
        <w:rPr>
          <w:rFonts w:ascii="Arial" w:hAnsi="Arial" w:cs="Arial"/>
          <w:color w:val="000000" w:themeColor="text1"/>
          <w:sz w:val="22"/>
          <w:szCs w:val="22"/>
        </w:rPr>
        <w:t>.</w:t>
      </w:r>
    </w:p>
    <w:p w14:paraId="53E61DCE" w14:textId="77777777" w:rsidR="0085325A" w:rsidRPr="00BF7187" w:rsidRDefault="0085325A" w:rsidP="00FC1CF8">
      <w:pPr>
        <w:tabs>
          <w:tab w:val="left" w:pos="5546"/>
        </w:tabs>
        <w:spacing w:line="360" w:lineRule="auto"/>
        <w:rPr>
          <w:rFonts w:ascii="Arial" w:hAnsi="Arial" w:cs="Arial"/>
          <w:color w:val="000000" w:themeColor="text1"/>
          <w:sz w:val="22"/>
          <w:szCs w:val="22"/>
        </w:rPr>
      </w:pPr>
    </w:p>
    <w:p w14:paraId="6FF062EB" w14:textId="4F743031" w:rsidR="0091117C" w:rsidRPr="00BF7187" w:rsidRDefault="0085325A"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47.</w:t>
      </w:r>
      <w:r w:rsidR="0001358C" w:rsidRPr="00BF7187">
        <w:rPr>
          <w:rFonts w:ascii="Arial" w:hAnsi="Arial" w:cs="Arial"/>
          <w:color w:val="000000" w:themeColor="text1"/>
          <w:sz w:val="22"/>
          <w:szCs w:val="22"/>
        </w:rPr>
        <w:t>Yin, R.K. </w:t>
      </w:r>
      <w:r w:rsidR="0001358C" w:rsidRPr="00BF7187">
        <w:rPr>
          <w:rFonts w:ascii="Arial" w:hAnsi="Arial" w:cs="Arial"/>
          <w:i/>
          <w:iCs/>
          <w:color w:val="000000" w:themeColor="text1"/>
          <w:sz w:val="22"/>
          <w:szCs w:val="22"/>
        </w:rPr>
        <w:t>et al.</w:t>
      </w:r>
      <w:r w:rsidR="0001358C" w:rsidRPr="00BF7187">
        <w:rPr>
          <w:rFonts w:ascii="Arial" w:hAnsi="Arial" w:cs="Arial"/>
          <w:color w:val="000000" w:themeColor="text1"/>
          <w:sz w:val="22"/>
          <w:szCs w:val="22"/>
        </w:rPr>
        <w:t> (2018) </w:t>
      </w:r>
      <w:r w:rsidR="0001358C" w:rsidRPr="00BF7187">
        <w:rPr>
          <w:rFonts w:ascii="Arial" w:hAnsi="Arial" w:cs="Arial"/>
          <w:i/>
          <w:iCs/>
          <w:color w:val="000000" w:themeColor="text1"/>
          <w:sz w:val="22"/>
          <w:szCs w:val="22"/>
        </w:rPr>
        <w:t>Case study research and applications : design and methods</w:t>
      </w:r>
      <w:r w:rsidR="0001358C" w:rsidRPr="00BF7187">
        <w:rPr>
          <w:rFonts w:ascii="Arial" w:hAnsi="Arial" w:cs="Arial"/>
          <w:color w:val="000000" w:themeColor="text1"/>
          <w:sz w:val="22"/>
          <w:szCs w:val="22"/>
        </w:rPr>
        <w:t>. Sixth edition. Thousand Oaks, California: SAGE Publications, Inc.</w:t>
      </w:r>
    </w:p>
    <w:p w14:paraId="4F733660" w14:textId="6F6710DE" w:rsidR="00EF036B" w:rsidRPr="00BF7187" w:rsidRDefault="00260EFB" w:rsidP="00FC1CF8">
      <w:pPr>
        <w:spacing w:line="360" w:lineRule="auto"/>
        <w:rPr>
          <w:rFonts w:ascii="Arial" w:hAnsi="Arial" w:cs="Arial"/>
          <w:color w:val="000000" w:themeColor="text1"/>
          <w:sz w:val="22"/>
          <w:szCs w:val="22"/>
        </w:rPr>
      </w:pPr>
      <w:r w:rsidRPr="00BF7187">
        <w:rPr>
          <w:rFonts w:ascii="Arial" w:hAnsi="Arial" w:cs="Arial"/>
          <w:color w:val="000000" w:themeColor="text1"/>
          <w:sz w:val="22"/>
          <w:szCs w:val="22"/>
        </w:rPr>
        <w:t>‌</w:t>
      </w:r>
      <w:r w:rsidR="007A54B8" w:rsidRPr="00BF7187">
        <w:rPr>
          <w:rFonts w:ascii="Arial" w:hAnsi="Arial" w:cs="Arial"/>
          <w:color w:val="000000" w:themeColor="text1"/>
          <w:sz w:val="22"/>
          <w:szCs w:val="22"/>
        </w:rPr>
        <w:t>‌</w:t>
      </w:r>
      <w:r w:rsidR="00EF1CC0" w:rsidRPr="00BF7187">
        <w:rPr>
          <w:rFonts w:ascii="Arial" w:hAnsi="Arial" w:cs="Arial"/>
          <w:color w:val="000000" w:themeColor="text1"/>
          <w:sz w:val="22"/>
          <w:szCs w:val="22"/>
        </w:rPr>
        <w:t>‌</w:t>
      </w:r>
      <w:r w:rsidR="00EF036B" w:rsidRPr="00BF7187">
        <w:rPr>
          <w:rFonts w:ascii="Arial" w:hAnsi="Arial" w:cs="Arial"/>
          <w:color w:val="000000" w:themeColor="text1"/>
          <w:sz w:val="22"/>
          <w:szCs w:val="22"/>
        </w:rPr>
        <w:t>‌</w:t>
      </w:r>
    </w:p>
    <w:p w14:paraId="5E546B40" w14:textId="53493D7E" w:rsidR="00A44ECB" w:rsidRPr="00A44ECB" w:rsidRDefault="00A44ECB" w:rsidP="00A44ECB">
      <w:pPr>
        <w:rPr>
          <w:lang w:val="en-GB"/>
        </w:rPr>
      </w:pPr>
    </w:p>
    <w:sectPr w:rsidR="00A44ECB" w:rsidRPr="00A44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7F29EB"/>
    <w:multiLevelType w:val="hybridMultilevel"/>
    <w:tmpl w:val="AE20A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3678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ABB"/>
    <w:rsid w:val="0001358C"/>
    <w:rsid w:val="00041C76"/>
    <w:rsid w:val="00052E60"/>
    <w:rsid w:val="00086E58"/>
    <w:rsid w:val="0009271F"/>
    <w:rsid w:val="000F08E6"/>
    <w:rsid w:val="00112BEF"/>
    <w:rsid w:val="001148EA"/>
    <w:rsid w:val="00115B62"/>
    <w:rsid w:val="00137212"/>
    <w:rsid w:val="0018157D"/>
    <w:rsid w:val="001C1D17"/>
    <w:rsid w:val="001C2521"/>
    <w:rsid w:val="001E03CB"/>
    <w:rsid w:val="001E1E05"/>
    <w:rsid w:val="001F3700"/>
    <w:rsid w:val="002277B3"/>
    <w:rsid w:val="00244A05"/>
    <w:rsid w:val="00253580"/>
    <w:rsid w:val="0025597E"/>
    <w:rsid w:val="00260EFB"/>
    <w:rsid w:val="00261B45"/>
    <w:rsid w:val="0027121E"/>
    <w:rsid w:val="002754F7"/>
    <w:rsid w:val="0027683D"/>
    <w:rsid w:val="0028766D"/>
    <w:rsid w:val="002D50CC"/>
    <w:rsid w:val="002E51A5"/>
    <w:rsid w:val="002F7DE2"/>
    <w:rsid w:val="0030626F"/>
    <w:rsid w:val="003218EE"/>
    <w:rsid w:val="00324740"/>
    <w:rsid w:val="00335F8F"/>
    <w:rsid w:val="00355BBE"/>
    <w:rsid w:val="00363F16"/>
    <w:rsid w:val="003756DC"/>
    <w:rsid w:val="003A7452"/>
    <w:rsid w:val="003B0106"/>
    <w:rsid w:val="003C6A9E"/>
    <w:rsid w:val="00420E8F"/>
    <w:rsid w:val="0042490D"/>
    <w:rsid w:val="004327C7"/>
    <w:rsid w:val="00446CB0"/>
    <w:rsid w:val="004505F7"/>
    <w:rsid w:val="00462D16"/>
    <w:rsid w:val="00487189"/>
    <w:rsid w:val="004D131D"/>
    <w:rsid w:val="004E6E31"/>
    <w:rsid w:val="00502108"/>
    <w:rsid w:val="00512EB5"/>
    <w:rsid w:val="00520338"/>
    <w:rsid w:val="005267A1"/>
    <w:rsid w:val="0053304E"/>
    <w:rsid w:val="00557B53"/>
    <w:rsid w:val="005A2A48"/>
    <w:rsid w:val="005B04C5"/>
    <w:rsid w:val="005C6782"/>
    <w:rsid w:val="005D55C4"/>
    <w:rsid w:val="005E044C"/>
    <w:rsid w:val="005F1CBD"/>
    <w:rsid w:val="006028F9"/>
    <w:rsid w:val="00617FBE"/>
    <w:rsid w:val="00620FDF"/>
    <w:rsid w:val="00627364"/>
    <w:rsid w:val="00637044"/>
    <w:rsid w:val="00643DF3"/>
    <w:rsid w:val="0066690A"/>
    <w:rsid w:val="00672C91"/>
    <w:rsid w:val="00695200"/>
    <w:rsid w:val="006970E1"/>
    <w:rsid w:val="00697205"/>
    <w:rsid w:val="006A7D11"/>
    <w:rsid w:val="006D6C39"/>
    <w:rsid w:val="006D724D"/>
    <w:rsid w:val="0070415C"/>
    <w:rsid w:val="007301AC"/>
    <w:rsid w:val="00783ABB"/>
    <w:rsid w:val="00785CCF"/>
    <w:rsid w:val="00786690"/>
    <w:rsid w:val="00796DF2"/>
    <w:rsid w:val="007A54B8"/>
    <w:rsid w:val="007C105B"/>
    <w:rsid w:val="007C7EB0"/>
    <w:rsid w:val="007F114B"/>
    <w:rsid w:val="008103BC"/>
    <w:rsid w:val="0085325A"/>
    <w:rsid w:val="0087576D"/>
    <w:rsid w:val="008B0FF2"/>
    <w:rsid w:val="008C2598"/>
    <w:rsid w:val="008C7ED3"/>
    <w:rsid w:val="0091117C"/>
    <w:rsid w:val="00915C4F"/>
    <w:rsid w:val="00936A6C"/>
    <w:rsid w:val="009377BF"/>
    <w:rsid w:val="009404A3"/>
    <w:rsid w:val="009472B9"/>
    <w:rsid w:val="00947741"/>
    <w:rsid w:val="00950441"/>
    <w:rsid w:val="009966D5"/>
    <w:rsid w:val="00996BF9"/>
    <w:rsid w:val="009B6E56"/>
    <w:rsid w:val="009B73FA"/>
    <w:rsid w:val="009C6D6D"/>
    <w:rsid w:val="009C6D88"/>
    <w:rsid w:val="009F01B8"/>
    <w:rsid w:val="009F03DA"/>
    <w:rsid w:val="00A048C4"/>
    <w:rsid w:val="00A1411E"/>
    <w:rsid w:val="00A328F7"/>
    <w:rsid w:val="00A36EDA"/>
    <w:rsid w:val="00A44AB5"/>
    <w:rsid w:val="00A44ECB"/>
    <w:rsid w:val="00A56393"/>
    <w:rsid w:val="00A82A03"/>
    <w:rsid w:val="00AA2184"/>
    <w:rsid w:val="00AB49B6"/>
    <w:rsid w:val="00AC286B"/>
    <w:rsid w:val="00AC632B"/>
    <w:rsid w:val="00AD4C7F"/>
    <w:rsid w:val="00AE1639"/>
    <w:rsid w:val="00AE1EC5"/>
    <w:rsid w:val="00AE637A"/>
    <w:rsid w:val="00B306F6"/>
    <w:rsid w:val="00B53880"/>
    <w:rsid w:val="00B54B5D"/>
    <w:rsid w:val="00B72E91"/>
    <w:rsid w:val="00B95337"/>
    <w:rsid w:val="00BA3D89"/>
    <w:rsid w:val="00BC67AA"/>
    <w:rsid w:val="00BF5AEE"/>
    <w:rsid w:val="00BF7187"/>
    <w:rsid w:val="00C365E4"/>
    <w:rsid w:val="00C4436B"/>
    <w:rsid w:val="00C527E6"/>
    <w:rsid w:val="00C855FF"/>
    <w:rsid w:val="00CA0CB1"/>
    <w:rsid w:val="00CB1AB2"/>
    <w:rsid w:val="00CC3AC1"/>
    <w:rsid w:val="00D272C3"/>
    <w:rsid w:val="00D364EA"/>
    <w:rsid w:val="00D66BF8"/>
    <w:rsid w:val="00D9423F"/>
    <w:rsid w:val="00DA14CB"/>
    <w:rsid w:val="00DA3D50"/>
    <w:rsid w:val="00DB2F91"/>
    <w:rsid w:val="00DC6BFC"/>
    <w:rsid w:val="00DE459C"/>
    <w:rsid w:val="00DF51AE"/>
    <w:rsid w:val="00DF7548"/>
    <w:rsid w:val="00E41037"/>
    <w:rsid w:val="00E43718"/>
    <w:rsid w:val="00E632B5"/>
    <w:rsid w:val="00E93675"/>
    <w:rsid w:val="00E959EE"/>
    <w:rsid w:val="00EC205D"/>
    <w:rsid w:val="00ED117B"/>
    <w:rsid w:val="00ED5C82"/>
    <w:rsid w:val="00EE469C"/>
    <w:rsid w:val="00EF036B"/>
    <w:rsid w:val="00EF0B2E"/>
    <w:rsid w:val="00EF1CC0"/>
    <w:rsid w:val="00F5568C"/>
    <w:rsid w:val="00F64F4F"/>
    <w:rsid w:val="00F92CE3"/>
    <w:rsid w:val="00F95AFE"/>
    <w:rsid w:val="00F96BD1"/>
    <w:rsid w:val="00F97BA0"/>
    <w:rsid w:val="00FB484E"/>
    <w:rsid w:val="00FB63D9"/>
    <w:rsid w:val="00FC1CF8"/>
    <w:rsid w:val="00FD5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D0106A"/>
  <w15:chartTrackingRefBased/>
  <w15:docId w15:val="{F7D43B22-76E4-474D-B3AA-53703280E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783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3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A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A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A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A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ABB"/>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783ABB"/>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83ABB"/>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83ABB"/>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83ABB"/>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83ABB"/>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83ABB"/>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83ABB"/>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83ABB"/>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83A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ABB"/>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83A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ABB"/>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83A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3ABB"/>
    <w:rPr>
      <w:i/>
      <w:iCs/>
      <w:color w:val="404040" w:themeColor="text1" w:themeTint="BF"/>
      <w:lang w:val="cy-GB"/>
    </w:rPr>
  </w:style>
  <w:style w:type="paragraph" w:styleId="ListParagraph">
    <w:name w:val="List Paragraph"/>
    <w:basedOn w:val="Normal"/>
    <w:uiPriority w:val="34"/>
    <w:qFormat/>
    <w:rsid w:val="00783ABB"/>
    <w:pPr>
      <w:ind w:left="720"/>
      <w:contextualSpacing/>
    </w:pPr>
  </w:style>
  <w:style w:type="character" w:styleId="IntenseEmphasis">
    <w:name w:val="Intense Emphasis"/>
    <w:basedOn w:val="DefaultParagraphFont"/>
    <w:uiPriority w:val="21"/>
    <w:qFormat/>
    <w:rsid w:val="00783ABB"/>
    <w:rPr>
      <w:i/>
      <w:iCs/>
      <w:color w:val="0F4761" w:themeColor="accent1" w:themeShade="BF"/>
    </w:rPr>
  </w:style>
  <w:style w:type="paragraph" w:styleId="IntenseQuote">
    <w:name w:val="Intense Quote"/>
    <w:basedOn w:val="Normal"/>
    <w:next w:val="Normal"/>
    <w:link w:val="IntenseQuoteChar"/>
    <w:uiPriority w:val="30"/>
    <w:qFormat/>
    <w:rsid w:val="00783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ABB"/>
    <w:rPr>
      <w:i/>
      <w:iCs/>
      <w:color w:val="0F4761" w:themeColor="accent1" w:themeShade="BF"/>
      <w:lang w:val="cy-GB"/>
    </w:rPr>
  </w:style>
  <w:style w:type="character" w:styleId="IntenseReference">
    <w:name w:val="Intense Reference"/>
    <w:basedOn w:val="DefaultParagraphFont"/>
    <w:uiPriority w:val="32"/>
    <w:qFormat/>
    <w:rsid w:val="00783ABB"/>
    <w:rPr>
      <w:b/>
      <w:bCs/>
      <w:smallCaps/>
      <w:color w:val="0F4761" w:themeColor="accent1" w:themeShade="BF"/>
      <w:spacing w:val="5"/>
    </w:rPr>
  </w:style>
  <w:style w:type="paragraph" w:styleId="NormalWeb">
    <w:name w:val="Normal (Web)"/>
    <w:basedOn w:val="Normal"/>
    <w:uiPriority w:val="99"/>
    <w:semiHidden/>
    <w:unhideWhenUsed/>
    <w:rsid w:val="00DF7548"/>
    <w:rPr>
      <w:rFonts w:ascii="Times New Roman" w:hAnsi="Times New Roman" w:cs="Times New Roman"/>
    </w:rPr>
  </w:style>
  <w:style w:type="character" w:styleId="Hyperlink">
    <w:name w:val="Hyperlink"/>
    <w:basedOn w:val="DefaultParagraphFont"/>
    <w:uiPriority w:val="99"/>
    <w:unhideWhenUsed/>
    <w:rsid w:val="00AB49B6"/>
    <w:rPr>
      <w:color w:val="467886" w:themeColor="hyperlink"/>
      <w:u w:val="single"/>
    </w:rPr>
  </w:style>
  <w:style w:type="character" w:styleId="UnresolvedMention">
    <w:name w:val="Unresolved Mention"/>
    <w:basedOn w:val="DefaultParagraphFont"/>
    <w:uiPriority w:val="99"/>
    <w:semiHidden/>
    <w:unhideWhenUsed/>
    <w:rsid w:val="0066690A"/>
    <w:rPr>
      <w:color w:val="605E5C"/>
      <w:shd w:val="clear" w:color="auto" w:fill="E1DFDD"/>
    </w:rPr>
  </w:style>
  <w:style w:type="table" w:styleId="TableGrid">
    <w:name w:val="Table Grid"/>
    <w:basedOn w:val="TableNormal"/>
    <w:uiPriority w:val="39"/>
    <w:rsid w:val="00355B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2252">
      <w:bodyDiv w:val="1"/>
      <w:marLeft w:val="0"/>
      <w:marRight w:val="0"/>
      <w:marTop w:val="0"/>
      <w:marBottom w:val="0"/>
      <w:divBdr>
        <w:top w:val="none" w:sz="0" w:space="0" w:color="auto"/>
        <w:left w:val="none" w:sz="0" w:space="0" w:color="auto"/>
        <w:bottom w:val="none" w:sz="0" w:space="0" w:color="auto"/>
        <w:right w:val="none" w:sz="0" w:space="0" w:color="auto"/>
      </w:divBdr>
    </w:div>
    <w:div w:id="89010319">
      <w:bodyDiv w:val="1"/>
      <w:marLeft w:val="0"/>
      <w:marRight w:val="0"/>
      <w:marTop w:val="0"/>
      <w:marBottom w:val="0"/>
      <w:divBdr>
        <w:top w:val="none" w:sz="0" w:space="0" w:color="auto"/>
        <w:left w:val="none" w:sz="0" w:space="0" w:color="auto"/>
        <w:bottom w:val="none" w:sz="0" w:space="0" w:color="auto"/>
        <w:right w:val="none" w:sz="0" w:space="0" w:color="auto"/>
      </w:divBdr>
    </w:div>
    <w:div w:id="92358325">
      <w:bodyDiv w:val="1"/>
      <w:marLeft w:val="0"/>
      <w:marRight w:val="0"/>
      <w:marTop w:val="0"/>
      <w:marBottom w:val="0"/>
      <w:divBdr>
        <w:top w:val="none" w:sz="0" w:space="0" w:color="auto"/>
        <w:left w:val="none" w:sz="0" w:space="0" w:color="auto"/>
        <w:bottom w:val="none" w:sz="0" w:space="0" w:color="auto"/>
        <w:right w:val="none" w:sz="0" w:space="0" w:color="auto"/>
      </w:divBdr>
    </w:div>
    <w:div w:id="98767453">
      <w:bodyDiv w:val="1"/>
      <w:marLeft w:val="0"/>
      <w:marRight w:val="0"/>
      <w:marTop w:val="0"/>
      <w:marBottom w:val="0"/>
      <w:divBdr>
        <w:top w:val="none" w:sz="0" w:space="0" w:color="auto"/>
        <w:left w:val="none" w:sz="0" w:space="0" w:color="auto"/>
        <w:bottom w:val="none" w:sz="0" w:space="0" w:color="auto"/>
        <w:right w:val="none" w:sz="0" w:space="0" w:color="auto"/>
      </w:divBdr>
    </w:div>
    <w:div w:id="105271709">
      <w:bodyDiv w:val="1"/>
      <w:marLeft w:val="0"/>
      <w:marRight w:val="0"/>
      <w:marTop w:val="0"/>
      <w:marBottom w:val="0"/>
      <w:divBdr>
        <w:top w:val="none" w:sz="0" w:space="0" w:color="auto"/>
        <w:left w:val="none" w:sz="0" w:space="0" w:color="auto"/>
        <w:bottom w:val="none" w:sz="0" w:space="0" w:color="auto"/>
        <w:right w:val="none" w:sz="0" w:space="0" w:color="auto"/>
      </w:divBdr>
    </w:div>
    <w:div w:id="105658575">
      <w:bodyDiv w:val="1"/>
      <w:marLeft w:val="0"/>
      <w:marRight w:val="0"/>
      <w:marTop w:val="0"/>
      <w:marBottom w:val="0"/>
      <w:divBdr>
        <w:top w:val="none" w:sz="0" w:space="0" w:color="auto"/>
        <w:left w:val="none" w:sz="0" w:space="0" w:color="auto"/>
        <w:bottom w:val="none" w:sz="0" w:space="0" w:color="auto"/>
        <w:right w:val="none" w:sz="0" w:space="0" w:color="auto"/>
      </w:divBdr>
    </w:div>
    <w:div w:id="167333358">
      <w:bodyDiv w:val="1"/>
      <w:marLeft w:val="0"/>
      <w:marRight w:val="0"/>
      <w:marTop w:val="0"/>
      <w:marBottom w:val="0"/>
      <w:divBdr>
        <w:top w:val="none" w:sz="0" w:space="0" w:color="auto"/>
        <w:left w:val="none" w:sz="0" w:space="0" w:color="auto"/>
        <w:bottom w:val="none" w:sz="0" w:space="0" w:color="auto"/>
        <w:right w:val="none" w:sz="0" w:space="0" w:color="auto"/>
      </w:divBdr>
    </w:div>
    <w:div w:id="190148985">
      <w:bodyDiv w:val="1"/>
      <w:marLeft w:val="0"/>
      <w:marRight w:val="0"/>
      <w:marTop w:val="0"/>
      <w:marBottom w:val="0"/>
      <w:divBdr>
        <w:top w:val="none" w:sz="0" w:space="0" w:color="auto"/>
        <w:left w:val="none" w:sz="0" w:space="0" w:color="auto"/>
        <w:bottom w:val="none" w:sz="0" w:space="0" w:color="auto"/>
        <w:right w:val="none" w:sz="0" w:space="0" w:color="auto"/>
      </w:divBdr>
    </w:div>
    <w:div w:id="196742033">
      <w:bodyDiv w:val="1"/>
      <w:marLeft w:val="0"/>
      <w:marRight w:val="0"/>
      <w:marTop w:val="0"/>
      <w:marBottom w:val="0"/>
      <w:divBdr>
        <w:top w:val="none" w:sz="0" w:space="0" w:color="auto"/>
        <w:left w:val="none" w:sz="0" w:space="0" w:color="auto"/>
        <w:bottom w:val="none" w:sz="0" w:space="0" w:color="auto"/>
        <w:right w:val="none" w:sz="0" w:space="0" w:color="auto"/>
      </w:divBdr>
    </w:div>
    <w:div w:id="204684414">
      <w:bodyDiv w:val="1"/>
      <w:marLeft w:val="0"/>
      <w:marRight w:val="0"/>
      <w:marTop w:val="0"/>
      <w:marBottom w:val="0"/>
      <w:divBdr>
        <w:top w:val="none" w:sz="0" w:space="0" w:color="auto"/>
        <w:left w:val="none" w:sz="0" w:space="0" w:color="auto"/>
        <w:bottom w:val="none" w:sz="0" w:space="0" w:color="auto"/>
        <w:right w:val="none" w:sz="0" w:space="0" w:color="auto"/>
      </w:divBdr>
    </w:div>
    <w:div w:id="219680073">
      <w:bodyDiv w:val="1"/>
      <w:marLeft w:val="0"/>
      <w:marRight w:val="0"/>
      <w:marTop w:val="0"/>
      <w:marBottom w:val="0"/>
      <w:divBdr>
        <w:top w:val="none" w:sz="0" w:space="0" w:color="auto"/>
        <w:left w:val="none" w:sz="0" w:space="0" w:color="auto"/>
        <w:bottom w:val="none" w:sz="0" w:space="0" w:color="auto"/>
        <w:right w:val="none" w:sz="0" w:space="0" w:color="auto"/>
      </w:divBdr>
    </w:div>
    <w:div w:id="224222808">
      <w:bodyDiv w:val="1"/>
      <w:marLeft w:val="0"/>
      <w:marRight w:val="0"/>
      <w:marTop w:val="0"/>
      <w:marBottom w:val="0"/>
      <w:divBdr>
        <w:top w:val="none" w:sz="0" w:space="0" w:color="auto"/>
        <w:left w:val="none" w:sz="0" w:space="0" w:color="auto"/>
        <w:bottom w:val="none" w:sz="0" w:space="0" w:color="auto"/>
        <w:right w:val="none" w:sz="0" w:space="0" w:color="auto"/>
      </w:divBdr>
    </w:div>
    <w:div w:id="267665275">
      <w:bodyDiv w:val="1"/>
      <w:marLeft w:val="0"/>
      <w:marRight w:val="0"/>
      <w:marTop w:val="0"/>
      <w:marBottom w:val="0"/>
      <w:divBdr>
        <w:top w:val="none" w:sz="0" w:space="0" w:color="auto"/>
        <w:left w:val="none" w:sz="0" w:space="0" w:color="auto"/>
        <w:bottom w:val="none" w:sz="0" w:space="0" w:color="auto"/>
        <w:right w:val="none" w:sz="0" w:space="0" w:color="auto"/>
      </w:divBdr>
    </w:div>
    <w:div w:id="272371205">
      <w:bodyDiv w:val="1"/>
      <w:marLeft w:val="0"/>
      <w:marRight w:val="0"/>
      <w:marTop w:val="0"/>
      <w:marBottom w:val="0"/>
      <w:divBdr>
        <w:top w:val="none" w:sz="0" w:space="0" w:color="auto"/>
        <w:left w:val="none" w:sz="0" w:space="0" w:color="auto"/>
        <w:bottom w:val="none" w:sz="0" w:space="0" w:color="auto"/>
        <w:right w:val="none" w:sz="0" w:space="0" w:color="auto"/>
      </w:divBdr>
    </w:div>
    <w:div w:id="318967927">
      <w:bodyDiv w:val="1"/>
      <w:marLeft w:val="0"/>
      <w:marRight w:val="0"/>
      <w:marTop w:val="0"/>
      <w:marBottom w:val="0"/>
      <w:divBdr>
        <w:top w:val="none" w:sz="0" w:space="0" w:color="auto"/>
        <w:left w:val="none" w:sz="0" w:space="0" w:color="auto"/>
        <w:bottom w:val="none" w:sz="0" w:space="0" w:color="auto"/>
        <w:right w:val="none" w:sz="0" w:space="0" w:color="auto"/>
      </w:divBdr>
    </w:div>
    <w:div w:id="333147518">
      <w:bodyDiv w:val="1"/>
      <w:marLeft w:val="0"/>
      <w:marRight w:val="0"/>
      <w:marTop w:val="0"/>
      <w:marBottom w:val="0"/>
      <w:divBdr>
        <w:top w:val="none" w:sz="0" w:space="0" w:color="auto"/>
        <w:left w:val="none" w:sz="0" w:space="0" w:color="auto"/>
        <w:bottom w:val="none" w:sz="0" w:space="0" w:color="auto"/>
        <w:right w:val="none" w:sz="0" w:space="0" w:color="auto"/>
      </w:divBdr>
    </w:div>
    <w:div w:id="360396744">
      <w:bodyDiv w:val="1"/>
      <w:marLeft w:val="0"/>
      <w:marRight w:val="0"/>
      <w:marTop w:val="0"/>
      <w:marBottom w:val="0"/>
      <w:divBdr>
        <w:top w:val="none" w:sz="0" w:space="0" w:color="auto"/>
        <w:left w:val="none" w:sz="0" w:space="0" w:color="auto"/>
        <w:bottom w:val="none" w:sz="0" w:space="0" w:color="auto"/>
        <w:right w:val="none" w:sz="0" w:space="0" w:color="auto"/>
      </w:divBdr>
      <w:divsChild>
        <w:div w:id="2066875960">
          <w:marLeft w:val="0"/>
          <w:marRight w:val="0"/>
          <w:marTop w:val="0"/>
          <w:marBottom w:val="0"/>
          <w:divBdr>
            <w:top w:val="none" w:sz="0" w:space="0" w:color="auto"/>
            <w:left w:val="none" w:sz="0" w:space="0" w:color="auto"/>
            <w:bottom w:val="none" w:sz="0" w:space="0" w:color="auto"/>
            <w:right w:val="none" w:sz="0" w:space="0" w:color="auto"/>
          </w:divBdr>
          <w:divsChild>
            <w:div w:id="705063193">
              <w:marLeft w:val="0"/>
              <w:marRight w:val="0"/>
              <w:marTop w:val="0"/>
              <w:marBottom w:val="0"/>
              <w:divBdr>
                <w:top w:val="none" w:sz="0" w:space="0" w:color="auto"/>
                <w:left w:val="none" w:sz="0" w:space="0" w:color="auto"/>
                <w:bottom w:val="none" w:sz="0" w:space="0" w:color="auto"/>
                <w:right w:val="none" w:sz="0" w:space="0" w:color="auto"/>
              </w:divBdr>
              <w:divsChild>
                <w:div w:id="121407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429948">
      <w:bodyDiv w:val="1"/>
      <w:marLeft w:val="0"/>
      <w:marRight w:val="0"/>
      <w:marTop w:val="0"/>
      <w:marBottom w:val="0"/>
      <w:divBdr>
        <w:top w:val="none" w:sz="0" w:space="0" w:color="auto"/>
        <w:left w:val="none" w:sz="0" w:space="0" w:color="auto"/>
        <w:bottom w:val="none" w:sz="0" w:space="0" w:color="auto"/>
        <w:right w:val="none" w:sz="0" w:space="0" w:color="auto"/>
      </w:divBdr>
      <w:divsChild>
        <w:div w:id="931476334">
          <w:marLeft w:val="0"/>
          <w:marRight w:val="0"/>
          <w:marTop w:val="0"/>
          <w:marBottom w:val="0"/>
          <w:divBdr>
            <w:top w:val="none" w:sz="0" w:space="0" w:color="auto"/>
            <w:left w:val="none" w:sz="0" w:space="0" w:color="auto"/>
            <w:bottom w:val="none" w:sz="0" w:space="0" w:color="auto"/>
            <w:right w:val="none" w:sz="0" w:space="0" w:color="auto"/>
          </w:divBdr>
          <w:divsChild>
            <w:div w:id="261492368">
              <w:marLeft w:val="0"/>
              <w:marRight w:val="0"/>
              <w:marTop w:val="0"/>
              <w:marBottom w:val="0"/>
              <w:divBdr>
                <w:top w:val="none" w:sz="0" w:space="0" w:color="auto"/>
                <w:left w:val="none" w:sz="0" w:space="0" w:color="auto"/>
                <w:bottom w:val="none" w:sz="0" w:space="0" w:color="auto"/>
                <w:right w:val="none" w:sz="0" w:space="0" w:color="auto"/>
              </w:divBdr>
              <w:divsChild>
                <w:div w:id="145047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252901">
      <w:bodyDiv w:val="1"/>
      <w:marLeft w:val="0"/>
      <w:marRight w:val="0"/>
      <w:marTop w:val="0"/>
      <w:marBottom w:val="0"/>
      <w:divBdr>
        <w:top w:val="none" w:sz="0" w:space="0" w:color="auto"/>
        <w:left w:val="none" w:sz="0" w:space="0" w:color="auto"/>
        <w:bottom w:val="none" w:sz="0" w:space="0" w:color="auto"/>
        <w:right w:val="none" w:sz="0" w:space="0" w:color="auto"/>
      </w:divBdr>
    </w:div>
    <w:div w:id="404423490">
      <w:bodyDiv w:val="1"/>
      <w:marLeft w:val="0"/>
      <w:marRight w:val="0"/>
      <w:marTop w:val="0"/>
      <w:marBottom w:val="0"/>
      <w:divBdr>
        <w:top w:val="none" w:sz="0" w:space="0" w:color="auto"/>
        <w:left w:val="none" w:sz="0" w:space="0" w:color="auto"/>
        <w:bottom w:val="none" w:sz="0" w:space="0" w:color="auto"/>
        <w:right w:val="none" w:sz="0" w:space="0" w:color="auto"/>
      </w:divBdr>
    </w:div>
    <w:div w:id="407653622">
      <w:bodyDiv w:val="1"/>
      <w:marLeft w:val="0"/>
      <w:marRight w:val="0"/>
      <w:marTop w:val="0"/>
      <w:marBottom w:val="0"/>
      <w:divBdr>
        <w:top w:val="none" w:sz="0" w:space="0" w:color="auto"/>
        <w:left w:val="none" w:sz="0" w:space="0" w:color="auto"/>
        <w:bottom w:val="none" w:sz="0" w:space="0" w:color="auto"/>
        <w:right w:val="none" w:sz="0" w:space="0" w:color="auto"/>
      </w:divBdr>
    </w:div>
    <w:div w:id="420030248">
      <w:bodyDiv w:val="1"/>
      <w:marLeft w:val="0"/>
      <w:marRight w:val="0"/>
      <w:marTop w:val="0"/>
      <w:marBottom w:val="0"/>
      <w:divBdr>
        <w:top w:val="none" w:sz="0" w:space="0" w:color="auto"/>
        <w:left w:val="none" w:sz="0" w:space="0" w:color="auto"/>
        <w:bottom w:val="none" w:sz="0" w:space="0" w:color="auto"/>
        <w:right w:val="none" w:sz="0" w:space="0" w:color="auto"/>
      </w:divBdr>
    </w:div>
    <w:div w:id="429274729">
      <w:bodyDiv w:val="1"/>
      <w:marLeft w:val="0"/>
      <w:marRight w:val="0"/>
      <w:marTop w:val="0"/>
      <w:marBottom w:val="0"/>
      <w:divBdr>
        <w:top w:val="none" w:sz="0" w:space="0" w:color="auto"/>
        <w:left w:val="none" w:sz="0" w:space="0" w:color="auto"/>
        <w:bottom w:val="none" w:sz="0" w:space="0" w:color="auto"/>
        <w:right w:val="none" w:sz="0" w:space="0" w:color="auto"/>
      </w:divBdr>
    </w:div>
    <w:div w:id="469253561">
      <w:bodyDiv w:val="1"/>
      <w:marLeft w:val="0"/>
      <w:marRight w:val="0"/>
      <w:marTop w:val="0"/>
      <w:marBottom w:val="0"/>
      <w:divBdr>
        <w:top w:val="none" w:sz="0" w:space="0" w:color="auto"/>
        <w:left w:val="none" w:sz="0" w:space="0" w:color="auto"/>
        <w:bottom w:val="none" w:sz="0" w:space="0" w:color="auto"/>
        <w:right w:val="none" w:sz="0" w:space="0" w:color="auto"/>
      </w:divBdr>
      <w:divsChild>
        <w:div w:id="924194705">
          <w:marLeft w:val="0"/>
          <w:marRight w:val="0"/>
          <w:marTop w:val="0"/>
          <w:marBottom w:val="0"/>
          <w:divBdr>
            <w:top w:val="none" w:sz="0" w:space="0" w:color="auto"/>
            <w:left w:val="none" w:sz="0" w:space="0" w:color="auto"/>
            <w:bottom w:val="none" w:sz="0" w:space="0" w:color="auto"/>
            <w:right w:val="none" w:sz="0" w:space="0" w:color="auto"/>
          </w:divBdr>
          <w:divsChild>
            <w:div w:id="20992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065053">
      <w:bodyDiv w:val="1"/>
      <w:marLeft w:val="0"/>
      <w:marRight w:val="0"/>
      <w:marTop w:val="0"/>
      <w:marBottom w:val="0"/>
      <w:divBdr>
        <w:top w:val="none" w:sz="0" w:space="0" w:color="auto"/>
        <w:left w:val="none" w:sz="0" w:space="0" w:color="auto"/>
        <w:bottom w:val="none" w:sz="0" w:space="0" w:color="auto"/>
        <w:right w:val="none" w:sz="0" w:space="0" w:color="auto"/>
      </w:divBdr>
    </w:div>
    <w:div w:id="482090617">
      <w:bodyDiv w:val="1"/>
      <w:marLeft w:val="0"/>
      <w:marRight w:val="0"/>
      <w:marTop w:val="0"/>
      <w:marBottom w:val="0"/>
      <w:divBdr>
        <w:top w:val="none" w:sz="0" w:space="0" w:color="auto"/>
        <w:left w:val="none" w:sz="0" w:space="0" w:color="auto"/>
        <w:bottom w:val="none" w:sz="0" w:space="0" w:color="auto"/>
        <w:right w:val="none" w:sz="0" w:space="0" w:color="auto"/>
      </w:divBdr>
    </w:div>
    <w:div w:id="500118596">
      <w:bodyDiv w:val="1"/>
      <w:marLeft w:val="0"/>
      <w:marRight w:val="0"/>
      <w:marTop w:val="0"/>
      <w:marBottom w:val="0"/>
      <w:divBdr>
        <w:top w:val="none" w:sz="0" w:space="0" w:color="auto"/>
        <w:left w:val="none" w:sz="0" w:space="0" w:color="auto"/>
        <w:bottom w:val="none" w:sz="0" w:space="0" w:color="auto"/>
        <w:right w:val="none" w:sz="0" w:space="0" w:color="auto"/>
      </w:divBdr>
    </w:div>
    <w:div w:id="510998059">
      <w:bodyDiv w:val="1"/>
      <w:marLeft w:val="0"/>
      <w:marRight w:val="0"/>
      <w:marTop w:val="0"/>
      <w:marBottom w:val="0"/>
      <w:divBdr>
        <w:top w:val="none" w:sz="0" w:space="0" w:color="auto"/>
        <w:left w:val="none" w:sz="0" w:space="0" w:color="auto"/>
        <w:bottom w:val="none" w:sz="0" w:space="0" w:color="auto"/>
        <w:right w:val="none" w:sz="0" w:space="0" w:color="auto"/>
      </w:divBdr>
    </w:div>
    <w:div w:id="513544361">
      <w:bodyDiv w:val="1"/>
      <w:marLeft w:val="0"/>
      <w:marRight w:val="0"/>
      <w:marTop w:val="0"/>
      <w:marBottom w:val="0"/>
      <w:divBdr>
        <w:top w:val="none" w:sz="0" w:space="0" w:color="auto"/>
        <w:left w:val="none" w:sz="0" w:space="0" w:color="auto"/>
        <w:bottom w:val="none" w:sz="0" w:space="0" w:color="auto"/>
        <w:right w:val="none" w:sz="0" w:space="0" w:color="auto"/>
      </w:divBdr>
    </w:div>
    <w:div w:id="605504620">
      <w:bodyDiv w:val="1"/>
      <w:marLeft w:val="0"/>
      <w:marRight w:val="0"/>
      <w:marTop w:val="0"/>
      <w:marBottom w:val="0"/>
      <w:divBdr>
        <w:top w:val="none" w:sz="0" w:space="0" w:color="auto"/>
        <w:left w:val="none" w:sz="0" w:space="0" w:color="auto"/>
        <w:bottom w:val="none" w:sz="0" w:space="0" w:color="auto"/>
        <w:right w:val="none" w:sz="0" w:space="0" w:color="auto"/>
      </w:divBdr>
    </w:div>
    <w:div w:id="610740962">
      <w:bodyDiv w:val="1"/>
      <w:marLeft w:val="0"/>
      <w:marRight w:val="0"/>
      <w:marTop w:val="0"/>
      <w:marBottom w:val="0"/>
      <w:divBdr>
        <w:top w:val="none" w:sz="0" w:space="0" w:color="auto"/>
        <w:left w:val="none" w:sz="0" w:space="0" w:color="auto"/>
        <w:bottom w:val="none" w:sz="0" w:space="0" w:color="auto"/>
        <w:right w:val="none" w:sz="0" w:space="0" w:color="auto"/>
      </w:divBdr>
      <w:divsChild>
        <w:div w:id="537205743">
          <w:marLeft w:val="0"/>
          <w:marRight w:val="0"/>
          <w:marTop w:val="0"/>
          <w:marBottom w:val="0"/>
          <w:divBdr>
            <w:top w:val="none" w:sz="0" w:space="0" w:color="auto"/>
            <w:left w:val="none" w:sz="0" w:space="0" w:color="auto"/>
            <w:bottom w:val="none" w:sz="0" w:space="0" w:color="auto"/>
            <w:right w:val="none" w:sz="0" w:space="0" w:color="auto"/>
          </w:divBdr>
          <w:divsChild>
            <w:div w:id="1733893666">
              <w:marLeft w:val="0"/>
              <w:marRight w:val="0"/>
              <w:marTop w:val="0"/>
              <w:marBottom w:val="0"/>
              <w:divBdr>
                <w:top w:val="none" w:sz="0" w:space="0" w:color="auto"/>
                <w:left w:val="none" w:sz="0" w:space="0" w:color="auto"/>
                <w:bottom w:val="none" w:sz="0" w:space="0" w:color="auto"/>
                <w:right w:val="none" w:sz="0" w:space="0" w:color="auto"/>
              </w:divBdr>
              <w:divsChild>
                <w:div w:id="97348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04545">
      <w:bodyDiv w:val="1"/>
      <w:marLeft w:val="0"/>
      <w:marRight w:val="0"/>
      <w:marTop w:val="0"/>
      <w:marBottom w:val="0"/>
      <w:divBdr>
        <w:top w:val="none" w:sz="0" w:space="0" w:color="auto"/>
        <w:left w:val="none" w:sz="0" w:space="0" w:color="auto"/>
        <w:bottom w:val="none" w:sz="0" w:space="0" w:color="auto"/>
        <w:right w:val="none" w:sz="0" w:space="0" w:color="auto"/>
      </w:divBdr>
    </w:div>
    <w:div w:id="652636735">
      <w:bodyDiv w:val="1"/>
      <w:marLeft w:val="0"/>
      <w:marRight w:val="0"/>
      <w:marTop w:val="0"/>
      <w:marBottom w:val="0"/>
      <w:divBdr>
        <w:top w:val="none" w:sz="0" w:space="0" w:color="auto"/>
        <w:left w:val="none" w:sz="0" w:space="0" w:color="auto"/>
        <w:bottom w:val="none" w:sz="0" w:space="0" w:color="auto"/>
        <w:right w:val="none" w:sz="0" w:space="0" w:color="auto"/>
      </w:divBdr>
    </w:div>
    <w:div w:id="675499699">
      <w:bodyDiv w:val="1"/>
      <w:marLeft w:val="0"/>
      <w:marRight w:val="0"/>
      <w:marTop w:val="0"/>
      <w:marBottom w:val="0"/>
      <w:divBdr>
        <w:top w:val="none" w:sz="0" w:space="0" w:color="auto"/>
        <w:left w:val="none" w:sz="0" w:space="0" w:color="auto"/>
        <w:bottom w:val="none" w:sz="0" w:space="0" w:color="auto"/>
        <w:right w:val="none" w:sz="0" w:space="0" w:color="auto"/>
      </w:divBdr>
    </w:div>
    <w:div w:id="699816978">
      <w:bodyDiv w:val="1"/>
      <w:marLeft w:val="0"/>
      <w:marRight w:val="0"/>
      <w:marTop w:val="0"/>
      <w:marBottom w:val="0"/>
      <w:divBdr>
        <w:top w:val="none" w:sz="0" w:space="0" w:color="auto"/>
        <w:left w:val="none" w:sz="0" w:space="0" w:color="auto"/>
        <w:bottom w:val="none" w:sz="0" w:space="0" w:color="auto"/>
        <w:right w:val="none" w:sz="0" w:space="0" w:color="auto"/>
      </w:divBdr>
    </w:div>
    <w:div w:id="714037737">
      <w:bodyDiv w:val="1"/>
      <w:marLeft w:val="0"/>
      <w:marRight w:val="0"/>
      <w:marTop w:val="0"/>
      <w:marBottom w:val="0"/>
      <w:divBdr>
        <w:top w:val="none" w:sz="0" w:space="0" w:color="auto"/>
        <w:left w:val="none" w:sz="0" w:space="0" w:color="auto"/>
        <w:bottom w:val="none" w:sz="0" w:space="0" w:color="auto"/>
        <w:right w:val="none" w:sz="0" w:space="0" w:color="auto"/>
      </w:divBdr>
    </w:div>
    <w:div w:id="792750013">
      <w:bodyDiv w:val="1"/>
      <w:marLeft w:val="0"/>
      <w:marRight w:val="0"/>
      <w:marTop w:val="0"/>
      <w:marBottom w:val="0"/>
      <w:divBdr>
        <w:top w:val="none" w:sz="0" w:space="0" w:color="auto"/>
        <w:left w:val="none" w:sz="0" w:space="0" w:color="auto"/>
        <w:bottom w:val="none" w:sz="0" w:space="0" w:color="auto"/>
        <w:right w:val="none" w:sz="0" w:space="0" w:color="auto"/>
      </w:divBdr>
    </w:div>
    <w:div w:id="844365989">
      <w:bodyDiv w:val="1"/>
      <w:marLeft w:val="0"/>
      <w:marRight w:val="0"/>
      <w:marTop w:val="0"/>
      <w:marBottom w:val="0"/>
      <w:divBdr>
        <w:top w:val="none" w:sz="0" w:space="0" w:color="auto"/>
        <w:left w:val="none" w:sz="0" w:space="0" w:color="auto"/>
        <w:bottom w:val="none" w:sz="0" w:space="0" w:color="auto"/>
        <w:right w:val="none" w:sz="0" w:space="0" w:color="auto"/>
      </w:divBdr>
    </w:div>
    <w:div w:id="863250985">
      <w:bodyDiv w:val="1"/>
      <w:marLeft w:val="0"/>
      <w:marRight w:val="0"/>
      <w:marTop w:val="0"/>
      <w:marBottom w:val="0"/>
      <w:divBdr>
        <w:top w:val="none" w:sz="0" w:space="0" w:color="auto"/>
        <w:left w:val="none" w:sz="0" w:space="0" w:color="auto"/>
        <w:bottom w:val="none" w:sz="0" w:space="0" w:color="auto"/>
        <w:right w:val="none" w:sz="0" w:space="0" w:color="auto"/>
      </w:divBdr>
    </w:div>
    <w:div w:id="865368322">
      <w:bodyDiv w:val="1"/>
      <w:marLeft w:val="0"/>
      <w:marRight w:val="0"/>
      <w:marTop w:val="0"/>
      <w:marBottom w:val="0"/>
      <w:divBdr>
        <w:top w:val="none" w:sz="0" w:space="0" w:color="auto"/>
        <w:left w:val="none" w:sz="0" w:space="0" w:color="auto"/>
        <w:bottom w:val="none" w:sz="0" w:space="0" w:color="auto"/>
        <w:right w:val="none" w:sz="0" w:space="0" w:color="auto"/>
      </w:divBdr>
    </w:div>
    <w:div w:id="907225174">
      <w:bodyDiv w:val="1"/>
      <w:marLeft w:val="0"/>
      <w:marRight w:val="0"/>
      <w:marTop w:val="0"/>
      <w:marBottom w:val="0"/>
      <w:divBdr>
        <w:top w:val="none" w:sz="0" w:space="0" w:color="auto"/>
        <w:left w:val="none" w:sz="0" w:space="0" w:color="auto"/>
        <w:bottom w:val="none" w:sz="0" w:space="0" w:color="auto"/>
        <w:right w:val="none" w:sz="0" w:space="0" w:color="auto"/>
      </w:divBdr>
    </w:div>
    <w:div w:id="926959344">
      <w:bodyDiv w:val="1"/>
      <w:marLeft w:val="0"/>
      <w:marRight w:val="0"/>
      <w:marTop w:val="0"/>
      <w:marBottom w:val="0"/>
      <w:divBdr>
        <w:top w:val="none" w:sz="0" w:space="0" w:color="auto"/>
        <w:left w:val="none" w:sz="0" w:space="0" w:color="auto"/>
        <w:bottom w:val="none" w:sz="0" w:space="0" w:color="auto"/>
        <w:right w:val="none" w:sz="0" w:space="0" w:color="auto"/>
      </w:divBdr>
    </w:div>
    <w:div w:id="947273274">
      <w:bodyDiv w:val="1"/>
      <w:marLeft w:val="0"/>
      <w:marRight w:val="0"/>
      <w:marTop w:val="0"/>
      <w:marBottom w:val="0"/>
      <w:divBdr>
        <w:top w:val="none" w:sz="0" w:space="0" w:color="auto"/>
        <w:left w:val="none" w:sz="0" w:space="0" w:color="auto"/>
        <w:bottom w:val="none" w:sz="0" w:space="0" w:color="auto"/>
        <w:right w:val="none" w:sz="0" w:space="0" w:color="auto"/>
      </w:divBdr>
    </w:div>
    <w:div w:id="957487450">
      <w:bodyDiv w:val="1"/>
      <w:marLeft w:val="0"/>
      <w:marRight w:val="0"/>
      <w:marTop w:val="0"/>
      <w:marBottom w:val="0"/>
      <w:divBdr>
        <w:top w:val="none" w:sz="0" w:space="0" w:color="auto"/>
        <w:left w:val="none" w:sz="0" w:space="0" w:color="auto"/>
        <w:bottom w:val="none" w:sz="0" w:space="0" w:color="auto"/>
        <w:right w:val="none" w:sz="0" w:space="0" w:color="auto"/>
      </w:divBdr>
    </w:div>
    <w:div w:id="993027382">
      <w:bodyDiv w:val="1"/>
      <w:marLeft w:val="0"/>
      <w:marRight w:val="0"/>
      <w:marTop w:val="0"/>
      <w:marBottom w:val="0"/>
      <w:divBdr>
        <w:top w:val="none" w:sz="0" w:space="0" w:color="auto"/>
        <w:left w:val="none" w:sz="0" w:space="0" w:color="auto"/>
        <w:bottom w:val="none" w:sz="0" w:space="0" w:color="auto"/>
        <w:right w:val="none" w:sz="0" w:space="0" w:color="auto"/>
      </w:divBdr>
    </w:div>
    <w:div w:id="1015499074">
      <w:bodyDiv w:val="1"/>
      <w:marLeft w:val="0"/>
      <w:marRight w:val="0"/>
      <w:marTop w:val="0"/>
      <w:marBottom w:val="0"/>
      <w:divBdr>
        <w:top w:val="none" w:sz="0" w:space="0" w:color="auto"/>
        <w:left w:val="none" w:sz="0" w:space="0" w:color="auto"/>
        <w:bottom w:val="none" w:sz="0" w:space="0" w:color="auto"/>
        <w:right w:val="none" w:sz="0" w:space="0" w:color="auto"/>
      </w:divBdr>
    </w:div>
    <w:div w:id="1032458140">
      <w:bodyDiv w:val="1"/>
      <w:marLeft w:val="0"/>
      <w:marRight w:val="0"/>
      <w:marTop w:val="0"/>
      <w:marBottom w:val="0"/>
      <w:divBdr>
        <w:top w:val="none" w:sz="0" w:space="0" w:color="auto"/>
        <w:left w:val="none" w:sz="0" w:space="0" w:color="auto"/>
        <w:bottom w:val="none" w:sz="0" w:space="0" w:color="auto"/>
        <w:right w:val="none" w:sz="0" w:space="0" w:color="auto"/>
      </w:divBdr>
    </w:div>
    <w:div w:id="1036924800">
      <w:bodyDiv w:val="1"/>
      <w:marLeft w:val="0"/>
      <w:marRight w:val="0"/>
      <w:marTop w:val="0"/>
      <w:marBottom w:val="0"/>
      <w:divBdr>
        <w:top w:val="none" w:sz="0" w:space="0" w:color="auto"/>
        <w:left w:val="none" w:sz="0" w:space="0" w:color="auto"/>
        <w:bottom w:val="none" w:sz="0" w:space="0" w:color="auto"/>
        <w:right w:val="none" w:sz="0" w:space="0" w:color="auto"/>
      </w:divBdr>
    </w:div>
    <w:div w:id="1040398748">
      <w:bodyDiv w:val="1"/>
      <w:marLeft w:val="0"/>
      <w:marRight w:val="0"/>
      <w:marTop w:val="0"/>
      <w:marBottom w:val="0"/>
      <w:divBdr>
        <w:top w:val="none" w:sz="0" w:space="0" w:color="auto"/>
        <w:left w:val="none" w:sz="0" w:space="0" w:color="auto"/>
        <w:bottom w:val="none" w:sz="0" w:space="0" w:color="auto"/>
        <w:right w:val="none" w:sz="0" w:space="0" w:color="auto"/>
      </w:divBdr>
    </w:div>
    <w:div w:id="1042359920">
      <w:bodyDiv w:val="1"/>
      <w:marLeft w:val="0"/>
      <w:marRight w:val="0"/>
      <w:marTop w:val="0"/>
      <w:marBottom w:val="0"/>
      <w:divBdr>
        <w:top w:val="none" w:sz="0" w:space="0" w:color="auto"/>
        <w:left w:val="none" w:sz="0" w:space="0" w:color="auto"/>
        <w:bottom w:val="none" w:sz="0" w:space="0" w:color="auto"/>
        <w:right w:val="none" w:sz="0" w:space="0" w:color="auto"/>
      </w:divBdr>
    </w:div>
    <w:div w:id="1058281130">
      <w:bodyDiv w:val="1"/>
      <w:marLeft w:val="0"/>
      <w:marRight w:val="0"/>
      <w:marTop w:val="0"/>
      <w:marBottom w:val="0"/>
      <w:divBdr>
        <w:top w:val="none" w:sz="0" w:space="0" w:color="auto"/>
        <w:left w:val="none" w:sz="0" w:space="0" w:color="auto"/>
        <w:bottom w:val="none" w:sz="0" w:space="0" w:color="auto"/>
        <w:right w:val="none" w:sz="0" w:space="0" w:color="auto"/>
      </w:divBdr>
    </w:div>
    <w:div w:id="1059280789">
      <w:bodyDiv w:val="1"/>
      <w:marLeft w:val="0"/>
      <w:marRight w:val="0"/>
      <w:marTop w:val="0"/>
      <w:marBottom w:val="0"/>
      <w:divBdr>
        <w:top w:val="none" w:sz="0" w:space="0" w:color="auto"/>
        <w:left w:val="none" w:sz="0" w:space="0" w:color="auto"/>
        <w:bottom w:val="none" w:sz="0" w:space="0" w:color="auto"/>
        <w:right w:val="none" w:sz="0" w:space="0" w:color="auto"/>
      </w:divBdr>
    </w:div>
    <w:div w:id="1076588041">
      <w:bodyDiv w:val="1"/>
      <w:marLeft w:val="0"/>
      <w:marRight w:val="0"/>
      <w:marTop w:val="0"/>
      <w:marBottom w:val="0"/>
      <w:divBdr>
        <w:top w:val="none" w:sz="0" w:space="0" w:color="auto"/>
        <w:left w:val="none" w:sz="0" w:space="0" w:color="auto"/>
        <w:bottom w:val="none" w:sz="0" w:space="0" w:color="auto"/>
        <w:right w:val="none" w:sz="0" w:space="0" w:color="auto"/>
      </w:divBdr>
    </w:div>
    <w:div w:id="1124693090">
      <w:bodyDiv w:val="1"/>
      <w:marLeft w:val="0"/>
      <w:marRight w:val="0"/>
      <w:marTop w:val="0"/>
      <w:marBottom w:val="0"/>
      <w:divBdr>
        <w:top w:val="none" w:sz="0" w:space="0" w:color="auto"/>
        <w:left w:val="none" w:sz="0" w:space="0" w:color="auto"/>
        <w:bottom w:val="none" w:sz="0" w:space="0" w:color="auto"/>
        <w:right w:val="none" w:sz="0" w:space="0" w:color="auto"/>
      </w:divBdr>
      <w:divsChild>
        <w:div w:id="809055027">
          <w:marLeft w:val="0"/>
          <w:marRight w:val="0"/>
          <w:marTop w:val="0"/>
          <w:marBottom w:val="0"/>
          <w:divBdr>
            <w:top w:val="none" w:sz="0" w:space="0" w:color="auto"/>
            <w:left w:val="none" w:sz="0" w:space="0" w:color="auto"/>
            <w:bottom w:val="none" w:sz="0" w:space="0" w:color="auto"/>
            <w:right w:val="none" w:sz="0" w:space="0" w:color="auto"/>
          </w:divBdr>
          <w:divsChild>
            <w:div w:id="391076518">
              <w:marLeft w:val="0"/>
              <w:marRight w:val="0"/>
              <w:marTop w:val="0"/>
              <w:marBottom w:val="0"/>
              <w:divBdr>
                <w:top w:val="none" w:sz="0" w:space="0" w:color="auto"/>
                <w:left w:val="none" w:sz="0" w:space="0" w:color="auto"/>
                <w:bottom w:val="none" w:sz="0" w:space="0" w:color="auto"/>
                <w:right w:val="none" w:sz="0" w:space="0" w:color="auto"/>
              </w:divBdr>
              <w:divsChild>
                <w:div w:id="44277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151162">
      <w:bodyDiv w:val="1"/>
      <w:marLeft w:val="0"/>
      <w:marRight w:val="0"/>
      <w:marTop w:val="0"/>
      <w:marBottom w:val="0"/>
      <w:divBdr>
        <w:top w:val="none" w:sz="0" w:space="0" w:color="auto"/>
        <w:left w:val="none" w:sz="0" w:space="0" w:color="auto"/>
        <w:bottom w:val="none" w:sz="0" w:space="0" w:color="auto"/>
        <w:right w:val="none" w:sz="0" w:space="0" w:color="auto"/>
      </w:divBdr>
    </w:div>
    <w:div w:id="1206480841">
      <w:bodyDiv w:val="1"/>
      <w:marLeft w:val="0"/>
      <w:marRight w:val="0"/>
      <w:marTop w:val="0"/>
      <w:marBottom w:val="0"/>
      <w:divBdr>
        <w:top w:val="none" w:sz="0" w:space="0" w:color="auto"/>
        <w:left w:val="none" w:sz="0" w:space="0" w:color="auto"/>
        <w:bottom w:val="none" w:sz="0" w:space="0" w:color="auto"/>
        <w:right w:val="none" w:sz="0" w:space="0" w:color="auto"/>
      </w:divBdr>
    </w:div>
    <w:div w:id="1210603944">
      <w:bodyDiv w:val="1"/>
      <w:marLeft w:val="0"/>
      <w:marRight w:val="0"/>
      <w:marTop w:val="0"/>
      <w:marBottom w:val="0"/>
      <w:divBdr>
        <w:top w:val="none" w:sz="0" w:space="0" w:color="auto"/>
        <w:left w:val="none" w:sz="0" w:space="0" w:color="auto"/>
        <w:bottom w:val="none" w:sz="0" w:space="0" w:color="auto"/>
        <w:right w:val="none" w:sz="0" w:space="0" w:color="auto"/>
      </w:divBdr>
    </w:div>
    <w:div w:id="1246722460">
      <w:bodyDiv w:val="1"/>
      <w:marLeft w:val="0"/>
      <w:marRight w:val="0"/>
      <w:marTop w:val="0"/>
      <w:marBottom w:val="0"/>
      <w:divBdr>
        <w:top w:val="none" w:sz="0" w:space="0" w:color="auto"/>
        <w:left w:val="none" w:sz="0" w:space="0" w:color="auto"/>
        <w:bottom w:val="none" w:sz="0" w:space="0" w:color="auto"/>
        <w:right w:val="none" w:sz="0" w:space="0" w:color="auto"/>
      </w:divBdr>
      <w:divsChild>
        <w:div w:id="1392383663">
          <w:marLeft w:val="0"/>
          <w:marRight w:val="0"/>
          <w:marTop w:val="0"/>
          <w:marBottom w:val="0"/>
          <w:divBdr>
            <w:top w:val="none" w:sz="0" w:space="0" w:color="auto"/>
            <w:left w:val="none" w:sz="0" w:space="0" w:color="auto"/>
            <w:bottom w:val="none" w:sz="0" w:space="0" w:color="auto"/>
            <w:right w:val="none" w:sz="0" w:space="0" w:color="auto"/>
          </w:divBdr>
          <w:divsChild>
            <w:div w:id="1699089744">
              <w:marLeft w:val="0"/>
              <w:marRight w:val="0"/>
              <w:marTop w:val="0"/>
              <w:marBottom w:val="0"/>
              <w:divBdr>
                <w:top w:val="none" w:sz="0" w:space="0" w:color="auto"/>
                <w:left w:val="none" w:sz="0" w:space="0" w:color="auto"/>
                <w:bottom w:val="none" w:sz="0" w:space="0" w:color="auto"/>
                <w:right w:val="none" w:sz="0" w:space="0" w:color="auto"/>
              </w:divBdr>
              <w:divsChild>
                <w:div w:id="186917222">
                  <w:marLeft w:val="0"/>
                  <w:marRight w:val="0"/>
                  <w:marTop w:val="0"/>
                  <w:marBottom w:val="0"/>
                  <w:divBdr>
                    <w:top w:val="none" w:sz="0" w:space="0" w:color="auto"/>
                    <w:left w:val="none" w:sz="0" w:space="0" w:color="auto"/>
                    <w:bottom w:val="none" w:sz="0" w:space="0" w:color="auto"/>
                    <w:right w:val="none" w:sz="0" w:space="0" w:color="auto"/>
                  </w:divBdr>
                  <w:divsChild>
                    <w:div w:id="20861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743292">
      <w:bodyDiv w:val="1"/>
      <w:marLeft w:val="0"/>
      <w:marRight w:val="0"/>
      <w:marTop w:val="0"/>
      <w:marBottom w:val="0"/>
      <w:divBdr>
        <w:top w:val="none" w:sz="0" w:space="0" w:color="auto"/>
        <w:left w:val="none" w:sz="0" w:space="0" w:color="auto"/>
        <w:bottom w:val="none" w:sz="0" w:space="0" w:color="auto"/>
        <w:right w:val="none" w:sz="0" w:space="0" w:color="auto"/>
      </w:divBdr>
    </w:div>
    <w:div w:id="1256747066">
      <w:bodyDiv w:val="1"/>
      <w:marLeft w:val="0"/>
      <w:marRight w:val="0"/>
      <w:marTop w:val="0"/>
      <w:marBottom w:val="0"/>
      <w:divBdr>
        <w:top w:val="none" w:sz="0" w:space="0" w:color="auto"/>
        <w:left w:val="none" w:sz="0" w:space="0" w:color="auto"/>
        <w:bottom w:val="none" w:sz="0" w:space="0" w:color="auto"/>
        <w:right w:val="none" w:sz="0" w:space="0" w:color="auto"/>
      </w:divBdr>
    </w:div>
    <w:div w:id="1320770409">
      <w:bodyDiv w:val="1"/>
      <w:marLeft w:val="0"/>
      <w:marRight w:val="0"/>
      <w:marTop w:val="0"/>
      <w:marBottom w:val="0"/>
      <w:divBdr>
        <w:top w:val="none" w:sz="0" w:space="0" w:color="auto"/>
        <w:left w:val="none" w:sz="0" w:space="0" w:color="auto"/>
        <w:bottom w:val="none" w:sz="0" w:space="0" w:color="auto"/>
        <w:right w:val="none" w:sz="0" w:space="0" w:color="auto"/>
      </w:divBdr>
    </w:div>
    <w:div w:id="1323197497">
      <w:bodyDiv w:val="1"/>
      <w:marLeft w:val="0"/>
      <w:marRight w:val="0"/>
      <w:marTop w:val="0"/>
      <w:marBottom w:val="0"/>
      <w:divBdr>
        <w:top w:val="none" w:sz="0" w:space="0" w:color="auto"/>
        <w:left w:val="none" w:sz="0" w:space="0" w:color="auto"/>
        <w:bottom w:val="none" w:sz="0" w:space="0" w:color="auto"/>
        <w:right w:val="none" w:sz="0" w:space="0" w:color="auto"/>
      </w:divBdr>
    </w:div>
    <w:div w:id="1337421947">
      <w:bodyDiv w:val="1"/>
      <w:marLeft w:val="0"/>
      <w:marRight w:val="0"/>
      <w:marTop w:val="0"/>
      <w:marBottom w:val="0"/>
      <w:divBdr>
        <w:top w:val="none" w:sz="0" w:space="0" w:color="auto"/>
        <w:left w:val="none" w:sz="0" w:space="0" w:color="auto"/>
        <w:bottom w:val="none" w:sz="0" w:space="0" w:color="auto"/>
        <w:right w:val="none" w:sz="0" w:space="0" w:color="auto"/>
      </w:divBdr>
      <w:divsChild>
        <w:div w:id="812210919">
          <w:marLeft w:val="0"/>
          <w:marRight w:val="0"/>
          <w:marTop w:val="0"/>
          <w:marBottom w:val="0"/>
          <w:divBdr>
            <w:top w:val="none" w:sz="0" w:space="0" w:color="auto"/>
            <w:left w:val="none" w:sz="0" w:space="0" w:color="auto"/>
            <w:bottom w:val="none" w:sz="0" w:space="0" w:color="auto"/>
            <w:right w:val="none" w:sz="0" w:space="0" w:color="auto"/>
          </w:divBdr>
        </w:div>
        <w:div w:id="2064675506">
          <w:marLeft w:val="0"/>
          <w:marRight w:val="0"/>
          <w:marTop w:val="0"/>
          <w:marBottom w:val="0"/>
          <w:divBdr>
            <w:top w:val="none" w:sz="0" w:space="0" w:color="auto"/>
            <w:left w:val="none" w:sz="0" w:space="0" w:color="auto"/>
            <w:bottom w:val="none" w:sz="0" w:space="0" w:color="auto"/>
            <w:right w:val="none" w:sz="0" w:space="0" w:color="auto"/>
          </w:divBdr>
        </w:div>
        <w:div w:id="562640285">
          <w:marLeft w:val="0"/>
          <w:marRight w:val="0"/>
          <w:marTop w:val="100"/>
          <w:marBottom w:val="0"/>
          <w:divBdr>
            <w:top w:val="none" w:sz="0" w:space="0" w:color="auto"/>
            <w:left w:val="none" w:sz="0" w:space="0" w:color="auto"/>
            <w:bottom w:val="none" w:sz="0" w:space="0" w:color="auto"/>
            <w:right w:val="none" w:sz="0" w:space="0" w:color="auto"/>
          </w:divBdr>
          <w:divsChild>
            <w:div w:id="613515157">
              <w:marLeft w:val="0"/>
              <w:marRight w:val="0"/>
              <w:marTop w:val="0"/>
              <w:marBottom w:val="0"/>
              <w:divBdr>
                <w:top w:val="none" w:sz="0" w:space="0" w:color="auto"/>
                <w:left w:val="none" w:sz="0" w:space="0" w:color="auto"/>
                <w:bottom w:val="none" w:sz="0" w:space="0" w:color="auto"/>
                <w:right w:val="none" w:sz="0" w:space="0" w:color="auto"/>
              </w:divBdr>
              <w:divsChild>
                <w:div w:id="1363093834">
                  <w:marLeft w:val="0"/>
                  <w:marRight w:val="0"/>
                  <w:marTop w:val="60"/>
                  <w:marBottom w:val="0"/>
                  <w:divBdr>
                    <w:top w:val="none" w:sz="0" w:space="0" w:color="auto"/>
                    <w:left w:val="none" w:sz="0" w:space="0" w:color="auto"/>
                    <w:bottom w:val="none" w:sz="0" w:space="0" w:color="auto"/>
                    <w:right w:val="none" w:sz="0" w:space="0" w:color="auto"/>
                  </w:divBdr>
                  <w:divsChild>
                    <w:div w:id="342631522">
                      <w:marLeft w:val="0"/>
                      <w:marRight w:val="0"/>
                      <w:marTop w:val="0"/>
                      <w:marBottom w:val="0"/>
                      <w:divBdr>
                        <w:top w:val="none" w:sz="0" w:space="0" w:color="auto"/>
                        <w:left w:val="none" w:sz="0" w:space="0" w:color="auto"/>
                        <w:bottom w:val="none" w:sz="0" w:space="0" w:color="auto"/>
                        <w:right w:val="none" w:sz="0" w:space="0" w:color="auto"/>
                      </w:divBdr>
                      <w:divsChild>
                        <w:div w:id="123970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574413">
                  <w:marLeft w:val="0"/>
                  <w:marRight w:val="0"/>
                  <w:marTop w:val="0"/>
                  <w:marBottom w:val="0"/>
                  <w:divBdr>
                    <w:top w:val="none" w:sz="0" w:space="0" w:color="auto"/>
                    <w:left w:val="none" w:sz="0" w:space="0" w:color="auto"/>
                    <w:bottom w:val="none" w:sz="0" w:space="0" w:color="auto"/>
                    <w:right w:val="none" w:sz="0" w:space="0" w:color="auto"/>
                  </w:divBdr>
                  <w:divsChild>
                    <w:div w:id="984436900">
                      <w:marLeft w:val="0"/>
                      <w:marRight w:val="0"/>
                      <w:marTop w:val="0"/>
                      <w:marBottom w:val="0"/>
                      <w:divBdr>
                        <w:top w:val="none" w:sz="0" w:space="0" w:color="auto"/>
                        <w:left w:val="none" w:sz="0" w:space="0" w:color="auto"/>
                        <w:bottom w:val="none" w:sz="0" w:space="0" w:color="auto"/>
                        <w:right w:val="none" w:sz="0" w:space="0" w:color="auto"/>
                      </w:divBdr>
                      <w:divsChild>
                        <w:div w:id="1412846099">
                          <w:marLeft w:val="0"/>
                          <w:marRight w:val="0"/>
                          <w:marTop w:val="0"/>
                          <w:marBottom w:val="0"/>
                          <w:divBdr>
                            <w:top w:val="none" w:sz="0" w:space="0" w:color="auto"/>
                            <w:left w:val="none" w:sz="0" w:space="0" w:color="auto"/>
                            <w:bottom w:val="none" w:sz="0" w:space="0" w:color="auto"/>
                            <w:right w:val="none" w:sz="0" w:space="0" w:color="auto"/>
                          </w:divBdr>
                          <w:divsChild>
                            <w:div w:id="17781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1737669">
      <w:bodyDiv w:val="1"/>
      <w:marLeft w:val="0"/>
      <w:marRight w:val="0"/>
      <w:marTop w:val="0"/>
      <w:marBottom w:val="0"/>
      <w:divBdr>
        <w:top w:val="none" w:sz="0" w:space="0" w:color="auto"/>
        <w:left w:val="none" w:sz="0" w:space="0" w:color="auto"/>
        <w:bottom w:val="none" w:sz="0" w:space="0" w:color="auto"/>
        <w:right w:val="none" w:sz="0" w:space="0" w:color="auto"/>
      </w:divBdr>
    </w:div>
    <w:div w:id="1352604711">
      <w:bodyDiv w:val="1"/>
      <w:marLeft w:val="0"/>
      <w:marRight w:val="0"/>
      <w:marTop w:val="0"/>
      <w:marBottom w:val="0"/>
      <w:divBdr>
        <w:top w:val="none" w:sz="0" w:space="0" w:color="auto"/>
        <w:left w:val="none" w:sz="0" w:space="0" w:color="auto"/>
        <w:bottom w:val="none" w:sz="0" w:space="0" w:color="auto"/>
        <w:right w:val="none" w:sz="0" w:space="0" w:color="auto"/>
      </w:divBdr>
    </w:div>
    <w:div w:id="1388604451">
      <w:bodyDiv w:val="1"/>
      <w:marLeft w:val="0"/>
      <w:marRight w:val="0"/>
      <w:marTop w:val="0"/>
      <w:marBottom w:val="0"/>
      <w:divBdr>
        <w:top w:val="none" w:sz="0" w:space="0" w:color="auto"/>
        <w:left w:val="none" w:sz="0" w:space="0" w:color="auto"/>
        <w:bottom w:val="none" w:sz="0" w:space="0" w:color="auto"/>
        <w:right w:val="none" w:sz="0" w:space="0" w:color="auto"/>
      </w:divBdr>
    </w:div>
    <w:div w:id="1395271792">
      <w:bodyDiv w:val="1"/>
      <w:marLeft w:val="0"/>
      <w:marRight w:val="0"/>
      <w:marTop w:val="0"/>
      <w:marBottom w:val="0"/>
      <w:divBdr>
        <w:top w:val="none" w:sz="0" w:space="0" w:color="auto"/>
        <w:left w:val="none" w:sz="0" w:space="0" w:color="auto"/>
        <w:bottom w:val="none" w:sz="0" w:space="0" w:color="auto"/>
        <w:right w:val="none" w:sz="0" w:space="0" w:color="auto"/>
      </w:divBdr>
      <w:divsChild>
        <w:div w:id="1654488986">
          <w:marLeft w:val="0"/>
          <w:marRight w:val="0"/>
          <w:marTop w:val="0"/>
          <w:marBottom w:val="0"/>
          <w:divBdr>
            <w:top w:val="none" w:sz="0" w:space="0" w:color="auto"/>
            <w:left w:val="none" w:sz="0" w:space="0" w:color="auto"/>
            <w:bottom w:val="none" w:sz="0" w:space="0" w:color="auto"/>
            <w:right w:val="none" w:sz="0" w:space="0" w:color="auto"/>
          </w:divBdr>
          <w:divsChild>
            <w:div w:id="108915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307886">
      <w:bodyDiv w:val="1"/>
      <w:marLeft w:val="0"/>
      <w:marRight w:val="0"/>
      <w:marTop w:val="0"/>
      <w:marBottom w:val="0"/>
      <w:divBdr>
        <w:top w:val="none" w:sz="0" w:space="0" w:color="auto"/>
        <w:left w:val="none" w:sz="0" w:space="0" w:color="auto"/>
        <w:bottom w:val="none" w:sz="0" w:space="0" w:color="auto"/>
        <w:right w:val="none" w:sz="0" w:space="0" w:color="auto"/>
      </w:divBdr>
    </w:div>
    <w:div w:id="1452826210">
      <w:bodyDiv w:val="1"/>
      <w:marLeft w:val="0"/>
      <w:marRight w:val="0"/>
      <w:marTop w:val="0"/>
      <w:marBottom w:val="0"/>
      <w:divBdr>
        <w:top w:val="none" w:sz="0" w:space="0" w:color="auto"/>
        <w:left w:val="none" w:sz="0" w:space="0" w:color="auto"/>
        <w:bottom w:val="none" w:sz="0" w:space="0" w:color="auto"/>
        <w:right w:val="none" w:sz="0" w:space="0" w:color="auto"/>
      </w:divBdr>
    </w:div>
    <w:div w:id="1453134303">
      <w:bodyDiv w:val="1"/>
      <w:marLeft w:val="0"/>
      <w:marRight w:val="0"/>
      <w:marTop w:val="0"/>
      <w:marBottom w:val="0"/>
      <w:divBdr>
        <w:top w:val="none" w:sz="0" w:space="0" w:color="auto"/>
        <w:left w:val="none" w:sz="0" w:space="0" w:color="auto"/>
        <w:bottom w:val="none" w:sz="0" w:space="0" w:color="auto"/>
        <w:right w:val="none" w:sz="0" w:space="0" w:color="auto"/>
      </w:divBdr>
    </w:div>
    <w:div w:id="1467816563">
      <w:bodyDiv w:val="1"/>
      <w:marLeft w:val="0"/>
      <w:marRight w:val="0"/>
      <w:marTop w:val="0"/>
      <w:marBottom w:val="0"/>
      <w:divBdr>
        <w:top w:val="none" w:sz="0" w:space="0" w:color="auto"/>
        <w:left w:val="none" w:sz="0" w:space="0" w:color="auto"/>
        <w:bottom w:val="none" w:sz="0" w:space="0" w:color="auto"/>
        <w:right w:val="none" w:sz="0" w:space="0" w:color="auto"/>
      </w:divBdr>
    </w:div>
    <w:div w:id="1517307638">
      <w:bodyDiv w:val="1"/>
      <w:marLeft w:val="0"/>
      <w:marRight w:val="0"/>
      <w:marTop w:val="0"/>
      <w:marBottom w:val="0"/>
      <w:divBdr>
        <w:top w:val="none" w:sz="0" w:space="0" w:color="auto"/>
        <w:left w:val="none" w:sz="0" w:space="0" w:color="auto"/>
        <w:bottom w:val="none" w:sz="0" w:space="0" w:color="auto"/>
        <w:right w:val="none" w:sz="0" w:space="0" w:color="auto"/>
      </w:divBdr>
    </w:div>
    <w:div w:id="1540896864">
      <w:bodyDiv w:val="1"/>
      <w:marLeft w:val="0"/>
      <w:marRight w:val="0"/>
      <w:marTop w:val="0"/>
      <w:marBottom w:val="0"/>
      <w:divBdr>
        <w:top w:val="none" w:sz="0" w:space="0" w:color="auto"/>
        <w:left w:val="none" w:sz="0" w:space="0" w:color="auto"/>
        <w:bottom w:val="none" w:sz="0" w:space="0" w:color="auto"/>
        <w:right w:val="none" w:sz="0" w:space="0" w:color="auto"/>
      </w:divBdr>
    </w:div>
    <w:div w:id="1547402532">
      <w:bodyDiv w:val="1"/>
      <w:marLeft w:val="0"/>
      <w:marRight w:val="0"/>
      <w:marTop w:val="0"/>
      <w:marBottom w:val="0"/>
      <w:divBdr>
        <w:top w:val="none" w:sz="0" w:space="0" w:color="auto"/>
        <w:left w:val="none" w:sz="0" w:space="0" w:color="auto"/>
        <w:bottom w:val="none" w:sz="0" w:space="0" w:color="auto"/>
        <w:right w:val="none" w:sz="0" w:space="0" w:color="auto"/>
      </w:divBdr>
    </w:div>
    <w:div w:id="1551651688">
      <w:bodyDiv w:val="1"/>
      <w:marLeft w:val="0"/>
      <w:marRight w:val="0"/>
      <w:marTop w:val="0"/>
      <w:marBottom w:val="0"/>
      <w:divBdr>
        <w:top w:val="none" w:sz="0" w:space="0" w:color="auto"/>
        <w:left w:val="none" w:sz="0" w:space="0" w:color="auto"/>
        <w:bottom w:val="none" w:sz="0" w:space="0" w:color="auto"/>
        <w:right w:val="none" w:sz="0" w:space="0" w:color="auto"/>
      </w:divBdr>
    </w:div>
    <w:div w:id="1578900288">
      <w:bodyDiv w:val="1"/>
      <w:marLeft w:val="0"/>
      <w:marRight w:val="0"/>
      <w:marTop w:val="0"/>
      <w:marBottom w:val="0"/>
      <w:divBdr>
        <w:top w:val="none" w:sz="0" w:space="0" w:color="auto"/>
        <w:left w:val="none" w:sz="0" w:space="0" w:color="auto"/>
        <w:bottom w:val="none" w:sz="0" w:space="0" w:color="auto"/>
        <w:right w:val="none" w:sz="0" w:space="0" w:color="auto"/>
      </w:divBdr>
    </w:div>
    <w:div w:id="1582132786">
      <w:bodyDiv w:val="1"/>
      <w:marLeft w:val="0"/>
      <w:marRight w:val="0"/>
      <w:marTop w:val="0"/>
      <w:marBottom w:val="0"/>
      <w:divBdr>
        <w:top w:val="none" w:sz="0" w:space="0" w:color="auto"/>
        <w:left w:val="none" w:sz="0" w:space="0" w:color="auto"/>
        <w:bottom w:val="none" w:sz="0" w:space="0" w:color="auto"/>
        <w:right w:val="none" w:sz="0" w:space="0" w:color="auto"/>
      </w:divBdr>
    </w:div>
    <w:div w:id="1582983128">
      <w:bodyDiv w:val="1"/>
      <w:marLeft w:val="0"/>
      <w:marRight w:val="0"/>
      <w:marTop w:val="0"/>
      <w:marBottom w:val="0"/>
      <w:divBdr>
        <w:top w:val="none" w:sz="0" w:space="0" w:color="auto"/>
        <w:left w:val="none" w:sz="0" w:space="0" w:color="auto"/>
        <w:bottom w:val="none" w:sz="0" w:space="0" w:color="auto"/>
        <w:right w:val="none" w:sz="0" w:space="0" w:color="auto"/>
      </w:divBdr>
    </w:div>
    <w:div w:id="1612317954">
      <w:bodyDiv w:val="1"/>
      <w:marLeft w:val="0"/>
      <w:marRight w:val="0"/>
      <w:marTop w:val="0"/>
      <w:marBottom w:val="0"/>
      <w:divBdr>
        <w:top w:val="none" w:sz="0" w:space="0" w:color="auto"/>
        <w:left w:val="none" w:sz="0" w:space="0" w:color="auto"/>
        <w:bottom w:val="none" w:sz="0" w:space="0" w:color="auto"/>
        <w:right w:val="none" w:sz="0" w:space="0" w:color="auto"/>
      </w:divBdr>
    </w:div>
    <w:div w:id="1632318483">
      <w:bodyDiv w:val="1"/>
      <w:marLeft w:val="0"/>
      <w:marRight w:val="0"/>
      <w:marTop w:val="0"/>
      <w:marBottom w:val="0"/>
      <w:divBdr>
        <w:top w:val="none" w:sz="0" w:space="0" w:color="auto"/>
        <w:left w:val="none" w:sz="0" w:space="0" w:color="auto"/>
        <w:bottom w:val="none" w:sz="0" w:space="0" w:color="auto"/>
        <w:right w:val="none" w:sz="0" w:space="0" w:color="auto"/>
      </w:divBdr>
    </w:div>
    <w:div w:id="1632663315">
      <w:bodyDiv w:val="1"/>
      <w:marLeft w:val="0"/>
      <w:marRight w:val="0"/>
      <w:marTop w:val="0"/>
      <w:marBottom w:val="0"/>
      <w:divBdr>
        <w:top w:val="none" w:sz="0" w:space="0" w:color="auto"/>
        <w:left w:val="none" w:sz="0" w:space="0" w:color="auto"/>
        <w:bottom w:val="none" w:sz="0" w:space="0" w:color="auto"/>
        <w:right w:val="none" w:sz="0" w:space="0" w:color="auto"/>
      </w:divBdr>
    </w:div>
    <w:div w:id="1668485601">
      <w:bodyDiv w:val="1"/>
      <w:marLeft w:val="0"/>
      <w:marRight w:val="0"/>
      <w:marTop w:val="0"/>
      <w:marBottom w:val="0"/>
      <w:divBdr>
        <w:top w:val="none" w:sz="0" w:space="0" w:color="auto"/>
        <w:left w:val="none" w:sz="0" w:space="0" w:color="auto"/>
        <w:bottom w:val="none" w:sz="0" w:space="0" w:color="auto"/>
        <w:right w:val="none" w:sz="0" w:space="0" w:color="auto"/>
      </w:divBdr>
      <w:divsChild>
        <w:div w:id="305821533">
          <w:marLeft w:val="0"/>
          <w:marRight w:val="0"/>
          <w:marTop w:val="0"/>
          <w:marBottom w:val="0"/>
          <w:divBdr>
            <w:top w:val="none" w:sz="0" w:space="0" w:color="auto"/>
            <w:left w:val="none" w:sz="0" w:space="0" w:color="auto"/>
            <w:bottom w:val="none" w:sz="0" w:space="0" w:color="auto"/>
            <w:right w:val="none" w:sz="0" w:space="0" w:color="auto"/>
          </w:divBdr>
        </w:div>
        <w:div w:id="1384983180">
          <w:marLeft w:val="0"/>
          <w:marRight w:val="0"/>
          <w:marTop w:val="0"/>
          <w:marBottom w:val="0"/>
          <w:divBdr>
            <w:top w:val="none" w:sz="0" w:space="0" w:color="auto"/>
            <w:left w:val="none" w:sz="0" w:space="0" w:color="auto"/>
            <w:bottom w:val="none" w:sz="0" w:space="0" w:color="auto"/>
            <w:right w:val="none" w:sz="0" w:space="0" w:color="auto"/>
          </w:divBdr>
        </w:div>
        <w:div w:id="1787314927">
          <w:marLeft w:val="0"/>
          <w:marRight w:val="0"/>
          <w:marTop w:val="100"/>
          <w:marBottom w:val="0"/>
          <w:divBdr>
            <w:top w:val="none" w:sz="0" w:space="0" w:color="auto"/>
            <w:left w:val="none" w:sz="0" w:space="0" w:color="auto"/>
            <w:bottom w:val="none" w:sz="0" w:space="0" w:color="auto"/>
            <w:right w:val="none" w:sz="0" w:space="0" w:color="auto"/>
          </w:divBdr>
          <w:divsChild>
            <w:div w:id="1135640484">
              <w:marLeft w:val="0"/>
              <w:marRight w:val="0"/>
              <w:marTop w:val="0"/>
              <w:marBottom w:val="0"/>
              <w:divBdr>
                <w:top w:val="none" w:sz="0" w:space="0" w:color="auto"/>
                <w:left w:val="none" w:sz="0" w:space="0" w:color="auto"/>
                <w:bottom w:val="none" w:sz="0" w:space="0" w:color="auto"/>
                <w:right w:val="none" w:sz="0" w:space="0" w:color="auto"/>
              </w:divBdr>
              <w:divsChild>
                <w:div w:id="924415567">
                  <w:marLeft w:val="0"/>
                  <w:marRight w:val="0"/>
                  <w:marTop w:val="60"/>
                  <w:marBottom w:val="0"/>
                  <w:divBdr>
                    <w:top w:val="none" w:sz="0" w:space="0" w:color="auto"/>
                    <w:left w:val="none" w:sz="0" w:space="0" w:color="auto"/>
                    <w:bottom w:val="none" w:sz="0" w:space="0" w:color="auto"/>
                    <w:right w:val="none" w:sz="0" w:space="0" w:color="auto"/>
                  </w:divBdr>
                  <w:divsChild>
                    <w:div w:id="1258248863">
                      <w:marLeft w:val="0"/>
                      <w:marRight w:val="0"/>
                      <w:marTop w:val="0"/>
                      <w:marBottom w:val="0"/>
                      <w:divBdr>
                        <w:top w:val="none" w:sz="0" w:space="0" w:color="auto"/>
                        <w:left w:val="none" w:sz="0" w:space="0" w:color="auto"/>
                        <w:bottom w:val="none" w:sz="0" w:space="0" w:color="auto"/>
                        <w:right w:val="none" w:sz="0" w:space="0" w:color="auto"/>
                      </w:divBdr>
                      <w:divsChild>
                        <w:div w:id="154976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206247">
                  <w:marLeft w:val="0"/>
                  <w:marRight w:val="0"/>
                  <w:marTop w:val="0"/>
                  <w:marBottom w:val="0"/>
                  <w:divBdr>
                    <w:top w:val="none" w:sz="0" w:space="0" w:color="auto"/>
                    <w:left w:val="none" w:sz="0" w:space="0" w:color="auto"/>
                    <w:bottom w:val="none" w:sz="0" w:space="0" w:color="auto"/>
                    <w:right w:val="none" w:sz="0" w:space="0" w:color="auto"/>
                  </w:divBdr>
                  <w:divsChild>
                    <w:div w:id="2039962539">
                      <w:marLeft w:val="0"/>
                      <w:marRight w:val="0"/>
                      <w:marTop w:val="0"/>
                      <w:marBottom w:val="0"/>
                      <w:divBdr>
                        <w:top w:val="none" w:sz="0" w:space="0" w:color="auto"/>
                        <w:left w:val="none" w:sz="0" w:space="0" w:color="auto"/>
                        <w:bottom w:val="none" w:sz="0" w:space="0" w:color="auto"/>
                        <w:right w:val="none" w:sz="0" w:space="0" w:color="auto"/>
                      </w:divBdr>
                      <w:divsChild>
                        <w:div w:id="1108231713">
                          <w:marLeft w:val="0"/>
                          <w:marRight w:val="0"/>
                          <w:marTop w:val="0"/>
                          <w:marBottom w:val="0"/>
                          <w:divBdr>
                            <w:top w:val="none" w:sz="0" w:space="0" w:color="auto"/>
                            <w:left w:val="none" w:sz="0" w:space="0" w:color="auto"/>
                            <w:bottom w:val="none" w:sz="0" w:space="0" w:color="auto"/>
                            <w:right w:val="none" w:sz="0" w:space="0" w:color="auto"/>
                          </w:divBdr>
                          <w:divsChild>
                            <w:div w:id="14614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738153">
      <w:bodyDiv w:val="1"/>
      <w:marLeft w:val="0"/>
      <w:marRight w:val="0"/>
      <w:marTop w:val="0"/>
      <w:marBottom w:val="0"/>
      <w:divBdr>
        <w:top w:val="none" w:sz="0" w:space="0" w:color="auto"/>
        <w:left w:val="none" w:sz="0" w:space="0" w:color="auto"/>
        <w:bottom w:val="none" w:sz="0" w:space="0" w:color="auto"/>
        <w:right w:val="none" w:sz="0" w:space="0" w:color="auto"/>
      </w:divBdr>
    </w:div>
    <w:div w:id="1699310245">
      <w:bodyDiv w:val="1"/>
      <w:marLeft w:val="0"/>
      <w:marRight w:val="0"/>
      <w:marTop w:val="0"/>
      <w:marBottom w:val="0"/>
      <w:divBdr>
        <w:top w:val="none" w:sz="0" w:space="0" w:color="auto"/>
        <w:left w:val="none" w:sz="0" w:space="0" w:color="auto"/>
        <w:bottom w:val="none" w:sz="0" w:space="0" w:color="auto"/>
        <w:right w:val="none" w:sz="0" w:space="0" w:color="auto"/>
      </w:divBdr>
    </w:div>
    <w:div w:id="1706637578">
      <w:bodyDiv w:val="1"/>
      <w:marLeft w:val="0"/>
      <w:marRight w:val="0"/>
      <w:marTop w:val="0"/>
      <w:marBottom w:val="0"/>
      <w:divBdr>
        <w:top w:val="none" w:sz="0" w:space="0" w:color="auto"/>
        <w:left w:val="none" w:sz="0" w:space="0" w:color="auto"/>
        <w:bottom w:val="none" w:sz="0" w:space="0" w:color="auto"/>
        <w:right w:val="none" w:sz="0" w:space="0" w:color="auto"/>
      </w:divBdr>
      <w:divsChild>
        <w:div w:id="1943604464">
          <w:marLeft w:val="0"/>
          <w:marRight w:val="0"/>
          <w:marTop w:val="0"/>
          <w:marBottom w:val="0"/>
          <w:divBdr>
            <w:top w:val="none" w:sz="0" w:space="0" w:color="auto"/>
            <w:left w:val="none" w:sz="0" w:space="0" w:color="auto"/>
            <w:bottom w:val="none" w:sz="0" w:space="0" w:color="auto"/>
            <w:right w:val="none" w:sz="0" w:space="0" w:color="auto"/>
          </w:divBdr>
          <w:divsChild>
            <w:div w:id="1838574589">
              <w:marLeft w:val="0"/>
              <w:marRight w:val="0"/>
              <w:marTop w:val="0"/>
              <w:marBottom w:val="0"/>
              <w:divBdr>
                <w:top w:val="none" w:sz="0" w:space="0" w:color="auto"/>
                <w:left w:val="none" w:sz="0" w:space="0" w:color="auto"/>
                <w:bottom w:val="none" w:sz="0" w:space="0" w:color="auto"/>
                <w:right w:val="none" w:sz="0" w:space="0" w:color="auto"/>
              </w:divBdr>
              <w:divsChild>
                <w:div w:id="713506877">
                  <w:marLeft w:val="0"/>
                  <w:marRight w:val="0"/>
                  <w:marTop w:val="0"/>
                  <w:marBottom w:val="0"/>
                  <w:divBdr>
                    <w:top w:val="none" w:sz="0" w:space="0" w:color="auto"/>
                    <w:left w:val="none" w:sz="0" w:space="0" w:color="auto"/>
                    <w:bottom w:val="none" w:sz="0" w:space="0" w:color="auto"/>
                    <w:right w:val="none" w:sz="0" w:space="0" w:color="auto"/>
                  </w:divBdr>
                  <w:divsChild>
                    <w:div w:id="59409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967180">
      <w:bodyDiv w:val="1"/>
      <w:marLeft w:val="0"/>
      <w:marRight w:val="0"/>
      <w:marTop w:val="0"/>
      <w:marBottom w:val="0"/>
      <w:divBdr>
        <w:top w:val="none" w:sz="0" w:space="0" w:color="auto"/>
        <w:left w:val="none" w:sz="0" w:space="0" w:color="auto"/>
        <w:bottom w:val="none" w:sz="0" w:space="0" w:color="auto"/>
        <w:right w:val="none" w:sz="0" w:space="0" w:color="auto"/>
      </w:divBdr>
    </w:div>
    <w:div w:id="1779720136">
      <w:bodyDiv w:val="1"/>
      <w:marLeft w:val="0"/>
      <w:marRight w:val="0"/>
      <w:marTop w:val="0"/>
      <w:marBottom w:val="0"/>
      <w:divBdr>
        <w:top w:val="none" w:sz="0" w:space="0" w:color="auto"/>
        <w:left w:val="none" w:sz="0" w:space="0" w:color="auto"/>
        <w:bottom w:val="none" w:sz="0" w:space="0" w:color="auto"/>
        <w:right w:val="none" w:sz="0" w:space="0" w:color="auto"/>
      </w:divBdr>
    </w:div>
    <w:div w:id="1782450469">
      <w:bodyDiv w:val="1"/>
      <w:marLeft w:val="0"/>
      <w:marRight w:val="0"/>
      <w:marTop w:val="0"/>
      <w:marBottom w:val="0"/>
      <w:divBdr>
        <w:top w:val="none" w:sz="0" w:space="0" w:color="auto"/>
        <w:left w:val="none" w:sz="0" w:space="0" w:color="auto"/>
        <w:bottom w:val="none" w:sz="0" w:space="0" w:color="auto"/>
        <w:right w:val="none" w:sz="0" w:space="0" w:color="auto"/>
      </w:divBdr>
    </w:div>
    <w:div w:id="1792281194">
      <w:bodyDiv w:val="1"/>
      <w:marLeft w:val="0"/>
      <w:marRight w:val="0"/>
      <w:marTop w:val="0"/>
      <w:marBottom w:val="0"/>
      <w:divBdr>
        <w:top w:val="none" w:sz="0" w:space="0" w:color="auto"/>
        <w:left w:val="none" w:sz="0" w:space="0" w:color="auto"/>
        <w:bottom w:val="none" w:sz="0" w:space="0" w:color="auto"/>
        <w:right w:val="none" w:sz="0" w:space="0" w:color="auto"/>
      </w:divBdr>
      <w:divsChild>
        <w:div w:id="390543453">
          <w:marLeft w:val="0"/>
          <w:marRight w:val="0"/>
          <w:marTop w:val="0"/>
          <w:marBottom w:val="0"/>
          <w:divBdr>
            <w:top w:val="none" w:sz="0" w:space="0" w:color="auto"/>
            <w:left w:val="none" w:sz="0" w:space="0" w:color="auto"/>
            <w:bottom w:val="none" w:sz="0" w:space="0" w:color="auto"/>
            <w:right w:val="none" w:sz="0" w:space="0" w:color="auto"/>
          </w:divBdr>
          <w:divsChild>
            <w:div w:id="211119999">
              <w:marLeft w:val="0"/>
              <w:marRight w:val="0"/>
              <w:marTop w:val="0"/>
              <w:marBottom w:val="0"/>
              <w:divBdr>
                <w:top w:val="none" w:sz="0" w:space="0" w:color="auto"/>
                <w:left w:val="none" w:sz="0" w:space="0" w:color="auto"/>
                <w:bottom w:val="none" w:sz="0" w:space="0" w:color="auto"/>
                <w:right w:val="none" w:sz="0" w:space="0" w:color="auto"/>
              </w:divBdr>
              <w:divsChild>
                <w:div w:id="5959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175632">
      <w:bodyDiv w:val="1"/>
      <w:marLeft w:val="0"/>
      <w:marRight w:val="0"/>
      <w:marTop w:val="0"/>
      <w:marBottom w:val="0"/>
      <w:divBdr>
        <w:top w:val="none" w:sz="0" w:space="0" w:color="auto"/>
        <w:left w:val="none" w:sz="0" w:space="0" w:color="auto"/>
        <w:bottom w:val="none" w:sz="0" w:space="0" w:color="auto"/>
        <w:right w:val="none" w:sz="0" w:space="0" w:color="auto"/>
      </w:divBdr>
    </w:div>
    <w:div w:id="1826704583">
      <w:bodyDiv w:val="1"/>
      <w:marLeft w:val="0"/>
      <w:marRight w:val="0"/>
      <w:marTop w:val="0"/>
      <w:marBottom w:val="0"/>
      <w:divBdr>
        <w:top w:val="none" w:sz="0" w:space="0" w:color="auto"/>
        <w:left w:val="none" w:sz="0" w:space="0" w:color="auto"/>
        <w:bottom w:val="none" w:sz="0" w:space="0" w:color="auto"/>
        <w:right w:val="none" w:sz="0" w:space="0" w:color="auto"/>
      </w:divBdr>
    </w:div>
    <w:div w:id="1849560095">
      <w:bodyDiv w:val="1"/>
      <w:marLeft w:val="0"/>
      <w:marRight w:val="0"/>
      <w:marTop w:val="0"/>
      <w:marBottom w:val="0"/>
      <w:divBdr>
        <w:top w:val="none" w:sz="0" w:space="0" w:color="auto"/>
        <w:left w:val="none" w:sz="0" w:space="0" w:color="auto"/>
        <w:bottom w:val="none" w:sz="0" w:space="0" w:color="auto"/>
        <w:right w:val="none" w:sz="0" w:space="0" w:color="auto"/>
      </w:divBdr>
      <w:divsChild>
        <w:div w:id="1286497086">
          <w:marLeft w:val="0"/>
          <w:marRight w:val="0"/>
          <w:marTop w:val="0"/>
          <w:marBottom w:val="0"/>
          <w:divBdr>
            <w:top w:val="none" w:sz="0" w:space="0" w:color="auto"/>
            <w:left w:val="none" w:sz="0" w:space="0" w:color="auto"/>
            <w:bottom w:val="none" w:sz="0" w:space="0" w:color="auto"/>
            <w:right w:val="none" w:sz="0" w:space="0" w:color="auto"/>
          </w:divBdr>
          <w:divsChild>
            <w:div w:id="10686173">
              <w:marLeft w:val="0"/>
              <w:marRight w:val="0"/>
              <w:marTop w:val="0"/>
              <w:marBottom w:val="0"/>
              <w:divBdr>
                <w:top w:val="none" w:sz="0" w:space="0" w:color="auto"/>
                <w:left w:val="none" w:sz="0" w:space="0" w:color="auto"/>
                <w:bottom w:val="none" w:sz="0" w:space="0" w:color="auto"/>
                <w:right w:val="none" w:sz="0" w:space="0" w:color="auto"/>
              </w:divBdr>
              <w:divsChild>
                <w:div w:id="46046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406637">
      <w:bodyDiv w:val="1"/>
      <w:marLeft w:val="0"/>
      <w:marRight w:val="0"/>
      <w:marTop w:val="0"/>
      <w:marBottom w:val="0"/>
      <w:divBdr>
        <w:top w:val="none" w:sz="0" w:space="0" w:color="auto"/>
        <w:left w:val="none" w:sz="0" w:space="0" w:color="auto"/>
        <w:bottom w:val="none" w:sz="0" w:space="0" w:color="auto"/>
        <w:right w:val="none" w:sz="0" w:space="0" w:color="auto"/>
      </w:divBdr>
    </w:div>
    <w:div w:id="1866481459">
      <w:bodyDiv w:val="1"/>
      <w:marLeft w:val="0"/>
      <w:marRight w:val="0"/>
      <w:marTop w:val="0"/>
      <w:marBottom w:val="0"/>
      <w:divBdr>
        <w:top w:val="none" w:sz="0" w:space="0" w:color="auto"/>
        <w:left w:val="none" w:sz="0" w:space="0" w:color="auto"/>
        <w:bottom w:val="none" w:sz="0" w:space="0" w:color="auto"/>
        <w:right w:val="none" w:sz="0" w:space="0" w:color="auto"/>
      </w:divBdr>
    </w:div>
    <w:div w:id="1913194503">
      <w:bodyDiv w:val="1"/>
      <w:marLeft w:val="0"/>
      <w:marRight w:val="0"/>
      <w:marTop w:val="0"/>
      <w:marBottom w:val="0"/>
      <w:divBdr>
        <w:top w:val="none" w:sz="0" w:space="0" w:color="auto"/>
        <w:left w:val="none" w:sz="0" w:space="0" w:color="auto"/>
        <w:bottom w:val="none" w:sz="0" w:space="0" w:color="auto"/>
        <w:right w:val="none" w:sz="0" w:space="0" w:color="auto"/>
      </w:divBdr>
    </w:div>
    <w:div w:id="2008508507">
      <w:bodyDiv w:val="1"/>
      <w:marLeft w:val="0"/>
      <w:marRight w:val="0"/>
      <w:marTop w:val="0"/>
      <w:marBottom w:val="0"/>
      <w:divBdr>
        <w:top w:val="none" w:sz="0" w:space="0" w:color="auto"/>
        <w:left w:val="none" w:sz="0" w:space="0" w:color="auto"/>
        <w:bottom w:val="none" w:sz="0" w:space="0" w:color="auto"/>
        <w:right w:val="none" w:sz="0" w:space="0" w:color="auto"/>
      </w:divBdr>
    </w:div>
    <w:div w:id="2115830141">
      <w:bodyDiv w:val="1"/>
      <w:marLeft w:val="0"/>
      <w:marRight w:val="0"/>
      <w:marTop w:val="0"/>
      <w:marBottom w:val="0"/>
      <w:divBdr>
        <w:top w:val="none" w:sz="0" w:space="0" w:color="auto"/>
        <w:left w:val="none" w:sz="0" w:space="0" w:color="auto"/>
        <w:bottom w:val="none" w:sz="0" w:space="0" w:color="auto"/>
        <w:right w:val="none" w:sz="0" w:space="0" w:color="auto"/>
      </w:divBdr>
    </w:div>
    <w:div w:id="213340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mar.2018.06.002" TargetMode="External"/><Relationship Id="rId18" Type="http://schemas.openxmlformats.org/officeDocument/2006/relationships/hyperlink" Target="https://www.estyn.gov.wales/system/files/2021-08/Healthy%2520and%2520Happy%2520report%2520Cy_0.pdf" TargetMode="External"/><Relationship Id="rId26" Type="http://schemas.openxmlformats.org/officeDocument/2006/relationships/hyperlink" Target="https://www.llyw.cymru/y-rhaglen-i-gyflwyno-prydau-ysgol-am-ddim-i-holl-blant-ysgolion-cynradd-yng-nghymru-wedii-chyflawni" TargetMode="External"/><Relationship Id="rId3" Type="http://schemas.openxmlformats.org/officeDocument/2006/relationships/settings" Target="settings.xml"/><Relationship Id="rId21" Type="http://schemas.openxmlformats.org/officeDocument/2006/relationships/hyperlink" Target="https://atlasti.com/guides/thematic-analysis/thematic-analysis-disadvantages-challenges-weaknesses" TargetMode="External"/><Relationship Id="rId34" Type="http://schemas.openxmlformats.org/officeDocument/2006/relationships/hyperlink" Target="https://www.who.int/activities/ensuring-ethical-standards-and-procedures-for-research-with-human-beings" TargetMode="External"/><Relationship Id="rId7" Type="http://schemas.openxmlformats.org/officeDocument/2006/relationships/hyperlink" Target="https://amshq.org/About-Montessori/What-Is-Montessori" TargetMode="External"/><Relationship Id="rId12" Type="http://schemas.openxmlformats.org/officeDocument/2006/relationships/hyperlink" Target="https://www.carmarthenshire.gov.wales/council-services/education-schools/additional-learning-needs/reading-and-writing/" TargetMode="External"/><Relationship Id="rId17" Type="http://schemas.openxmlformats.org/officeDocument/2006/relationships/hyperlink" Target="https://doi.org/10.1016/j.jaad.2021.01.085" TargetMode="External"/><Relationship Id="rId25" Type="http://schemas.openxmlformats.org/officeDocument/2006/relationships/hyperlink" Target="https://www.llyw.cymru/llesiant-cymru-2023" TargetMode="External"/><Relationship Id="rId33" Type="http://schemas.openxmlformats.org/officeDocument/2006/relationships/hyperlink" Target="https://insight7.io/how-to-accurately-capture-and-prepare-interview-data-for-analysis-transcription-fundamentals/" TargetMode="External"/><Relationship Id="rId2" Type="http://schemas.openxmlformats.org/officeDocument/2006/relationships/styles" Target="styles.xml"/><Relationship Id="rId16" Type="http://schemas.openxmlformats.org/officeDocument/2006/relationships/hyperlink" Target="https://education.ec.europa.eu/education-levels/school-education/wellbeing-at-school" TargetMode="External"/><Relationship Id="rId20" Type="http://schemas.openxmlformats.org/officeDocument/2006/relationships/hyperlink" Target="https://www.goodstart.org.au/parenting/why-teaching-children-empathy-is-more-important-than-ever" TargetMode="External"/><Relationship Id="rId29" Type="http://schemas.openxmlformats.org/officeDocument/2006/relationships/hyperlink" Target="https://doi.org/10.1161/01.str.22.7.938" TargetMode="External"/><Relationship Id="rId1" Type="http://schemas.openxmlformats.org/officeDocument/2006/relationships/numbering" Target="numbering.xml"/><Relationship Id="rId6" Type="http://schemas.openxmlformats.org/officeDocument/2006/relationships/hyperlink" Target="https://doi.org/10.1108/ijqss-02-2020-0016" TargetMode="External"/><Relationship Id="rId11" Type="http://schemas.openxmlformats.org/officeDocument/2006/relationships/hyperlink" Target="https://www.nicole-brown.co.uk/reflective-model-according-to-kolb/" TargetMode="External"/><Relationship Id="rId24" Type="http://schemas.openxmlformats.org/officeDocument/2006/relationships/hyperlink" Target="https://hwb.gov.wales/cwricwlwm-i-gymru/iechyd-a-lles/" TargetMode="External"/><Relationship Id="rId32" Type="http://schemas.openxmlformats.org/officeDocument/2006/relationships/hyperlink" Target="https://insight7.io/example-of-field-notes-for-observational-research/" TargetMode="External"/><Relationship Id="rId5" Type="http://schemas.openxmlformats.org/officeDocument/2006/relationships/hyperlink" Target="https://intranet.uwtsd.ac.uk/cy/adrannau/llyfrgell-ac-adnoddau-dysgu/sgiliau-academaidd-gwybodaeth/llawlyfrau-cyfeirnodi" TargetMode="External"/><Relationship Id="rId15" Type="http://schemas.openxmlformats.org/officeDocument/2006/relationships/hyperlink" Target="https://doi.org/10.1111/j.1365-2929.2006.02418.x" TargetMode="External"/><Relationship Id="rId23" Type="http://schemas.openxmlformats.org/officeDocument/2006/relationships/hyperlink" Target="http://www.changekidslives.org/actions-4" TargetMode="External"/><Relationship Id="rId28" Type="http://schemas.openxmlformats.org/officeDocument/2006/relationships/hyperlink" Target="https://learning.nspcc.org.uk/research-resources/briefings/research-with-children-ethics-safety-promoting-inclusion" TargetMode="External"/><Relationship Id="rId36" Type="http://schemas.openxmlformats.org/officeDocument/2006/relationships/theme" Target="theme/theme1.xml"/><Relationship Id="rId10" Type="http://schemas.openxmlformats.org/officeDocument/2006/relationships/hyperlink" Target="https://doi.org/10962523357/hYhvCNfjiqkZEN2pq-so" TargetMode="External"/><Relationship Id="rId19" Type="http://schemas.openxmlformats.org/officeDocument/2006/relationships/hyperlink" Target="https://doi.org/10.5539/jedp.v6n2p207" TargetMode="External"/><Relationship Id="rId31" Type="http://schemas.openxmlformats.org/officeDocument/2006/relationships/hyperlink" Target="https://guides.lib.vt.edu/researchmethods/interviews" TargetMode="External"/><Relationship Id="rId4" Type="http://schemas.openxmlformats.org/officeDocument/2006/relationships/webSettings" Target="webSettings.xml"/><Relationship Id="rId9" Type="http://schemas.openxmlformats.org/officeDocument/2006/relationships/hyperlink" Target="https://doi.org/10.1353/lib.2006.0045" TargetMode="External"/><Relationship Id="rId14" Type="http://schemas.openxmlformats.org/officeDocument/2006/relationships/hyperlink" Target="https://www.gov.uk/government/publications/school-food-standards-resources-for-schools/school-food-standards-practical-guide" TargetMode="External"/><Relationship Id="rId22" Type="http://schemas.openxmlformats.org/officeDocument/2006/relationships/hyperlink" Target="https://jigsaweducationgroup.com" TargetMode="External"/><Relationship Id="rId27" Type="http://schemas.openxmlformats.org/officeDocument/2006/relationships/hyperlink" Target="https://www.structural-learning.com/post/leuven-scale-a-teachers-guide" TargetMode="External"/><Relationship Id="rId30" Type="http://schemas.openxmlformats.org/officeDocument/2006/relationships/hyperlink" Target="https://www.ncbi.nlm.nih.gov/books/NBK470395/" TargetMode="External"/><Relationship Id="rId35" Type="http://schemas.openxmlformats.org/officeDocument/2006/relationships/fontTable" Target="fontTable.xml"/><Relationship Id="rId8" Type="http://schemas.openxmlformats.org/officeDocument/2006/relationships/hyperlink" Target="https://www.therapydogs.com/how-do-therapy-dogs-help-in-the-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TotalTime>
  <Pages>14</Pages>
  <Words>5104</Words>
  <Characters>29095</Characters>
  <Application>Microsoft Office Word</Application>
  <DocSecurity>0</DocSecurity>
  <Lines>242</Lines>
  <Paragraphs>68</Paragraphs>
  <ScaleCrop>false</ScaleCrop>
  <Company/>
  <LinksUpToDate>false</LinksUpToDate>
  <CharactersWithSpaces>34131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458</cp:revision>
  <dcterms:created xsi:type="dcterms:W3CDTF">2024-12-23T15:25:00Z</dcterms:created>
  <dcterms:modified xsi:type="dcterms:W3CDTF">2025-01-07T21:12:00Z</dcterms:modified>
</cp:coreProperties>
</file>