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u w:val="single"/>
        </w:rPr>
      </w:pPr>
      <w:r w:rsidDel="00000000" w:rsidR="00000000" w:rsidRPr="00000000">
        <w:rPr>
          <w:b w:val="1"/>
          <w:color w:val="1d2125"/>
          <w:sz w:val="23"/>
          <w:szCs w:val="23"/>
          <w:highlight w:val="white"/>
          <w:u w:val="single"/>
          <w:rtl w:val="0"/>
        </w:rPr>
        <w:t xml:space="preserve">A critical commentary on Isis and the infant Horus from Antinoe, Egypt, ca. 4th CE.</w:t>
      </w:r>
      <w:r w:rsidDel="00000000" w:rsidR="00000000" w:rsidRPr="00000000">
        <w:rPr>
          <w:rtl w:val="0"/>
        </w:rPr>
      </w:r>
    </w:p>
    <w:p w:rsidR="00000000" w:rsidDel="00000000" w:rsidP="00000000" w:rsidRDefault="00000000" w:rsidRPr="00000000" w14:paraId="00000002">
      <w:pPr>
        <w:rPr>
          <w:color w:val="000000"/>
        </w:rPr>
      </w:pPr>
      <w:r w:rsidDel="00000000" w:rsidR="00000000" w:rsidRPr="00000000">
        <w:rPr/>
        <w:drawing>
          <wp:inline distB="114300" distT="114300" distL="114300" distR="114300">
            <wp:extent cx="3195638" cy="4772971"/>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3195638" cy="4772971"/>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pStyle w:val="Heading3"/>
        <w:keepNext w:val="0"/>
        <w:keepLines w:val="0"/>
        <w:spacing w:before="280" w:line="360" w:lineRule="auto"/>
        <w:rPr>
          <w:b w:val="1"/>
          <w:color w:val="000000"/>
          <w:sz w:val="26"/>
          <w:szCs w:val="26"/>
        </w:rPr>
      </w:pPr>
      <w:bookmarkStart w:colFirst="0" w:colLast="0" w:name="_m2aef0wfh6sv" w:id="0"/>
      <w:bookmarkEnd w:id="0"/>
      <w:r w:rsidDel="00000000" w:rsidR="00000000" w:rsidRPr="00000000">
        <w:rPr>
          <w:b w:val="1"/>
          <w:color w:val="000000"/>
          <w:sz w:val="26"/>
          <w:szCs w:val="26"/>
          <w:rtl w:val="0"/>
        </w:rPr>
        <w:t xml:space="preserve">Introduction and Context</w:t>
      </w:r>
    </w:p>
    <w:p w:rsidR="00000000" w:rsidDel="00000000" w:rsidP="00000000" w:rsidRDefault="00000000" w:rsidRPr="00000000" w14:paraId="00000004">
      <w:pPr>
        <w:spacing w:after="240" w:before="240" w:line="360" w:lineRule="auto"/>
        <w:rPr>
          <w:sz w:val="24"/>
          <w:szCs w:val="24"/>
        </w:rPr>
      </w:pPr>
      <w:r w:rsidDel="00000000" w:rsidR="00000000" w:rsidRPr="00000000">
        <w:rPr>
          <w:sz w:val="24"/>
          <w:szCs w:val="24"/>
          <w:rtl w:val="0"/>
        </w:rPr>
        <w:t xml:space="preserve">The limestone statue of Isis Lactans and the infant Horus from Antinoe, Egypt, dates to the fourth century CE and reflects the religious transformations of Late Antiquity. Now housed in the Dahlem Museum, Berlin (Tran Tam Tinh, 1973: fig. 17 in Higgins, 2012, p. 86), it exemplifies the persistence of traditional Egyptian iconography alongside the growing dominance of Christianity. Antinoe, founded by Emperor Hadrian in the second century CE, was intended to integrate Egypt further into Greco-Roman culture and later became a centre of Coptic Christianity (Australian Museum, n.d.).</w:t>
      </w:r>
    </w:p>
    <w:p w:rsidR="00000000" w:rsidDel="00000000" w:rsidP="00000000" w:rsidRDefault="00000000" w:rsidRPr="00000000" w14:paraId="00000005">
      <w:pPr>
        <w:spacing w:after="240" w:before="240" w:line="360" w:lineRule="auto"/>
        <w:rPr>
          <w:sz w:val="24"/>
          <w:szCs w:val="24"/>
        </w:rPr>
      </w:pPr>
      <w:r w:rsidDel="00000000" w:rsidR="00000000" w:rsidRPr="00000000">
        <w:rPr>
          <w:sz w:val="24"/>
          <w:szCs w:val="24"/>
          <w:rtl w:val="0"/>
        </w:rPr>
        <w:t xml:space="preserve">The removal of the statue is part of a broader pattern of European acquisition of Egyptian antiquities. The exact circumstances of its excavation and transfer to the Dahlem Museum are unknown but its presence there is part of the widespread export of Egyptian artefacts to European museums in the late 19th and early 20th centuries. Lack of provenance documentation is common in the acquisition history of Egyptian objects in European collections.</w:t>
      </w:r>
      <w:r w:rsidDel="00000000" w:rsidR="00000000" w:rsidRPr="00000000">
        <w:rPr>
          <w:sz w:val="24"/>
          <w:szCs w:val="24"/>
          <w:vertAlign w:val="superscript"/>
        </w:rPr>
        <w:footnoteReference w:customMarkFollows="0" w:id="0"/>
      </w:r>
      <w:r w:rsidDel="00000000" w:rsidR="00000000" w:rsidRPr="00000000">
        <w:rPr>
          <w:rtl w:val="0"/>
        </w:rPr>
      </w:r>
    </w:p>
    <w:p w:rsidR="00000000" w:rsidDel="00000000" w:rsidP="00000000" w:rsidRDefault="00000000" w:rsidRPr="00000000" w14:paraId="00000006">
      <w:pPr>
        <w:spacing w:after="240" w:before="240" w:line="360" w:lineRule="auto"/>
        <w:rPr>
          <w:sz w:val="24"/>
          <w:szCs w:val="24"/>
        </w:rPr>
      </w:pPr>
      <w:r w:rsidDel="00000000" w:rsidR="00000000" w:rsidRPr="00000000">
        <w:rPr>
          <w:sz w:val="24"/>
          <w:szCs w:val="24"/>
          <w:rtl w:val="0"/>
        </w:rPr>
        <w:t xml:space="preserve">The presence of this Isis statue in the fourth century reflects the broader religious policies of the time. While Constantine’s conversion to Christianity marked a shift, it did not lead to the immediate suppression of pagan cults. Potter (2004, p. 426) notes that the empire remained “neither fully polytheistic nor Christian but both simultaneously,” with Constantine generally tolerating non-Christian practices unless they directly conflicted with Christian worship (2004, p. 430).</w:t>
      </w:r>
    </w:p>
    <w:p w:rsidR="00000000" w:rsidDel="00000000" w:rsidP="00000000" w:rsidRDefault="00000000" w:rsidRPr="00000000" w14:paraId="00000007">
      <w:pPr>
        <w:spacing w:after="240" w:before="240" w:line="360" w:lineRule="auto"/>
        <w:rPr>
          <w:sz w:val="24"/>
          <w:szCs w:val="24"/>
        </w:rPr>
      </w:pPr>
      <w:r w:rsidDel="00000000" w:rsidR="00000000" w:rsidRPr="00000000">
        <w:rPr>
          <w:sz w:val="24"/>
          <w:szCs w:val="24"/>
          <w:rtl w:val="0"/>
        </w:rPr>
        <w:t xml:space="preserve">The statue’s original function was likely votive or cultic, with Themelis (2011, p. 106) suggesting that some Isis Lactans functioned as cult images in temples. However, by the fourth century, traditional religious cults were in decline. State support for temple priesthoods ceased, sacrifices were abandoned, and large-scale public religious festivals diminished (Mathews and Muller, 2005, p. 5). Thus the official temple cult of Isis faded, yet private veneration persisted (Higgins, 2012, p. 72).</w:t>
      </w:r>
    </w:p>
    <w:p w:rsidR="00000000" w:rsidDel="00000000" w:rsidP="00000000" w:rsidRDefault="00000000" w:rsidRPr="00000000" w14:paraId="00000008">
      <w:pPr>
        <w:spacing w:after="240" w:before="240" w:line="360" w:lineRule="auto"/>
        <w:rPr>
          <w:sz w:val="24"/>
          <w:szCs w:val="24"/>
        </w:rPr>
      </w:pPr>
      <w:r w:rsidDel="00000000" w:rsidR="00000000" w:rsidRPr="00000000">
        <w:rPr>
          <w:sz w:val="24"/>
          <w:szCs w:val="24"/>
          <w:rtl w:val="0"/>
        </w:rPr>
        <w:t xml:space="preserve">Despite this, in reality, the situation was more complex with the enforcement of severe laws at times inconsistent. While the Serapeum in Alexandria was destroyed in 391 CE, some temples that served civic functions, such as the Temple of Apollo at Delphi, were spared (Athanassiadi, 1993, p. 21)</w:t>
      </w:r>
      <w:r w:rsidDel="00000000" w:rsidR="00000000" w:rsidRPr="00000000">
        <w:rPr>
          <w:sz w:val="24"/>
          <w:szCs w:val="24"/>
          <w:vertAlign w:val="superscript"/>
        </w:rPr>
        <w:footnoteReference w:customMarkFollows="0" w:id="1"/>
      </w:r>
      <w:r w:rsidDel="00000000" w:rsidR="00000000" w:rsidRPr="00000000">
        <w:rPr>
          <w:sz w:val="24"/>
          <w:szCs w:val="24"/>
          <w:rtl w:val="0"/>
        </w:rPr>
        <w:t xml:space="preserve">. Zosimus records that Emperor Valentinian I, despite initially banning nocturnal sacrifices, later allowed them to continue to prevent social unrest, (New History 4.3.2-3) demonstrating how at times state authorities would prioritise stability over strict enforcement. </w:t>
      </w:r>
    </w:p>
    <w:p w:rsidR="00000000" w:rsidDel="00000000" w:rsidP="00000000" w:rsidRDefault="00000000" w:rsidRPr="00000000" w14:paraId="00000009">
      <w:pPr>
        <w:spacing w:after="240" w:before="240" w:line="360" w:lineRule="auto"/>
        <w:rPr>
          <w:sz w:val="24"/>
          <w:szCs w:val="24"/>
        </w:rPr>
      </w:pPr>
      <w:r w:rsidDel="00000000" w:rsidR="00000000" w:rsidRPr="00000000">
        <w:rPr>
          <w:sz w:val="24"/>
          <w:szCs w:val="24"/>
          <w:rtl w:val="0"/>
        </w:rPr>
        <w:t xml:space="preserve">By the late fourth and early fifth centuries, suppression of non-Christian religions intensified. Theodosius I’s edicts in 391–392 CE criminalised public sacrifices and mandated temple closures, equating pagan cult activity with treason (Cod Theod. 16.10.12.3, Cod. Theod. 16.10.12.1</w:t>
      </w:r>
      <w:r w:rsidDel="00000000" w:rsidR="00000000" w:rsidRPr="00000000">
        <w:rPr>
          <w:sz w:val="24"/>
          <w:szCs w:val="24"/>
          <w:vertAlign w:val="superscript"/>
        </w:rPr>
        <w:footnoteReference w:customMarkFollows="0" w:id="2"/>
      </w:r>
      <w:r w:rsidDel="00000000" w:rsidR="00000000" w:rsidRPr="00000000">
        <w:rPr>
          <w:sz w:val="24"/>
          <w:szCs w:val="24"/>
          <w:rtl w:val="0"/>
        </w:rPr>
        <w:t xml:space="preserve">; Athanassiadi, 1993, pp. 21–24). These imperial measures culminated in the destruction of major Isis sanctuaries, such as Menouthis in Alexandria in 484 CE (Delray, 2017, p. 4). The Antinoe Isis Lactans statue may therefore represent one of the final phases of Isiac devotion in Egypt before widespread Christianisation.</w:t>
      </w:r>
    </w:p>
    <w:p w:rsidR="00000000" w:rsidDel="00000000" w:rsidP="00000000" w:rsidRDefault="00000000" w:rsidRPr="00000000" w14:paraId="0000000A">
      <w:pPr>
        <w:spacing w:after="240" w:before="240" w:line="360" w:lineRule="auto"/>
        <w:rPr>
          <w:sz w:val="24"/>
          <w:szCs w:val="24"/>
        </w:rPr>
      </w:pPr>
      <w:r w:rsidDel="00000000" w:rsidR="00000000" w:rsidRPr="00000000">
        <w:rPr>
          <w:sz w:val="24"/>
          <w:szCs w:val="24"/>
          <w:rtl w:val="0"/>
        </w:rPr>
        <w:t xml:space="preserve">Francis (2009, p. 295) argues that during this period, religious images in both pagan and Christian traditions retained a ‘numinous quality’ and were thought to hold divine power. Figures such as Isis continued to be venerated privately, not just as symbols but as sacred images with spiritual presence. A parallel example is the Khoiak festival which was central to Osirian worship and shows how religious imagery was used in ritual practice. Mansour (2023, p. 204) explains that the Meroites who had access to the Isis temple at Philae participated in the Khoiak rituals to link their rulers to Osiris.</w:t>
      </w:r>
      <w:r w:rsidDel="00000000" w:rsidR="00000000" w:rsidRPr="00000000">
        <w:rPr>
          <w:sz w:val="24"/>
          <w:szCs w:val="24"/>
          <w:vertAlign w:val="superscript"/>
        </w:rPr>
        <w:footnoteReference w:customMarkFollows="0" w:id="3"/>
      </w:r>
      <w:r w:rsidDel="00000000" w:rsidR="00000000" w:rsidRPr="00000000">
        <w:rPr>
          <w:sz w:val="24"/>
          <w:szCs w:val="24"/>
          <w:rtl w:val="0"/>
        </w:rPr>
        <w:t xml:space="preserve"> Their involvement suggests that images of Isis and Osiris were not just decorative but facilitated divine renewal and political legitimacy. </w:t>
      </w:r>
    </w:p>
    <w:p w:rsidR="00000000" w:rsidDel="00000000" w:rsidP="00000000" w:rsidRDefault="00000000" w:rsidRPr="00000000" w14:paraId="0000000B">
      <w:pPr>
        <w:spacing w:after="240" w:before="240" w:line="360" w:lineRule="auto"/>
        <w:rPr>
          <w:b w:val="1"/>
          <w:color w:val="000000"/>
          <w:sz w:val="26"/>
          <w:szCs w:val="26"/>
        </w:rPr>
      </w:pPr>
      <w:r w:rsidDel="00000000" w:rsidR="00000000" w:rsidRPr="00000000">
        <w:rPr>
          <w:b w:val="1"/>
          <w:color w:val="000000"/>
          <w:sz w:val="26"/>
          <w:szCs w:val="26"/>
          <w:rtl w:val="0"/>
        </w:rPr>
        <w:t xml:space="preserve">Iconography and Symbolism</w:t>
      </w:r>
    </w:p>
    <w:p w:rsidR="00000000" w:rsidDel="00000000" w:rsidP="00000000" w:rsidRDefault="00000000" w:rsidRPr="00000000" w14:paraId="0000000C">
      <w:pPr>
        <w:spacing w:after="240" w:before="240" w:line="360" w:lineRule="auto"/>
        <w:rPr>
          <w:sz w:val="24"/>
          <w:szCs w:val="24"/>
        </w:rPr>
      </w:pPr>
      <w:r w:rsidDel="00000000" w:rsidR="00000000" w:rsidRPr="00000000">
        <w:rPr>
          <w:sz w:val="24"/>
          <w:szCs w:val="24"/>
          <w:rtl w:val="0"/>
        </w:rPr>
        <w:t xml:space="preserve">The Isis Lactans motif, of Isis nursing Horus, was well established in ancient Egyptian art. This statue follows the traditional lactans iconography, with Isis seated on a throne, her right hand offering her breast to Horus who lies across her lap with his hands held towards his body, avoiding her gaze (Higgins, 2012, p. 73).</w:t>
      </w:r>
    </w:p>
    <w:p w:rsidR="00000000" w:rsidDel="00000000" w:rsidP="00000000" w:rsidRDefault="00000000" w:rsidRPr="00000000" w14:paraId="0000000D">
      <w:pPr>
        <w:spacing w:after="240" w:before="240" w:line="360" w:lineRule="auto"/>
        <w:rPr>
          <w:sz w:val="24"/>
          <w:szCs w:val="24"/>
        </w:rPr>
      </w:pPr>
      <w:r w:rsidDel="00000000" w:rsidR="00000000" w:rsidRPr="00000000">
        <w:rPr>
          <w:sz w:val="24"/>
          <w:szCs w:val="24"/>
          <w:rtl w:val="0"/>
        </w:rPr>
        <w:t xml:space="preserve">Stylistically, the statue is a blend of Egyptian and Greco-Roman artistic traditions. The nursing pose and throne are typically Egyptian, while the drapery, facial expression and proportions are Greco-Roman. Mathews and Muller (2005, p. 6) note that Isis in this statue, has modestly covered breasts, a feature more characteristic of later depictions of the Virgin Mary and Christ than earlier depictions of Isis. This suggests a conscious adaptation of older artistic traditions to fit changing cultural and religious expectations.</w:t>
      </w:r>
    </w:p>
    <w:p w:rsidR="00000000" w:rsidDel="00000000" w:rsidP="00000000" w:rsidRDefault="00000000" w:rsidRPr="00000000" w14:paraId="0000000E">
      <w:pPr>
        <w:spacing w:after="240" w:before="240" w:line="360" w:lineRule="auto"/>
        <w:rPr/>
      </w:pPr>
      <w:r w:rsidDel="00000000" w:rsidR="00000000" w:rsidRPr="00000000">
        <w:rPr>
          <w:sz w:val="24"/>
          <w:szCs w:val="24"/>
          <w:rtl w:val="0"/>
        </w:rPr>
        <w:t xml:space="preserve">A comparable example is the Sarcophagus of Arles (ca. AD 320–335, Musée de l’Arles et de la Provence Antiques) which also demonstrates how Greco-Roman artistic conventions were adapted into a Christian context. The sarcophagus shows a seated woman holding a child on her lap, reminiscent of both Isis Lactans and later Marian imagery. The drapery, pose and placement of the child are classical but subtly reworked within a Christian framework. </w:t>
      </w:r>
      <w:r w:rsidDel="00000000" w:rsidR="00000000" w:rsidRPr="00000000">
        <w:rPr>
          <w:rtl w:val="0"/>
        </w:rPr>
      </w:r>
    </w:p>
    <w:p w:rsidR="00000000" w:rsidDel="00000000" w:rsidP="00000000" w:rsidRDefault="00000000" w:rsidRPr="00000000" w14:paraId="0000000F">
      <w:pPr>
        <w:rPr/>
      </w:pPr>
      <w:r w:rsidDel="00000000" w:rsidR="00000000" w:rsidRPr="00000000">
        <w:rPr>
          <w:sz w:val="34"/>
          <w:szCs w:val="34"/>
        </w:rPr>
        <w:drawing>
          <wp:inline distB="114300" distT="114300" distL="114300" distR="114300">
            <wp:extent cx="5943600" cy="3149600"/>
            <wp:effectExtent b="0" l="0" r="0" t="0"/>
            <wp:docPr id="1"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943600" cy="3149600"/>
                    </a:xfrm>
                    <a:prstGeom prst="rect"/>
                    <a:ln/>
                  </pic:spPr>
                </pic:pic>
              </a:graphicData>
            </a:graphic>
          </wp:inline>
        </w:drawing>
      </w:r>
      <w:r w:rsidDel="00000000" w:rsidR="00000000" w:rsidRPr="00000000">
        <w:rPr>
          <w:rtl w:val="0"/>
        </w:rPr>
      </w:r>
    </w:p>
    <w:p w:rsidR="00000000" w:rsidDel="00000000" w:rsidP="00000000" w:rsidRDefault="00000000" w:rsidRPr="00000000" w14:paraId="00000010">
      <w:pPr>
        <w:spacing w:after="120" w:lineRule="auto"/>
        <w:jc w:val="center"/>
        <w:rPr>
          <w:sz w:val="15"/>
          <w:szCs w:val="15"/>
        </w:rPr>
      </w:pPr>
      <w:r w:rsidDel="00000000" w:rsidR="00000000" w:rsidRPr="00000000">
        <w:rPr>
          <w:sz w:val="15"/>
          <w:szCs w:val="15"/>
          <w:rtl w:val="0"/>
        </w:rPr>
        <w:t xml:space="preserve">Sarcophagus from Arles, ca. AD 320-335 [Musée de l’Arles et de la Provence Antiques]</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pStyle w:val="Heading3"/>
        <w:keepNext w:val="0"/>
        <w:keepLines w:val="0"/>
        <w:spacing w:before="280" w:lineRule="auto"/>
        <w:rPr>
          <w:b w:val="1"/>
          <w:color w:val="000000"/>
          <w:sz w:val="26"/>
          <w:szCs w:val="26"/>
        </w:rPr>
      </w:pPr>
      <w:bookmarkStart w:colFirst="0" w:colLast="0" w:name="_bl3em7t9z6n" w:id="1"/>
      <w:bookmarkEnd w:id="1"/>
      <w:r w:rsidDel="00000000" w:rsidR="00000000" w:rsidRPr="00000000">
        <w:rPr>
          <w:b w:val="1"/>
          <w:color w:val="000000"/>
          <w:sz w:val="26"/>
          <w:szCs w:val="26"/>
          <w:rtl w:val="0"/>
        </w:rPr>
        <w:t xml:space="preserve">Relationship to Marian Iconography</w:t>
      </w:r>
    </w:p>
    <w:p w:rsidR="00000000" w:rsidDel="00000000" w:rsidP="00000000" w:rsidRDefault="00000000" w:rsidRPr="00000000" w14:paraId="00000013">
      <w:pPr>
        <w:spacing w:after="240" w:before="240" w:line="360" w:lineRule="auto"/>
        <w:rPr>
          <w:sz w:val="24"/>
          <w:szCs w:val="24"/>
        </w:rPr>
      </w:pPr>
      <w:r w:rsidDel="00000000" w:rsidR="00000000" w:rsidRPr="00000000">
        <w:rPr>
          <w:sz w:val="24"/>
          <w:szCs w:val="24"/>
          <w:rtl w:val="0"/>
        </w:rPr>
        <w:t xml:space="preserve">The similarities between Isis Lactans and Maria Lactans have sparked debate over whether early Christian artists deliberately appropriated Isiac iconography or if these similarities emerged organically. Mathews and Muller (2005, p. 5) argue that early Christians consciously reworked Isiac imagery to depict the Virgin Mary and Christ. They point out that some of the earliest surviving Marian icons from the sixth century include elements of “the look of Isis,” such as the throne, the averted gaze and the maternal pose (Mathews and Muller, 2005, p. 4).</w:t>
      </w:r>
    </w:p>
    <w:p w:rsidR="00000000" w:rsidDel="00000000" w:rsidP="00000000" w:rsidRDefault="00000000" w:rsidRPr="00000000" w14:paraId="00000014">
      <w:pPr>
        <w:spacing w:after="240" w:before="240" w:line="360" w:lineRule="auto"/>
        <w:rPr>
          <w:sz w:val="24"/>
          <w:szCs w:val="24"/>
        </w:rPr>
      </w:pPr>
      <w:r w:rsidDel="00000000" w:rsidR="00000000" w:rsidRPr="00000000">
        <w:rPr>
          <w:sz w:val="24"/>
          <w:szCs w:val="24"/>
          <w:rtl w:val="0"/>
        </w:rPr>
        <w:t xml:space="preserve">Harley (2009, p. 313) similarly argues that early Christian artists borrowed from classical artistic traditions, describing it as a shift of emphasis rather than a decline (Harley, 2009, p. 314). She suggests that early Christian iconography was a subcategory of late Roman art, borrowing pagan figures and motifs and creating a Christian visual language (Harley, 2009, p. 325). Francis (2009, p. 297) adds that images in Late Antiquity were not just passive representations but actively shaped religious experience. Both pagan and Christian images were believed to have power and formed a ‘reciprocal relationship’ with the viewer. I would argue that this suggests early Christian artists retained familiar imagery not just for continuity but because the images had spiritual authority in their cultural context.</w:t>
      </w:r>
      <w:r w:rsidDel="00000000" w:rsidR="00000000" w:rsidRPr="00000000">
        <w:rPr>
          <w:rtl w:val="0"/>
        </w:rPr>
      </w:r>
    </w:p>
    <w:p w:rsidR="00000000" w:rsidDel="00000000" w:rsidP="00000000" w:rsidRDefault="00000000" w:rsidRPr="00000000" w14:paraId="00000015">
      <w:pPr>
        <w:spacing w:after="240" w:before="240" w:line="360" w:lineRule="auto"/>
        <w:rPr>
          <w:b w:val="1"/>
          <w:sz w:val="26"/>
          <w:szCs w:val="26"/>
        </w:rPr>
      </w:pPr>
      <w:r w:rsidDel="00000000" w:rsidR="00000000" w:rsidRPr="00000000">
        <w:rPr>
          <w:b w:val="1"/>
          <w:sz w:val="26"/>
          <w:szCs w:val="26"/>
          <w:rtl w:val="0"/>
        </w:rPr>
        <w:t xml:space="preserve">Continuity or Adaptation?</w:t>
      </w:r>
    </w:p>
    <w:p w:rsidR="00000000" w:rsidDel="00000000" w:rsidP="00000000" w:rsidRDefault="00000000" w:rsidRPr="00000000" w14:paraId="00000016">
      <w:pPr>
        <w:spacing w:after="240" w:before="240" w:line="360" w:lineRule="auto"/>
        <w:rPr>
          <w:sz w:val="24"/>
          <w:szCs w:val="24"/>
        </w:rPr>
      </w:pPr>
      <w:r w:rsidDel="00000000" w:rsidR="00000000" w:rsidRPr="00000000">
        <w:rPr>
          <w:sz w:val="24"/>
          <w:szCs w:val="24"/>
          <w:rtl w:val="0"/>
        </w:rPr>
        <w:t xml:space="preserve">Higgins (2012, p. 74) challenges the idea of direct continuity between Isis Lactans and Maria Lactans, arguing that the absence of Marian nursing imagery before the seventh century weakens claims of direct appropriation. Instead, she suggests that early Christian artists selectively borrowed familiar visual conventions but did not intend to perpetuate Isiac worship. She emphasises that the earliest Marian imagery was primarily Christological, depicting Jesus enthroned on Mary’s lap or being presented to the Magi, rather than focusing on the act of nursing (Higgins, 2012, p. 73). She further argues that the Maria Lactans type was a later, specialised development, largely confined to monastic contexts (Higgins, 2012, p. 75).</w:t>
      </w:r>
    </w:p>
    <w:p w:rsidR="00000000" w:rsidDel="00000000" w:rsidP="00000000" w:rsidRDefault="00000000" w:rsidRPr="00000000" w14:paraId="00000017">
      <w:pPr>
        <w:spacing w:after="240" w:before="240" w:line="360" w:lineRule="auto"/>
        <w:rPr>
          <w:strike w:val="1"/>
          <w:sz w:val="24"/>
          <w:szCs w:val="24"/>
        </w:rPr>
      </w:pPr>
      <w:r w:rsidDel="00000000" w:rsidR="00000000" w:rsidRPr="00000000">
        <w:rPr>
          <w:sz w:val="24"/>
          <w:szCs w:val="24"/>
          <w:rtl w:val="0"/>
        </w:rPr>
        <w:t xml:space="preserve">While Higgins presents a strong case for a chronological gap, her argument assumes too sharp a break between traditions. The presence of Isis Lactans imagery in the fourth century, including the Antinoe statue, implies that such images were still in circulation. Although fewer examples survive from this period, this does not necessarily indicate a complete discontinuity. </w:t>
      </w:r>
      <w:r w:rsidDel="00000000" w:rsidR="00000000" w:rsidRPr="00000000">
        <w:rPr>
          <w:rtl w:val="0"/>
        </w:rPr>
      </w:r>
    </w:p>
    <w:p w:rsidR="00000000" w:rsidDel="00000000" w:rsidP="00000000" w:rsidRDefault="00000000" w:rsidRPr="00000000" w14:paraId="00000018">
      <w:pPr>
        <w:spacing w:after="240" w:before="240" w:line="360" w:lineRule="auto"/>
        <w:rPr>
          <w:sz w:val="24"/>
          <w:szCs w:val="24"/>
        </w:rPr>
      </w:pPr>
      <w:r w:rsidDel="00000000" w:rsidR="00000000" w:rsidRPr="00000000">
        <w:rPr>
          <w:sz w:val="24"/>
          <w:szCs w:val="24"/>
          <w:rtl w:val="0"/>
        </w:rPr>
        <w:t xml:space="preserve">Delray (2017, p. 6) provides a more convincing argument, rejecting the idea of a strict break and instead proposing a process of cultural and religious assimilation. She argues that Christianity did not abruptly replace earlier traditions but engaged with them, adapting and reinterpreting established iconography over time. Early Christian texts like the </w:t>
      </w:r>
      <w:r w:rsidDel="00000000" w:rsidR="00000000" w:rsidRPr="00000000">
        <w:rPr>
          <w:i w:val="1"/>
          <w:sz w:val="24"/>
          <w:szCs w:val="24"/>
          <w:rtl w:val="0"/>
        </w:rPr>
        <w:t xml:space="preserve">Sub Tuum Praesidium Confugimus</w:t>
      </w:r>
      <w:r w:rsidDel="00000000" w:rsidR="00000000" w:rsidRPr="00000000">
        <w:rPr>
          <w:sz w:val="24"/>
          <w:szCs w:val="24"/>
          <w:rtl w:val="0"/>
        </w:rPr>
        <w:t xml:space="preserve">, which survives in a third- to fourth-century papyrus fragment from Egypt, demonstrate Marian veneration long before it was officially recognised by the Church. This, she rightly suggests, means the development of Marian imagery was not an invention of later centuries but a continuation of earlier devotional practices (Delray, 2017, p. 5). Delray’s position is more nuanced and historically plausible. The Antinoe statue exemplifies how religious imagery was not abandoned but repurposed to fit evolving theological frameworks. The visual and conceptual parallels between Isis Lactans and Maria Lactans are too significant to dismiss as mere coincidence. While Higgins correctly notes that early Christian art initially emphasised Christological themes, this does not exclude a longer, more complex process of transformation in which familiar iconographic forms were gradually reinterpreted within a Christian context.</w:t>
      </w:r>
    </w:p>
    <w:p w:rsidR="00000000" w:rsidDel="00000000" w:rsidP="00000000" w:rsidRDefault="00000000" w:rsidRPr="00000000" w14:paraId="00000019">
      <w:pPr>
        <w:pStyle w:val="Heading3"/>
        <w:keepNext w:val="0"/>
        <w:keepLines w:val="0"/>
        <w:spacing w:before="280" w:lineRule="auto"/>
        <w:rPr>
          <w:b w:val="1"/>
          <w:color w:val="000000"/>
          <w:sz w:val="26"/>
          <w:szCs w:val="26"/>
        </w:rPr>
      </w:pPr>
      <w:bookmarkStart w:colFirst="0" w:colLast="0" w:name="_w7abftw3uel5" w:id="2"/>
      <w:bookmarkEnd w:id="2"/>
      <w:r w:rsidDel="00000000" w:rsidR="00000000" w:rsidRPr="00000000">
        <w:rPr>
          <w:b w:val="1"/>
          <w:color w:val="000000"/>
          <w:sz w:val="26"/>
          <w:szCs w:val="26"/>
          <w:rtl w:val="0"/>
        </w:rPr>
        <w:t xml:space="preserve">Conclusion</w:t>
      </w:r>
    </w:p>
    <w:p w:rsidR="00000000" w:rsidDel="00000000" w:rsidP="00000000" w:rsidRDefault="00000000" w:rsidRPr="00000000" w14:paraId="0000001A">
      <w:pPr>
        <w:spacing w:after="240" w:before="240" w:line="360" w:lineRule="auto"/>
        <w:rPr>
          <w:sz w:val="24"/>
          <w:szCs w:val="24"/>
        </w:rPr>
      </w:pPr>
      <w:r w:rsidDel="00000000" w:rsidR="00000000" w:rsidRPr="00000000">
        <w:rPr>
          <w:sz w:val="24"/>
          <w:szCs w:val="24"/>
          <w:rtl w:val="0"/>
        </w:rPr>
        <w:t xml:space="preserve">The Isis Lactans statue from Antinoe is key to understanding how religious imagery changed in Late Antiquity. It demonstrates how traditional iconography coexisted with Christianity and influenced later Marian imagery. Scholars disagree on this transition: Higgins (2012) argues for a clear break, with early Christian artists borrowing and adapting Isiac imagery for new theological purposes. Mathews and Muller (2005) suggest a stronger link, claiming early Marian imagery absorbed Isiac iconography to appeal to converts already familiar with her worship. Harley (2009) sees Christian art as a continuation of classical traditions, repurposing existing motifs to create a new sacred language. Delray (2017) presents the most convincing argument, proposing that the assimilation of Isiac iconography was a gradual cultural and theological evolution rather than direct appropriation or rejection. Francis (2009, p. 304) supports this, highlighting the role of Late Roman visual culture in shaping early Christian imagery. The belief in the power of images to engage viewers meant early Christian artists preserved familiar visual traditions not just for recognition but as part of religious experience. Ultimately, the Antinoe Isis Lactans represents a dialogue between traditions, where earlier forms were reworked within new theological frameworks. Whether through borrowing, appropriation, or gradual adaptation, Isis Lactans became part of Christian sacred imagery, illustrating the complexity of religious change in Late Antiquity.</w:t>
      </w:r>
    </w:p>
    <w:p w:rsidR="00000000" w:rsidDel="00000000" w:rsidP="00000000" w:rsidRDefault="00000000" w:rsidRPr="00000000" w14:paraId="0000001B">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1C">
      <w:pPr>
        <w:pStyle w:val="Heading3"/>
        <w:keepNext w:val="0"/>
        <w:keepLines w:val="0"/>
        <w:spacing w:before="280" w:lineRule="auto"/>
        <w:rPr>
          <w:b w:val="1"/>
          <w:color w:val="1d2125"/>
          <w:sz w:val="26"/>
          <w:szCs w:val="26"/>
          <w:highlight w:val="white"/>
        </w:rPr>
      </w:pPr>
      <w:bookmarkStart w:colFirst="0" w:colLast="0" w:name="_hbj46tq84uzy" w:id="3"/>
      <w:bookmarkEnd w:id="3"/>
      <w:r w:rsidDel="00000000" w:rsidR="00000000" w:rsidRPr="00000000">
        <w:rPr>
          <w:b w:val="1"/>
          <w:color w:val="1d2125"/>
          <w:sz w:val="26"/>
          <w:szCs w:val="26"/>
          <w:highlight w:val="white"/>
          <w:rtl w:val="0"/>
        </w:rPr>
        <w:t xml:space="preserve">Bibliography</w:t>
      </w:r>
    </w:p>
    <w:p w:rsidR="00000000" w:rsidDel="00000000" w:rsidP="00000000" w:rsidRDefault="00000000" w:rsidRPr="00000000" w14:paraId="0000001D">
      <w:pPr>
        <w:spacing w:after="240" w:before="240" w:lineRule="auto"/>
        <w:rPr>
          <w:color w:val="1d2125"/>
          <w:sz w:val="24"/>
          <w:szCs w:val="24"/>
          <w:highlight w:val="white"/>
        </w:rPr>
      </w:pPr>
      <w:r w:rsidDel="00000000" w:rsidR="00000000" w:rsidRPr="00000000">
        <w:rPr>
          <w:color w:val="1d2125"/>
          <w:sz w:val="24"/>
          <w:szCs w:val="24"/>
          <w:highlight w:val="white"/>
          <w:rtl w:val="0"/>
        </w:rPr>
        <w:t xml:space="preserve">Australian Museum. (n.d.). Scraps of Coptic Culture. Available at: https://australian.museum/blog/science/scraps-of-coptic-culture/ [Accessed 23 Feb. 2025].</w:t>
      </w:r>
    </w:p>
    <w:p w:rsidR="00000000" w:rsidDel="00000000" w:rsidP="00000000" w:rsidRDefault="00000000" w:rsidRPr="00000000" w14:paraId="0000001E">
      <w:pPr>
        <w:spacing w:after="240" w:before="240" w:lineRule="auto"/>
        <w:rPr>
          <w:color w:val="1d2125"/>
          <w:sz w:val="24"/>
          <w:szCs w:val="24"/>
          <w:highlight w:val="white"/>
        </w:rPr>
      </w:pPr>
      <w:r w:rsidDel="00000000" w:rsidR="00000000" w:rsidRPr="00000000">
        <w:rPr>
          <w:color w:val="1d2125"/>
          <w:sz w:val="24"/>
          <w:szCs w:val="24"/>
          <w:highlight w:val="white"/>
          <w:rtl w:val="0"/>
        </w:rPr>
        <w:t xml:space="preserve">Athanassiadi, P. (1993) ‘Persecution and response in late paganism: the evidence of Damascius’, </w:t>
      </w:r>
      <w:r w:rsidDel="00000000" w:rsidR="00000000" w:rsidRPr="00000000">
        <w:rPr>
          <w:i w:val="1"/>
          <w:color w:val="1d2125"/>
          <w:sz w:val="24"/>
          <w:szCs w:val="24"/>
          <w:highlight w:val="white"/>
          <w:rtl w:val="0"/>
        </w:rPr>
        <w:t xml:space="preserve">The Journal of Hellenic Studies</w:t>
      </w:r>
      <w:r w:rsidDel="00000000" w:rsidR="00000000" w:rsidRPr="00000000">
        <w:rPr>
          <w:color w:val="1d2125"/>
          <w:sz w:val="24"/>
          <w:szCs w:val="24"/>
          <w:highlight w:val="white"/>
          <w:rtl w:val="0"/>
        </w:rPr>
        <w:t xml:space="preserve">, 113, pp. 1–29.</w:t>
      </w:r>
    </w:p>
    <w:p w:rsidR="00000000" w:rsidDel="00000000" w:rsidP="00000000" w:rsidRDefault="00000000" w:rsidRPr="00000000" w14:paraId="0000001F">
      <w:pPr>
        <w:spacing w:after="240" w:before="240" w:lineRule="auto"/>
        <w:rPr>
          <w:color w:val="1d2125"/>
          <w:sz w:val="24"/>
          <w:szCs w:val="24"/>
          <w:highlight w:val="white"/>
        </w:rPr>
      </w:pPr>
      <w:r w:rsidDel="00000000" w:rsidR="00000000" w:rsidRPr="00000000">
        <w:rPr>
          <w:color w:val="1d2125"/>
          <w:sz w:val="24"/>
          <w:szCs w:val="24"/>
          <w:highlight w:val="white"/>
          <w:rtl w:val="0"/>
        </w:rPr>
        <w:t xml:space="preserve">Delray, M. (2017) </w:t>
      </w:r>
      <w:r w:rsidDel="00000000" w:rsidR="00000000" w:rsidRPr="00000000">
        <w:rPr>
          <w:i w:val="1"/>
          <w:color w:val="1d2125"/>
          <w:sz w:val="24"/>
          <w:szCs w:val="24"/>
          <w:highlight w:val="white"/>
          <w:rtl w:val="0"/>
        </w:rPr>
        <w:t xml:space="preserve">Legacy of the Egyptian Goddess? A Retrospective Look at the Two Divine Mothers, Isis and Mary</w:t>
      </w:r>
      <w:r w:rsidDel="00000000" w:rsidR="00000000" w:rsidRPr="00000000">
        <w:rPr>
          <w:color w:val="1d2125"/>
          <w:sz w:val="24"/>
          <w:szCs w:val="24"/>
          <w:highlight w:val="white"/>
          <w:rtl w:val="0"/>
        </w:rPr>
        <w:t xml:space="preserve">. </w:t>
      </w:r>
    </w:p>
    <w:p w:rsidR="00000000" w:rsidDel="00000000" w:rsidP="00000000" w:rsidRDefault="00000000" w:rsidRPr="00000000" w14:paraId="00000020">
      <w:pPr>
        <w:spacing w:after="240" w:before="240" w:lineRule="auto"/>
        <w:rPr>
          <w:color w:val="1d2125"/>
          <w:sz w:val="24"/>
          <w:szCs w:val="24"/>
          <w:highlight w:val="white"/>
        </w:rPr>
      </w:pPr>
      <w:r w:rsidDel="00000000" w:rsidR="00000000" w:rsidRPr="00000000">
        <w:rPr>
          <w:color w:val="1d2125"/>
          <w:sz w:val="24"/>
          <w:szCs w:val="24"/>
          <w:highlight w:val="white"/>
          <w:rtl w:val="0"/>
        </w:rPr>
        <w:t xml:space="preserve">Francis, J. A. (2009) ‘Visual and Verbal Representation: Image, Text, Person, and Power’, in P. Rousseau and J. Raithel (eds.) </w:t>
      </w:r>
      <w:r w:rsidDel="00000000" w:rsidR="00000000" w:rsidRPr="00000000">
        <w:rPr>
          <w:i w:val="1"/>
          <w:color w:val="1d2125"/>
          <w:sz w:val="24"/>
          <w:szCs w:val="24"/>
          <w:highlight w:val="white"/>
          <w:rtl w:val="0"/>
        </w:rPr>
        <w:t xml:space="preserve">A Companion to Late Antiquity</w:t>
      </w:r>
      <w:r w:rsidDel="00000000" w:rsidR="00000000" w:rsidRPr="00000000">
        <w:rPr>
          <w:color w:val="1d2125"/>
          <w:sz w:val="24"/>
          <w:szCs w:val="24"/>
          <w:highlight w:val="white"/>
          <w:rtl w:val="0"/>
        </w:rPr>
        <w:t xml:space="preserve">. Oxford: Wiley-Blackwell, pp. 285–305.</w:t>
      </w:r>
    </w:p>
    <w:p w:rsidR="00000000" w:rsidDel="00000000" w:rsidP="00000000" w:rsidRDefault="00000000" w:rsidRPr="00000000" w14:paraId="00000021">
      <w:pPr>
        <w:spacing w:after="240" w:before="240" w:lineRule="auto"/>
        <w:rPr>
          <w:color w:val="1d2125"/>
          <w:sz w:val="24"/>
          <w:szCs w:val="24"/>
          <w:highlight w:val="white"/>
        </w:rPr>
      </w:pPr>
      <w:r w:rsidDel="00000000" w:rsidR="00000000" w:rsidRPr="00000000">
        <w:rPr>
          <w:color w:val="1d2125"/>
          <w:sz w:val="24"/>
          <w:szCs w:val="24"/>
          <w:highlight w:val="white"/>
          <w:rtl w:val="0"/>
        </w:rPr>
        <w:t xml:space="preserve">Harley, F. (2009) ‘Christianity and the Transformation of Classical Art’, in P. Rousseau and J. Raithel (eds.) </w:t>
      </w:r>
      <w:r w:rsidDel="00000000" w:rsidR="00000000" w:rsidRPr="00000000">
        <w:rPr>
          <w:i w:val="1"/>
          <w:color w:val="1d2125"/>
          <w:sz w:val="24"/>
          <w:szCs w:val="24"/>
          <w:highlight w:val="white"/>
          <w:rtl w:val="0"/>
        </w:rPr>
        <w:t xml:space="preserve">A Companion to Late Antiquity</w:t>
      </w:r>
      <w:r w:rsidDel="00000000" w:rsidR="00000000" w:rsidRPr="00000000">
        <w:rPr>
          <w:color w:val="1d2125"/>
          <w:sz w:val="24"/>
          <w:szCs w:val="24"/>
          <w:highlight w:val="white"/>
          <w:rtl w:val="0"/>
        </w:rPr>
        <w:t xml:space="preserve">. Oxford: Wiley-Blackwell, pp. 306–326.</w:t>
      </w:r>
    </w:p>
    <w:p w:rsidR="00000000" w:rsidDel="00000000" w:rsidP="00000000" w:rsidRDefault="00000000" w:rsidRPr="00000000" w14:paraId="00000022">
      <w:pPr>
        <w:spacing w:after="240" w:before="240" w:lineRule="auto"/>
        <w:rPr>
          <w:color w:val="1d2125"/>
          <w:sz w:val="24"/>
          <w:szCs w:val="24"/>
          <w:highlight w:val="white"/>
        </w:rPr>
      </w:pPr>
      <w:r w:rsidDel="00000000" w:rsidR="00000000" w:rsidRPr="00000000">
        <w:rPr>
          <w:color w:val="1d2125"/>
          <w:sz w:val="24"/>
          <w:szCs w:val="24"/>
          <w:highlight w:val="white"/>
          <w:rtl w:val="0"/>
        </w:rPr>
        <w:t xml:space="preserve">Higgins, S. (2012) ‘Divine Mothers: The Influence of Isis on the Virgin Mary in Egyptian Lactans-Iconography’, </w:t>
      </w:r>
      <w:r w:rsidDel="00000000" w:rsidR="00000000" w:rsidRPr="00000000">
        <w:rPr>
          <w:i w:val="1"/>
          <w:color w:val="1d2125"/>
          <w:sz w:val="24"/>
          <w:szCs w:val="24"/>
          <w:highlight w:val="white"/>
          <w:rtl w:val="0"/>
        </w:rPr>
        <w:t xml:space="preserve">Journal of the Canadian Society for Coptic Studies</w:t>
      </w:r>
      <w:r w:rsidDel="00000000" w:rsidR="00000000" w:rsidRPr="00000000">
        <w:rPr>
          <w:color w:val="1d2125"/>
          <w:sz w:val="24"/>
          <w:szCs w:val="24"/>
          <w:highlight w:val="white"/>
          <w:rtl w:val="0"/>
        </w:rPr>
        <w:t xml:space="preserve">, 3–4, pp. 71–90.</w:t>
      </w:r>
    </w:p>
    <w:p w:rsidR="00000000" w:rsidDel="00000000" w:rsidP="00000000" w:rsidRDefault="00000000" w:rsidRPr="00000000" w14:paraId="00000023">
      <w:pPr>
        <w:spacing w:after="240" w:before="240" w:lineRule="auto"/>
        <w:rPr>
          <w:color w:val="1d2125"/>
          <w:sz w:val="24"/>
          <w:szCs w:val="24"/>
          <w:highlight w:val="white"/>
        </w:rPr>
      </w:pPr>
      <w:r w:rsidDel="00000000" w:rsidR="00000000" w:rsidRPr="00000000">
        <w:rPr>
          <w:color w:val="1d2125"/>
          <w:sz w:val="24"/>
          <w:szCs w:val="24"/>
          <w:highlight w:val="white"/>
          <w:rtl w:val="0"/>
        </w:rPr>
        <w:t xml:space="preserve">Jeffreys, D. (2003) </w:t>
      </w:r>
      <w:r w:rsidDel="00000000" w:rsidR="00000000" w:rsidRPr="00000000">
        <w:rPr>
          <w:color w:val="1d2125"/>
          <w:sz w:val="24"/>
          <w:szCs w:val="24"/>
          <w:highlight w:val="white"/>
          <w:rtl w:val="0"/>
        </w:rPr>
        <w:t xml:space="preserve">‘Collecting and scholarship: the Egyptian collections of the British Museum before the First World War’, in Caygill, M. and Cherry, J. (eds.) </w:t>
      </w:r>
      <w:r w:rsidDel="00000000" w:rsidR="00000000" w:rsidRPr="00000000">
        <w:rPr>
          <w:i w:val="1"/>
          <w:color w:val="1d2125"/>
          <w:sz w:val="24"/>
          <w:szCs w:val="24"/>
          <w:highlight w:val="white"/>
          <w:rtl w:val="0"/>
        </w:rPr>
        <w:t xml:space="preserve">A.W. Franks: Nineteenth-century collecting and the British Museum</w:t>
      </w:r>
      <w:r w:rsidDel="00000000" w:rsidR="00000000" w:rsidRPr="00000000">
        <w:rPr>
          <w:color w:val="1d2125"/>
          <w:sz w:val="24"/>
          <w:szCs w:val="24"/>
          <w:highlight w:val="white"/>
          <w:rtl w:val="0"/>
        </w:rPr>
        <w:t xml:space="preserve">. London: British Museum Press, pp. 85–98.</w:t>
      </w:r>
    </w:p>
    <w:p w:rsidR="00000000" w:rsidDel="00000000" w:rsidP="00000000" w:rsidRDefault="00000000" w:rsidRPr="00000000" w14:paraId="00000024">
      <w:pPr>
        <w:spacing w:after="240" w:before="240" w:lineRule="auto"/>
        <w:rPr>
          <w:color w:val="1d2125"/>
          <w:sz w:val="24"/>
          <w:szCs w:val="24"/>
          <w:highlight w:val="white"/>
        </w:rPr>
      </w:pPr>
      <w:r w:rsidDel="00000000" w:rsidR="00000000" w:rsidRPr="00000000">
        <w:rPr>
          <w:color w:val="1d2125"/>
          <w:sz w:val="24"/>
          <w:szCs w:val="24"/>
          <w:highlight w:val="white"/>
          <w:rtl w:val="0"/>
        </w:rPr>
        <w:t xml:space="preserve">Mansour, A. (2023) ‘Behind the Scene: Religion at the Service of Politics in Ancient Egypt: Views from Philae Island’, </w:t>
      </w:r>
      <w:r w:rsidDel="00000000" w:rsidR="00000000" w:rsidRPr="00000000">
        <w:rPr>
          <w:i w:val="1"/>
          <w:color w:val="1d2125"/>
          <w:sz w:val="24"/>
          <w:szCs w:val="24"/>
          <w:highlight w:val="white"/>
          <w:rtl w:val="0"/>
        </w:rPr>
        <w:t xml:space="preserve">[Journal/Book Title]</w:t>
      </w:r>
      <w:r w:rsidDel="00000000" w:rsidR="00000000" w:rsidRPr="00000000">
        <w:rPr>
          <w:color w:val="1d2125"/>
          <w:sz w:val="24"/>
          <w:szCs w:val="24"/>
          <w:highlight w:val="white"/>
          <w:rtl w:val="0"/>
        </w:rPr>
        <w:t xml:space="preserve">, pp. 199–211. Available at:</w:t>
      </w:r>
      <w:hyperlink r:id="rId9">
        <w:r w:rsidDel="00000000" w:rsidR="00000000" w:rsidRPr="00000000">
          <w:rPr>
            <w:color w:val="1d2125"/>
            <w:sz w:val="24"/>
            <w:szCs w:val="24"/>
            <w:highlight w:val="white"/>
            <w:rtl w:val="0"/>
          </w:rPr>
          <w:t xml:space="preserve"> </w:t>
        </w:r>
      </w:hyperlink>
      <w:hyperlink r:id="rId10">
        <w:r w:rsidDel="00000000" w:rsidR="00000000" w:rsidRPr="00000000">
          <w:rPr>
            <w:color w:val="1155cc"/>
            <w:sz w:val="24"/>
            <w:szCs w:val="24"/>
            <w:highlight w:val="white"/>
            <w:u w:val="single"/>
            <w:rtl w:val="0"/>
          </w:rPr>
          <w:t xml:space="preserve">https://doi.org/10.1515/9783110676327-011</w:t>
        </w:r>
      </w:hyperlink>
      <w:r w:rsidDel="00000000" w:rsidR="00000000" w:rsidRPr="00000000">
        <w:rPr>
          <w:color w:val="1d2125"/>
          <w:sz w:val="24"/>
          <w:szCs w:val="24"/>
          <w:highlight w:val="white"/>
          <w:rtl w:val="0"/>
        </w:rPr>
        <w:t xml:space="preserve"> [Accessed 12.3.2025].</w:t>
      </w:r>
    </w:p>
    <w:p w:rsidR="00000000" w:rsidDel="00000000" w:rsidP="00000000" w:rsidRDefault="00000000" w:rsidRPr="00000000" w14:paraId="00000025">
      <w:pPr>
        <w:spacing w:after="240" w:before="240" w:lineRule="auto"/>
        <w:rPr>
          <w:color w:val="1d2125"/>
          <w:sz w:val="24"/>
          <w:szCs w:val="24"/>
          <w:highlight w:val="white"/>
        </w:rPr>
      </w:pPr>
      <w:r w:rsidDel="00000000" w:rsidR="00000000" w:rsidRPr="00000000">
        <w:rPr>
          <w:color w:val="1d2125"/>
          <w:sz w:val="24"/>
          <w:szCs w:val="24"/>
          <w:highlight w:val="white"/>
          <w:rtl w:val="0"/>
        </w:rPr>
        <w:t xml:space="preserve">Mathews, T. F. and Muller, N. (2005) ‘Isis and Mary in early icons’, in Vassilaki, M. (ed.) </w:t>
      </w:r>
      <w:r w:rsidDel="00000000" w:rsidR="00000000" w:rsidRPr="00000000">
        <w:rPr>
          <w:i w:val="1"/>
          <w:color w:val="1d2125"/>
          <w:sz w:val="24"/>
          <w:szCs w:val="24"/>
          <w:highlight w:val="white"/>
          <w:rtl w:val="0"/>
        </w:rPr>
        <w:t xml:space="preserve">Images of the Mother of God: Perceptions of the Theotokos in Byzantium</w:t>
      </w:r>
      <w:r w:rsidDel="00000000" w:rsidR="00000000" w:rsidRPr="00000000">
        <w:rPr>
          <w:color w:val="1d2125"/>
          <w:sz w:val="24"/>
          <w:szCs w:val="24"/>
          <w:highlight w:val="white"/>
          <w:rtl w:val="0"/>
        </w:rPr>
        <w:t xml:space="preserve">. 1st edn. London: Routledge.</w:t>
      </w:r>
    </w:p>
    <w:p w:rsidR="00000000" w:rsidDel="00000000" w:rsidP="00000000" w:rsidRDefault="00000000" w:rsidRPr="00000000" w14:paraId="00000026">
      <w:pPr>
        <w:spacing w:after="240" w:before="240" w:lineRule="auto"/>
        <w:rPr>
          <w:color w:val="1d2125"/>
          <w:sz w:val="24"/>
          <w:szCs w:val="24"/>
          <w:highlight w:val="white"/>
        </w:rPr>
      </w:pPr>
      <w:r w:rsidDel="00000000" w:rsidR="00000000" w:rsidRPr="00000000">
        <w:rPr>
          <w:color w:val="1d2125"/>
          <w:sz w:val="24"/>
          <w:szCs w:val="24"/>
          <w:highlight w:val="white"/>
          <w:rtl w:val="0"/>
        </w:rPr>
        <w:t xml:space="preserve">Potter, D. S. (2004) </w:t>
      </w:r>
      <w:r w:rsidDel="00000000" w:rsidR="00000000" w:rsidRPr="00000000">
        <w:rPr>
          <w:i w:val="1"/>
          <w:color w:val="1d2125"/>
          <w:sz w:val="24"/>
          <w:szCs w:val="24"/>
          <w:highlight w:val="white"/>
          <w:rtl w:val="0"/>
        </w:rPr>
        <w:t xml:space="preserve">The Roman Empire at Bay, AD 180–395</w:t>
      </w:r>
      <w:r w:rsidDel="00000000" w:rsidR="00000000" w:rsidRPr="00000000">
        <w:rPr>
          <w:color w:val="1d2125"/>
          <w:sz w:val="24"/>
          <w:szCs w:val="24"/>
          <w:highlight w:val="white"/>
          <w:rtl w:val="0"/>
        </w:rPr>
        <w:t xml:space="preserve">. London: Taylor and Francis.</w:t>
      </w:r>
    </w:p>
    <w:p w:rsidR="00000000" w:rsidDel="00000000" w:rsidP="00000000" w:rsidRDefault="00000000" w:rsidRPr="00000000" w14:paraId="00000027">
      <w:pPr>
        <w:spacing w:after="240" w:before="240" w:lineRule="auto"/>
        <w:rPr>
          <w:color w:val="1d2125"/>
          <w:sz w:val="24"/>
          <w:szCs w:val="24"/>
          <w:highlight w:val="white"/>
        </w:rPr>
      </w:pPr>
      <w:r w:rsidDel="00000000" w:rsidR="00000000" w:rsidRPr="00000000">
        <w:rPr>
          <w:color w:val="1d2125"/>
          <w:sz w:val="24"/>
          <w:szCs w:val="24"/>
          <w:highlight w:val="white"/>
          <w:rtl w:val="0"/>
        </w:rPr>
        <w:t xml:space="preserve">Themelis, P. (2011) ‘The cult of Isis at ancient Messene’, </w:t>
      </w:r>
      <w:r w:rsidDel="00000000" w:rsidR="00000000" w:rsidRPr="00000000">
        <w:rPr>
          <w:i w:val="1"/>
          <w:color w:val="1d2125"/>
          <w:sz w:val="24"/>
          <w:szCs w:val="24"/>
          <w:highlight w:val="white"/>
          <w:rtl w:val="0"/>
        </w:rPr>
        <w:t xml:space="preserve">Bibliotheca Isiaca</w:t>
      </w:r>
      <w:r w:rsidDel="00000000" w:rsidR="00000000" w:rsidRPr="00000000">
        <w:rPr>
          <w:color w:val="1d2125"/>
          <w:sz w:val="24"/>
          <w:szCs w:val="24"/>
          <w:highlight w:val="white"/>
          <w:rtl w:val="0"/>
        </w:rPr>
        <w:t xml:space="preserve">, 2, pp. 97–109.</w:t>
      </w:r>
    </w:p>
    <w:p w:rsidR="00000000" w:rsidDel="00000000" w:rsidP="00000000" w:rsidRDefault="00000000" w:rsidRPr="00000000" w14:paraId="00000028">
      <w:pPr>
        <w:spacing w:after="240" w:before="240" w:lineRule="auto"/>
        <w:rPr>
          <w:color w:val="1d2125"/>
          <w:sz w:val="24"/>
          <w:szCs w:val="24"/>
          <w:highlight w:val="white"/>
        </w:rPr>
      </w:pPr>
      <w:r w:rsidDel="00000000" w:rsidR="00000000" w:rsidRPr="00000000">
        <w:rPr>
          <w:color w:val="1d2125"/>
          <w:sz w:val="24"/>
          <w:szCs w:val="24"/>
          <w:highlight w:val="white"/>
          <w:rtl w:val="0"/>
        </w:rPr>
        <w:t xml:space="preserve">Zosimus (2001) </w:t>
      </w:r>
      <w:r w:rsidDel="00000000" w:rsidR="00000000" w:rsidRPr="00000000">
        <w:rPr>
          <w:i w:val="1"/>
          <w:color w:val="1d2125"/>
          <w:sz w:val="24"/>
          <w:szCs w:val="24"/>
          <w:highlight w:val="white"/>
          <w:rtl w:val="0"/>
        </w:rPr>
        <w:t xml:space="preserve">New History</w:t>
      </w:r>
      <w:r w:rsidDel="00000000" w:rsidR="00000000" w:rsidRPr="00000000">
        <w:rPr>
          <w:color w:val="1d2125"/>
          <w:sz w:val="24"/>
          <w:szCs w:val="24"/>
          <w:highlight w:val="white"/>
          <w:rtl w:val="0"/>
        </w:rPr>
        <w:t xml:space="preserve">. Translated by J.J. Buchanan and H.T. Davis. London: Green and Co.</w:t>
      </w:r>
    </w:p>
    <w:p w:rsidR="00000000" w:rsidDel="00000000" w:rsidP="00000000" w:rsidRDefault="00000000" w:rsidRPr="00000000" w14:paraId="00000029">
      <w:pPr>
        <w:shd w:fill="ffffff" w:val="clear"/>
        <w:spacing w:after="240" w:lineRule="auto"/>
        <w:rPr>
          <w:color w:val="1d2125"/>
          <w:sz w:val="24"/>
          <w:szCs w:val="24"/>
        </w:rPr>
      </w:pPr>
      <w:r w:rsidDel="00000000" w:rsidR="00000000" w:rsidRPr="00000000">
        <w:rPr>
          <w:color w:val="1d2125"/>
          <w:sz w:val="24"/>
          <w:szCs w:val="24"/>
          <w:rtl w:val="0"/>
        </w:rPr>
        <w:t xml:space="preserve">Reid, D.M. (2002) </w:t>
      </w:r>
      <w:r w:rsidDel="00000000" w:rsidR="00000000" w:rsidRPr="00000000">
        <w:rPr>
          <w:i w:val="1"/>
          <w:color w:val="1d2125"/>
          <w:sz w:val="24"/>
          <w:szCs w:val="24"/>
          <w:rtl w:val="0"/>
        </w:rPr>
        <w:t xml:space="preserve">Whose Pharaohs? Archaeology, museums, and Egyptian national identity from Napoleon to World War I</w:t>
      </w:r>
      <w:r w:rsidDel="00000000" w:rsidR="00000000" w:rsidRPr="00000000">
        <w:rPr>
          <w:color w:val="1d2125"/>
          <w:sz w:val="24"/>
          <w:szCs w:val="24"/>
          <w:rtl w:val="0"/>
        </w:rPr>
        <w:t xml:space="preserve">. Berkeley, CA: University of California Press.</w:t>
        <w:br w:type="textWrapping"/>
      </w:r>
    </w:p>
    <w:p w:rsidR="00000000" w:rsidDel="00000000" w:rsidP="00000000" w:rsidRDefault="00000000" w:rsidRPr="00000000" w14:paraId="0000002A">
      <w:pPr>
        <w:shd w:fill="ffffff" w:val="clear"/>
        <w:spacing w:after="240" w:lineRule="auto"/>
        <w:rPr>
          <w:color w:val="1d2125"/>
          <w:sz w:val="24"/>
          <w:szCs w:val="24"/>
        </w:rPr>
      </w:pPr>
      <w:r w:rsidDel="00000000" w:rsidR="00000000" w:rsidRPr="00000000">
        <w:rPr>
          <w:color w:val="1d2125"/>
          <w:sz w:val="24"/>
          <w:szCs w:val="24"/>
          <w:rtl w:val="0"/>
        </w:rPr>
        <w:t xml:space="preserve">Riggs, C. (2014) </w:t>
      </w:r>
      <w:r w:rsidDel="00000000" w:rsidR="00000000" w:rsidRPr="00000000">
        <w:rPr>
          <w:i w:val="1"/>
          <w:color w:val="1d2125"/>
          <w:sz w:val="24"/>
          <w:szCs w:val="24"/>
          <w:rtl w:val="0"/>
        </w:rPr>
        <w:t xml:space="preserve">Unwrapping ancient Egypt</w:t>
      </w:r>
      <w:r w:rsidDel="00000000" w:rsidR="00000000" w:rsidRPr="00000000">
        <w:rPr>
          <w:color w:val="1d2125"/>
          <w:sz w:val="24"/>
          <w:szCs w:val="24"/>
          <w:rtl w:val="0"/>
        </w:rPr>
        <w:t xml:space="preserve">. London: Bloomsbury.</w:t>
      </w:r>
    </w:p>
    <w:p w:rsidR="00000000" w:rsidDel="00000000" w:rsidP="00000000" w:rsidRDefault="00000000" w:rsidRPr="00000000" w14:paraId="0000002B">
      <w:pPr>
        <w:shd w:fill="ffffff" w:val="clear"/>
        <w:spacing w:after="240" w:lineRule="auto"/>
        <w:rPr>
          <w:color w:val="1d2125"/>
          <w:sz w:val="24"/>
          <w:szCs w:val="24"/>
        </w:rPr>
      </w:pPr>
      <w:r w:rsidDel="00000000" w:rsidR="00000000" w:rsidRPr="00000000">
        <w:rPr>
          <w:rtl w:val="0"/>
        </w:rPr>
      </w:r>
    </w:p>
    <w:p w:rsidR="00000000" w:rsidDel="00000000" w:rsidP="00000000" w:rsidRDefault="00000000" w:rsidRPr="00000000" w14:paraId="0000002C">
      <w:pPr>
        <w:spacing w:after="240" w:before="240" w:lineRule="auto"/>
        <w:rPr>
          <w:b w:val="1"/>
          <w:i w:val="1"/>
          <w:color w:val="1d2125"/>
          <w:highlight w:val="white"/>
        </w:rPr>
      </w:pPr>
      <w:r w:rsidDel="00000000" w:rsidR="00000000" w:rsidRPr="00000000">
        <w:rPr>
          <w:rtl w:val="0"/>
        </w:rPr>
      </w:r>
    </w:p>
    <w:p w:rsidR="00000000" w:rsidDel="00000000" w:rsidP="00000000" w:rsidRDefault="00000000" w:rsidRPr="00000000" w14:paraId="0000002D">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2E">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2F">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30">
      <w:pPr>
        <w:spacing w:line="360" w:lineRule="auto"/>
        <w:rPr>
          <w:sz w:val="24"/>
          <w:szCs w:val="24"/>
        </w:rPr>
      </w:pPr>
      <w:r w:rsidDel="00000000" w:rsidR="00000000" w:rsidRPr="00000000">
        <w:rPr>
          <w:rtl w:val="0"/>
        </w:rPr>
      </w:r>
    </w:p>
    <w:sectPr>
      <w:footerReference r:id="rId11"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1">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03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For discussions on this topic, see Riggs (2014), Reid (2002), and Jeffreys (2003).</w:t>
      </w:r>
    </w:p>
  </w:footnote>
  <w:footnote w:id="2">
    <w:p w:rsidR="00000000" w:rsidDel="00000000" w:rsidP="00000000" w:rsidRDefault="00000000" w:rsidRPr="00000000" w14:paraId="0000003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Legally by AD 392, pagan cult activity became equated with "treason (maiestas) - Cod. Theod. 16.10.12.1.</w:t>
      </w:r>
    </w:p>
  </w:footnote>
  <w:footnote w:id="3">
    <w:p w:rsidR="00000000" w:rsidDel="00000000" w:rsidP="00000000" w:rsidRDefault="00000000" w:rsidRPr="00000000" w14:paraId="0000003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Meroitic presence at Philae is recorded to start in the 2nd century CE and peak in the 3rd century CE during the decline of Meroe (Mansour, 2023, p. 203). They continued to be present at Philae until the beginning of the 4th century CE and then control of the area was taken over by the Nobades and Blemmyes after Diocletian’s withdrawal to Elephantine in 298 CE (Mansour, 2023, p. 204).</w:t>
      </w:r>
    </w:p>
  </w:footnote>
  <w:footnote w:id="1">
    <w:p w:rsidR="00000000" w:rsidDel="00000000" w:rsidP="00000000" w:rsidRDefault="00000000" w:rsidRPr="00000000" w14:paraId="0000003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Cod. Theod. 16.10.3 (issued in 342 CE by Emperor Constans) decreed that temple buildings located outside city walls should remain intact and unviolated if they were linked to traditional public entertainments, such as plays or athletic contests. </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11" Type="http://schemas.openxmlformats.org/officeDocument/2006/relationships/footer" Target="footer1.xml"/><Relationship Id="rId10" Type="http://schemas.openxmlformats.org/officeDocument/2006/relationships/hyperlink" Target="https://doi.org/10.1515/9783110676327-011" TargetMode="External"/><Relationship Id="rId9" Type="http://schemas.openxmlformats.org/officeDocument/2006/relationships/hyperlink" Target="https://doi.org/10.1515/9783110676327-011"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