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B75AD" w14:textId="672D99DD" w:rsidR="00EE6F35" w:rsidRDefault="00EE6F35" w:rsidP="00166F6D">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Luke Pratlett</w:t>
      </w:r>
    </w:p>
    <w:p w14:paraId="5B749956" w14:textId="7509E397" w:rsidR="00EE6F35" w:rsidRDefault="000E5206" w:rsidP="00166F6D">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2031</w:t>
      </w:r>
      <w:r w:rsidR="00962BE5">
        <w:rPr>
          <w:rFonts w:ascii="Arial" w:eastAsia="Times New Roman" w:hAnsi="Arial" w:cs="Arial"/>
          <w:b/>
          <w:bCs/>
          <w:lang w:eastAsia="en-GB"/>
        </w:rPr>
        <w:t>338</w:t>
      </w:r>
    </w:p>
    <w:p w14:paraId="176D046E" w14:textId="2E78F2BC" w:rsidR="00962BE5" w:rsidRPr="00962BE5" w:rsidRDefault="00962BE5" w:rsidP="00166F6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Module - </w:t>
      </w:r>
      <w:r>
        <w:rPr>
          <w:rFonts w:ascii="Arial" w:eastAsia="Times New Roman" w:hAnsi="Arial" w:cs="Arial"/>
          <w:b/>
          <w:lang w:eastAsia="en-GB"/>
        </w:rPr>
        <w:t>BMPP5002D</w:t>
      </w:r>
      <w:r w:rsidR="001A3C17">
        <w:rPr>
          <w:rFonts w:ascii="Arial" w:eastAsia="Times New Roman" w:hAnsi="Arial" w:cs="Arial"/>
          <w:b/>
          <w:lang w:eastAsia="en-GB"/>
        </w:rPr>
        <w:t xml:space="preserve"> – Assignment 1</w:t>
      </w:r>
    </w:p>
    <w:p w14:paraId="583506E6" w14:textId="77777777" w:rsidR="00EE6F35" w:rsidRDefault="00EE6F35" w:rsidP="00166F6D">
      <w:pPr>
        <w:spacing w:after="0" w:line="276" w:lineRule="auto"/>
        <w:ind w:left="567" w:right="531"/>
        <w:rPr>
          <w:rFonts w:ascii="Arial" w:eastAsia="Times New Roman" w:hAnsi="Arial" w:cs="Arial"/>
          <w:b/>
          <w:bCs/>
          <w:lang w:eastAsia="en-GB"/>
        </w:rPr>
      </w:pPr>
    </w:p>
    <w:p w14:paraId="667E2807" w14:textId="77777777" w:rsidR="00EE6F35" w:rsidRDefault="00EE6F35" w:rsidP="00166F6D">
      <w:pPr>
        <w:spacing w:after="0" w:line="276" w:lineRule="auto"/>
        <w:ind w:left="567" w:right="531"/>
        <w:rPr>
          <w:rFonts w:ascii="Arial" w:eastAsia="Times New Roman" w:hAnsi="Arial" w:cs="Arial"/>
          <w:b/>
          <w:bCs/>
          <w:lang w:eastAsia="en-GB"/>
        </w:rPr>
      </w:pPr>
    </w:p>
    <w:p w14:paraId="35BF460F" w14:textId="05569AD2" w:rsidR="00166F6D" w:rsidRDefault="00166F6D" w:rsidP="00166F6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14:paraId="05EF856B" w14:textId="77777777" w:rsidR="00166F6D" w:rsidRDefault="00166F6D" w:rsidP="00166F6D">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Examine</w:t>
      </w:r>
      <w:r w:rsidRPr="006C3C20">
        <w:rPr>
          <w:rFonts w:ascii="Arial" w:eastAsia="Times New Roman" w:hAnsi="Arial" w:cs="Arial"/>
          <w:lang w:eastAsia="en-GB"/>
        </w:rPr>
        <w:t xml:space="preserve"> </w:t>
      </w:r>
      <w:r>
        <w:rPr>
          <w:rFonts w:ascii="Arial" w:eastAsia="Times New Roman" w:hAnsi="Arial" w:cs="Arial"/>
          <w:lang w:eastAsia="en-GB"/>
        </w:rPr>
        <w:t xml:space="preserve">how prominent cases of police misconduct or malpractice have influenced current professional policing policies. </w:t>
      </w:r>
      <w:r>
        <w:rPr>
          <w:rFonts w:ascii="Arial" w:eastAsia="Times New Roman" w:hAnsi="Arial" w:cs="Arial"/>
          <w:u w:val="single"/>
          <w:lang w:eastAsia="en-GB"/>
        </w:rPr>
        <w:t>Evaluate</w:t>
      </w:r>
      <w:r>
        <w:rPr>
          <w:rFonts w:ascii="Arial" w:eastAsia="Times New Roman" w:hAnsi="Arial" w:cs="Arial"/>
          <w:lang w:eastAsia="en-GB"/>
        </w:rPr>
        <w:t xml:space="preserve"> how these policies have increased community confidence in the police, with reference to the Code of Ethics. </w:t>
      </w:r>
    </w:p>
    <w:p w14:paraId="50DE16C9" w14:textId="77777777" w:rsidR="00166F6D" w:rsidRPr="004558ED" w:rsidRDefault="00166F6D" w:rsidP="00166F6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answer should be based on academic research rather than personal experience, but you may </w:t>
      </w:r>
      <w:proofErr w:type="gramStart"/>
      <w:r>
        <w:rPr>
          <w:rFonts w:ascii="Arial" w:eastAsia="Times New Roman" w:hAnsi="Arial" w:cs="Arial"/>
          <w:lang w:eastAsia="en-GB"/>
        </w:rPr>
        <w:t>make reference</w:t>
      </w:r>
      <w:proofErr w:type="gramEnd"/>
      <w:r>
        <w:rPr>
          <w:rFonts w:ascii="Arial" w:eastAsia="Times New Roman" w:hAnsi="Arial" w:cs="Arial"/>
          <w:lang w:eastAsia="en-GB"/>
        </w:rPr>
        <w:t xml:space="preserve"> to relevant case studies.</w:t>
      </w:r>
    </w:p>
    <w:p w14:paraId="731D10B5" w14:textId="77777777" w:rsidR="00166F6D" w:rsidRPr="006C3C20" w:rsidRDefault="00166F6D" w:rsidP="00166F6D">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3D16DAFA" w14:textId="77777777" w:rsidR="00166F6D" w:rsidRPr="001F508B" w:rsidRDefault="00166F6D" w:rsidP="00166F6D">
      <w:pPr>
        <w:rPr>
          <w:rFonts w:ascii="Arial" w:hAnsi="Arial" w:cs="Arial"/>
        </w:rPr>
      </w:pPr>
    </w:p>
    <w:p w14:paraId="30DB7FF7" w14:textId="77777777" w:rsidR="00166F6D" w:rsidRDefault="00166F6D" w:rsidP="00166F6D">
      <w:pPr>
        <w:rPr>
          <w:rFonts w:ascii="Arial" w:hAnsi="Arial" w:cs="Arial"/>
        </w:rPr>
      </w:pPr>
      <w:r>
        <w:rPr>
          <w:rFonts w:ascii="Arial" w:hAnsi="Arial" w:cs="Arial"/>
        </w:rPr>
        <w:t>This essay will</w:t>
      </w:r>
      <w:r w:rsidRPr="001F508B">
        <w:rPr>
          <w:rFonts w:ascii="Arial" w:hAnsi="Arial" w:cs="Arial"/>
        </w:rPr>
        <w:t xml:space="preserve"> be d</w:t>
      </w:r>
      <w:r>
        <w:rPr>
          <w:rFonts w:ascii="Arial" w:hAnsi="Arial" w:cs="Arial"/>
        </w:rPr>
        <w:t xml:space="preserve">iscussing and examining how cases of police misconduct and police malpractice have influenced the current policing policies within national police forces. It will also be evaluating how these policing policies have increased community confidence in the police. </w:t>
      </w:r>
    </w:p>
    <w:p w14:paraId="6FC8E3B8" w14:textId="18106C94" w:rsidR="00166F6D" w:rsidRDefault="00166F6D" w:rsidP="00166F6D">
      <w:pPr>
        <w:rPr>
          <w:rFonts w:ascii="Arial" w:hAnsi="Arial" w:cs="Arial"/>
        </w:rPr>
      </w:pPr>
      <w:r>
        <w:rPr>
          <w:rFonts w:ascii="Arial" w:hAnsi="Arial" w:cs="Arial"/>
        </w:rPr>
        <w:t xml:space="preserve">The first police malpractice that will be examined that had an influence on current policing policies is the Brixton riots in 1981 and the police officers use of “sus law” and how this led to the Scarman Enquiry and the creation of the Police and Criminal Evidence Act 1984 </w:t>
      </w:r>
      <w:sdt>
        <w:sdtPr>
          <w:rPr>
            <w:rFonts w:ascii="Arial" w:hAnsi="Arial" w:cs="Arial"/>
          </w:rPr>
          <w:id w:val="-1194377432"/>
          <w:citation/>
        </w:sdtPr>
        <w:sdtContent>
          <w:r>
            <w:rPr>
              <w:rFonts w:ascii="Arial" w:hAnsi="Arial" w:cs="Arial"/>
            </w:rPr>
            <w:fldChar w:fldCharType="begin"/>
          </w:r>
          <w:r>
            <w:rPr>
              <w:rFonts w:ascii="Arial" w:hAnsi="Arial" w:cs="Arial"/>
            </w:rPr>
            <w:instrText xml:space="preserve"> CITATION Put13 \l 2057 </w:instrText>
          </w:r>
          <w:r>
            <w:rPr>
              <w:rFonts w:ascii="Arial" w:hAnsi="Arial" w:cs="Arial"/>
            </w:rPr>
            <w:fldChar w:fldCharType="separate"/>
          </w:r>
          <w:r w:rsidRPr="00166F6D">
            <w:rPr>
              <w:rFonts w:ascii="Arial" w:hAnsi="Arial" w:cs="Arial"/>
              <w:noProof/>
            </w:rPr>
            <w:t>(Puttick K. , 2013)</w:t>
          </w:r>
          <w:r>
            <w:rPr>
              <w:rFonts w:ascii="Arial" w:hAnsi="Arial" w:cs="Arial"/>
            </w:rPr>
            <w:fldChar w:fldCharType="end"/>
          </w:r>
        </w:sdtContent>
      </w:sdt>
      <w:r>
        <w:rPr>
          <w:rFonts w:ascii="Arial" w:hAnsi="Arial" w:cs="Arial"/>
        </w:rPr>
        <w:t xml:space="preserve">. In 1981, police launched operation swamp within the community of Brixton with the aim to lower the amount of street crime within the area. Police stopped and searched more than 1000 people over a 6-day period and used “Sus Law”, which was the power given to police by the Vagrancy Act 1824 whereby an officer could stop and search a person purely based on suspicion </w:t>
      </w:r>
      <w:sdt>
        <w:sdtPr>
          <w:rPr>
            <w:rFonts w:ascii="Arial" w:hAnsi="Arial" w:cs="Arial"/>
          </w:rPr>
          <w:id w:val="-392512911"/>
          <w:citation/>
        </w:sdtPr>
        <w:sdtContent>
          <w:r>
            <w:rPr>
              <w:rFonts w:ascii="Arial" w:hAnsi="Arial" w:cs="Arial"/>
            </w:rPr>
            <w:fldChar w:fldCharType="begin"/>
          </w:r>
          <w:r>
            <w:rPr>
              <w:rFonts w:ascii="Arial" w:hAnsi="Arial" w:cs="Arial"/>
            </w:rPr>
            <w:instrText xml:space="preserve"> CITATION Kee17 \l 2057 </w:instrText>
          </w:r>
          <w:r>
            <w:rPr>
              <w:rFonts w:ascii="Arial" w:hAnsi="Arial" w:cs="Arial"/>
            </w:rPr>
            <w:fldChar w:fldCharType="separate"/>
          </w:r>
          <w:r w:rsidRPr="00166F6D">
            <w:rPr>
              <w:rFonts w:ascii="Arial" w:hAnsi="Arial" w:cs="Arial"/>
              <w:noProof/>
            </w:rPr>
            <w:t>(Keeling, 2017)</w:t>
          </w:r>
          <w:r>
            <w:rPr>
              <w:rFonts w:ascii="Arial" w:hAnsi="Arial" w:cs="Arial"/>
            </w:rPr>
            <w:fldChar w:fldCharType="end"/>
          </w:r>
        </w:sdtContent>
      </w:sdt>
      <w:r>
        <w:rPr>
          <w:rFonts w:ascii="Arial" w:hAnsi="Arial" w:cs="Arial"/>
        </w:rPr>
        <w:t xml:space="preserve">. Due to the high number of stop searches carried out by officers over this 6-day period, riots started in Brixton between young black youths and Police officers. One of the main causes of the riots was the oppressive use of the stop and search against the young black members within the community </w:t>
      </w:r>
      <w:sdt>
        <w:sdtPr>
          <w:rPr>
            <w:rFonts w:ascii="Arial" w:hAnsi="Arial" w:cs="Arial"/>
          </w:rPr>
          <w:id w:val="1951266634"/>
          <w:citation/>
        </w:sdtPr>
        <w:sdtContent>
          <w:r>
            <w:rPr>
              <w:rFonts w:ascii="Arial" w:hAnsi="Arial" w:cs="Arial"/>
            </w:rPr>
            <w:fldChar w:fldCharType="begin"/>
          </w:r>
          <w:r>
            <w:rPr>
              <w:rFonts w:ascii="Arial" w:hAnsi="Arial" w:cs="Arial"/>
            </w:rPr>
            <w:instrText xml:space="preserve"> CITATION Lea12 \l 2057 </w:instrText>
          </w:r>
          <w:r>
            <w:rPr>
              <w:rFonts w:ascii="Arial" w:hAnsi="Arial" w:cs="Arial"/>
            </w:rPr>
            <w:fldChar w:fldCharType="separate"/>
          </w:r>
          <w:r w:rsidRPr="00166F6D">
            <w:rPr>
              <w:rFonts w:ascii="Arial" w:hAnsi="Arial" w:cs="Arial"/>
              <w:noProof/>
            </w:rPr>
            <w:t>(Lea &amp; Hallsworth, 2012)</w:t>
          </w:r>
          <w:r>
            <w:rPr>
              <w:rFonts w:ascii="Arial" w:hAnsi="Arial" w:cs="Arial"/>
            </w:rPr>
            <w:fldChar w:fldCharType="end"/>
          </w:r>
        </w:sdtContent>
      </w:sdt>
      <w:r>
        <w:rPr>
          <w:rFonts w:ascii="Arial" w:hAnsi="Arial" w:cs="Arial"/>
        </w:rPr>
        <w:t>. After the riots in Brixton had ceased, Lord Scarman conducted a report looking into the cause of the riots and what could be done to improve policing. Lord Scarman said in his report that although nothing could excuse the lawlessness of the rioting, he found that improvements and reforms were necessary within the police</w:t>
      </w:r>
      <w:sdt>
        <w:sdtPr>
          <w:rPr>
            <w:rFonts w:ascii="Arial" w:hAnsi="Arial" w:cs="Arial"/>
          </w:rPr>
          <w:id w:val="-1900899702"/>
          <w:citation/>
        </w:sdtPr>
        <w:sdtContent>
          <w:r>
            <w:rPr>
              <w:rFonts w:ascii="Arial" w:hAnsi="Arial" w:cs="Arial"/>
            </w:rPr>
            <w:fldChar w:fldCharType="begin"/>
          </w:r>
          <w:r>
            <w:rPr>
              <w:rFonts w:ascii="Arial" w:hAnsi="Arial" w:cs="Arial"/>
            </w:rPr>
            <w:instrText xml:space="preserve"> CITATION Tay14 \l 2057 </w:instrText>
          </w:r>
          <w:r>
            <w:rPr>
              <w:rFonts w:ascii="Arial" w:hAnsi="Arial" w:cs="Arial"/>
            </w:rPr>
            <w:fldChar w:fldCharType="separate"/>
          </w:r>
          <w:r>
            <w:rPr>
              <w:rFonts w:ascii="Arial" w:hAnsi="Arial" w:cs="Arial"/>
              <w:noProof/>
            </w:rPr>
            <w:t xml:space="preserve"> </w:t>
          </w:r>
          <w:r w:rsidRPr="00166F6D">
            <w:rPr>
              <w:rFonts w:ascii="Arial" w:hAnsi="Arial" w:cs="Arial"/>
              <w:noProof/>
            </w:rPr>
            <w:t>(Taylor, 2014)</w:t>
          </w:r>
          <w:r>
            <w:rPr>
              <w:rFonts w:ascii="Arial" w:hAnsi="Arial" w:cs="Arial"/>
            </w:rPr>
            <w:fldChar w:fldCharType="end"/>
          </w:r>
        </w:sdtContent>
      </w:sdt>
      <w:r>
        <w:rPr>
          <w:rFonts w:ascii="Arial" w:hAnsi="Arial" w:cs="Arial"/>
        </w:rPr>
        <w:t xml:space="preserve">. In the aftermath of Lord Scarman’s enquiry into the Brixton riots, the government passed the legislation for the Police and Criminal Evidence Act 1984 which would regulate police powers and their use. This would cover things like the power of stop and search, arrest, and detention; and the treatment and questioning of persons detained whilst under investigation for a crime </w:t>
      </w:r>
      <w:sdt>
        <w:sdtPr>
          <w:rPr>
            <w:rFonts w:ascii="Arial" w:hAnsi="Arial" w:cs="Arial"/>
          </w:rPr>
          <w:id w:val="-911073561"/>
          <w:citation/>
        </w:sdtPr>
        <w:sdtContent>
          <w:r>
            <w:rPr>
              <w:rFonts w:ascii="Arial" w:hAnsi="Arial" w:cs="Arial"/>
            </w:rPr>
            <w:fldChar w:fldCharType="begin"/>
          </w:r>
          <w:r>
            <w:rPr>
              <w:rFonts w:ascii="Arial" w:hAnsi="Arial" w:cs="Arial"/>
            </w:rPr>
            <w:instrText xml:space="preserve"> CITATION Kei13 \l 2057 </w:instrText>
          </w:r>
          <w:r>
            <w:rPr>
              <w:rFonts w:ascii="Arial" w:hAnsi="Arial" w:cs="Arial"/>
            </w:rPr>
            <w:fldChar w:fldCharType="separate"/>
          </w:r>
          <w:r w:rsidRPr="00166F6D">
            <w:rPr>
              <w:rFonts w:ascii="Arial" w:hAnsi="Arial" w:cs="Arial"/>
              <w:noProof/>
            </w:rPr>
            <w:t>(Puttick K. , 2013)</w:t>
          </w:r>
          <w:r>
            <w:rPr>
              <w:rFonts w:ascii="Arial" w:hAnsi="Arial" w:cs="Arial"/>
            </w:rPr>
            <w:fldChar w:fldCharType="end"/>
          </w:r>
        </w:sdtContent>
      </w:sdt>
      <w:r>
        <w:rPr>
          <w:rFonts w:ascii="Arial" w:hAnsi="Arial" w:cs="Arial"/>
        </w:rPr>
        <w:t xml:space="preserve">. Since the introduction of the Police and Criminal Evidence Act 1984, it has been mostly successful and has been “one of the most significant developments in modern policing”. However, even though the English justice system has been branded as being institutionally racist, and the Police and Criminal Evidence Act 1984 coming under criticism for giving the judiciary </w:t>
      </w:r>
      <w:proofErr w:type="spellStart"/>
      <w:r>
        <w:rPr>
          <w:rFonts w:ascii="Arial" w:hAnsi="Arial" w:cs="Arial"/>
        </w:rPr>
        <w:t>to</w:t>
      </w:r>
      <w:proofErr w:type="spellEnd"/>
      <w:r>
        <w:rPr>
          <w:rFonts w:ascii="Arial" w:hAnsi="Arial" w:cs="Arial"/>
        </w:rPr>
        <w:t xml:space="preserve"> much power, the overall perception and public opinion of the police service has largely improved </w:t>
      </w:r>
      <w:sdt>
        <w:sdtPr>
          <w:rPr>
            <w:rFonts w:ascii="Arial" w:hAnsi="Arial" w:cs="Arial"/>
          </w:rPr>
          <w:id w:val="373435423"/>
          <w:citation/>
        </w:sdtPr>
        <w:sdtContent>
          <w:r>
            <w:rPr>
              <w:rFonts w:ascii="Arial" w:hAnsi="Arial" w:cs="Arial"/>
            </w:rPr>
            <w:fldChar w:fldCharType="begin"/>
          </w:r>
          <w:r>
            <w:rPr>
              <w:rFonts w:ascii="Arial" w:hAnsi="Arial" w:cs="Arial"/>
            </w:rPr>
            <w:instrText xml:space="preserve"> CITATION Tea19 \l 2057 </w:instrText>
          </w:r>
          <w:r>
            <w:rPr>
              <w:rFonts w:ascii="Arial" w:hAnsi="Arial" w:cs="Arial"/>
            </w:rPr>
            <w:fldChar w:fldCharType="separate"/>
          </w:r>
          <w:r w:rsidRPr="00166F6D">
            <w:rPr>
              <w:rFonts w:ascii="Arial" w:hAnsi="Arial" w:cs="Arial"/>
              <w:noProof/>
            </w:rPr>
            <w:t>(Teacher, 2019)</w:t>
          </w:r>
          <w:r>
            <w:rPr>
              <w:rFonts w:ascii="Arial" w:hAnsi="Arial" w:cs="Arial"/>
            </w:rPr>
            <w:fldChar w:fldCharType="end"/>
          </w:r>
        </w:sdtContent>
      </w:sdt>
      <w:r>
        <w:rPr>
          <w:rFonts w:ascii="Arial" w:hAnsi="Arial" w:cs="Arial"/>
        </w:rPr>
        <w:t xml:space="preserve">. PACE 1984 has evolved since its introduction in 1984, but it has guided policing </w:t>
      </w:r>
      <w:proofErr w:type="spellStart"/>
      <w:r>
        <w:rPr>
          <w:rFonts w:ascii="Arial" w:hAnsi="Arial" w:cs="Arial"/>
        </w:rPr>
        <w:t>along side</w:t>
      </w:r>
      <w:proofErr w:type="spellEnd"/>
      <w:r>
        <w:rPr>
          <w:rFonts w:ascii="Arial" w:hAnsi="Arial" w:cs="Arial"/>
        </w:rPr>
        <w:t xml:space="preserve"> the code of ethics and has ensured that officers act and complete their duty with honesty and integrity by acting with the highest professionalism and treating everyone equally.</w:t>
      </w:r>
    </w:p>
    <w:p w14:paraId="08D50481" w14:textId="15084F41" w:rsidR="00166F6D" w:rsidRDefault="00166F6D" w:rsidP="00166F6D">
      <w:pPr>
        <w:rPr>
          <w:rFonts w:ascii="Arial" w:hAnsi="Arial" w:cs="Arial"/>
        </w:rPr>
      </w:pPr>
      <w:r>
        <w:rPr>
          <w:rFonts w:ascii="Arial" w:hAnsi="Arial" w:cs="Arial"/>
        </w:rPr>
        <w:t>The next case of police malpractice will be discussed is the case of Stephen Lawrence, who was stabbed and killed by 5 white youths on 22</w:t>
      </w:r>
      <w:r w:rsidRPr="00DB39CE">
        <w:rPr>
          <w:rFonts w:ascii="Arial" w:hAnsi="Arial" w:cs="Arial"/>
          <w:vertAlign w:val="superscript"/>
        </w:rPr>
        <w:t>nd</w:t>
      </w:r>
      <w:r>
        <w:rPr>
          <w:rFonts w:ascii="Arial" w:hAnsi="Arial" w:cs="Arial"/>
        </w:rPr>
        <w:t xml:space="preserve"> April 1993 in an unprovoked and brutal </w:t>
      </w:r>
      <w:r>
        <w:rPr>
          <w:rFonts w:ascii="Arial" w:hAnsi="Arial" w:cs="Arial"/>
        </w:rPr>
        <w:lastRenderedPageBreak/>
        <w:t xml:space="preserve">attack </w:t>
      </w:r>
      <w:sdt>
        <w:sdtPr>
          <w:rPr>
            <w:rFonts w:ascii="Arial" w:hAnsi="Arial" w:cs="Arial"/>
          </w:rPr>
          <w:id w:val="906969523"/>
          <w:citation/>
        </w:sdtPr>
        <w:sdtContent>
          <w:r>
            <w:rPr>
              <w:rFonts w:ascii="Arial" w:hAnsi="Arial" w:cs="Arial"/>
            </w:rPr>
            <w:fldChar w:fldCharType="begin"/>
          </w:r>
          <w:r>
            <w:rPr>
              <w:rFonts w:ascii="Arial" w:hAnsi="Arial" w:cs="Arial"/>
            </w:rPr>
            <w:instrText xml:space="preserve"> CITATION Kri18 \l 2057 </w:instrText>
          </w:r>
          <w:r>
            <w:rPr>
              <w:rFonts w:ascii="Arial" w:hAnsi="Arial" w:cs="Arial"/>
            </w:rPr>
            <w:fldChar w:fldCharType="separate"/>
          </w:r>
          <w:r w:rsidRPr="00166F6D">
            <w:rPr>
              <w:rFonts w:ascii="Arial" w:hAnsi="Arial" w:cs="Arial"/>
              <w:noProof/>
            </w:rPr>
            <w:t>(Storry, 2018)</w:t>
          </w:r>
          <w:r>
            <w:rPr>
              <w:rFonts w:ascii="Arial" w:hAnsi="Arial" w:cs="Arial"/>
            </w:rPr>
            <w:fldChar w:fldCharType="end"/>
          </w:r>
        </w:sdtContent>
      </w:sdt>
      <w:r>
        <w:rPr>
          <w:rFonts w:ascii="Arial" w:hAnsi="Arial" w:cs="Arial"/>
        </w:rPr>
        <w:t xml:space="preserve">. This happened when Stephen Lawrence and his friend </w:t>
      </w:r>
      <w:proofErr w:type="spellStart"/>
      <w:r>
        <w:rPr>
          <w:rFonts w:ascii="Arial" w:hAnsi="Arial" w:cs="Arial"/>
        </w:rPr>
        <w:t>Duwayne</w:t>
      </w:r>
      <w:proofErr w:type="spellEnd"/>
      <w:r>
        <w:rPr>
          <w:rFonts w:ascii="Arial" w:hAnsi="Arial" w:cs="Arial"/>
        </w:rPr>
        <w:t xml:space="preserve"> Brooks were waiting at a bus stop, when Stephen moved to check if the bus was coming, shortly after around 5 to 6 white youths had approached and attacked Stephen leaving him with a stab wound which he would eventually die from. A public inquiry was commenced by Sir William Macpherson and the resulting inquiry was very critical of the London Metropolitan Police. The inquiry found that after 2 long police investigations commenced but the police failed to produce any reliable evidence or information from any witnesses apart from </w:t>
      </w:r>
      <w:proofErr w:type="spellStart"/>
      <w:r>
        <w:rPr>
          <w:rFonts w:ascii="Arial" w:hAnsi="Arial" w:cs="Arial"/>
        </w:rPr>
        <w:t>Duwayne</w:t>
      </w:r>
      <w:proofErr w:type="spellEnd"/>
      <w:r>
        <w:rPr>
          <w:rFonts w:ascii="Arial" w:hAnsi="Arial" w:cs="Arial"/>
        </w:rPr>
        <w:t xml:space="preserve"> Brooks and found that police officers within the met had committed fundamental errors and investigations led by the police were marred by a mixture of institutional racism, professional incompetence, and a failure of leadership from the senior officers within the case. </w:t>
      </w:r>
      <w:sdt>
        <w:sdtPr>
          <w:rPr>
            <w:rFonts w:ascii="Arial" w:hAnsi="Arial" w:cs="Arial"/>
          </w:rPr>
          <w:id w:val="2130199539"/>
          <w:citation/>
        </w:sdtPr>
        <w:sdtContent>
          <w:r>
            <w:rPr>
              <w:rFonts w:ascii="Arial" w:hAnsi="Arial" w:cs="Arial"/>
            </w:rPr>
            <w:fldChar w:fldCharType="begin"/>
          </w:r>
          <w:r>
            <w:rPr>
              <w:rFonts w:ascii="Arial" w:hAnsi="Arial" w:cs="Arial"/>
            </w:rPr>
            <w:instrText xml:space="preserve"> CITATION Boi01 \l 2057 </w:instrText>
          </w:r>
          <w:r>
            <w:rPr>
              <w:rFonts w:ascii="Arial" w:hAnsi="Arial" w:cs="Arial"/>
            </w:rPr>
            <w:fldChar w:fldCharType="separate"/>
          </w:r>
          <w:r w:rsidRPr="00166F6D">
            <w:rPr>
              <w:rFonts w:ascii="Arial" w:hAnsi="Arial" w:cs="Arial"/>
              <w:noProof/>
            </w:rPr>
            <w:t>(Boin, rosenthal, &amp; comfort, 2001)</w:t>
          </w:r>
          <w:r>
            <w:rPr>
              <w:rFonts w:ascii="Arial" w:hAnsi="Arial" w:cs="Arial"/>
            </w:rPr>
            <w:fldChar w:fldCharType="end"/>
          </w:r>
        </w:sdtContent>
      </w:sdt>
      <w:r>
        <w:rPr>
          <w:rFonts w:ascii="Arial" w:hAnsi="Arial" w:cs="Arial"/>
        </w:rPr>
        <w:t xml:space="preserve">. The most important finding of Macpherson’s inquiry into Stephen Lawrence’s death was incidence of institutional racism and noted that this had played a massive part in the flawed investigation conducted by the met police. It also outlined the need for police and other organisations to examine their practices and policies to protect against disadvantaging any part of our communities </w:t>
      </w:r>
      <w:sdt>
        <w:sdtPr>
          <w:rPr>
            <w:rFonts w:ascii="Arial" w:hAnsi="Arial" w:cs="Arial"/>
          </w:rPr>
          <w:id w:val="-499583118"/>
          <w:citation/>
        </w:sdtPr>
        <w:sdtContent>
          <w:r>
            <w:rPr>
              <w:rFonts w:ascii="Arial" w:hAnsi="Arial" w:cs="Arial"/>
            </w:rPr>
            <w:fldChar w:fldCharType="begin"/>
          </w:r>
          <w:r>
            <w:rPr>
              <w:rFonts w:ascii="Arial" w:hAnsi="Arial" w:cs="Arial"/>
            </w:rPr>
            <w:instrText xml:space="preserve"> CITATION Bou01 \l 2057 </w:instrText>
          </w:r>
          <w:r>
            <w:rPr>
              <w:rFonts w:ascii="Arial" w:hAnsi="Arial" w:cs="Arial"/>
            </w:rPr>
            <w:fldChar w:fldCharType="separate"/>
          </w:r>
          <w:r w:rsidRPr="00166F6D">
            <w:rPr>
              <w:rFonts w:ascii="Arial" w:hAnsi="Arial" w:cs="Arial"/>
              <w:noProof/>
            </w:rPr>
            <w:t>(Bourne, 2001)</w:t>
          </w:r>
          <w:r>
            <w:rPr>
              <w:rFonts w:ascii="Arial" w:hAnsi="Arial" w:cs="Arial"/>
            </w:rPr>
            <w:fldChar w:fldCharType="end"/>
          </w:r>
        </w:sdtContent>
      </w:sdt>
      <w:r>
        <w:rPr>
          <w:rFonts w:ascii="Arial" w:hAnsi="Arial" w:cs="Arial"/>
        </w:rPr>
        <w:t xml:space="preserve">. Due to the findings within Macpherson’s enquiry, several recommendations were raised regarding police culture, practices, and procedures. One of these recommendations was race awareness and cultural diversity training. This would allow officers to become more knowledgeable regarding different races and religions in policing areas and would be provided to officers at all stages of their careers. The training would also be tailored to every officer’s needs depending on what area they policed and would allow members of ethnic minority groups to design and deliver the training courses. Another recommendation made was in relation to the recruitment and retention of minority ethnic staff. In 1999 when the inquiry was made, only 2% of British police officers were from a black and minority background. Recruiting more people from ethic minority backgrounds would allow the police service to become more diverse improve the relationship between the police and </w:t>
      </w:r>
      <w:proofErr w:type="spellStart"/>
      <w:r>
        <w:rPr>
          <w:rFonts w:ascii="Arial" w:hAnsi="Arial" w:cs="Arial"/>
        </w:rPr>
        <w:t>ethic</w:t>
      </w:r>
      <w:proofErr w:type="spellEnd"/>
      <w:r>
        <w:rPr>
          <w:rFonts w:ascii="Arial" w:hAnsi="Arial" w:cs="Arial"/>
        </w:rPr>
        <w:t xml:space="preserve"> minority groups. From 1999 the number of ethnic minorities recruited to police has increased as in 1999, only 3% were recruited compared to 2007, whereby 5.3% were recruited </w:t>
      </w:r>
      <w:sdt>
        <w:sdtPr>
          <w:rPr>
            <w:rFonts w:ascii="Arial" w:hAnsi="Arial" w:cs="Arial"/>
          </w:rPr>
          <w:id w:val="565151484"/>
          <w:citation/>
        </w:sdtPr>
        <w:sdtContent>
          <w:r>
            <w:rPr>
              <w:rFonts w:ascii="Arial" w:hAnsi="Arial" w:cs="Arial"/>
            </w:rPr>
            <w:fldChar w:fldCharType="begin"/>
          </w:r>
          <w:r>
            <w:rPr>
              <w:rFonts w:ascii="Arial" w:hAnsi="Arial" w:cs="Arial"/>
            </w:rPr>
            <w:instrText xml:space="preserve"> CITATION Nic09 \l 2057 </w:instrText>
          </w:r>
          <w:r>
            <w:rPr>
              <w:rFonts w:ascii="Arial" w:hAnsi="Arial" w:cs="Arial"/>
            </w:rPr>
            <w:fldChar w:fldCharType="separate"/>
          </w:r>
          <w:r w:rsidRPr="00166F6D">
            <w:rPr>
              <w:rFonts w:ascii="Arial" w:hAnsi="Arial" w:cs="Arial"/>
              <w:noProof/>
            </w:rPr>
            <w:t>(Rollock, 2009)</w:t>
          </w:r>
          <w:r>
            <w:rPr>
              <w:rFonts w:ascii="Arial" w:hAnsi="Arial" w:cs="Arial"/>
            </w:rPr>
            <w:fldChar w:fldCharType="end"/>
          </w:r>
        </w:sdtContent>
      </w:sdt>
      <w:r>
        <w:rPr>
          <w:rFonts w:ascii="Arial" w:hAnsi="Arial" w:cs="Arial"/>
        </w:rPr>
        <w:t xml:space="preserve">. This would increase public confidence within the police force as recruiting more officers from different ethnic backgrounds would create a more diverse police force and be a representation of the communities we serve as there is evidence to show that an increase in an ethic minority representation within the police force decreases the amount of complaints that police have and increases relations with minority citizens </w:t>
      </w:r>
      <w:sdt>
        <w:sdtPr>
          <w:rPr>
            <w:rFonts w:ascii="Arial" w:hAnsi="Arial" w:cs="Arial"/>
          </w:rPr>
          <w:id w:val="1837040194"/>
          <w:citation/>
        </w:sdtPr>
        <w:sdtContent>
          <w:r>
            <w:rPr>
              <w:rFonts w:ascii="Arial" w:hAnsi="Arial" w:cs="Arial"/>
            </w:rPr>
            <w:fldChar w:fldCharType="begin"/>
          </w:r>
          <w:r>
            <w:rPr>
              <w:rFonts w:ascii="Arial" w:hAnsi="Arial" w:cs="Arial"/>
            </w:rPr>
            <w:instrText xml:space="preserve"> CITATION Hon16 \l 2057 </w:instrText>
          </w:r>
          <w:r>
            <w:rPr>
              <w:rFonts w:ascii="Arial" w:hAnsi="Arial" w:cs="Arial"/>
            </w:rPr>
            <w:fldChar w:fldCharType="separate"/>
          </w:r>
          <w:r w:rsidRPr="00166F6D">
            <w:rPr>
              <w:rFonts w:ascii="Arial" w:hAnsi="Arial" w:cs="Arial"/>
              <w:noProof/>
            </w:rPr>
            <w:t>(Hong, 2016)</w:t>
          </w:r>
          <w:r>
            <w:rPr>
              <w:rFonts w:ascii="Arial" w:hAnsi="Arial" w:cs="Arial"/>
            </w:rPr>
            <w:fldChar w:fldCharType="end"/>
          </w:r>
        </w:sdtContent>
      </w:sdt>
      <w:r>
        <w:rPr>
          <w:rFonts w:ascii="Arial" w:hAnsi="Arial" w:cs="Arial"/>
        </w:rPr>
        <w:t>.</w:t>
      </w:r>
    </w:p>
    <w:p w14:paraId="6F1A89AC" w14:textId="77777777" w:rsidR="00166F6D" w:rsidRDefault="00166F6D" w:rsidP="00166F6D">
      <w:pPr>
        <w:rPr>
          <w:rFonts w:ascii="Arial" w:hAnsi="Arial" w:cs="Arial"/>
        </w:rPr>
      </w:pPr>
      <w:r>
        <w:rPr>
          <w:rFonts w:ascii="Arial" w:hAnsi="Arial" w:cs="Arial"/>
        </w:rPr>
        <w:t>From the findings during this essay, it is believed that the policing misconducts that have been discussed have had a positive impact on implementing current policies. These have led to the PACE codes of practice and the PACE laws governing police today, and the recruitment of ethnic minorities to make our police forces more diverse to police the communities that police officers serve. These have also had a positive impact on public relations as it is shown that complaints have decreased within ethnic minority groups and public opinion has increased due to the introduction of PACE laws and codes of practice.</w:t>
      </w:r>
    </w:p>
    <w:p w14:paraId="68209041" w14:textId="7DA6F50F" w:rsidR="00166F6D" w:rsidRDefault="00166F6D" w:rsidP="00166F6D">
      <w:pPr>
        <w:rPr>
          <w:rFonts w:ascii="Arial" w:hAnsi="Arial" w:cs="Arial"/>
        </w:rPr>
      </w:pPr>
      <w:r>
        <w:rPr>
          <w:rFonts w:ascii="Arial" w:hAnsi="Arial" w:cs="Arial"/>
        </w:rPr>
        <w:t>(Word count – 1042)</w:t>
      </w:r>
    </w:p>
    <w:p w14:paraId="09142BFA" w14:textId="65E7BC1B" w:rsidR="00166F6D" w:rsidRDefault="00166F6D" w:rsidP="00166F6D">
      <w:pPr>
        <w:rPr>
          <w:rFonts w:ascii="Arial" w:hAnsi="Arial" w:cs="Arial"/>
        </w:rPr>
      </w:pPr>
    </w:p>
    <w:p w14:paraId="0628510C" w14:textId="359E646C" w:rsidR="00166F6D" w:rsidRDefault="00166F6D" w:rsidP="00166F6D">
      <w:pPr>
        <w:rPr>
          <w:rFonts w:ascii="Arial" w:hAnsi="Arial" w:cs="Arial"/>
        </w:rPr>
      </w:pPr>
    </w:p>
    <w:p w14:paraId="67118B5E" w14:textId="77777777" w:rsidR="00166F6D" w:rsidRDefault="00166F6D" w:rsidP="00166F6D">
      <w:pPr>
        <w:spacing w:after="0" w:line="276" w:lineRule="auto"/>
        <w:ind w:left="567" w:right="531"/>
        <w:rPr>
          <w:rFonts w:ascii="Arial" w:eastAsia="Times New Roman" w:hAnsi="Arial" w:cs="Arial"/>
          <w:lang w:eastAsia="en-GB"/>
        </w:rPr>
      </w:pPr>
    </w:p>
    <w:p w14:paraId="271C8BE9" w14:textId="77777777" w:rsidR="00166F6D" w:rsidRDefault="00166F6D" w:rsidP="00166F6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b/>
          <w:bCs/>
          <w:lang w:eastAsia="en-GB"/>
        </w:rPr>
        <w:t>Essay two:</w:t>
      </w:r>
      <w:r>
        <w:rPr>
          <w:rFonts w:ascii="Arial" w:eastAsia="Times New Roman" w:hAnsi="Arial" w:cs="Arial"/>
          <w:lang w:eastAsia="en-GB"/>
        </w:rPr>
        <w:t xml:space="preserve"> </w:t>
      </w:r>
    </w:p>
    <w:p w14:paraId="0D303FAA" w14:textId="77777777" w:rsidR="00166F6D" w:rsidRDefault="00166F6D" w:rsidP="00166F6D">
      <w:pPr>
        <w:overflowPunct w:val="0"/>
        <w:autoSpaceDE w:val="0"/>
        <w:autoSpaceDN w:val="0"/>
        <w:adjustRightInd w:val="0"/>
        <w:spacing w:after="0" w:line="276" w:lineRule="auto"/>
        <w:ind w:left="567" w:right="531"/>
        <w:textAlignment w:val="baseline"/>
        <w:rPr>
          <w:rFonts w:ascii="Arial" w:eastAsia="Times New Roman" w:hAnsi="Arial" w:cs="Arial"/>
          <w:u w:val="single"/>
          <w:lang w:eastAsia="en-GB"/>
        </w:rPr>
      </w:pPr>
      <w:r>
        <w:rPr>
          <w:rFonts w:ascii="Arial" w:eastAsia="Times New Roman" w:hAnsi="Arial" w:cs="Arial"/>
          <w:u w:val="single"/>
          <w:lang w:eastAsia="en-GB"/>
        </w:rPr>
        <w:t>Examine</w:t>
      </w:r>
      <w:r>
        <w:rPr>
          <w:rFonts w:ascii="Arial" w:eastAsia="Times New Roman" w:hAnsi="Arial" w:cs="Arial"/>
          <w:lang w:eastAsia="en-GB"/>
        </w:rPr>
        <w:t xml:space="preserve"> why certain groups might be vulnerable to being targeted by Serious and Organised Crime </w:t>
      </w:r>
      <w:proofErr w:type="gramStart"/>
      <w:r>
        <w:rPr>
          <w:rFonts w:ascii="Arial" w:eastAsia="Times New Roman" w:hAnsi="Arial" w:cs="Arial"/>
          <w:lang w:eastAsia="en-GB"/>
        </w:rPr>
        <w:t>Groups, and</w:t>
      </w:r>
      <w:proofErr w:type="gramEnd"/>
      <w:r>
        <w:rPr>
          <w:rFonts w:ascii="Arial" w:eastAsia="Times New Roman" w:hAnsi="Arial" w:cs="Arial"/>
          <w:lang w:eastAsia="en-GB"/>
        </w:rPr>
        <w:t xml:space="preserve"> </w:t>
      </w:r>
      <w:r>
        <w:rPr>
          <w:rFonts w:ascii="Arial" w:eastAsia="Times New Roman" w:hAnsi="Arial" w:cs="Arial"/>
          <w:u w:val="single"/>
          <w:lang w:eastAsia="en-GB"/>
        </w:rPr>
        <w:t>analyse</w:t>
      </w:r>
      <w:r>
        <w:rPr>
          <w:rFonts w:ascii="Arial" w:eastAsia="Times New Roman" w:hAnsi="Arial" w:cs="Arial"/>
          <w:lang w:eastAsia="en-GB"/>
        </w:rPr>
        <w:t xml:space="preserve"> the effectiveness of police practices to investigate such issues.</w:t>
      </w:r>
    </w:p>
    <w:p w14:paraId="0F072451" w14:textId="77777777" w:rsidR="00166F6D" w:rsidRDefault="00166F6D" w:rsidP="00166F6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lastRenderedPageBreak/>
        <w:t>Your answer should be based on academic research rather than personal experience.</w:t>
      </w:r>
    </w:p>
    <w:p w14:paraId="2008FCD0" w14:textId="77777777" w:rsidR="00166F6D" w:rsidRDefault="00166F6D" w:rsidP="00166F6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13D772AF" w14:textId="77777777" w:rsidR="00166F6D" w:rsidRDefault="00166F6D" w:rsidP="00166F6D"/>
    <w:p w14:paraId="4B57631D" w14:textId="77777777" w:rsidR="00166F6D" w:rsidRDefault="00166F6D" w:rsidP="00166F6D"/>
    <w:p w14:paraId="72822A92" w14:textId="77777777" w:rsidR="00166F6D" w:rsidRPr="00E038A0" w:rsidRDefault="00166F6D" w:rsidP="00166F6D">
      <w:pPr>
        <w:rPr>
          <w:rFonts w:cstheme="minorHAnsi"/>
        </w:rPr>
      </w:pPr>
      <w:r>
        <w:t xml:space="preserve">This essay will be discussing and examining how certain groups within our community, might be vulnerable to being targeted by serious organised crime gangs and I will be analysing the effectiveness of certain policing practices to investigate these issues within the community. The definition of a vulnerable person which has been adopted by the college of policing is, “A person is vulnerable if, as a result of their circumstances, they are unable to take care of or protect </w:t>
      </w:r>
      <w:r w:rsidRPr="00E038A0">
        <w:rPr>
          <w:rFonts w:cstheme="minorHAnsi"/>
        </w:rPr>
        <w:t>themselves or others from harm or exploitation” (College of Policing, 2020)</w:t>
      </w:r>
    </w:p>
    <w:p w14:paraId="06A8177B" w14:textId="71CECE41" w:rsidR="00166F6D" w:rsidRDefault="00166F6D" w:rsidP="00166F6D">
      <w:pPr>
        <w:pStyle w:val="Default"/>
        <w:rPr>
          <w:rFonts w:asciiTheme="minorHAnsi" w:hAnsiTheme="minorHAnsi" w:cstheme="minorHAnsi"/>
          <w:sz w:val="22"/>
          <w:szCs w:val="22"/>
        </w:rPr>
      </w:pPr>
      <w:r w:rsidRPr="00E038A0">
        <w:rPr>
          <w:rFonts w:asciiTheme="minorHAnsi" w:hAnsiTheme="minorHAnsi" w:cstheme="minorHAnsi"/>
          <w:sz w:val="22"/>
          <w:szCs w:val="22"/>
        </w:rPr>
        <w:t>The first group that will be examin</w:t>
      </w:r>
      <w:r>
        <w:rPr>
          <w:rFonts w:asciiTheme="minorHAnsi" w:hAnsiTheme="minorHAnsi" w:cstheme="minorHAnsi"/>
          <w:sz w:val="22"/>
          <w:szCs w:val="22"/>
        </w:rPr>
        <w:t xml:space="preserve">ed during this essay is adults and </w:t>
      </w:r>
      <w:r w:rsidRPr="00E038A0">
        <w:rPr>
          <w:rFonts w:asciiTheme="minorHAnsi" w:hAnsiTheme="minorHAnsi" w:cstheme="minorHAnsi"/>
          <w:sz w:val="22"/>
          <w:szCs w:val="22"/>
        </w:rPr>
        <w:t>why they might be vulnerable to serious organised crime groups are adults at risk. The Social Services and Wellbeing Act 20</w:t>
      </w:r>
      <w:r>
        <w:rPr>
          <w:rFonts w:asciiTheme="minorHAnsi" w:hAnsiTheme="minorHAnsi" w:cstheme="minorHAnsi"/>
          <w:sz w:val="22"/>
          <w:szCs w:val="22"/>
        </w:rPr>
        <w:t xml:space="preserve">14 </w:t>
      </w:r>
      <w:r w:rsidRPr="00E038A0">
        <w:rPr>
          <w:rFonts w:asciiTheme="minorHAnsi" w:hAnsiTheme="minorHAnsi" w:cstheme="minorHAnsi"/>
          <w:sz w:val="22"/>
          <w:szCs w:val="22"/>
        </w:rPr>
        <w:t>says that</w:t>
      </w:r>
      <w:r>
        <w:rPr>
          <w:rFonts w:asciiTheme="minorHAnsi" w:hAnsiTheme="minorHAnsi" w:cstheme="minorHAnsi"/>
          <w:sz w:val="22"/>
          <w:szCs w:val="22"/>
        </w:rPr>
        <w:t xml:space="preserve"> a person,</w:t>
      </w:r>
      <w:r w:rsidRPr="00E038A0">
        <w:rPr>
          <w:rFonts w:asciiTheme="minorHAnsi" w:hAnsiTheme="minorHAnsi" w:cstheme="minorHAnsi"/>
          <w:sz w:val="22"/>
          <w:szCs w:val="22"/>
        </w:rPr>
        <w:t xml:space="preserve"> “Aged 18 years or older who:</w:t>
      </w:r>
      <w:r>
        <w:rPr>
          <w:rFonts w:asciiTheme="minorHAnsi" w:hAnsiTheme="minorHAnsi" w:cstheme="minorHAnsi"/>
          <w:sz w:val="22"/>
          <w:szCs w:val="22"/>
        </w:rPr>
        <w:t xml:space="preserve"> </w:t>
      </w:r>
      <w:r w:rsidRPr="00E038A0">
        <w:rPr>
          <w:rFonts w:asciiTheme="minorHAnsi" w:hAnsiTheme="minorHAnsi" w:cstheme="minorHAnsi"/>
          <w:sz w:val="22"/>
          <w:szCs w:val="22"/>
        </w:rPr>
        <w:t>Is experiencing, or is at risk of abuse or neglect</w:t>
      </w:r>
      <w:r>
        <w:rPr>
          <w:rFonts w:asciiTheme="minorHAnsi" w:hAnsiTheme="minorHAnsi" w:cstheme="minorHAnsi"/>
          <w:sz w:val="22"/>
          <w:szCs w:val="22"/>
        </w:rPr>
        <w:t>, h</w:t>
      </w:r>
      <w:r w:rsidRPr="00E038A0">
        <w:rPr>
          <w:rFonts w:asciiTheme="minorHAnsi" w:hAnsiTheme="minorHAnsi" w:cstheme="minorHAnsi"/>
          <w:sz w:val="22"/>
          <w:szCs w:val="22"/>
        </w:rPr>
        <w:t>as needs for care and support (whether or not the authority is meeting any of those needs), and</w:t>
      </w:r>
      <w:r>
        <w:rPr>
          <w:rFonts w:asciiTheme="minorHAnsi" w:hAnsiTheme="minorHAnsi" w:cstheme="minorHAnsi"/>
          <w:sz w:val="22"/>
          <w:szCs w:val="22"/>
        </w:rPr>
        <w:t xml:space="preserve"> a</w:t>
      </w:r>
      <w:r w:rsidRPr="00E038A0">
        <w:rPr>
          <w:rFonts w:asciiTheme="minorHAnsi" w:hAnsiTheme="minorHAnsi" w:cstheme="minorHAnsi"/>
          <w:sz w:val="22"/>
          <w:szCs w:val="22"/>
        </w:rPr>
        <w:t>s a result of those needs is unable to protect self against the abuse or neglect, or the risk of i</w:t>
      </w:r>
      <w:r>
        <w:rPr>
          <w:rFonts w:asciiTheme="minorHAnsi" w:hAnsiTheme="minorHAnsi" w:cstheme="minorHAnsi"/>
          <w:sz w:val="22"/>
          <w:szCs w:val="22"/>
        </w:rPr>
        <w:t xml:space="preserve">t” </w:t>
      </w:r>
      <w:sdt>
        <w:sdtPr>
          <w:rPr>
            <w:rFonts w:asciiTheme="minorHAnsi" w:hAnsiTheme="minorHAnsi" w:cstheme="minorHAnsi"/>
            <w:sz w:val="22"/>
            <w:szCs w:val="22"/>
          </w:rPr>
          <w:id w:val="-420406438"/>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Soc14 \l 2057 </w:instrText>
          </w:r>
          <w:r>
            <w:rPr>
              <w:rFonts w:asciiTheme="minorHAnsi" w:hAnsiTheme="minorHAnsi" w:cstheme="minorHAnsi"/>
              <w:sz w:val="22"/>
              <w:szCs w:val="22"/>
            </w:rPr>
            <w:fldChar w:fldCharType="separate"/>
          </w:r>
          <w:r w:rsidRPr="00166F6D">
            <w:rPr>
              <w:rFonts w:asciiTheme="minorHAnsi" w:hAnsiTheme="minorHAnsi" w:cstheme="minorHAnsi"/>
              <w:noProof/>
              <w:sz w:val="22"/>
              <w:szCs w:val="22"/>
            </w:rPr>
            <w:t>(Social Services and Wellbeing Act, 2014)</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Due to certain needs such as mental illness, learning difficulties or substance abuse, an adult at risk might be targeted by serious crime gangs through Cuckooing. This is when drug gangs target a vulnerable person such as adults at risk and attempt to befriend them. There are hundreds of cases relating to this whereby the drug gang or dealers take over the vulnerable persons home to conduct drug related activity such as the sale of illegal substances such as cocaine or heroin (Spicer, Moyle &amp; </w:t>
      </w:r>
      <w:proofErr w:type="spellStart"/>
      <w:r>
        <w:rPr>
          <w:rFonts w:asciiTheme="minorHAnsi" w:hAnsiTheme="minorHAnsi" w:cstheme="minorHAnsi"/>
          <w:sz w:val="22"/>
          <w:szCs w:val="22"/>
        </w:rPr>
        <w:t>Coomber</w:t>
      </w:r>
      <w:proofErr w:type="spellEnd"/>
      <w:r>
        <w:rPr>
          <w:rFonts w:asciiTheme="minorHAnsi" w:hAnsiTheme="minorHAnsi" w:cstheme="minorHAnsi"/>
          <w:sz w:val="22"/>
          <w:szCs w:val="22"/>
        </w:rPr>
        <w:t>, 2020). The drug gang or dealer will then respond to the persons vulnerabilities, this could be by supplying the vulnerable person with drugs or bringing in other members of the drug gang maintain control of the vulnerable person with violence</w:t>
      </w:r>
      <w:sdt>
        <w:sdtPr>
          <w:rPr>
            <w:rFonts w:asciiTheme="minorHAnsi" w:hAnsiTheme="minorHAnsi" w:cstheme="minorHAnsi"/>
            <w:sz w:val="22"/>
            <w:szCs w:val="22"/>
          </w:rPr>
          <w:id w:val="1870029007"/>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Joh13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166F6D">
            <w:rPr>
              <w:rFonts w:asciiTheme="minorHAnsi" w:hAnsiTheme="minorHAnsi" w:cstheme="minorHAnsi"/>
              <w:noProof/>
              <w:sz w:val="22"/>
              <w:szCs w:val="22"/>
            </w:rPr>
            <w:t>(Butera, 2013)</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Like cuckooing, vulnerable adults could also be exploited through mate crime. This is when a person such as a drug dealer or member of an organised crime gang, befriends a disabled person who is isolated with the sole intention to exploit or take control of their assets for criminal gain. The isolation and loneliness suffered by disabled people create a space for this type of exploitation to happen (Macdonald et al, 2022). </w:t>
      </w:r>
    </w:p>
    <w:p w14:paraId="799987A5" w14:textId="77777777" w:rsidR="00166F6D" w:rsidRDefault="00166F6D" w:rsidP="00166F6D">
      <w:pPr>
        <w:pStyle w:val="Default"/>
        <w:rPr>
          <w:rFonts w:asciiTheme="minorHAnsi" w:hAnsiTheme="minorHAnsi" w:cstheme="minorHAnsi"/>
          <w:sz w:val="22"/>
          <w:szCs w:val="22"/>
        </w:rPr>
      </w:pPr>
    </w:p>
    <w:p w14:paraId="11F5CD77" w14:textId="5B1F9696" w:rsidR="00166F6D" w:rsidRDefault="00166F6D" w:rsidP="00166F6D">
      <w:pPr>
        <w:pStyle w:val="Default"/>
        <w:rPr>
          <w:rFonts w:asciiTheme="minorHAnsi" w:hAnsiTheme="minorHAnsi" w:cstheme="minorHAnsi"/>
          <w:sz w:val="22"/>
          <w:szCs w:val="22"/>
        </w:rPr>
      </w:pPr>
      <w:r>
        <w:rPr>
          <w:rFonts w:asciiTheme="minorHAnsi" w:hAnsiTheme="minorHAnsi" w:cstheme="minorHAnsi"/>
          <w:sz w:val="22"/>
          <w:szCs w:val="22"/>
        </w:rPr>
        <w:t>Another group that is vulnerable to being targeted by organised crime gangs is children and this could be through county lines as there is evidence to support child exploitation because of drug debts or through their own will to obtain financial rewards and benefits</w:t>
      </w:r>
      <w:sdt>
        <w:sdtPr>
          <w:rPr>
            <w:rFonts w:asciiTheme="minorHAnsi" w:hAnsiTheme="minorHAnsi" w:cstheme="minorHAnsi"/>
            <w:sz w:val="22"/>
            <w:szCs w:val="22"/>
          </w:rPr>
          <w:id w:val="82881524"/>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rob18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166F6D">
            <w:rPr>
              <w:rFonts w:asciiTheme="minorHAnsi" w:hAnsiTheme="minorHAnsi" w:cstheme="minorHAnsi"/>
              <w:noProof/>
              <w:sz w:val="22"/>
              <w:szCs w:val="22"/>
            </w:rPr>
            <w:t>(robinson, McLean, &amp; Densley, 2018)</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There was a conviction of a Birmingham drug dealer relating to child exploitation and county lines whereby the drug dealer had recruited two boys aged 15 and a 14-year-old as they were considered vulnerable. These went missing from their homes and the drug dealer transported them to Lincoln, 100 miles from their homes to sell drugs. He controlled them by telephone instructions and kept them in a small flat which was occupied by heroin dependant users. Police later found these tired and hungry children at the flat with large amounts of cash, drugs and in possession of knifes. During the children’s disappearance they were exposed to drug misuse, criminal attitudes, and danger </w:t>
      </w:r>
      <w:sdt>
        <w:sdtPr>
          <w:rPr>
            <w:rFonts w:asciiTheme="minorHAnsi" w:hAnsiTheme="minorHAnsi" w:cstheme="minorHAnsi"/>
            <w:sz w:val="22"/>
            <w:szCs w:val="22"/>
          </w:rPr>
          <w:id w:val="1154573575"/>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Nig18 \l 2057 </w:instrText>
          </w:r>
          <w:r>
            <w:rPr>
              <w:rFonts w:asciiTheme="minorHAnsi" w:hAnsiTheme="minorHAnsi" w:cstheme="minorHAnsi"/>
              <w:sz w:val="22"/>
              <w:szCs w:val="22"/>
            </w:rPr>
            <w:fldChar w:fldCharType="separate"/>
          </w:r>
          <w:r w:rsidRPr="00166F6D">
            <w:rPr>
              <w:rFonts w:asciiTheme="minorHAnsi" w:hAnsiTheme="minorHAnsi" w:cstheme="minorHAnsi"/>
              <w:noProof/>
              <w:sz w:val="22"/>
              <w:szCs w:val="22"/>
            </w:rPr>
            <w:t>(Stone, 2018)</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p>
    <w:p w14:paraId="1DD7FFE9" w14:textId="77777777" w:rsidR="00166F6D" w:rsidRDefault="00166F6D" w:rsidP="00166F6D">
      <w:pPr>
        <w:pStyle w:val="Default"/>
        <w:rPr>
          <w:rFonts w:asciiTheme="minorHAnsi" w:hAnsiTheme="minorHAnsi" w:cstheme="minorHAnsi"/>
          <w:sz w:val="22"/>
          <w:szCs w:val="22"/>
        </w:rPr>
      </w:pPr>
    </w:p>
    <w:p w14:paraId="02815189" w14:textId="77777777" w:rsidR="00166F6D" w:rsidRDefault="00166F6D" w:rsidP="00166F6D">
      <w:pPr>
        <w:pStyle w:val="Default"/>
        <w:rPr>
          <w:rFonts w:asciiTheme="minorHAnsi" w:hAnsiTheme="minorHAnsi" w:cstheme="minorHAnsi"/>
          <w:sz w:val="22"/>
          <w:szCs w:val="22"/>
        </w:rPr>
      </w:pPr>
      <w:r>
        <w:rPr>
          <w:rFonts w:asciiTheme="minorHAnsi" w:hAnsiTheme="minorHAnsi" w:cstheme="minorHAnsi"/>
          <w:sz w:val="22"/>
          <w:szCs w:val="22"/>
        </w:rPr>
        <w:t xml:space="preserve">Due to these increasing problems, the police force had to create a way to respond to the ongoing issue. It was found that the problems with cuckooing, were linked to county lines, which is when drug dealers migrate from major cities to the smaller towns which has also been linked to the exploitation of vulnerable people (Spicer, 2018). Having identified county lines and cuckooing as an issue withing the community, responses soon followed, and these responses served dual aims. These would help officers deal with cuckooing but also showed that they were dealing with the issue of county lines which was increasingly becoming a national priority. This has led to an escalation of </w:t>
      </w:r>
      <w:r>
        <w:rPr>
          <w:rFonts w:asciiTheme="minorHAnsi" w:hAnsiTheme="minorHAnsi" w:cstheme="minorHAnsi"/>
          <w:sz w:val="22"/>
          <w:szCs w:val="22"/>
        </w:rPr>
        <w:lastRenderedPageBreak/>
        <w:t>existing control measures and the introduction of new measures. Officers began making extensive welfare checks on the potential victims of cuckooing which also fitted with officers being able to respond to vulnerability and allowed the officers to count how many vulnerable people they had safeguarded. One of the new responses introduced was cuckooing letters, these were letters sent to vulnerable people deemed at risk and contained guidance for victims and information of support services. They also mentioned within the letters that the police were monitoring their homes and encouraged the victim to show drug dealers to prevent them from entering their property (Spicer, 2021)</w:t>
      </w:r>
    </w:p>
    <w:p w14:paraId="3621979D" w14:textId="77777777" w:rsidR="00166F6D" w:rsidRDefault="00166F6D" w:rsidP="00166F6D">
      <w:pPr>
        <w:pStyle w:val="Default"/>
        <w:rPr>
          <w:rFonts w:asciiTheme="minorHAnsi" w:hAnsiTheme="minorHAnsi" w:cstheme="minorHAnsi"/>
          <w:sz w:val="22"/>
          <w:szCs w:val="22"/>
        </w:rPr>
      </w:pPr>
    </w:p>
    <w:p w14:paraId="41C22745" w14:textId="22CDB399" w:rsidR="00166F6D" w:rsidRDefault="00166F6D" w:rsidP="00166F6D">
      <w:pPr>
        <w:pStyle w:val="Default"/>
        <w:rPr>
          <w:rFonts w:asciiTheme="minorHAnsi" w:hAnsiTheme="minorHAnsi" w:cstheme="minorHAnsi"/>
          <w:sz w:val="22"/>
          <w:szCs w:val="22"/>
        </w:rPr>
      </w:pPr>
      <w:r>
        <w:rPr>
          <w:rFonts w:asciiTheme="minorHAnsi" w:hAnsiTheme="minorHAnsi" w:cstheme="minorHAnsi"/>
          <w:sz w:val="22"/>
          <w:szCs w:val="22"/>
        </w:rPr>
        <w:t xml:space="preserve">To respond to the issue with regarding County Lines, police officers have demonstrated an empathy and have shown awareness towards the vulnerability and exploitation towards young people in relation to county lines. This has seen certain government policies like the Serious Violence Strategy and NCA reports highlight that the need for safeguarding, prevention, and diversion as important strategic aims for dealing with young people involved in County Lines </w:t>
      </w:r>
      <w:sdt>
        <w:sdtPr>
          <w:rPr>
            <w:rFonts w:asciiTheme="minorHAnsi" w:hAnsiTheme="minorHAnsi" w:cstheme="minorHAnsi"/>
            <w:sz w:val="22"/>
            <w:szCs w:val="22"/>
          </w:rPr>
          <w:id w:val="-1760286787"/>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Win20 \l 2057 </w:instrText>
          </w:r>
          <w:r>
            <w:rPr>
              <w:rFonts w:asciiTheme="minorHAnsi" w:hAnsiTheme="minorHAnsi" w:cstheme="minorHAnsi"/>
              <w:sz w:val="22"/>
              <w:szCs w:val="22"/>
            </w:rPr>
            <w:fldChar w:fldCharType="separate"/>
          </w:r>
          <w:r w:rsidRPr="00166F6D">
            <w:rPr>
              <w:rFonts w:asciiTheme="minorHAnsi" w:hAnsiTheme="minorHAnsi" w:cstheme="minorHAnsi"/>
              <w:noProof/>
              <w:sz w:val="22"/>
              <w:szCs w:val="22"/>
            </w:rPr>
            <w:t>(Windle, Moyle, &amp; Coomber, 2020)</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It has also been discussed that if more robust multiagency collaboration would see the issues be better addressed. This could lead to more collaboration between police services, social services and other multi agencies </w:t>
      </w:r>
      <w:sdt>
        <w:sdtPr>
          <w:rPr>
            <w:rFonts w:asciiTheme="minorHAnsi" w:hAnsiTheme="minorHAnsi" w:cstheme="minorHAnsi"/>
            <w:sz w:val="22"/>
            <w:szCs w:val="22"/>
          </w:rPr>
          <w:id w:val="-112219599"/>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Olv21 \l 2057 </w:instrText>
          </w:r>
          <w:r>
            <w:rPr>
              <w:rFonts w:asciiTheme="minorHAnsi" w:hAnsiTheme="minorHAnsi" w:cstheme="minorHAnsi"/>
              <w:sz w:val="22"/>
              <w:szCs w:val="22"/>
            </w:rPr>
            <w:fldChar w:fldCharType="separate"/>
          </w:r>
          <w:r w:rsidRPr="00166F6D">
            <w:rPr>
              <w:rFonts w:asciiTheme="minorHAnsi" w:hAnsiTheme="minorHAnsi" w:cstheme="minorHAnsi"/>
              <w:noProof/>
              <w:sz w:val="22"/>
              <w:szCs w:val="22"/>
            </w:rPr>
            <w:t>(Olver &amp; Cockbain, 2021)</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There is also an emerging policing framework which is currently suggesting that there could be a promising way forward for policing regarding responding to County Lines. The framework is termed as “early intervention” and is where police forces try to engage with vulnerable young people early on to divert them away from being drawn into county lines drug dealing and crime </w:t>
      </w:r>
      <w:sdt>
        <w:sdtPr>
          <w:rPr>
            <w:rFonts w:asciiTheme="minorHAnsi" w:hAnsiTheme="minorHAnsi" w:cstheme="minorHAnsi"/>
            <w:sz w:val="22"/>
            <w:szCs w:val="22"/>
          </w:rPr>
          <w:id w:val="-915778025"/>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Geo15 \l 2057 </w:instrText>
          </w:r>
          <w:r>
            <w:rPr>
              <w:rFonts w:asciiTheme="minorHAnsi" w:hAnsiTheme="minorHAnsi" w:cstheme="minorHAnsi"/>
              <w:sz w:val="22"/>
              <w:szCs w:val="22"/>
            </w:rPr>
            <w:fldChar w:fldCharType="separate"/>
          </w:r>
          <w:r w:rsidRPr="00166F6D">
            <w:rPr>
              <w:rFonts w:asciiTheme="minorHAnsi" w:hAnsiTheme="minorHAnsi" w:cstheme="minorHAnsi"/>
              <w:noProof/>
              <w:sz w:val="22"/>
              <w:szCs w:val="22"/>
            </w:rPr>
            <w:t>(Coliandris, 2015)</w:t>
          </w:r>
          <w:r>
            <w:rPr>
              <w:rFonts w:asciiTheme="minorHAnsi" w:hAnsiTheme="minorHAnsi" w:cstheme="minorHAnsi"/>
              <w:sz w:val="22"/>
              <w:szCs w:val="22"/>
            </w:rPr>
            <w:fldChar w:fldCharType="end"/>
          </w:r>
        </w:sdtContent>
      </w:sdt>
      <w:r>
        <w:rPr>
          <w:rFonts w:asciiTheme="minorHAnsi" w:hAnsiTheme="minorHAnsi" w:cstheme="minorHAnsi"/>
          <w:sz w:val="22"/>
          <w:szCs w:val="22"/>
        </w:rPr>
        <w:t>.</w:t>
      </w:r>
    </w:p>
    <w:p w14:paraId="50696C9D" w14:textId="77777777" w:rsidR="00166F6D" w:rsidRDefault="00166F6D" w:rsidP="00166F6D">
      <w:pPr>
        <w:pStyle w:val="Default"/>
        <w:rPr>
          <w:rFonts w:asciiTheme="minorHAnsi" w:hAnsiTheme="minorHAnsi" w:cstheme="minorHAnsi"/>
          <w:sz w:val="22"/>
          <w:szCs w:val="22"/>
        </w:rPr>
      </w:pPr>
    </w:p>
    <w:p w14:paraId="7778A81C" w14:textId="77777777" w:rsidR="00166F6D" w:rsidRDefault="00166F6D" w:rsidP="00166F6D">
      <w:pPr>
        <w:pStyle w:val="Default"/>
        <w:rPr>
          <w:rFonts w:asciiTheme="minorHAnsi" w:hAnsiTheme="minorHAnsi" w:cstheme="minorHAnsi"/>
          <w:sz w:val="22"/>
          <w:szCs w:val="22"/>
        </w:rPr>
      </w:pPr>
      <w:r>
        <w:rPr>
          <w:rFonts w:asciiTheme="minorHAnsi" w:hAnsiTheme="minorHAnsi" w:cstheme="minorHAnsi"/>
          <w:sz w:val="22"/>
          <w:szCs w:val="22"/>
        </w:rPr>
        <w:t>Overall, there is evidence to suggest that police forces throughout the United Kingdom have implemented several effective practices to support people who are vulnerable to being targeted to serious and organised crime as it is seen as a national issue and as a result, police forces have put the correct practices in place to tackle these ongoing and serious issues.</w:t>
      </w:r>
    </w:p>
    <w:p w14:paraId="6AD63BA5" w14:textId="77777777" w:rsidR="00166F6D" w:rsidRDefault="00166F6D" w:rsidP="00166F6D">
      <w:pPr>
        <w:pStyle w:val="Default"/>
        <w:rPr>
          <w:rFonts w:asciiTheme="minorHAnsi" w:hAnsiTheme="minorHAnsi" w:cstheme="minorHAnsi"/>
          <w:sz w:val="22"/>
          <w:szCs w:val="22"/>
        </w:rPr>
      </w:pPr>
    </w:p>
    <w:p w14:paraId="1E246666" w14:textId="21027F64" w:rsidR="00166F6D" w:rsidRDefault="00166F6D" w:rsidP="00166F6D">
      <w:pPr>
        <w:pStyle w:val="Default"/>
        <w:rPr>
          <w:rFonts w:asciiTheme="minorHAnsi" w:hAnsiTheme="minorHAnsi" w:cstheme="minorHAnsi"/>
          <w:sz w:val="22"/>
          <w:szCs w:val="22"/>
        </w:rPr>
      </w:pPr>
      <w:r>
        <w:rPr>
          <w:rFonts w:asciiTheme="minorHAnsi" w:hAnsiTheme="minorHAnsi" w:cstheme="minorHAnsi"/>
          <w:sz w:val="22"/>
          <w:szCs w:val="22"/>
        </w:rPr>
        <w:t>(Word Count – 1001)</w:t>
      </w:r>
    </w:p>
    <w:p w14:paraId="77DDEEAD" w14:textId="4B4413ED" w:rsidR="00166F6D" w:rsidRDefault="00166F6D" w:rsidP="00166F6D">
      <w:pPr>
        <w:pStyle w:val="Default"/>
        <w:rPr>
          <w:rFonts w:asciiTheme="minorHAnsi" w:hAnsiTheme="minorHAnsi" w:cstheme="minorHAnsi"/>
          <w:sz w:val="22"/>
          <w:szCs w:val="22"/>
        </w:rPr>
      </w:pPr>
    </w:p>
    <w:p w14:paraId="0DBD3F52" w14:textId="3032E68F" w:rsidR="00166F6D" w:rsidRDefault="00166F6D" w:rsidP="00166F6D">
      <w:pPr>
        <w:pStyle w:val="Default"/>
        <w:rPr>
          <w:rFonts w:asciiTheme="minorHAnsi" w:hAnsiTheme="minorHAnsi" w:cstheme="minorHAnsi"/>
          <w:sz w:val="22"/>
          <w:szCs w:val="22"/>
        </w:rPr>
      </w:pPr>
    </w:p>
    <w:p w14:paraId="2BC3D783" w14:textId="132F9515" w:rsidR="00166F6D" w:rsidRDefault="00166F6D" w:rsidP="00166F6D">
      <w:pPr>
        <w:pStyle w:val="Default"/>
        <w:rPr>
          <w:rFonts w:asciiTheme="minorHAnsi" w:hAnsiTheme="minorHAnsi" w:cstheme="minorHAnsi"/>
          <w:sz w:val="22"/>
          <w:szCs w:val="22"/>
        </w:rPr>
      </w:pPr>
    </w:p>
    <w:p w14:paraId="23770DF6" w14:textId="77777777" w:rsidR="00166F6D" w:rsidRPr="00166F6D" w:rsidRDefault="00166F6D" w:rsidP="00166F6D">
      <w:pPr>
        <w:pStyle w:val="Default"/>
        <w:rPr>
          <w:rFonts w:asciiTheme="minorHAnsi" w:hAnsiTheme="minorHAnsi" w:cstheme="minorHAnsi"/>
          <w:sz w:val="22"/>
          <w:szCs w:val="22"/>
        </w:rPr>
      </w:pPr>
    </w:p>
    <w:p w14:paraId="5AB3006C" w14:textId="77777777" w:rsidR="00166F6D" w:rsidRDefault="00166F6D" w:rsidP="00166F6D">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 xml:space="preserve">Essay three: </w:t>
      </w:r>
    </w:p>
    <w:p w14:paraId="202423E6" w14:textId="77777777" w:rsidR="00166F6D" w:rsidRDefault="00166F6D" w:rsidP="00166F6D">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Assess</w:t>
      </w:r>
      <w:r>
        <w:rPr>
          <w:rFonts w:ascii="Arial" w:eastAsia="Times New Roman" w:hAnsi="Arial" w:cs="Arial"/>
          <w:lang w:eastAsia="en-GB"/>
        </w:rPr>
        <w:t xml:space="preserve"> the role of MAPPA in managing </w:t>
      </w:r>
      <w:proofErr w:type="gramStart"/>
      <w:r>
        <w:rPr>
          <w:rFonts w:ascii="Arial" w:eastAsia="Times New Roman" w:hAnsi="Arial" w:cs="Arial"/>
          <w:lang w:eastAsia="en-GB"/>
        </w:rPr>
        <w:t>offenders, and</w:t>
      </w:r>
      <w:proofErr w:type="gramEnd"/>
      <w:r>
        <w:rPr>
          <w:rFonts w:ascii="Arial" w:eastAsia="Times New Roman" w:hAnsi="Arial" w:cs="Arial"/>
          <w:lang w:eastAsia="en-GB"/>
        </w:rPr>
        <w:t xml:space="preserve"> </w:t>
      </w:r>
      <w:r>
        <w:rPr>
          <w:rFonts w:ascii="Arial" w:eastAsia="Times New Roman" w:hAnsi="Arial" w:cs="Arial"/>
          <w:u w:val="single"/>
          <w:lang w:eastAsia="en-GB"/>
        </w:rPr>
        <w:t>evaluate</w:t>
      </w:r>
      <w:r>
        <w:rPr>
          <w:rFonts w:ascii="Arial" w:eastAsia="Times New Roman" w:hAnsi="Arial" w:cs="Arial"/>
          <w:lang w:eastAsia="en-GB"/>
        </w:rPr>
        <w:t xml:space="preserve"> the effectiveness of current police practices to investigate public protection incidents involving violent and sexual offences.</w:t>
      </w:r>
    </w:p>
    <w:p w14:paraId="25820147" w14:textId="77777777" w:rsidR="00166F6D" w:rsidRDefault="00166F6D" w:rsidP="00166F6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 must use academic research to support your answer.</w:t>
      </w:r>
    </w:p>
    <w:p w14:paraId="0777C8A7" w14:textId="77777777" w:rsidR="00166F6D" w:rsidRDefault="00166F6D" w:rsidP="00166F6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19596990" w14:textId="77777777" w:rsidR="00166F6D" w:rsidRDefault="00166F6D" w:rsidP="00166F6D"/>
    <w:p w14:paraId="16338A50" w14:textId="3BE7F633" w:rsidR="00166F6D" w:rsidRDefault="00166F6D" w:rsidP="00166F6D">
      <w:r>
        <w:t xml:space="preserve">This essay will be assessing the role of the Multi-Agency Public Protection Arrangement in how they manage </w:t>
      </w:r>
      <w:proofErr w:type="gramStart"/>
      <w:r>
        <w:t>offenders, and</w:t>
      </w:r>
      <w:proofErr w:type="gramEnd"/>
      <w:r>
        <w:t xml:space="preserve"> will also be evaluating current police practices to investigate public protection incidents involving sexual and violent offences and evaluate their effectiveness. The Multi-Agency Public Protection Arrangement is the process in which different agencies such as the probation service, the prison service, and the police work alongside each other to protect members of the public by managing the risk which is posed by sexual and violent offenders that are living within the community </w:t>
      </w:r>
      <w:sdt>
        <w:sdtPr>
          <w:id w:val="-713432606"/>
          <w:citation/>
        </w:sdtPr>
        <w:sdtContent>
          <w:r>
            <w:fldChar w:fldCharType="begin"/>
          </w:r>
          <w:r>
            <w:instrText xml:space="preserve"> CITATION Nar22 \l 2057 </w:instrText>
          </w:r>
          <w:r>
            <w:fldChar w:fldCharType="separate"/>
          </w:r>
          <w:r>
            <w:rPr>
              <w:noProof/>
            </w:rPr>
            <w:t>(Narco, 2022)</w:t>
          </w:r>
          <w:r>
            <w:fldChar w:fldCharType="end"/>
          </w:r>
        </w:sdtContent>
      </w:sdt>
      <w:r>
        <w:t>.</w:t>
      </w:r>
    </w:p>
    <w:p w14:paraId="524DE019" w14:textId="4BE5D263" w:rsidR="00166F6D" w:rsidRDefault="00166F6D" w:rsidP="00166F6D">
      <w:r>
        <w:t>The Multi-Agency Public Protection Arrangement was introduced in 2001 to improve the collaboration between agencies when it comes to identifying, assessing, and managing certain individuals within the community who pose a high risk of harm to others</w:t>
      </w:r>
      <w:sdt>
        <w:sdtPr>
          <w:id w:val="257571655"/>
          <w:citation/>
        </w:sdtPr>
        <w:sdtContent>
          <w:r>
            <w:fldChar w:fldCharType="begin"/>
          </w:r>
          <w:r>
            <w:instrText xml:space="preserve"> CITATION HMI21 \l 2057 </w:instrText>
          </w:r>
          <w:r>
            <w:fldChar w:fldCharType="separate"/>
          </w:r>
          <w:r>
            <w:rPr>
              <w:noProof/>
            </w:rPr>
            <w:t xml:space="preserve"> (HM Inspectorate of </w:t>
          </w:r>
          <w:r>
            <w:rPr>
              <w:noProof/>
            </w:rPr>
            <w:lastRenderedPageBreak/>
            <w:t>Probation, 2021)</w:t>
          </w:r>
          <w:r>
            <w:fldChar w:fldCharType="end"/>
          </w:r>
        </w:sdtContent>
      </w:sdt>
      <w:r>
        <w:t xml:space="preserve">. Within the Multi-Agency Public Protection Arrangement there are three categories, and each manage certain members of the community at different levels with registered sexual offenders in category 1, violent offenders who have been convicted of a certain violent offence and received at least a 12-month custody sentence in category 2, and in category 3, other offenders who are dangerous and would require active multi-agency management. There are also their separate risk levels, level 1 involves cases with a low to medium risk of serious harm and is usually for people who have community orders or registered sex offenders. Level 2 is for cases with a high to very high risk to others and within this meeting can take place between probations services, the police, and other agencies to develop a plan to lower the risk to others. The third level is usually known as the Multi-Agency Public Protection Panels which is used for those deemed to cause the highest risk or harm. This could also be used for offenders who are very problematic </w:t>
      </w:r>
      <w:sdt>
        <w:sdtPr>
          <w:id w:val="1125043207"/>
          <w:citation/>
        </w:sdtPr>
        <w:sdtContent>
          <w:r>
            <w:fldChar w:fldCharType="begin"/>
          </w:r>
          <w:r>
            <w:instrText xml:space="preserve"> CITATION Unl22 \l 2057 </w:instrText>
          </w:r>
          <w:r>
            <w:fldChar w:fldCharType="separate"/>
          </w:r>
          <w:r>
            <w:rPr>
              <w:noProof/>
            </w:rPr>
            <w:t>(Unlock, 2022)</w:t>
          </w:r>
          <w:r>
            <w:fldChar w:fldCharType="end"/>
          </w:r>
        </w:sdtContent>
      </w:sdt>
      <w:r>
        <w:t xml:space="preserve">. Since the introduction of the Multi-Agency Public Protection Arrangement, the reoffending rate had decreased from 26% in 2000 down to 23% in 2004 for violent and non-registered sex offenders and for the offenders who posed the highest risk of serious harm to members of the public, the reoffending rate had dropped from 29% in 2000 to 16% in 2010. This shows that since its introduction, MAPPA has had a very positive effect and has helped lower the reoffending rate and make multi-agencies jobs easier regarding communication, giving enhanced access to required services and providing rapid response to deteriorating behaviour </w:t>
      </w:r>
      <w:sdt>
        <w:sdtPr>
          <w:id w:val="416760678"/>
          <w:citation/>
        </w:sdtPr>
        <w:sdtContent>
          <w:r>
            <w:fldChar w:fldCharType="begin"/>
          </w:r>
          <w:r>
            <w:instrText xml:space="preserve"> CITATION HMI21 \l 2057 </w:instrText>
          </w:r>
          <w:r>
            <w:fldChar w:fldCharType="separate"/>
          </w:r>
          <w:r>
            <w:rPr>
              <w:noProof/>
            </w:rPr>
            <w:t>(HM Inspectorate of Probation, 2021)</w:t>
          </w:r>
          <w:r>
            <w:fldChar w:fldCharType="end"/>
          </w:r>
        </w:sdtContent>
      </w:sdt>
      <w:r>
        <w:t xml:space="preserve">. </w:t>
      </w:r>
    </w:p>
    <w:p w14:paraId="109B1266" w14:textId="673A5CE2" w:rsidR="00166F6D" w:rsidRDefault="00166F6D" w:rsidP="00166F6D">
      <w:r>
        <w:t xml:space="preserve">To investigate public protection incidents involving violent and sexual offences, police use different practices and strategies. When police investigate sexual offences, there are several things that need to be considered. Due to the seriousness of sexual assaults and rape, a specially trained officer (STO) or a Sexual Offences Liaison Officer (SOLO) as it’s known as within Gwent Police, plays a vital role within the case as they support the ongoing investigation and provide the necessary services directly to the victim to support them </w:t>
      </w:r>
      <w:sdt>
        <w:sdtPr>
          <w:id w:val="-1333989660"/>
          <w:citation/>
        </w:sdtPr>
        <w:sdtContent>
          <w:r>
            <w:fldChar w:fldCharType="begin"/>
          </w:r>
          <w:r>
            <w:instrText xml:space="preserve"> CITATION Les13 \l 2057 </w:instrText>
          </w:r>
          <w:r>
            <w:fldChar w:fldCharType="separate"/>
          </w:r>
          <w:r>
            <w:rPr>
              <w:noProof/>
            </w:rPr>
            <w:t>(McMillan, 2013)</w:t>
          </w:r>
          <w:r>
            <w:fldChar w:fldCharType="end"/>
          </w:r>
        </w:sdtContent>
      </w:sdt>
      <w:r>
        <w:t xml:space="preserve">. In all sexual offence investigations, the specially trained officer should contact the victim as early as possible, as this is to ensure that no evidence is compromised by cross contamination as it could lead to DNA evidence </w:t>
      </w:r>
      <w:sdt>
        <w:sdtPr>
          <w:id w:val="1294640542"/>
          <w:citation/>
        </w:sdtPr>
        <w:sdtContent>
          <w:r>
            <w:fldChar w:fldCharType="begin"/>
          </w:r>
          <w:r>
            <w:instrText xml:space="preserve"> CITATION Nat10 \l 2057 </w:instrText>
          </w:r>
          <w:r>
            <w:fldChar w:fldCharType="separate"/>
          </w:r>
          <w:r>
            <w:rPr>
              <w:noProof/>
            </w:rPr>
            <w:t>(National Policing Improvement Agency , 2010)</w:t>
          </w:r>
          <w:r>
            <w:fldChar w:fldCharType="end"/>
          </w:r>
        </w:sdtContent>
      </w:sdt>
      <w:r>
        <w:t xml:space="preserve"> when swabs and DNA is extracted from the victim at SOLO suite from the specially trained officer. The next phase would then be for the victim to provide an account of what happened, and this is usually done with an ABE (achieving best evidence) interview. This is where the victim is considered vulnerable or is intimidated and is interviewed by police under special measures by a specially trained officer to achieve the best possible account from the victim. This is also played in court for the judge to decide if the victim is competent to give evidence </w:t>
      </w:r>
      <w:sdt>
        <w:sdtPr>
          <w:id w:val="344993466"/>
          <w:citation/>
        </w:sdtPr>
        <w:sdtContent>
          <w:r>
            <w:fldChar w:fldCharType="begin"/>
          </w:r>
          <w:r>
            <w:instrText xml:space="preserve"> CITATION Gud10 \l 2057 </w:instrText>
          </w:r>
          <w:r>
            <w:fldChar w:fldCharType="separate"/>
          </w:r>
          <w:r>
            <w:rPr>
              <w:noProof/>
            </w:rPr>
            <w:t>(Gudjonsson, 2010)</w:t>
          </w:r>
          <w:r>
            <w:fldChar w:fldCharType="end"/>
          </w:r>
        </w:sdtContent>
      </w:sdt>
      <w:r>
        <w:t xml:space="preserve">. This is a very effective way of engaging with the victim as it allows a single specially trained officer to obtain the best evidence possible from the victim. </w:t>
      </w:r>
    </w:p>
    <w:p w14:paraId="281D9B70" w14:textId="1939E0ED" w:rsidR="00166F6D" w:rsidRDefault="00166F6D" w:rsidP="00166F6D">
      <w:r>
        <w:t xml:space="preserve">When investigating violence offences such as domestic violence, police officers have a duty of care to take positive action due to the seriousness of the offence and this would often mean that the offender would be arrested but in some circumstances other outcomes other than arrest can also be seen as positive action </w:t>
      </w:r>
      <w:sdt>
        <w:sdtPr>
          <w:id w:val="-1859037957"/>
          <w:citation/>
        </w:sdtPr>
        <w:sdtContent>
          <w:r>
            <w:fldChar w:fldCharType="begin"/>
          </w:r>
          <w:r>
            <w:instrText xml:space="preserve"> CITATION Col22 \l 2057 </w:instrText>
          </w:r>
          <w:r>
            <w:fldChar w:fldCharType="separate"/>
          </w:r>
          <w:r>
            <w:rPr>
              <w:noProof/>
            </w:rPr>
            <w:t>(College of Policing, Arrest and other positive approaches, 2022)</w:t>
          </w:r>
          <w:r>
            <w:fldChar w:fldCharType="end"/>
          </w:r>
        </w:sdtContent>
      </w:sdt>
      <w:r>
        <w:t>. Violent offences within domestic violence cases will often mean that an arrest is necessary in line with the Police and Criminal Evidence act 1984 to prevent causing further injury or damage, to protect a vulnerable person or child and conduct an effective investigation. This would allow the victim of the offence to give a full evidential account to police without being threatened or intimidated which would allow the best evidence to be obtained to progress an investigation</w:t>
      </w:r>
      <w:sdt>
        <w:sdtPr>
          <w:id w:val="-1913762745"/>
          <w:citation/>
        </w:sdtPr>
        <w:sdtContent>
          <w:r>
            <w:fldChar w:fldCharType="begin"/>
          </w:r>
          <w:r>
            <w:instrText xml:space="preserve"> CITATION Col22 \l 2057 </w:instrText>
          </w:r>
          <w:r>
            <w:fldChar w:fldCharType="separate"/>
          </w:r>
          <w:r>
            <w:rPr>
              <w:noProof/>
            </w:rPr>
            <w:t xml:space="preserve"> (College of Policing, Arrest and other positive approaches, 2022)</w:t>
          </w:r>
          <w:r>
            <w:fldChar w:fldCharType="end"/>
          </w:r>
        </w:sdtContent>
      </w:sdt>
      <w:r>
        <w:t xml:space="preserve">. After an offender is arrested and interviewed, they would sometimes be realised with bail conditions depending on a supervisor’s decision. The bail conditions are a very important part of an investigation as it promotes positive action and offers the victim and </w:t>
      </w:r>
      <w:r>
        <w:lastRenderedPageBreak/>
        <w:t xml:space="preserve">any available witnesses protection from being threatened or intimidated by the offender while the police investigate the offence and carry out further enquiries. The bail conditions should have an action plan to ensure that they are effectively enforced to make sure that the victim and witnesses are safe and that if any breaches are committed, then they can be effectively enforced </w:t>
      </w:r>
      <w:sdt>
        <w:sdtPr>
          <w:id w:val="698207663"/>
          <w:citation/>
        </w:sdtPr>
        <w:sdtContent>
          <w:r>
            <w:fldChar w:fldCharType="begin"/>
          </w:r>
          <w:r>
            <w:instrText xml:space="preserve"> CITATION Col22 \l 2057 </w:instrText>
          </w:r>
          <w:r>
            <w:fldChar w:fldCharType="separate"/>
          </w:r>
          <w:r>
            <w:rPr>
              <w:noProof/>
            </w:rPr>
            <w:t>(College of Policing, Arrest and other positive approaches, 2022)</w:t>
          </w:r>
          <w:r>
            <w:fldChar w:fldCharType="end"/>
          </w:r>
        </w:sdtContent>
      </w:sdt>
      <w:r>
        <w:t>.</w:t>
      </w:r>
    </w:p>
    <w:p w14:paraId="12E0DD00" w14:textId="77777777" w:rsidR="00166F6D" w:rsidRDefault="00166F6D" w:rsidP="00166F6D">
      <w:r>
        <w:t>Overall, the role of MAPPA plays a significant role with managing offenders and allows those offenders to be placed into categories to match the risk they pose to the public. This will allow officers and partner agencies to create plans that have been structured to the person and allows the police to use their policing practices to investigate public protection incidents in an effective manner as they have access to the various information needed to manage and investigate violent and sexual offenders.</w:t>
      </w:r>
    </w:p>
    <w:p w14:paraId="578AFD26" w14:textId="78B16FBD" w:rsidR="00166F6D" w:rsidRDefault="00166F6D" w:rsidP="00166F6D">
      <w:r>
        <w:t>(Word count – 995)</w:t>
      </w:r>
    </w:p>
    <w:p w14:paraId="4A18905C" w14:textId="2B66E613" w:rsidR="00166F6D" w:rsidRDefault="00166F6D" w:rsidP="00166F6D"/>
    <w:p w14:paraId="259539C6" w14:textId="68D636B8" w:rsidR="00166F6D" w:rsidRDefault="00166F6D" w:rsidP="00166F6D"/>
    <w:p w14:paraId="3E8CCC74" w14:textId="77777777" w:rsidR="00166F6D" w:rsidRDefault="00166F6D" w:rsidP="00166F6D">
      <w:pPr>
        <w:spacing w:after="0" w:line="276" w:lineRule="auto"/>
        <w:ind w:left="567" w:right="531"/>
        <w:rPr>
          <w:rFonts w:ascii="Arial" w:eastAsia="Times New Roman" w:hAnsi="Arial" w:cs="Arial"/>
          <w:lang w:eastAsia="en-GB"/>
        </w:rPr>
      </w:pPr>
    </w:p>
    <w:p w14:paraId="3A8C5E93" w14:textId="77777777" w:rsidR="00166F6D" w:rsidRDefault="00166F6D" w:rsidP="00166F6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b/>
          <w:bCs/>
          <w:lang w:eastAsia="en-GB"/>
        </w:rPr>
        <w:t>Essay four:</w:t>
      </w:r>
      <w:r>
        <w:rPr>
          <w:rFonts w:ascii="Arial" w:eastAsia="Times New Roman" w:hAnsi="Arial" w:cs="Arial"/>
          <w:lang w:eastAsia="en-GB"/>
        </w:rPr>
        <w:t xml:space="preserve"> </w:t>
      </w:r>
    </w:p>
    <w:p w14:paraId="3614FE7A" w14:textId="77777777" w:rsidR="00166F6D" w:rsidRDefault="00166F6D" w:rsidP="00166F6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u w:val="single"/>
          <w:lang w:eastAsia="en-GB"/>
        </w:rPr>
        <w:t>Critically evaluate</w:t>
      </w:r>
      <w:r>
        <w:rPr>
          <w:rFonts w:ascii="Arial" w:eastAsia="Times New Roman" w:hAnsi="Arial" w:cs="Arial"/>
          <w:lang w:eastAsia="en-GB"/>
        </w:rPr>
        <w:t xml:space="preserve"> the impact of early intervention on young offenders, and young people at risk of becoming involved in gangs. </w:t>
      </w:r>
      <w:r>
        <w:rPr>
          <w:rFonts w:ascii="Arial" w:eastAsia="Times New Roman" w:hAnsi="Arial" w:cs="Arial"/>
          <w:u w:val="single"/>
          <w:lang w:eastAsia="en-GB"/>
        </w:rPr>
        <w:t>Assess</w:t>
      </w:r>
      <w:r>
        <w:rPr>
          <w:rFonts w:ascii="Arial" w:eastAsia="Times New Roman" w:hAnsi="Arial" w:cs="Arial"/>
          <w:lang w:eastAsia="en-GB"/>
        </w:rPr>
        <w:t xml:space="preserve"> the effectiveness of partnership approaches to prevent or deter involvement in gang-related activity.</w:t>
      </w:r>
    </w:p>
    <w:p w14:paraId="5E735653" w14:textId="77777777" w:rsidR="00166F6D" w:rsidRDefault="00166F6D" w:rsidP="00166F6D">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Pr>
          <w:rFonts w:ascii="Arial" w:eastAsia="Times New Roman" w:hAnsi="Arial" w:cs="Arial"/>
          <w:lang w:eastAsia="en-GB"/>
        </w:rPr>
        <w:t>Rather than relying on personal experience, support your answer with relevant evidence drawn from academic sources.</w:t>
      </w:r>
    </w:p>
    <w:p w14:paraId="09C39D59" w14:textId="77777777" w:rsidR="00166F6D" w:rsidRDefault="00166F6D" w:rsidP="00166F6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30782817" w14:textId="77777777" w:rsidR="00166F6D" w:rsidRDefault="00166F6D" w:rsidP="00166F6D"/>
    <w:p w14:paraId="0CA6BC25" w14:textId="77777777" w:rsidR="00166F6D" w:rsidRDefault="00166F6D" w:rsidP="00166F6D"/>
    <w:p w14:paraId="738C9D59" w14:textId="77777777" w:rsidR="00166F6D" w:rsidRDefault="00166F6D" w:rsidP="00166F6D">
      <w:r>
        <w:t xml:space="preserve">During this task I will be evaluating the impact of early intervention on young offenders and the young people who are at risk of becoming involved in gangs. I will also be assessing the effectiveness of partnership approaches who are involved with young people who help to prevent or deter young people’s involvement in gang related activity. </w:t>
      </w:r>
    </w:p>
    <w:p w14:paraId="747D4B3A" w14:textId="290C22FD" w:rsidR="00166F6D" w:rsidRDefault="00166F6D" w:rsidP="00166F6D">
      <w:r>
        <w:t xml:space="preserve">There are several different strategies that agencies and police intervene with young offenders and young people at risk of being involved in gangs and one of those strategies is early intervention. This is when measures are implemented to encourage the youths to be better behaved, to create more opportunities for youths and to help the youths develop skills to reach their potential </w:t>
      </w:r>
      <w:sdt>
        <w:sdtPr>
          <w:id w:val="1197890721"/>
          <w:citation/>
        </w:sdtPr>
        <w:sdtContent>
          <w:r>
            <w:fldChar w:fldCharType="begin"/>
          </w:r>
          <w:r>
            <w:instrText xml:space="preserve"> CITATION You22 \l 2057 </w:instrText>
          </w:r>
          <w:r>
            <w:fldChar w:fldCharType="separate"/>
          </w:r>
          <w:r>
            <w:rPr>
              <w:noProof/>
            </w:rPr>
            <w:t>(Commission, 2022)</w:t>
          </w:r>
          <w:r>
            <w:fldChar w:fldCharType="end"/>
          </w:r>
        </w:sdtContent>
      </w:sdt>
      <w:r>
        <w:t xml:space="preserve">. Early intervention has had a more positive impact than previous attempts which focused on remediating the visible and longstanding disruptive behaviour of youths. This is because early intervention with youths sets out to prevent delinquent behaviour and helps to support the development of a youth’s resilience. It also helps to lower the rate of reoffending, and this has been shown to decrease by 16% when youths engage with the criminal justice system </w:t>
      </w:r>
      <w:sdt>
        <w:sdtPr>
          <w:id w:val="-1760439222"/>
          <w:citation/>
        </w:sdtPr>
        <w:sdtContent>
          <w:r>
            <w:fldChar w:fldCharType="begin"/>
          </w:r>
          <w:r>
            <w:instrText xml:space="preserve"> CITATION you22 \l 2057 </w:instrText>
          </w:r>
          <w:r>
            <w:fldChar w:fldCharType="separate"/>
          </w:r>
          <w:r>
            <w:rPr>
              <w:noProof/>
            </w:rPr>
            <w:t>(youth.gov, 2022)</w:t>
          </w:r>
          <w:r>
            <w:fldChar w:fldCharType="end"/>
          </w:r>
        </w:sdtContent>
      </w:sdt>
      <w:r>
        <w:t xml:space="preserve">. Although it has been shown that early intervention has been mostly positive, there is also an argument that diversion is more effective, and that early intervention exposes children to higher levels of criminalisation. A report was realised in 2007 and that showed that 97,329 youths had entered the youth justice system for the first time, and this had been due to the early intervention programmes at the time which centred around “Reprimands” and “Final Warnings”. This has led to a large increase with the number of youths having to attend court for minor offences, and although </w:t>
      </w:r>
      <w:r>
        <w:lastRenderedPageBreak/>
        <w:t xml:space="preserve">early intervention has helped identify youths at risk and children that are vulnerable, it has also undermined justice and has inadvertently exposed youths to higher levels of regulation and criminalisation </w:t>
      </w:r>
      <w:sdt>
        <w:sdtPr>
          <w:id w:val="-2045056507"/>
          <w:citation/>
        </w:sdtPr>
        <w:sdtContent>
          <w:r>
            <w:fldChar w:fldCharType="begin"/>
          </w:r>
          <w:r>
            <w:instrText xml:space="preserve"> CITATION gol07 \l 2057 </w:instrText>
          </w:r>
          <w:r>
            <w:fldChar w:fldCharType="separate"/>
          </w:r>
          <w:r>
            <w:rPr>
              <w:noProof/>
            </w:rPr>
            <w:t>(goldson, 2007)</w:t>
          </w:r>
          <w:r>
            <w:fldChar w:fldCharType="end"/>
          </w:r>
        </w:sdtContent>
      </w:sdt>
      <w:r>
        <w:t xml:space="preserve">. Youths can also be targeted by gangs and a study was conducted in England 2019 and 27,000 children identified as being part of a gang while 6,500 were gang members who had been identified by authorities </w:t>
      </w:r>
      <w:sdt>
        <w:sdtPr>
          <w:id w:val="2116930936"/>
          <w:citation/>
        </w:sdtPr>
        <w:sdtContent>
          <w:r>
            <w:fldChar w:fldCharType="begin"/>
          </w:r>
          <w:r>
            <w:instrText xml:space="preserve"> CITATION Sta19 \l 2057 </w:instrText>
          </w:r>
          <w:r>
            <w:fldChar w:fldCharType="separate"/>
          </w:r>
          <w:r>
            <w:rPr>
              <w:noProof/>
            </w:rPr>
            <w:t>(Statista, 2019)</w:t>
          </w:r>
          <w:r>
            <w:fldChar w:fldCharType="end"/>
          </w:r>
        </w:sdtContent>
      </w:sdt>
      <w:r>
        <w:t xml:space="preserve">. An intervention scheme that is used to counteract this, is the Violent Reduction Unit who help intervene with youths who have become involved in gang activity. Youths sometimes join gangs to gain status and acceptance, or because they want to feel the thrill and exhilaration of criminal acts. The Violent Reduction Unit work with partners such as the NHS, social services and to schools to educate youths of the consequences of joining a gang and provides the youths with alternatives steer them away from gang involvement </w:t>
      </w:r>
      <w:sdt>
        <w:sdtPr>
          <w:id w:val="1436788623"/>
          <w:citation/>
        </w:sdtPr>
        <w:sdtContent>
          <w:r>
            <w:fldChar w:fldCharType="begin"/>
          </w:r>
          <w:r>
            <w:instrText xml:space="preserve"> CITATION Hes19 \l 2057 </w:instrText>
          </w:r>
          <w:r>
            <w:fldChar w:fldCharType="separate"/>
          </w:r>
          <w:r>
            <w:rPr>
              <w:noProof/>
            </w:rPr>
            <w:t>(Hesketh, 2019)</w:t>
          </w:r>
          <w:r>
            <w:fldChar w:fldCharType="end"/>
          </w:r>
        </w:sdtContent>
      </w:sdt>
      <w:r>
        <w:t xml:space="preserve">. </w:t>
      </w:r>
    </w:p>
    <w:p w14:paraId="05BBDF7E" w14:textId="77777777" w:rsidR="00166F6D" w:rsidRDefault="00166F6D" w:rsidP="00166F6D"/>
    <w:p w14:paraId="13799C26" w14:textId="77777777" w:rsidR="00166F6D" w:rsidRDefault="00166F6D" w:rsidP="00166F6D"/>
    <w:p w14:paraId="3B681A33" w14:textId="43E0881B" w:rsidR="00166F6D" w:rsidRDefault="00166F6D" w:rsidP="00166F6D">
      <w:r>
        <w:t xml:space="preserve">To help with early intervention for young offenders and youths who are at risk from gang activity, partner agencies and police would need to play a significant role through partnership approaches and would help support and work within communities </w:t>
      </w:r>
      <w:sdt>
        <w:sdtPr>
          <w:id w:val="665676589"/>
          <w:citation/>
        </w:sdtPr>
        <w:sdtContent>
          <w:r>
            <w:fldChar w:fldCharType="begin"/>
          </w:r>
          <w:r>
            <w:instrText xml:space="preserve"> CITATION Lew19 \l 2057 </w:instrText>
          </w:r>
          <w:r>
            <w:fldChar w:fldCharType="separate"/>
          </w:r>
          <w:r>
            <w:rPr>
              <w:noProof/>
            </w:rPr>
            <w:t>(Lewisham Council, 2019)</w:t>
          </w:r>
          <w:r>
            <w:fldChar w:fldCharType="end"/>
          </w:r>
        </w:sdtContent>
      </w:sdt>
      <w:r>
        <w:t xml:space="preserve">. A report was conducted in two London boroughs of Lambeth and Wandsworth which involved police, Schools and local officials and the report indicates that the risk factors that are used to identify gang involvement in youths could be identified in youths as young as seven years of age. The report also said that the schools felt saddened as they were unable to changes the outcomes of the children who were vulnerable and identified that a lack of understanding of risk levels and the pressure to focus on academic performance instead of focusing on the child’s wellbeing, is often found in schools in </w:t>
      </w:r>
      <w:proofErr w:type="spellStart"/>
      <w:r>
        <w:t>area’s</w:t>
      </w:r>
      <w:proofErr w:type="spellEnd"/>
      <w:r>
        <w:t xml:space="preserve"> where the risk of youth related gang violence is higher. To counteract this, Police could work within primary schools to educate youths and help raise awareness and prevent gang involvement and making improvements to the links between partner agencies that help with early intervention and the local schools so staff could be confident that if they were to send referrals, the result would lead to support for the youth’s and their families. The report is only the first part out of a three-year project designed to explore and help support early intervention processes which can eventually help increase the number of successful processes partner agencies follow as crucial evidential value would be gained </w:t>
      </w:r>
      <w:sdt>
        <w:sdtPr>
          <w:id w:val="668534110"/>
          <w:citation/>
        </w:sdtPr>
        <w:sdtContent>
          <w:r>
            <w:fldChar w:fldCharType="begin"/>
          </w:r>
          <w:r>
            <w:instrText xml:space="preserve"> CITATION Wad18 \l 2057 </w:instrText>
          </w:r>
          <w:r>
            <w:fldChar w:fldCharType="separate"/>
          </w:r>
          <w:r>
            <w:rPr>
              <w:noProof/>
            </w:rPr>
            <w:t>(Waddell &amp; Jones, 2018)</w:t>
          </w:r>
          <w:r>
            <w:fldChar w:fldCharType="end"/>
          </w:r>
        </w:sdtContent>
      </w:sdt>
      <w:r>
        <w:t xml:space="preserve">. Police also have an important role when working with partner agencies. When youths take part within gang related activity, youth offending teams, who are made up of members of the police and probation service, health and education service and social services, attempt to identify the causes and risk the youths involved pose to others. This then allows the youth offending teams to create a programme suited to the needs of the youth and help deter them away from crime </w:t>
      </w:r>
      <w:sdt>
        <w:sdtPr>
          <w:id w:val="196903441"/>
          <w:citation/>
        </w:sdtPr>
        <w:sdtContent>
          <w:r>
            <w:fldChar w:fldCharType="begin"/>
          </w:r>
          <w:r>
            <w:instrText xml:space="preserve"> CITATION Col221 \l 2057 </w:instrText>
          </w:r>
          <w:r>
            <w:fldChar w:fldCharType="separate"/>
          </w:r>
          <w:r>
            <w:rPr>
              <w:noProof/>
            </w:rPr>
            <w:t>(College of Policing, Children and Young Persons, 2022)</w:t>
          </w:r>
          <w:r>
            <w:fldChar w:fldCharType="end"/>
          </w:r>
        </w:sdtContent>
      </w:sdt>
      <w:r>
        <w:t xml:space="preserve">. To make this more effective, Multi-Agency Safeguarding Arrangements (MASAs) make it a requirement to make information sharing more effective and to ensure that all agencies share any relevant information such as safety concerns and the welfare of any children and youths. This then allows agencies and police forces to take the necessary action to prevent harm to youths and to aid early intervention and steer youths away from crime and gang related activity </w:t>
      </w:r>
      <w:sdt>
        <w:sdtPr>
          <w:id w:val="1754166674"/>
          <w:citation/>
        </w:sdtPr>
        <w:sdtContent>
          <w:r>
            <w:fldChar w:fldCharType="begin"/>
          </w:r>
          <w:r>
            <w:instrText xml:space="preserve"> CITATION Col221 \l 2057 </w:instrText>
          </w:r>
          <w:r>
            <w:fldChar w:fldCharType="separate"/>
          </w:r>
          <w:r>
            <w:rPr>
              <w:noProof/>
            </w:rPr>
            <w:t>(College of Policing, Children and Young Persons, 2022)</w:t>
          </w:r>
          <w:r>
            <w:fldChar w:fldCharType="end"/>
          </w:r>
        </w:sdtContent>
      </w:sdt>
      <w:r>
        <w:t xml:space="preserve">. Youth offending teams have used various methods and a wide range of different programmes to help deliver early interventions to youths which allow for different approaches to cater for the needs of youths involved in crime or gang related activity no matter their circumstances or background </w:t>
      </w:r>
      <w:sdt>
        <w:sdtPr>
          <w:id w:val="530839909"/>
          <w:citation/>
        </w:sdtPr>
        <w:sdtContent>
          <w:r>
            <w:fldChar w:fldCharType="begin"/>
          </w:r>
          <w:r>
            <w:instrText xml:space="preserve"> CITATION Wil13 \l 2057 </w:instrText>
          </w:r>
          <w:r>
            <w:fldChar w:fldCharType="separate"/>
          </w:r>
          <w:r>
            <w:rPr>
              <w:noProof/>
            </w:rPr>
            <w:t>(Wilson, 2013)</w:t>
          </w:r>
          <w:r>
            <w:fldChar w:fldCharType="end"/>
          </w:r>
        </w:sdtContent>
      </w:sdt>
      <w:r>
        <w:t>.</w:t>
      </w:r>
    </w:p>
    <w:p w14:paraId="23C1D971" w14:textId="77777777" w:rsidR="00166F6D" w:rsidRDefault="00166F6D" w:rsidP="00166F6D">
      <w:r>
        <w:t xml:space="preserve">In conclusion, based on the research shown during this essay, it shows that even though early interventions help lower the rate of reoffending in youths which is a positive impact, it can also be </w:t>
      </w:r>
      <w:r>
        <w:lastRenderedPageBreak/>
        <w:t xml:space="preserve">seen as a negative as more youths are being exposed to the criminal process which in turn could have a negative effect on youths. Although, through the assistance and interaction with partner agencies within schools, the police force and social services, more intervention and diversion can be done with youths at a younger age to help divert them away from gang related activity and crime which could be seen as a more effective way to manage youth offending as the intervention would be at an earlier age and before any potential crimes are committed. </w:t>
      </w:r>
    </w:p>
    <w:p w14:paraId="5EBF7F64" w14:textId="77777777" w:rsidR="00166F6D" w:rsidRDefault="00166F6D" w:rsidP="00166F6D">
      <w:r>
        <w:t>(Word count – 1047)</w:t>
      </w:r>
    </w:p>
    <w:p w14:paraId="7CFE3038" w14:textId="77777777" w:rsidR="00166F6D" w:rsidRDefault="00166F6D" w:rsidP="00166F6D"/>
    <w:p w14:paraId="441F20D5" w14:textId="793B55A1" w:rsidR="00166F6D" w:rsidRDefault="00166F6D" w:rsidP="00166F6D">
      <w:pPr>
        <w:rPr>
          <w:rFonts w:ascii="Arial" w:hAnsi="Arial" w:cs="Arial"/>
        </w:rPr>
      </w:pPr>
    </w:p>
    <w:p w14:paraId="745101EA" w14:textId="62C354BC" w:rsidR="00166F6D" w:rsidRDefault="00166F6D" w:rsidP="00166F6D">
      <w:pPr>
        <w:rPr>
          <w:rFonts w:ascii="Arial" w:hAnsi="Arial" w:cs="Arial"/>
        </w:rPr>
      </w:pPr>
    </w:p>
    <w:p w14:paraId="7A968B55" w14:textId="7C6C3050" w:rsidR="00166F6D" w:rsidRDefault="00166F6D" w:rsidP="00166F6D">
      <w:pPr>
        <w:rPr>
          <w:rFonts w:ascii="Arial" w:hAnsi="Arial" w:cs="Arial"/>
        </w:rPr>
      </w:pPr>
    </w:p>
    <w:p w14:paraId="5D8677C1" w14:textId="77777777" w:rsidR="00166F6D" w:rsidRDefault="00166F6D" w:rsidP="00166F6D">
      <w:pPr>
        <w:rPr>
          <w:rFonts w:ascii="Arial" w:hAnsi="Arial" w:cs="Arial"/>
        </w:rPr>
      </w:pPr>
    </w:p>
    <w:sdt>
      <w:sdtPr>
        <w:id w:val="13528426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DB390A6" w14:textId="03928DAC" w:rsidR="00166F6D" w:rsidRDefault="00166F6D">
          <w:pPr>
            <w:pStyle w:val="Heading1"/>
          </w:pPr>
          <w:r>
            <w:t>Bibliography</w:t>
          </w:r>
        </w:p>
        <w:sdt>
          <w:sdtPr>
            <w:id w:val="111145805"/>
            <w:bibliography/>
          </w:sdtPr>
          <w:sdtContent>
            <w:p w14:paraId="4D253BDC" w14:textId="77777777" w:rsidR="00166F6D" w:rsidRDefault="00166F6D" w:rsidP="00166F6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Boin, A., rosenthal, u., &amp; comfort, l. k. (2001). The Stephen Lawrence Case: The London Metropolitan Police in Crisis. In </w:t>
              </w:r>
              <w:r>
                <w:rPr>
                  <w:i/>
                  <w:iCs/>
                  <w:noProof/>
                  <w:lang w:val="en-US"/>
                </w:rPr>
                <w:t>Managing Crises: Threats, Dilemmas, Opportunities</w:t>
              </w:r>
              <w:r>
                <w:rPr>
                  <w:noProof/>
                  <w:lang w:val="en-US"/>
                </w:rPr>
                <w:t xml:space="preserve"> (p. 74). Chales C Thomas Pub Ltd.</w:t>
              </w:r>
            </w:p>
            <w:p w14:paraId="28764C87" w14:textId="77777777" w:rsidR="00166F6D" w:rsidRDefault="00166F6D" w:rsidP="00166F6D">
              <w:pPr>
                <w:pStyle w:val="Bibliography"/>
                <w:ind w:left="720" w:hanging="720"/>
                <w:rPr>
                  <w:noProof/>
                  <w:lang w:val="en-US"/>
                </w:rPr>
              </w:pPr>
              <w:r>
                <w:rPr>
                  <w:noProof/>
                  <w:lang w:val="en-US"/>
                </w:rPr>
                <w:t>Bourne, J. (2001). The life and times of institutional racism. Volume 43(2): P. 7-22.</w:t>
              </w:r>
            </w:p>
            <w:p w14:paraId="5D629635" w14:textId="77777777" w:rsidR="00166F6D" w:rsidRDefault="00166F6D" w:rsidP="00166F6D">
              <w:pPr>
                <w:pStyle w:val="Bibliography"/>
                <w:ind w:left="720" w:hanging="720"/>
                <w:rPr>
                  <w:noProof/>
                  <w:lang w:val="en-US"/>
                </w:rPr>
              </w:pPr>
              <w:r>
                <w:rPr>
                  <w:noProof/>
                  <w:lang w:val="en-US"/>
                </w:rPr>
                <w:t xml:space="preserve">Butera, J.-A. (2013). </w:t>
              </w:r>
              <w:r>
                <w:rPr>
                  <w:i/>
                  <w:iCs/>
                  <w:noProof/>
                  <w:lang w:val="en-US"/>
                </w:rPr>
                <w:t>Cuckooing: Home Takeovers of Vulnerable Tenants.</w:t>
              </w:r>
              <w:r>
                <w:rPr>
                  <w:noProof/>
                  <w:lang w:val="en-US"/>
                </w:rPr>
                <w:t xml:space="preserve"> Department of Criminology, University of Ottawa.</w:t>
              </w:r>
            </w:p>
            <w:p w14:paraId="2A294DD1" w14:textId="5128F999" w:rsidR="00166F6D" w:rsidRDefault="00166F6D" w:rsidP="00166F6D">
              <w:pPr>
                <w:pStyle w:val="Bibliography"/>
                <w:ind w:left="720" w:hanging="720"/>
                <w:rPr>
                  <w:noProof/>
                  <w:lang w:val="en-US"/>
                </w:rPr>
              </w:pPr>
              <w:r>
                <w:rPr>
                  <w:noProof/>
                  <w:lang w:val="en-US"/>
                </w:rPr>
                <w:t xml:space="preserve">Coliandris, G. (2015). County lines and wicked problems: Exploring the need for improved policing approaches to vulnerable and early intervention. </w:t>
              </w:r>
              <w:r>
                <w:rPr>
                  <w:i/>
                  <w:iCs/>
                  <w:noProof/>
                  <w:lang w:val="en-US"/>
                </w:rPr>
                <w:t>Australasian Policing</w:t>
              </w:r>
              <w:r>
                <w:rPr>
                  <w:noProof/>
                  <w:lang w:val="en-US"/>
                </w:rPr>
                <w:t>.</w:t>
              </w:r>
            </w:p>
            <w:p w14:paraId="2BFC3FA5" w14:textId="4DE382F8" w:rsidR="00AC55EA" w:rsidRPr="00AC55EA" w:rsidRDefault="00AC55EA" w:rsidP="00AC55EA">
              <w:pPr>
                <w:pStyle w:val="Bibliography"/>
                <w:ind w:left="720" w:hanging="720"/>
                <w:rPr>
                  <w:noProof/>
                  <w:lang w:val="en-US"/>
                </w:rPr>
              </w:pPr>
              <w:r>
                <w:rPr>
                  <w:noProof/>
                  <w:lang w:val="en-US"/>
                </w:rPr>
                <w:t xml:space="preserve">College of Policing. (2020). </w:t>
              </w:r>
              <w:r>
                <w:rPr>
                  <w:i/>
                  <w:iCs/>
                  <w:noProof/>
                  <w:lang w:val="en-US"/>
                </w:rPr>
                <w:t>Recognising and Responding To Vulnerability Related Risks.</w:t>
              </w:r>
              <w:r>
                <w:rPr>
                  <w:noProof/>
                  <w:lang w:val="en-US"/>
                </w:rPr>
                <w:t xml:space="preserve"> College of Policing Limited.</w:t>
              </w:r>
            </w:p>
            <w:p w14:paraId="0D9B073F" w14:textId="77777777" w:rsidR="00166F6D" w:rsidRDefault="00166F6D" w:rsidP="00166F6D">
              <w:pPr>
                <w:pStyle w:val="Bibliography"/>
                <w:ind w:left="720" w:hanging="720"/>
                <w:rPr>
                  <w:noProof/>
                  <w:lang w:val="en-US"/>
                </w:rPr>
              </w:pPr>
              <w:r>
                <w:rPr>
                  <w:noProof/>
                  <w:lang w:val="en-US"/>
                </w:rPr>
                <w:t xml:space="preserve">College of Policing. (2022). </w:t>
              </w:r>
              <w:r>
                <w:rPr>
                  <w:i/>
                  <w:iCs/>
                  <w:noProof/>
                  <w:lang w:val="en-US"/>
                </w:rPr>
                <w:t>Arrest and other positive approaches</w:t>
              </w:r>
              <w:r>
                <w:rPr>
                  <w:noProof/>
                  <w:lang w:val="en-US"/>
                </w:rPr>
                <w:t>. Retrieved from College of Policing: https://www.college.police.uk/app/major-investigation-and-public-protection/domestic-abuse/arrest-and-other-positive-approaches</w:t>
              </w:r>
            </w:p>
            <w:p w14:paraId="0F71B7D5" w14:textId="77777777" w:rsidR="00166F6D" w:rsidRDefault="00166F6D" w:rsidP="00166F6D">
              <w:pPr>
                <w:pStyle w:val="Bibliography"/>
                <w:ind w:left="720" w:hanging="720"/>
                <w:rPr>
                  <w:noProof/>
                  <w:lang w:val="en-US"/>
                </w:rPr>
              </w:pPr>
              <w:r>
                <w:rPr>
                  <w:noProof/>
                  <w:lang w:val="en-US"/>
                </w:rPr>
                <w:t xml:space="preserve">College of Policing. (2022). </w:t>
              </w:r>
              <w:r>
                <w:rPr>
                  <w:i/>
                  <w:iCs/>
                  <w:noProof/>
                  <w:lang w:val="en-US"/>
                </w:rPr>
                <w:t>Children and Young Persons</w:t>
              </w:r>
              <w:r>
                <w:rPr>
                  <w:noProof/>
                  <w:lang w:val="en-US"/>
                </w:rPr>
                <w:t>. Retrieved from College of Policing: https://www.college.police.uk/app/detention-and-custody/detainee-care/children-and-young-persons#youth-offending-teams</w:t>
              </w:r>
            </w:p>
            <w:p w14:paraId="18A625D9" w14:textId="77777777" w:rsidR="00166F6D" w:rsidRDefault="00166F6D" w:rsidP="00166F6D">
              <w:pPr>
                <w:pStyle w:val="Bibliography"/>
                <w:ind w:left="720" w:hanging="720"/>
                <w:rPr>
                  <w:noProof/>
                  <w:lang w:val="en-US"/>
                </w:rPr>
              </w:pPr>
              <w:r>
                <w:rPr>
                  <w:noProof/>
                  <w:lang w:val="en-US"/>
                </w:rPr>
                <w:t xml:space="preserve">Commission, Y. C. (2022). </w:t>
              </w:r>
              <w:r>
                <w:rPr>
                  <w:i/>
                  <w:iCs/>
                  <w:noProof/>
                  <w:lang w:val="en-US"/>
                </w:rPr>
                <w:t>Early Intervention</w:t>
              </w:r>
              <w:r>
                <w:rPr>
                  <w:noProof/>
                  <w:lang w:val="en-US"/>
                </w:rPr>
                <w:t>. Retrieved from Youth Crime Commission: https://www.youthcrimecommission.org.uk/early-intervention/</w:t>
              </w:r>
            </w:p>
            <w:p w14:paraId="3906A38A" w14:textId="77777777" w:rsidR="00166F6D" w:rsidRDefault="00166F6D" w:rsidP="00166F6D">
              <w:pPr>
                <w:pStyle w:val="Bibliography"/>
                <w:ind w:left="720" w:hanging="720"/>
                <w:rPr>
                  <w:noProof/>
                  <w:lang w:val="en-US"/>
                </w:rPr>
              </w:pPr>
              <w:r>
                <w:rPr>
                  <w:noProof/>
                  <w:lang w:val="en-US"/>
                </w:rPr>
                <w:t>goldson, b. (2007). Child criminalisation and the mistake of early intervention. Sage.</w:t>
              </w:r>
            </w:p>
            <w:p w14:paraId="4EBCB754" w14:textId="77777777" w:rsidR="00166F6D" w:rsidRDefault="00166F6D" w:rsidP="00166F6D">
              <w:pPr>
                <w:pStyle w:val="Bibliography"/>
                <w:ind w:left="720" w:hanging="720"/>
                <w:rPr>
                  <w:noProof/>
                  <w:lang w:val="en-US"/>
                </w:rPr>
              </w:pPr>
              <w:r>
                <w:rPr>
                  <w:noProof/>
                  <w:lang w:val="en-US"/>
                </w:rPr>
                <w:t xml:space="preserve">Gudjonsson, G. H. (2010). Phychological vulnerabilities during police interviews. Why are they important? </w:t>
              </w:r>
              <w:r>
                <w:rPr>
                  <w:i/>
                  <w:iCs/>
                  <w:noProof/>
                  <w:lang w:val="en-US"/>
                </w:rPr>
                <w:t xml:space="preserve">Legal and Criminological Psychology </w:t>
              </w:r>
              <w:r>
                <w:rPr>
                  <w:noProof/>
                  <w:lang w:val="en-US"/>
                </w:rPr>
                <w:t>, Volume 15, Issue 2, P. 161-175.</w:t>
              </w:r>
            </w:p>
            <w:p w14:paraId="38D1F552" w14:textId="77777777" w:rsidR="00166F6D" w:rsidRDefault="00166F6D" w:rsidP="00166F6D">
              <w:pPr>
                <w:pStyle w:val="Bibliography"/>
                <w:ind w:left="720" w:hanging="720"/>
                <w:rPr>
                  <w:noProof/>
                  <w:lang w:val="en-US"/>
                </w:rPr>
              </w:pPr>
              <w:r>
                <w:rPr>
                  <w:noProof/>
                  <w:lang w:val="en-US"/>
                </w:rPr>
                <w:t>Hesketh, R. (2019). Why do young people join gangs? Members explain the appeal of risk taking.</w:t>
              </w:r>
            </w:p>
            <w:p w14:paraId="69BD2287" w14:textId="77777777" w:rsidR="00166F6D" w:rsidRDefault="00166F6D" w:rsidP="00166F6D">
              <w:pPr>
                <w:pStyle w:val="Bibliography"/>
                <w:ind w:left="720" w:hanging="720"/>
                <w:rPr>
                  <w:noProof/>
                  <w:lang w:val="en-US"/>
                </w:rPr>
              </w:pPr>
              <w:r>
                <w:rPr>
                  <w:noProof/>
                  <w:lang w:val="en-US"/>
                </w:rPr>
                <w:lastRenderedPageBreak/>
                <w:t xml:space="preserve">HM Inspectorate of Probation. (2021). </w:t>
              </w:r>
              <w:r>
                <w:rPr>
                  <w:i/>
                  <w:iCs/>
                  <w:noProof/>
                  <w:lang w:val="en-US"/>
                </w:rPr>
                <w:t>Multi-Agency public protection arrangments</w:t>
              </w:r>
              <w:r>
                <w:rPr>
                  <w:noProof/>
                  <w:lang w:val="en-US"/>
                </w:rPr>
                <w:t>. Retrieved from Justice Inspectorates: https://www.justiceinspectorates.gov.uk/hmiprobation/research/the-evidence-base-probation/specific-types-of-delivery/mappa/</w:t>
              </w:r>
            </w:p>
            <w:p w14:paraId="17E289C9" w14:textId="77777777" w:rsidR="00166F6D" w:rsidRDefault="00166F6D" w:rsidP="00166F6D">
              <w:pPr>
                <w:pStyle w:val="Bibliography"/>
                <w:ind w:left="720" w:hanging="720"/>
                <w:rPr>
                  <w:noProof/>
                  <w:lang w:val="en-US"/>
                </w:rPr>
              </w:pPr>
              <w:r>
                <w:rPr>
                  <w:noProof/>
                  <w:lang w:val="en-US"/>
                </w:rPr>
                <w:t xml:space="preserve">Hong, S. (2016). Does Increasing Ethnic Representativeness Reduce Police Misconduct? </w:t>
              </w:r>
              <w:r>
                <w:rPr>
                  <w:i/>
                  <w:iCs/>
                  <w:noProof/>
                  <w:lang w:val="en-US"/>
                </w:rPr>
                <w:t>Public Administration Review</w:t>
              </w:r>
              <w:r>
                <w:rPr>
                  <w:noProof/>
                  <w:lang w:val="en-US"/>
                </w:rPr>
                <w:t>, Volume 77, Issue 2/ P.195-205.</w:t>
              </w:r>
            </w:p>
            <w:p w14:paraId="68CC9758" w14:textId="77777777" w:rsidR="00166F6D" w:rsidRDefault="00166F6D" w:rsidP="00166F6D">
              <w:pPr>
                <w:pStyle w:val="Bibliography"/>
                <w:ind w:left="720" w:hanging="720"/>
                <w:rPr>
                  <w:noProof/>
                  <w:lang w:val="en-US"/>
                </w:rPr>
              </w:pPr>
              <w:r>
                <w:rPr>
                  <w:noProof/>
                  <w:lang w:val="en-US"/>
                </w:rPr>
                <w:t xml:space="preserve">Keeling, P. (2017). </w:t>
              </w:r>
              <w:r>
                <w:rPr>
                  <w:i/>
                  <w:iCs/>
                  <w:noProof/>
                  <w:lang w:val="en-US"/>
                </w:rPr>
                <w:t>No Respect: Young BAME Men, The Police and Stop and Search.</w:t>
              </w:r>
              <w:r>
                <w:rPr>
                  <w:noProof/>
                  <w:lang w:val="en-US"/>
                </w:rPr>
                <w:t xml:space="preserve"> Criminal Justice Alliance.</w:t>
              </w:r>
            </w:p>
            <w:p w14:paraId="0BD6F512" w14:textId="77777777" w:rsidR="00166F6D" w:rsidRDefault="00166F6D" w:rsidP="00166F6D">
              <w:pPr>
                <w:pStyle w:val="Bibliography"/>
                <w:ind w:left="720" w:hanging="720"/>
                <w:rPr>
                  <w:noProof/>
                  <w:lang w:val="en-US"/>
                </w:rPr>
              </w:pPr>
              <w:r>
                <w:rPr>
                  <w:noProof/>
                  <w:lang w:val="en-US"/>
                </w:rPr>
                <w:t xml:space="preserve">Lea, J., &amp; Hallsworth, S. (2012). </w:t>
              </w:r>
              <w:r>
                <w:rPr>
                  <w:i/>
                  <w:iCs/>
                  <w:noProof/>
                  <w:lang w:val="en-US"/>
                </w:rPr>
                <w:t>Understanding the riots, criminal justice matters.</w:t>
              </w:r>
              <w:r>
                <w:rPr>
                  <w:noProof/>
                  <w:lang w:val="en-US"/>
                </w:rPr>
                <w:t xml:space="preserve"> Retrieved from https://www.tandfonline.com/doi/abs/10.1080/09627251.2012.671013?journalCode=rcjm20</w:t>
              </w:r>
            </w:p>
            <w:p w14:paraId="50846ECF" w14:textId="061543BE" w:rsidR="00166F6D" w:rsidRDefault="00166F6D" w:rsidP="00166F6D">
              <w:pPr>
                <w:pStyle w:val="Bibliography"/>
                <w:ind w:left="720" w:hanging="720"/>
                <w:rPr>
                  <w:noProof/>
                  <w:lang w:val="en-US"/>
                </w:rPr>
              </w:pPr>
              <w:r>
                <w:rPr>
                  <w:noProof/>
                  <w:lang w:val="en-US"/>
                </w:rPr>
                <w:t xml:space="preserve">Lewisham Council. (2019). </w:t>
              </w:r>
              <w:r>
                <w:rPr>
                  <w:i/>
                  <w:iCs/>
                  <w:noProof/>
                  <w:lang w:val="en-US"/>
                </w:rPr>
                <w:t>The partnership approach to tackling gangs</w:t>
              </w:r>
              <w:r>
                <w:rPr>
                  <w:noProof/>
                  <w:lang w:val="en-US"/>
                </w:rPr>
                <w:t>. Retrieved from Council meetings.Lewisham: https://councilmeetings.lewisham.gov.uk/mgAi.aspx?ID=1743</w:t>
              </w:r>
            </w:p>
            <w:p w14:paraId="78D471F6" w14:textId="69E881F5" w:rsidR="00AC55EA" w:rsidRPr="00AC55EA" w:rsidRDefault="00AC55EA" w:rsidP="00AC55EA">
              <w:pPr>
                <w:pStyle w:val="Bibliography"/>
                <w:ind w:left="720" w:hanging="720"/>
                <w:rPr>
                  <w:noProof/>
                  <w:lang w:val="en-US"/>
                </w:rPr>
              </w:pPr>
              <w:r>
                <w:rPr>
                  <w:noProof/>
                  <w:lang w:val="en-US"/>
                </w:rPr>
                <w:t>Macdonald, S. J., Donovan, C., Clayton, J., &amp; Husband, M. (2022). Becoming Cuckooed: Conceptualising the relationship between disability, home takeovers and criminal exploitation. Retrieved from https://www.tandfonline.com/doi/full/10.1080/09687599.2022.2071680</w:t>
              </w:r>
            </w:p>
            <w:p w14:paraId="039BC8AE" w14:textId="77777777" w:rsidR="00166F6D" w:rsidRDefault="00166F6D" w:rsidP="00166F6D">
              <w:pPr>
                <w:pStyle w:val="Bibliography"/>
                <w:ind w:left="720" w:hanging="720"/>
                <w:rPr>
                  <w:noProof/>
                  <w:lang w:val="en-US"/>
                </w:rPr>
              </w:pPr>
              <w:r>
                <w:rPr>
                  <w:noProof/>
                  <w:lang w:val="en-US"/>
                </w:rPr>
                <w:t xml:space="preserve">McMillan, L. (2013). The role of the specially trained officer in rape and sexual offence cases. </w:t>
              </w:r>
              <w:r>
                <w:rPr>
                  <w:i/>
                  <w:iCs/>
                  <w:noProof/>
                  <w:lang w:val="en-US"/>
                </w:rPr>
                <w:t>Policing and Society, An International Journel of Research and Policy</w:t>
              </w:r>
              <w:r>
                <w:rPr>
                  <w:noProof/>
                  <w:lang w:val="en-US"/>
                </w:rPr>
                <w:t>, 622 - 640.</w:t>
              </w:r>
            </w:p>
            <w:p w14:paraId="0A6E67A6" w14:textId="77777777" w:rsidR="00166F6D" w:rsidRDefault="00166F6D" w:rsidP="00166F6D">
              <w:pPr>
                <w:pStyle w:val="Bibliography"/>
                <w:ind w:left="720" w:hanging="720"/>
                <w:rPr>
                  <w:noProof/>
                  <w:lang w:val="en-US"/>
                </w:rPr>
              </w:pPr>
              <w:r>
                <w:rPr>
                  <w:noProof/>
                  <w:lang w:val="en-US"/>
                </w:rPr>
                <w:t xml:space="preserve">Narco. (2022). </w:t>
              </w:r>
              <w:r>
                <w:rPr>
                  <w:i/>
                  <w:iCs/>
                  <w:noProof/>
                  <w:lang w:val="en-US"/>
                </w:rPr>
                <w:t>Advice for people under MAPPA</w:t>
              </w:r>
              <w:r>
                <w:rPr>
                  <w:noProof/>
                  <w:lang w:val="en-US"/>
                </w:rPr>
                <w:t>. Retrieved from Narco: https://www.nacro.org.uk/criminal-record-support-service/support-for-individuals/advice-prisoners-people-licence-sex-offenders-mappa/advice-people-mappa/</w:t>
              </w:r>
            </w:p>
            <w:p w14:paraId="488AF3C4" w14:textId="77777777" w:rsidR="00166F6D" w:rsidRDefault="00166F6D" w:rsidP="00166F6D">
              <w:pPr>
                <w:pStyle w:val="Bibliography"/>
                <w:ind w:left="720" w:hanging="720"/>
                <w:rPr>
                  <w:noProof/>
                  <w:lang w:val="en-US"/>
                </w:rPr>
              </w:pPr>
              <w:r>
                <w:rPr>
                  <w:noProof/>
                  <w:lang w:val="en-US"/>
                </w:rPr>
                <w:t xml:space="preserve">National Policing Improvement Agency . (2010). </w:t>
              </w:r>
              <w:r>
                <w:rPr>
                  <w:i/>
                  <w:iCs/>
                  <w:noProof/>
                  <w:lang w:val="en-US"/>
                </w:rPr>
                <w:t>Guidance on Investigating and Prosecuting Rape.</w:t>
              </w:r>
              <w:r>
                <w:rPr>
                  <w:noProof/>
                  <w:lang w:val="en-US"/>
                </w:rPr>
                <w:t xml:space="preserve"> National Policing Improvement Agency.</w:t>
              </w:r>
            </w:p>
            <w:p w14:paraId="15B68358" w14:textId="77777777" w:rsidR="00166F6D" w:rsidRDefault="00166F6D" w:rsidP="00166F6D">
              <w:pPr>
                <w:pStyle w:val="Bibliography"/>
                <w:ind w:left="720" w:hanging="720"/>
                <w:rPr>
                  <w:noProof/>
                  <w:lang w:val="en-US"/>
                </w:rPr>
              </w:pPr>
              <w:r>
                <w:rPr>
                  <w:noProof/>
                  <w:lang w:val="en-US"/>
                </w:rPr>
                <w:t xml:space="preserve">Olver, K., &amp; Cockbain, E. (2021). Professionals' Views on Responding to County Lines-Related Criminal Exploitation in the West Midlands. </w:t>
              </w:r>
              <w:r>
                <w:rPr>
                  <w:i/>
                  <w:iCs/>
                  <w:noProof/>
                  <w:lang w:val="en-US"/>
                </w:rPr>
                <w:t>Child Abuse Review</w:t>
              </w:r>
              <w:r>
                <w:rPr>
                  <w:noProof/>
                  <w:lang w:val="en-US"/>
                </w:rPr>
                <w:t>, Volume 30, Issue 4, P. 347 - 362.</w:t>
              </w:r>
            </w:p>
            <w:p w14:paraId="15D971FB" w14:textId="77777777" w:rsidR="00166F6D" w:rsidRDefault="00166F6D" w:rsidP="00166F6D">
              <w:pPr>
                <w:pStyle w:val="Bibliography"/>
                <w:ind w:left="720" w:hanging="720"/>
                <w:rPr>
                  <w:noProof/>
                  <w:lang w:val="en-US"/>
                </w:rPr>
              </w:pPr>
              <w:r>
                <w:rPr>
                  <w:noProof/>
                  <w:lang w:val="en-US"/>
                </w:rPr>
                <w:t xml:space="preserve">Puttick, K. (2013). </w:t>
              </w:r>
              <w:r>
                <w:rPr>
                  <w:i/>
                  <w:iCs/>
                  <w:noProof/>
                  <w:lang w:val="en-US"/>
                </w:rPr>
                <w:t>The police and criminal evidence act 1984.</w:t>
              </w:r>
              <w:r>
                <w:rPr>
                  <w:noProof/>
                  <w:lang w:val="en-US"/>
                </w:rPr>
                <w:t xml:space="preserve"> London: Buttersworth Law Publishers.</w:t>
              </w:r>
            </w:p>
            <w:p w14:paraId="51F667B3" w14:textId="77777777" w:rsidR="00166F6D" w:rsidRDefault="00166F6D" w:rsidP="00166F6D">
              <w:pPr>
                <w:pStyle w:val="Bibliography"/>
                <w:ind w:left="720" w:hanging="720"/>
                <w:rPr>
                  <w:noProof/>
                  <w:lang w:val="en-US"/>
                </w:rPr>
              </w:pPr>
              <w:r>
                <w:rPr>
                  <w:noProof/>
                  <w:lang w:val="en-US"/>
                </w:rPr>
                <w:t xml:space="preserve">Puttick, K. (2013). </w:t>
              </w:r>
              <w:r>
                <w:rPr>
                  <w:i/>
                  <w:iCs/>
                  <w:noProof/>
                  <w:lang w:val="en-US"/>
                </w:rPr>
                <w:t>The Police and Criminal Evidence Act 1984.</w:t>
              </w:r>
              <w:r>
                <w:rPr>
                  <w:noProof/>
                  <w:lang w:val="en-US"/>
                </w:rPr>
                <w:t xml:space="preserve"> London: Butterworths Law Publishers (Lexis-Nexis).</w:t>
              </w:r>
            </w:p>
            <w:p w14:paraId="74F51CBC" w14:textId="77777777" w:rsidR="00166F6D" w:rsidRDefault="00166F6D" w:rsidP="00166F6D">
              <w:pPr>
                <w:pStyle w:val="Bibliography"/>
                <w:ind w:left="720" w:hanging="720"/>
                <w:rPr>
                  <w:noProof/>
                  <w:lang w:val="en-US"/>
                </w:rPr>
              </w:pPr>
              <w:r>
                <w:rPr>
                  <w:noProof/>
                  <w:lang w:val="en-US"/>
                </w:rPr>
                <w:t>robinson, G., McLean, R., &amp; Densley, J. (2018). Working County Lines: Child Criminal Exploitation and Illicit Drug Dealing in Glasgow and Merseyside. Volume 63, issue 5.</w:t>
              </w:r>
            </w:p>
            <w:p w14:paraId="7A5C48E9" w14:textId="77777777" w:rsidR="00166F6D" w:rsidRDefault="00166F6D" w:rsidP="00166F6D">
              <w:pPr>
                <w:pStyle w:val="Bibliography"/>
                <w:ind w:left="720" w:hanging="720"/>
                <w:rPr>
                  <w:noProof/>
                  <w:lang w:val="en-US"/>
                </w:rPr>
              </w:pPr>
              <w:r>
                <w:rPr>
                  <w:noProof/>
                  <w:lang w:val="en-US"/>
                </w:rPr>
                <w:t xml:space="preserve">Rollock, N. (2009). </w:t>
              </w:r>
              <w:r>
                <w:rPr>
                  <w:i/>
                  <w:iCs/>
                  <w:noProof/>
                  <w:lang w:val="en-US"/>
                </w:rPr>
                <w:t>The stephen Lawrence Inquiry 10 Years On.</w:t>
              </w:r>
              <w:r>
                <w:rPr>
                  <w:noProof/>
                  <w:lang w:val="en-US"/>
                </w:rPr>
                <w:t xml:space="preserve"> Runnymede Reports.</w:t>
              </w:r>
            </w:p>
            <w:p w14:paraId="41661326" w14:textId="49D6ECC4" w:rsidR="00166F6D" w:rsidRDefault="00166F6D" w:rsidP="00166F6D">
              <w:pPr>
                <w:pStyle w:val="Bibliography"/>
                <w:ind w:left="720" w:hanging="720"/>
                <w:rPr>
                  <w:noProof/>
                  <w:lang w:val="en-US"/>
                </w:rPr>
              </w:pPr>
              <w:r>
                <w:rPr>
                  <w:noProof/>
                  <w:lang w:val="en-US"/>
                </w:rPr>
                <w:t>Social Services and Wellbeing Act. (2014). Retrieved from https://www.legislation.gov.uk/anaw/2014/4/pdfs/anaw_20140004_en.pdf</w:t>
              </w:r>
            </w:p>
            <w:p w14:paraId="78691212" w14:textId="77777777" w:rsidR="00AC55EA" w:rsidRDefault="00AC55EA" w:rsidP="00AC55EA">
              <w:pPr>
                <w:pStyle w:val="Bibliography"/>
                <w:ind w:left="720" w:hanging="720"/>
                <w:rPr>
                  <w:noProof/>
                  <w:lang w:val="en-US"/>
                </w:rPr>
              </w:pPr>
              <w:r>
                <w:rPr>
                  <w:noProof/>
                  <w:lang w:val="en-US"/>
                </w:rPr>
                <w:t>Spicer, J. (2018). That's their brand, their business: how police officers are interpreting County Lines. 873 - 886.</w:t>
              </w:r>
            </w:p>
            <w:p w14:paraId="71E729EF" w14:textId="77777777" w:rsidR="00AC55EA" w:rsidRDefault="00AC55EA" w:rsidP="00AC55EA">
              <w:pPr>
                <w:pStyle w:val="Bibliography"/>
                <w:ind w:left="720" w:hanging="720"/>
                <w:rPr>
                  <w:noProof/>
                  <w:lang w:val="en-US"/>
                </w:rPr>
              </w:pPr>
              <w:r>
                <w:rPr>
                  <w:noProof/>
                  <w:lang w:val="en-US"/>
                </w:rPr>
                <w:t xml:space="preserve">Spicer, J. (2021). The policing of cuckooing in "County Lines" drug dealing: An ethnographic study of an amplification spiral. </w:t>
              </w:r>
              <w:r>
                <w:rPr>
                  <w:i/>
                  <w:iCs/>
                  <w:noProof/>
                  <w:lang w:val="en-US"/>
                </w:rPr>
                <w:t>The British journal of Criminology, Volume 61, issue 5</w:t>
              </w:r>
              <w:r>
                <w:rPr>
                  <w:noProof/>
                  <w:lang w:val="en-US"/>
                </w:rPr>
                <w:t>, 1390 - 1406.</w:t>
              </w:r>
            </w:p>
            <w:p w14:paraId="5545F8DD" w14:textId="64F3B192" w:rsidR="00AC55EA" w:rsidRPr="00AC55EA" w:rsidRDefault="00AC55EA" w:rsidP="00AC55EA">
              <w:pPr>
                <w:pStyle w:val="Bibliography"/>
                <w:ind w:left="720" w:hanging="720"/>
                <w:rPr>
                  <w:noProof/>
                  <w:lang w:val="en-US"/>
                </w:rPr>
              </w:pPr>
              <w:r>
                <w:rPr>
                  <w:noProof/>
                  <w:lang w:val="en-US"/>
                </w:rPr>
                <w:lastRenderedPageBreak/>
                <w:t>Spicer, J., Moyle, L., &amp; Coomber, R. (2020). The variable and evolving nature of ‘cuckooing’ as a form of criminal exploitation in street level drug markets. 301-323. Retrieved from https://link.springer.com/article/10.1007/s12117-019-09368-5</w:t>
              </w:r>
            </w:p>
            <w:p w14:paraId="7B9F66F9" w14:textId="2D3E4B2E" w:rsidR="00AC55EA" w:rsidRPr="00AC55EA" w:rsidRDefault="00166F6D" w:rsidP="00AC55EA">
              <w:pPr>
                <w:pStyle w:val="Bibliography"/>
                <w:ind w:left="720" w:hanging="720"/>
                <w:rPr>
                  <w:noProof/>
                  <w:lang w:val="en-US"/>
                </w:rPr>
              </w:pPr>
              <w:r>
                <w:rPr>
                  <w:noProof/>
                  <w:lang w:val="en-US"/>
                </w:rPr>
                <w:t xml:space="preserve">Statista. (2019). </w:t>
              </w:r>
              <w:r>
                <w:rPr>
                  <w:i/>
                  <w:iCs/>
                  <w:noProof/>
                  <w:lang w:val="en-US"/>
                </w:rPr>
                <w:t>Children who identify or have a relationship with gang members in England 2019</w:t>
              </w:r>
              <w:r>
                <w:rPr>
                  <w:noProof/>
                  <w:lang w:val="en-US"/>
                </w:rPr>
                <w:t>. Retrieved from Statista: https://www.statista.com/statistics/979024/child-gang-membership-in-england/</w:t>
              </w:r>
            </w:p>
            <w:p w14:paraId="10E715B0" w14:textId="77777777" w:rsidR="00166F6D" w:rsidRDefault="00166F6D" w:rsidP="00166F6D">
              <w:pPr>
                <w:pStyle w:val="Bibliography"/>
                <w:ind w:left="720" w:hanging="720"/>
                <w:rPr>
                  <w:noProof/>
                  <w:lang w:val="en-US"/>
                </w:rPr>
              </w:pPr>
              <w:r>
                <w:rPr>
                  <w:noProof/>
                  <w:lang w:val="en-US"/>
                </w:rPr>
                <w:t>Stone, N. (2018). Child Criminal Exploitation: "County Lines", Trafficking and Cuckooing. Volume 18, Issue 3.</w:t>
              </w:r>
            </w:p>
            <w:p w14:paraId="0C37CC8B" w14:textId="77777777" w:rsidR="00166F6D" w:rsidRDefault="00166F6D" w:rsidP="00166F6D">
              <w:pPr>
                <w:pStyle w:val="Bibliography"/>
                <w:ind w:left="720" w:hanging="720"/>
                <w:rPr>
                  <w:noProof/>
                  <w:lang w:val="en-US"/>
                </w:rPr>
              </w:pPr>
              <w:r>
                <w:rPr>
                  <w:noProof/>
                  <w:lang w:val="en-US"/>
                </w:rPr>
                <w:t>Storry, K. (2018). The implications of the Macpherson report into the death of Stephen Lawrence.</w:t>
              </w:r>
            </w:p>
            <w:p w14:paraId="53AEAE89" w14:textId="77777777" w:rsidR="00166F6D" w:rsidRDefault="00166F6D" w:rsidP="00166F6D">
              <w:pPr>
                <w:pStyle w:val="Bibliography"/>
                <w:ind w:left="720" w:hanging="720"/>
                <w:rPr>
                  <w:noProof/>
                  <w:lang w:val="en-US"/>
                </w:rPr>
              </w:pPr>
              <w:r>
                <w:rPr>
                  <w:noProof/>
                  <w:lang w:val="en-US"/>
                </w:rPr>
                <w:t xml:space="preserve">Taylor, S. (2014). CHAPTER 2 - The Scarman Report and explanations of riots. </w:t>
              </w:r>
              <w:r>
                <w:rPr>
                  <w:i/>
                  <w:iCs/>
                  <w:noProof/>
                  <w:lang w:val="en-US"/>
                </w:rPr>
                <w:t>Scarman and After</w:t>
              </w:r>
              <w:r>
                <w:rPr>
                  <w:noProof/>
                  <w:lang w:val="en-US"/>
                </w:rPr>
                <w:t>, 20-34.</w:t>
              </w:r>
            </w:p>
            <w:p w14:paraId="6F6AA6E4" w14:textId="77777777" w:rsidR="00166F6D" w:rsidRDefault="00166F6D" w:rsidP="00166F6D">
              <w:pPr>
                <w:pStyle w:val="Bibliography"/>
                <w:ind w:left="720" w:hanging="720"/>
                <w:rPr>
                  <w:noProof/>
                  <w:lang w:val="en-US"/>
                </w:rPr>
              </w:pPr>
              <w:r>
                <w:rPr>
                  <w:noProof/>
                  <w:lang w:val="en-US"/>
                </w:rPr>
                <w:t xml:space="preserve">Teacher, L. (2019). </w:t>
              </w:r>
              <w:r>
                <w:rPr>
                  <w:i/>
                  <w:iCs/>
                  <w:noProof/>
                  <w:lang w:val="en-US"/>
                </w:rPr>
                <w:t>Police and Criminal Evidence Act 1984.</w:t>
              </w:r>
              <w:r>
                <w:rPr>
                  <w:noProof/>
                  <w:lang w:val="en-US"/>
                </w:rPr>
                <w:t xml:space="preserve"> Law Teacher . Retrieved from https://www.lawteacher.net/acts/police-and-criminal-evidence-act.php </w:t>
              </w:r>
            </w:p>
            <w:p w14:paraId="699172F6" w14:textId="77777777" w:rsidR="00166F6D" w:rsidRDefault="00166F6D" w:rsidP="00166F6D">
              <w:pPr>
                <w:pStyle w:val="Bibliography"/>
                <w:ind w:left="720" w:hanging="720"/>
                <w:rPr>
                  <w:noProof/>
                  <w:lang w:val="en-US"/>
                </w:rPr>
              </w:pPr>
              <w:r>
                <w:rPr>
                  <w:noProof/>
                  <w:lang w:val="en-US"/>
                </w:rPr>
                <w:t xml:space="preserve">Unlock. (2022). </w:t>
              </w:r>
              <w:r>
                <w:rPr>
                  <w:i/>
                  <w:iCs/>
                  <w:noProof/>
                  <w:lang w:val="en-US"/>
                </w:rPr>
                <w:t>MAPPA</w:t>
              </w:r>
              <w:r>
                <w:rPr>
                  <w:noProof/>
                  <w:lang w:val="en-US"/>
                </w:rPr>
                <w:t>. Retrieved from Unlock, For people with criminal records: https://unlock.org.uk/advice/mappa/#:~:text=The%20three%20formal%20MAPPA%20categories%20are%3A%201%20Category,notification%20requirements%203%20Category%20Three%3A%20Other%20dangerous%20offenders</w:t>
              </w:r>
            </w:p>
            <w:p w14:paraId="0BF42435" w14:textId="77777777" w:rsidR="00166F6D" w:rsidRDefault="00166F6D" w:rsidP="00166F6D">
              <w:pPr>
                <w:pStyle w:val="Bibliography"/>
                <w:ind w:left="720" w:hanging="720"/>
                <w:rPr>
                  <w:noProof/>
                  <w:lang w:val="en-US"/>
                </w:rPr>
              </w:pPr>
              <w:r>
                <w:rPr>
                  <w:noProof/>
                  <w:lang w:val="en-US"/>
                </w:rPr>
                <w:t xml:space="preserve">Waddell, S., &amp; Jones, N. (2018). </w:t>
              </w:r>
              <w:r>
                <w:rPr>
                  <w:i/>
                  <w:iCs/>
                  <w:noProof/>
                  <w:lang w:val="en-US"/>
                </w:rPr>
                <w:t>Intervening early to prevent gang and youth violence: The role of primary schools.</w:t>
              </w:r>
              <w:r>
                <w:rPr>
                  <w:noProof/>
                  <w:lang w:val="en-US"/>
                </w:rPr>
                <w:t xml:space="preserve"> </w:t>
              </w:r>
            </w:p>
            <w:p w14:paraId="301DBAC1" w14:textId="77777777" w:rsidR="00166F6D" w:rsidRDefault="00166F6D" w:rsidP="00166F6D">
              <w:pPr>
                <w:pStyle w:val="Bibliography"/>
                <w:ind w:left="720" w:hanging="720"/>
                <w:rPr>
                  <w:noProof/>
                  <w:lang w:val="en-US"/>
                </w:rPr>
              </w:pPr>
              <w:r>
                <w:rPr>
                  <w:noProof/>
                  <w:lang w:val="en-US"/>
                </w:rPr>
                <w:t xml:space="preserve">Wilson, E. (2013). </w:t>
              </w:r>
              <w:r>
                <w:rPr>
                  <w:i/>
                  <w:iCs/>
                  <w:noProof/>
                  <w:lang w:val="en-US"/>
                </w:rPr>
                <w:t>Youth Justice Interventions - findings from the Juvenile Cohort Study.</w:t>
              </w:r>
              <w:r>
                <w:rPr>
                  <w:noProof/>
                  <w:lang w:val="en-US"/>
                </w:rPr>
                <w:t xml:space="preserve"> Ministry of Justice Analytical Series. Retrieved from https://assets.publishing.service.gov.uk/government/uploads/system/uploads/attachment_data/file/266405/juvenile-cohort-study.pdf</w:t>
              </w:r>
            </w:p>
            <w:p w14:paraId="7F924C1C" w14:textId="77777777" w:rsidR="00166F6D" w:rsidRDefault="00166F6D" w:rsidP="00166F6D">
              <w:pPr>
                <w:pStyle w:val="Bibliography"/>
                <w:ind w:left="720" w:hanging="720"/>
                <w:rPr>
                  <w:noProof/>
                  <w:lang w:val="en-US"/>
                </w:rPr>
              </w:pPr>
              <w:r>
                <w:rPr>
                  <w:noProof/>
                  <w:lang w:val="en-US"/>
                </w:rPr>
                <w:t>Windle, J., Moyle, L., &amp; Coomber, R. (2020). Vulnerable Kids Going Country: Children and Young People's Involvment in County Lines Drug Dealing. Volume 20, Issue 1-2.</w:t>
              </w:r>
            </w:p>
            <w:p w14:paraId="2A7ED1BF" w14:textId="77777777" w:rsidR="00166F6D" w:rsidRDefault="00166F6D" w:rsidP="00166F6D">
              <w:pPr>
                <w:pStyle w:val="Bibliography"/>
                <w:ind w:left="720" w:hanging="720"/>
                <w:rPr>
                  <w:noProof/>
                  <w:lang w:val="en-US"/>
                </w:rPr>
              </w:pPr>
              <w:r>
                <w:rPr>
                  <w:noProof/>
                  <w:lang w:val="en-US"/>
                </w:rPr>
                <w:t xml:space="preserve">youth.gov. (2022). </w:t>
              </w:r>
              <w:r>
                <w:rPr>
                  <w:i/>
                  <w:iCs/>
                  <w:noProof/>
                  <w:lang w:val="en-US"/>
                </w:rPr>
                <w:t>Prevention and Early Intervention</w:t>
              </w:r>
              <w:r>
                <w:rPr>
                  <w:noProof/>
                  <w:lang w:val="en-US"/>
                </w:rPr>
                <w:t>. Retrieved from Youth.Gov: https://youth.gov/youth-topics/juvenile-justice/prevention-and-early-intervention</w:t>
              </w:r>
            </w:p>
            <w:p w14:paraId="3CC0EE45" w14:textId="41DE2DDF" w:rsidR="00166F6D" w:rsidRDefault="00166F6D" w:rsidP="00166F6D">
              <w:r>
                <w:rPr>
                  <w:b/>
                  <w:bCs/>
                  <w:noProof/>
                </w:rPr>
                <w:fldChar w:fldCharType="end"/>
              </w:r>
            </w:p>
          </w:sdtContent>
        </w:sdt>
      </w:sdtContent>
    </w:sdt>
    <w:p w14:paraId="7F07A1BC" w14:textId="77777777" w:rsidR="00166F6D" w:rsidRDefault="00166F6D"/>
    <w:sectPr w:rsidR="00166F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2A2D5" w14:textId="77777777" w:rsidR="00A71EFE" w:rsidRDefault="00A71EFE" w:rsidP="00A71EFE">
      <w:pPr>
        <w:spacing w:after="0" w:line="240" w:lineRule="auto"/>
      </w:pPr>
      <w:r>
        <w:separator/>
      </w:r>
    </w:p>
  </w:endnote>
  <w:endnote w:type="continuationSeparator" w:id="0">
    <w:p w14:paraId="2E7D3E09" w14:textId="77777777" w:rsidR="00A71EFE" w:rsidRDefault="00A71EFE" w:rsidP="00A71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322BC" w14:textId="77777777" w:rsidR="00A71EFE" w:rsidRDefault="00A71EFE" w:rsidP="00A71EFE">
      <w:pPr>
        <w:spacing w:after="0" w:line="240" w:lineRule="auto"/>
      </w:pPr>
      <w:r>
        <w:separator/>
      </w:r>
    </w:p>
  </w:footnote>
  <w:footnote w:type="continuationSeparator" w:id="0">
    <w:p w14:paraId="3B88C164" w14:textId="77777777" w:rsidR="00A71EFE" w:rsidRDefault="00A71EFE" w:rsidP="00A71E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F6D"/>
    <w:rsid w:val="000E5206"/>
    <w:rsid w:val="00166F6D"/>
    <w:rsid w:val="001A3C17"/>
    <w:rsid w:val="00962BE5"/>
    <w:rsid w:val="00A71EFE"/>
    <w:rsid w:val="00AC55EA"/>
    <w:rsid w:val="00EE6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387F1D"/>
  <w15:chartTrackingRefBased/>
  <w15:docId w15:val="{8D9E3F71-5A51-4B49-BDF5-8A83751AC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F6D"/>
  </w:style>
  <w:style w:type="paragraph" w:styleId="Heading1">
    <w:name w:val="heading 1"/>
    <w:basedOn w:val="Normal"/>
    <w:next w:val="Normal"/>
    <w:link w:val="Heading1Char"/>
    <w:uiPriority w:val="9"/>
    <w:qFormat/>
    <w:rsid w:val="00166F6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F6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66F6D"/>
  </w:style>
  <w:style w:type="paragraph" w:customStyle="1" w:styleId="Default">
    <w:name w:val="Default"/>
    <w:rsid w:val="00166F6D"/>
    <w:pPr>
      <w:autoSpaceDE w:val="0"/>
      <w:autoSpaceDN w:val="0"/>
      <w:adjustRightInd w:val="0"/>
      <w:spacing w:after="0" w:line="240" w:lineRule="auto"/>
    </w:pPr>
    <w:rPr>
      <w:rFonts w:ascii="Verdana" w:hAnsi="Verdana" w:cs="Verdan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7982">
      <w:bodyDiv w:val="1"/>
      <w:marLeft w:val="0"/>
      <w:marRight w:val="0"/>
      <w:marTop w:val="0"/>
      <w:marBottom w:val="0"/>
      <w:divBdr>
        <w:top w:val="none" w:sz="0" w:space="0" w:color="auto"/>
        <w:left w:val="none" w:sz="0" w:space="0" w:color="auto"/>
        <w:bottom w:val="none" w:sz="0" w:space="0" w:color="auto"/>
        <w:right w:val="none" w:sz="0" w:space="0" w:color="auto"/>
      </w:divBdr>
    </w:div>
    <w:div w:id="49546036">
      <w:bodyDiv w:val="1"/>
      <w:marLeft w:val="0"/>
      <w:marRight w:val="0"/>
      <w:marTop w:val="0"/>
      <w:marBottom w:val="0"/>
      <w:divBdr>
        <w:top w:val="none" w:sz="0" w:space="0" w:color="auto"/>
        <w:left w:val="none" w:sz="0" w:space="0" w:color="auto"/>
        <w:bottom w:val="none" w:sz="0" w:space="0" w:color="auto"/>
        <w:right w:val="none" w:sz="0" w:space="0" w:color="auto"/>
      </w:divBdr>
    </w:div>
    <w:div w:id="70784594">
      <w:bodyDiv w:val="1"/>
      <w:marLeft w:val="0"/>
      <w:marRight w:val="0"/>
      <w:marTop w:val="0"/>
      <w:marBottom w:val="0"/>
      <w:divBdr>
        <w:top w:val="none" w:sz="0" w:space="0" w:color="auto"/>
        <w:left w:val="none" w:sz="0" w:space="0" w:color="auto"/>
        <w:bottom w:val="none" w:sz="0" w:space="0" w:color="auto"/>
        <w:right w:val="none" w:sz="0" w:space="0" w:color="auto"/>
      </w:divBdr>
    </w:div>
    <w:div w:id="77025675">
      <w:bodyDiv w:val="1"/>
      <w:marLeft w:val="0"/>
      <w:marRight w:val="0"/>
      <w:marTop w:val="0"/>
      <w:marBottom w:val="0"/>
      <w:divBdr>
        <w:top w:val="none" w:sz="0" w:space="0" w:color="auto"/>
        <w:left w:val="none" w:sz="0" w:space="0" w:color="auto"/>
        <w:bottom w:val="none" w:sz="0" w:space="0" w:color="auto"/>
        <w:right w:val="none" w:sz="0" w:space="0" w:color="auto"/>
      </w:divBdr>
    </w:div>
    <w:div w:id="143590076">
      <w:bodyDiv w:val="1"/>
      <w:marLeft w:val="0"/>
      <w:marRight w:val="0"/>
      <w:marTop w:val="0"/>
      <w:marBottom w:val="0"/>
      <w:divBdr>
        <w:top w:val="none" w:sz="0" w:space="0" w:color="auto"/>
        <w:left w:val="none" w:sz="0" w:space="0" w:color="auto"/>
        <w:bottom w:val="none" w:sz="0" w:space="0" w:color="auto"/>
        <w:right w:val="none" w:sz="0" w:space="0" w:color="auto"/>
      </w:divBdr>
    </w:div>
    <w:div w:id="169758682">
      <w:bodyDiv w:val="1"/>
      <w:marLeft w:val="0"/>
      <w:marRight w:val="0"/>
      <w:marTop w:val="0"/>
      <w:marBottom w:val="0"/>
      <w:divBdr>
        <w:top w:val="none" w:sz="0" w:space="0" w:color="auto"/>
        <w:left w:val="none" w:sz="0" w:space="0" w:color="auto"/>
        <w:bottom w:val="none" w:sz="0" w:space="0" w:color="auto"/>
        <w:right w:val="none" w:sz="0" w:space="0" w:color="auto"/>
      </w:divBdr>
    </w:div>
    <w:div w:id="188643964">
      <w:bodyDiv w:val="1"/>
      <w:marLeft w:val="0"/>
      <w:marRight w:val="0"/>
      <w:marTop w:val="0"/>
      <w:marBottom w:val="0"/>
      <w:divBdr>
        <w:top w:val="none" w:sz="0" w:space="0" w:color="auto"/>
        <w:left w:val="none" w:sz="0" w:space="0" w:color="auto"/>
        <w:bottom w:val="none" w:sz="0" w:space="0" w:color="auto"/>
        <w:right w:val="none" w:sz="0" w:space="0" w:color="auto"/>
      </w:divBdr>
    </w:div>
    <w:div w:id="211044988">
      <w:bodyDiv w:val="1"/>
      <w:marLeft w:val="0"/>
      <w:marRight w:val="0"/>
      <w:marTop w:val="0"/>
      <w:marBottom w:val="0"/>
      <w:divBdr>
        <w:top w:val="none" w:sz="0" w:space="0" w:color="auto"/>
        <w:left w:val="none" w:sz="0" w:space="0" w:color="auto"/>
        <w:bottom w:val="none" w:sz="0" w:space="0" w:color="auto"/>
        <w:right w:val="none" w:sz="0" w:space="0" w:color="auto"/>
      </w:divBdr>
    </w:div>
    <w:div w:id="224879993">
      <w:bodyDiv w:val="1"/>
      <w:marLeft w:val="0"/>
      <w:marRight w:val="0"/>
      <w:marTop w:val="0"/>
      <w:marBottom w:val="0"/>
      <w:divBdr>
        <w:top w:val="none" w:sz="0" w:space="0" w:color="auto"/>
        <w:left w:val="none" w:sz="0" w:space="0" w:color="auto"/>
        <w:bottom w:val="none" w:sz="0" w:space="0" w:color="auto"/>
        <w:right w:val="none" w:sz="0" w:space="0" w:color="auto"/>
      </w:divBdr>
    </w:div>
    <w:div w:id="234555258">
      <w:bodyDiv w:val="1"/>
      <w:marLeft w:val="0"/>
      <w:marRight w:val="0"/>
      <w:marTop w:val="0"/>
      <w:marBottom w:val="0"/>
      <w:divBdr>
        <w:top w:val="none" w:sz="0" w:space="0" w:color="auto"/>
        <w:left w:val="none" w:sz="0" w:space="0" w:color="auto"/>
        <w:bottom w:val="none" w:sz="0" w:space="0" w:color="auto"/>
        <w:right w:val="none" w:sz="0" w:space="0" w:color="auto"/>
      </w:divBdr>
    </w:div>
    <w:div w:id="269049310">
      <w:bodyDiv w:val="1"/>
      <w:marLeft w:val="0"/>
      <w:marRight w:val="0"/>
      <w:marTop w:val="0"/>
      <w:marBottom w:val="0"/>
      <w:divBdr>
        <w:top w:val="none" w:sz="0" w:space="0" w:color="auto"/>
        <w:left w:val="none" w:sz="0" w:space="0" w:color="auto"/>
        <w:bottom w:val="none" w:sz="0" w:space="0" w:color="auto"/>
        <w:right w:val="none" w:sz="0" w:space="0" w:color="auto"/>
      </w:divBdr>
    </w:div>
    <w:div w:id="360059567">
      <w:bodyDiv w:val="1"/>
      <w:marLeft w:val="0"/>
      <w:marRight w:val="0"/>
      <w:marTop w:val="0"/>
      <w:marBottom w:val="0"/>
      <w:divBdr>
        <w:top w:val="none" w:sz="0" w:space="0" w:color="auto"/>
        <w:left w:val="none" w:sz="0" w:space="0" w:color="auto"/>
        <w:bottom w:val="none" w:sz="0" w:space="0" w:color="auto"/>
        <w:right w:val="none" w:sz="0" w:space="0" w:color="auto"/>
      </w:divBdr>
    </w:div>
    <w:div w:id="377554797">
      <w:bodyDiv w:val="1"/>
      <w:marLeft w:val="0"/>
      <w:marRight w:val="0"/>
      <w:marTop w:val="0"/>
      <w:marBottom w:val="0"/>
      <w:divBdr>
        <w:top w:val="none" w:sz="0" w:space="0" w:color="auto"/>
        <w:left w:val="none" w:sz="0" w:space="0" w:color="auto"/>
        <w:bottom w:val="none" w:sz="0" w:space="0" w:color="auto"/>
        <w:right w:val="none" w:sz="0" w:space="0" w:color="auto"/>
      </w:divBdr>
    </w:div>
    <w:div w:id="473568218">
      <w:bodyDiv w:val="1"/>
      <w:marLeft w:val="0"/>
      <w:marRight w:val="0"/>
      <w:marTop w:val="0"/>
      <w:marBottom w:val="0"/>
      <w:divBdr>
        <w:top w:val="none" w:sz="0" w:space="0" w:color="auto"/>
        <w:left w:val="none" w:sz="0" w:space="0" w:color="auto"/>
        <w:bottom w:val="none" w:sz="0" w:space="0" w:color="auto"/>
        <w:right w:val="none" w:sz="0" w:space="0" w:color="auto"/>
      </w:divBdr>
    </w:div>
    <w:div w:id="481501937">
      <w:bodyDiv w:val="1"/>
      <w:marLeft w:val="0"/>
      <w:marRight w:val="0"/>
      <w:marTop w:val="0"/>
      <w:marBottom w:val="0"/>
      <w:divBdr>
        <w:top w:val="none" w:sz="0" w:space="0" w:color="auto"/>
        <w:left w:val="none" w:sz="0" w:space="0" w:color="auto"/>
        <w:bottom w:val="none" w:sz="0" w:space="0" w:color="auto"/>
        <w:right w:val="none" w:sz="0" w:space="0" w:color="auto"/>
      </w:divBdr>
    </w:div>
    <w:div w:id="485976093">
      <w:bodyDiv w:val="1"/>
      <w:marLeft w:val="0"/>
      <w:marRight w:val="0"/>
      <w:marTop w:val="0"/>
      <w:marBottom w:val="0"/>
      <w:divBdr>
        <w:top w:val="none" w:sz="0" w:space="0" w:color="auto"/>
        <w:left w:val="none" w:sz="0" w:space="0" w:color="auto"/>
        <w:bottom w:val="none" w:sz="0" w:space="0" w:color="auto"/>
        <w:right w:val="none" w:sz="0" w:space="0" w:color="auto"/>
      </w:divBdr>
    </w:div>
    <w:div w:id="516190387">
      <w:bodyDiv w:val="1"/>
      <w:marLeft w:val="0"/>
      <w:marRight w:val="0"/>
      <w:marTop w:val="0"/>
      <w:marBottom w:val="0"/>
      <w:divBdr>
        <w:top w:val="none" w:sz="0" w:space="0" w:color="auto"/>
        <w:left w:val="none" w:sz="0" w:space="0" w:color="auto"/>
        <w:bottom w:val="none" w:sz="0" w:space="0" w:color="auto"/>
        <w:right w:val="none" w:sz="0" w:space="0" w:color="auto"/>
      </w:divBdr>
    </w:div>
    <w:div w:id="516584731">
      <w:bodyDiv w:val="1"/>
      <w:marLeft w:val="0"/>
      <w:marRight w:val="0"/>
      <w:marTop w:val="0"/>
      <w:marBottom w:val="0"/>
      <w:divBdr>
        <w:top w:val="none" w:sz="0" w:space="0" w:color="auto"/>
        <w:left w:val="none" w:sz="0" w:space="0" w:color="auto"/>
        <w:bottom w:val="none" w:sz="0" w:space="0" w:color="auto"/>
        <w:right w:val="none" w:sz="0" w:space="0" w:color="auto"/>
      </w:divBdr>
    </w:div>
    <w:div w:id="530534940">
      <w:bodyDiv w:val="1"/>
      <w:marLeft w:val="0"/>
      <w:marRight w:val="0"/>
      <w:marTop w:val="0"/>
      <w:marBottom w:val="0"/>
      <w:divBdr>
        <w:top w:val="none" w:sz="0" w:space="0" w:color="auto"/>
        <w:left w:val="none" w:sz="0" w:space="0" w:color="auto"/>
        <w:bottom w:val="none" w:sz="0" w:space="0" w:color="auto"/>
        <w:right w:val="none" w:sz="0" w:space="0" w:color="auto"/>
      </w:divBdr>
    </w:div>
    <w:div w:id="560865068">
      <w:bodyDiv w:val="1"/>
      <w:marLeft w:val="0"/>
      <w:marRight w:val="0"/>
      <w:marTop w:val="0"/>
      <w:marBottom w:val="0"/>
      <w:divBdr>
        <w:top w:val="none" w:sz="0" w:space="0" w:color="auto"/>
        <w:left w:val="none" w:sz="0" w:space="0" w:color="auto"/>
        <w:bottom w:val="none" w:sz="0" w:space="0" w:color="auto"/>
        <w:right w:val="none" w:sz="0" w:space="0" w:color="auto"/>
      </w:divBdr>
    </w:div>
    <w:div w:id="566375720">
      <w:bodyDiv w:val="1"/>
      <w:marLeft w:val="0"/>
      <w:marRight w:val="0"/>
      <w:marTop w:val="0"/>
      <w:marBottom w:val="0"/>
      <w:divBdr>
        <w:top w:val="none" w:sz="0" w:space="0" w:color="auto"/>
        <w:left w:val="none" w:sz="0" w:space="0" w:color="auto"/>
        <w:bottom w:val="none" w:sz="0" w:space="0" w:color="auto"/>
        <w:right w:val="none" w:sz="0" w:space="0" w:color="auto"/>
      </w:divBdr>
    </w:div>
    <w:div w:id="571474920">
      <w:bodyDiv w:val="1"/>
      <w:marLeft w:val="0"/>
      <w:marRight w:val="0"/>
      <w:marTop w:val="0"/>
      <w:marBottom w:val="0"/>
      <w:divBdr>
        <w:top w:val="none" w:sz="0" w:space="0" w:color="auto"/>
        <w:left w:val="none" w:sz="0" w:space="0" w:color="auto"/>
        <w:bottom w:val="none" w:sz="0" w:space="0" w:color="auto"/>
        <w:right w:val="none" w:sz="0" w:space="0" w:color="auto"/>
      </w:divBdr>
    </w:div>
    <w:div w:id="573586590">
      <w:bodyDiv w:val="1"/>
      <w:marLeft w:val="0"/>
      <w:marRight w:val="0"/>
      <w:marTop w:val="0"/>
      <w:marBottom w:val="0"/>
      <w:divBdr>
        <w:top w:val="none" w:sz="0" w:space="0" w:color="auto"/>
        <w:left w:val="none" w:sz="0" w:space="0" w:color="auto"/>
        <w:bottom w:val="none" w:sz="0" w:space="0" w:color="auto"/>
        <w:right w:val="none" w:sz="0" w:space="0" w:color="auto"/>
      </w:divBdr>
    </w:div>
    <w:div w:id="586960821">
      <w:bodyDiv w:val="1"/>
      <w:marLeft w:val="0"/>
      <w:marRight w:val="0"/>
      <w:marTop w:val="0"/>
      <w:marBottom w:val="0"/>
      <w:divBdr>
        <w:top w:val="none" w:sz="0" w:space="0" w:color="auto"/>
        <w:left w:val="none" w:sz="0" w:space="0" w:color="auto"/>
        <w:bottom w:val="none" w:sz="0" w:space="0" w:color="auto"/>
        <w:right w:val="none" w:sz="0" w:space="0" w:color="auto"/>
      </w:divBdr>
    </w:div>
    <w:div w:id="694111469">
      <w:bodyDiv w:val="1"/>
      <w:marLeft w:val="0"/>
      <w:marRight w:val="0"/>
      <w:marTop w:val="0"/>
      <w:marBottom w:val="0"/>
      <w:divBdr>
        <w:top w:val="none" w:sz="0" w:space="0" w:color="auto"/>
        <w:left w:val="none" w:sz="0" w:space="0" w:color="auto"/>
        <w:bottom w:val="none" w:sz="0" w:space="0" w:color="auto"/>
        <w:right w:val="none" w:sz="0" w:space="0" w:color="auto"/>
      </w:divBdr>
    </w:div>
    <w:div w:id="725950368">
      <w:bodyDiv w:val="1"/>
      <w:marLeft w:val="0"/>
      <w:marRight w:val="0"/>
      <w:marTop w:val="0"/>
      <w:marBottom w:val="0"/>
      <w:divBdr>
        <w:top w:val="none" w:sz="0" w:space="0" w:color="auto"/>
        <w:left w:val="none" w:sz="0" w:space="0" w:color="auto"/>
        <w:bottom w:val="none" w:sz="0" w:space="0" w:color="auto"/>
        <w:right w:val="none" w:sz="0" w:space="0" w:color="auto"/>
      </w:divBdr>
    </w:div>
    <w:div w:id="769467384">
      <w:bodyDiv w:val="1"/>
      <w:marLeft w:val="0"/>
      <w:marRight w:val="0"/>
      <w:marTop w:val="0"/>
      <w:marBottom w:val="0"/>
      <w:divBdr>
        <w:top w:val="none" w:sz="0" w:space="0" w:color="auto"/>
        <w:left w:val="none" w:sz="0" w:space="0" w:color="auto"/>
        <w:bottom w:val="none" w:sz="0" w:space="0" w:color="auto"/>
        <w:right w:val="none" w:sz="0" w:space="0" w:color="auto"/>
      </w:divBdr>
    </w:div>
    <w:div w:id="786462658">
      <w:bodyDiv w:val="1"/>
      <w:marLeft w:val="0"/>
      <w:marRight w:val="0"/>
      <w:marTop w:val="0"/>
      <w:marBottom w:val="0"/>
      <w:divBdr>
        <w:top w:val="none" w:sz="0" w:space="0" w:color="auto"/>
        <w:left w:val="none" w:sz="0" w:space="0" w:color="auto"/>
        <w:bottom w:val="none" w:sz="0" w:space="0" w:color="auto"/>
        <w:right w:val="none" w:sz="0" w:space="0" w:color="auto"/>
      </w:divBdr>
    </w:div>
    <w:div w:id="801583501">
      <w:bodyDiv w:val="1"/>
      <w:marLeft w:val="0"/>
      <w:marRight w:val="0"/>
      <w:marTop w:val="0"/>
      <w:marBottom w:val="0"/>
      <w:divBdr>
        <w:top w:val="none" w:sz="0" w:space="0" w:color="auto"/>
        <w:left w:val="none" w:sz="0" w:space="0" w:color="auto"/>
        <w:bottom w:val="none" w:sz="0" w:space="0" w:color="auto"/>
        <w:right w:val="none" w:sz="0" w:space="0" w:color="auto"/>
      </w:divBdr>
    </w:div>
    <w:div w:id="859589132">
      <w:bodyDiv w:val="1"/>
      <w:marLeft w:val="0"/>
      <w:marRight w:val="0"/>
      <w:marTop w:val="0"/>
      <w:marBottom w:val="0"/>
      <w:divBdr>
        <w:top w:val="none" w:sz="0" w:space="0" w:color="auto"/>
        <w:left w:val="none" w:sz="0" w:space="0" w:color="auto"/>
        <w:bottom w:val="none" w:sz="0" w:space="0" w:color="auto"/>
        <w:right w:val="none" w:sz="0" w:space="0" w:color="auto"/>
      </w:divBdr>
    </w:div>
    <w:div w:id="877623534">
      <w:bodyDiv w:val="1"/>
      <w:marLeft w:val="0"/>
      <w:marRight w:val="0"/>
      <w:marTop w:val="0"/>
      <w:marBottom w:val="0"/>
      <w:divBdr>
        <w:top w:val="none" w:sz="0" w:space="0" w:color="auto"/>
        <w:left w:val="none" w:sz="0" w:space="0" w:color="auto"/>
        <w:bottom w:val="none" w:sz="0" w:space="0" w:color="auto"/>
        <w:right w:val="none" w:sz="0" w:space="0" w:color="auto"/>
      </w:divBdr>
    </w:div>
    <w:div w:id="913784302">
      <w:bodyDiv w:val="1"/>
      <w:marLeft w:val="0"/>
      <w:marRight w:val="0"/>
      <w:marTop w:val="0"/>
      <w:marBottom w:val="0"/>
      <w:divBdr>
        <w:top w:val="none" w:sz="0" w:space="0" w:color="auto"/>
        <w:left w:val="none" w:sz="0" w:space="0" w:color="auto"/>
        <w:bottom w:val="none" w:sz="0" w:space="0" w:color="auto"/>
        <w:right w:val="none" w:sz="0" w:space="0" w:color="auto"/>
      </w:divBdr>
    </w:div>
    <w:div w:id="917254616">
      <w:bodyDiv w:val="1"/>
      <w:marLeft w:val="0"/>
      <w:marRight w:val="0"/>
      <w:marTop w:val="0"/>
      <w:marBottom w:val="0"/>
      <w:divBdr>
        <w:top w:val="none" w:sz="0" w:space="0" w:color="auto"/>
        <w:left w:val="none" w:sz="0" w:space="0" w:color="auto"/>
        <w:bottom w:val="none" w:sz="0" w:space="0" w:color="auto"/>
        <w:right w:val="none" w:sz="0" w:space="0" w:color="auto"/>
      </w:divBdr>
    </w:div>
    <w:div w:id="940452752">
      <w:bodyDiv w:val="1"/>
      <w:marLeft w:val="0"/>
      <w:marRight w:val="0"/>
      <w:marTop w:val="0"/>
      <w:marBottom w:val="0"/>
      <w:divBdr>
        <w:top w:val="none" w:sz="0" w:space="0" w:color="auto"/>
        <w:left w:val="none" w:sz="0" w:space="0" w:color="auto"/>
        <w:bottom w:val="none" w:sz="0" w:space="0" w:color="auto"/>
        <w:right w:val="none" w:sz="0" w:space="0" w:color="auto"/>
      </w:divBdr>
    </w:div>
    <w:div w:id="951282780">
      <w:bodyDiv w:val="1"/>
      <w:marLeft w:val="0"/>
      <w:marRight w:val="0"/>
      <w:marTop w:val="0"/>
      <w:marBottom w:val="0"/>
      <w:divBdr>
        <w:top w:val="none" w:sz="0" w:space="0" w:color="auto"/>
        <w:left w:val="none" w:sz="0" w:space="0" w:color="auto"/>
        <w:bottom w:val="none" w:sz="0" w:space="0" w:color="auto"/>
        <w:right w:val="none" w:sz="0" w:space="0" w:color="auto"/>
      </w:divBdr>
    </w:div>
    <w:div w:id="960527468">
      <w:bodyDiv w:val="1"/>
      <w:marLeft w:val="0"/>
      <w:marRight w:val="0"/>
      <w:marTop w:val="0"/>
      <w:marBottom w:val="0"/>
      <w:divBdr>
        <w:top w:val="none" w:sz="0" w:space="0" w:color="auto"/>
        <w:left w:val="none" w:sz="0" w:space="0" w:color="auto"/>
        <w:bottom w:val="none" w:sz="0" w:space="0" w:color="auto"/>
        <w:right w:val="none" w:sz="0" w:space="0" w:color="auto"/>
      </w:divBdr>
    </w:div>
    <w:div w:id="978267157">
      <w:bodyDiv w:val="1"/>
      <w:marLeft w:val="0"/>
      <w:marRight w:val="0"/>
      <w:marTop w:val="0"/>
      <w:marBottom w:val="0"/>
      <w:divBdr>
        <w:top w:val="none" w:sz="0" w:space="0" w:color="auto"/>
        <w:left w:val="none" w:sz="0" w:space="0" w:color="auto"/>
        <w:bottom w:val="none" w:sz="0" w:space="0" w:color="auto"/>
        <w:right w:val="none" w:sz="0" w:space="0" w:color="auto"/>
      </w:divBdr>
    </w:div>
    <w:div w:id="995839739">
      <w:bodyDiv w:val="1"/>
      <w:marLeft w:val="0"/>
      <w:marRight w:val="0"/>
      <w:marTop w:val="0"/>
      <w:marBottom w:val="0"/>
      <w:divBdr>
        <w:top w:val="none" w:sz="0" w:space="0" w:color="auto"/>
        <w:left w:val="none" w:sz="0" w:space="0" w:color="auto"/>
        <w:bottom w:val="none" w:sz="0" w:space="0" w:color="auto"/>
        <w:right w:val="none" w:sz="0" w:space="0" w:color="auto"/>
      </w:divBdr>
    </w:div>
    <w:div w:id="1017343828">
      <w:bodyDiv w:val="1"/>
      <w:marLeft w:val="0"/>
      <w:marRight w:val="0"/>
      <w:marTop w:val="0"/>
      <w:marBottom w:val="0"/>
      <w:divBdr>
        <w:top w:val="none" w:sz="0" w:space="0" w:color="auto"/>
        <w:left w:val="none" w:sz="0" w:space="0" w:color="auto"/>
        <w:bottom w:val="none" w:sz="0" w:space="0" w:color="auto"/>
        <w:right w:val="none" w:sz="0" w:space="0" w:color="auto"/>
      </w:divBdr>
    </w:div>
    <w:div w:id="1061752403">
      <w:bodyDiv w:val="1"/>
      <w:marLeft w:val="0"/>
      <w:marRight w:val="0"/>
      <w:marTop w:val="0"/>
      <w:marBottom w:val="0"/>
      <w:divBdr>
        <w:top w:val="none" w:sz="0" w:space="0" w:color="auto"/>
        <w:left w:val="none" w:sz="0" w:space="0" w:color="auto"/>
        <w:bottom w:val="none" w:sz="0" w:space="0" w:color="auto"/>
        <w:right w:val="none" w:sz="0" w:space="0" w:color="auto"/>
      </w:divBdr>
    </w:div>
    <w:div w:id="1112633133">
      <w:bodyDiv w:val="1"/>
      <w:marLeft w:val="0"/>
      <w:marRight w:val="0"/>
      <w:marTop w:val="0"/>
      <w:marBottom w:val="0"/>
      <w:divBdr>
        <w:top w:val="none" w:sz="0" w:space="0" w:color="auto"/>
        <w:left w:val="none" w:sz="0" w:space="0" w:color="auto"/>
        <w:bottom w:val="none" w:sz="0" w:space="0" w:color="auto"/>
        <w:right w:val="none" w:sz="0" w:space="0" w:color="auto"/>
      </w:divBdr>
    </w:div>
    <w:div w:id="1116409852">
      <w:bodyDiv w:val="1"/>
      <w:marLeft w:val="0"/>
      <w:marRight w:val="0"/>
      <w:marTop w:val="0"/>
      <w:marBottom w:val="0"/>
      <w:divBdr>
        <w:top w:val="none" w:sz="0" w:space="0" w:color="auto"/>
        <w:left w:val="none" w:sz="0" w:space="0" w:color="auto"/>
        <w:bottom w:val="none" w:sz="0" w:space="0" w:color="auto"/>
        <w:right w:val="none" w:sz="0" w:space="0" w:color="auto"/>
      </w:divBdr>
    </w:div>
    <w:div w:id="1159153152">
      <w:bodyDiv w:val="1"/>
      <w:marLeft w:val="0"/>
      <w:marRight w:val="0"/>
      <w:marTop w:val="0"/>
      <w:marBottom w:val="0"/>
      <w:divBdr>
        <w:top w:val="none" w:sz="0" w:space="0" w:color="auto"/>
        <w:left w:val="none" w:sz="0" w:space="0" w:color="auto"/>
        <w:bottom w:val="none" w:sz="0" w:space="0" w:color="auto"/>
        <w:right w:val="none" w:sz="0" w:space="0" w:color="auto"/>
      </w:divBdr>
    </w:div>
    <w:div w:id="1160274737">
      <w:bodyDiv w:val="1"/>
      <w:marLeft w:val="0"/>
      <w:marRight w:val="0"/>
      <w:marTop w:val="0"/>
      <w:marBottom w:val="0"/>
      <w:divBdr>
        <w:top w:val="none" w:sz="0" w:space="0" w:color="auto"/>
        <w:left w:val="none" w:sz="0" w:space="0" w:color="auto"/>
        <w:bottom w:val="none" w:sz="0" w:space="0" w:color="auto"/>
        <w:right w:val="none" w:sz="0" w:space="0" w:color="auto"/>
      </w:divBdr>
    </w:div>
    <w:div w:id="1163472535">
      <w:bodyDiv w:val="1"/>
      <w:marLeft w:val="0"/>
      <w:marRight w:val="0"/>
      <w:marTop w:val="0"/>
      <w:marBottom w:val="0"/>
      <w:divBdr>
        <w:top w:val="none" w:sz="0" w:space="0" w:color="auto"/>
        <w:left w:val="none" w:sz="0" w:space="0" w:color="auto"/>
        <w:bottom w:val="none" w:sz="0" w:space="0" w:color="auto"/>
        <w:right w:val="none" w:sz="0" w:space="0" w:color="auto"/>
      </w:divBdr>
    </w:div>
    <w:div w:id="1201432132">
      <w:bodyDiv w:val="1"/>
      <w:marLeft w:val="0"/>
      <w:marRight w:val="0"/>
      <w:marTop w:val="0"/>
      <w:marBottom w:val="0"/>
      <w:divBdr>
        <w:top w:val="none" w:sz="0" w:space="0" w:color="auto"/>
        <w:left w:val="none" w:sz="0" w:space="0" w:color="auto"/>
        <w:bottom w:val="none" w:sz="0" w:space="0" w:color="auto"/>
        <w:right w:val="none" w:sz="0" w:space="0" w:color="auto"/>
      </w:divBdr>
    </w:div>
    <w:div w:id="1202011333">
      <w:bodyDiv w:val="1"/>
      <w:marLeft w:val="0"/>
      <w:marRight w:val="0"/>
      <w:marTop w:val="0"/>
      <w:marBottom w:val="0"/>
      <w:divBdr>
        <w:top w:val="none" w:sz="0" w:space="0" w:color="auto"/>
        <w:left w:val="none" w:sz="0" w:space="0" w:color="auto"/>
        <w:bottom w:val="none" w:sz="0" w:space="0" w:color="auto"/>
        <w:right w:val="none" w:sz="0" w:space="0" w:color="auto"/>
      </w:divBdr>
    </w:div>
    <w:div w:id="1213082017">
      <w:bodyDiv w:val="1"/>
      <w:marLeft w:val="0"/>
      <w:marRight w:val="0"/>
      <w:marTop w:val="0"/>
      <w:marBottom w:val="0"/>
      <w:divBdr>
        <w:top w:val="none" w:sz="0" w:space="0" w:color="auto"/>
        <w:left w:val="none" w:sz="0" w:space="0" w:color="auto"/>
        <w:bottom w:val="none" w:sz="0" w:space="0" w:color="auto"/>
        <w:right w:val="none" w:sz="0" w:space="0" w:color="auto"/>
      </w:divBdr>
    </w:div>
    <w:div w:id="1213418281">
      <w:bodyDiv w:val="1"/>
      <w:marLeft w:val="0"/>
      <w:marRight w:val="0"/>
      <w:marTop w:val="0"/>
      <w:marBottom w:val="0"/>
      <w:divBdr>
        <w:top w:val="none" w:sz="0" w:space="0" w:color="auto"/>
        <w:left w:val="none" w:sz="0" w:space="0" w:color="auto"/>
        <w:bottom w:val="none" w:sz="0" w:space="0" w:color="auto"/>
        <w:right w:val="none" w:sz="0" w:space="0" w:color="auto"/>
      </w:divBdr>
    </w:div>
    <w:div w:id="1230731941">
      <w:bodyDiv w:val="1"/>
      <w:marLeft w:val="0"/>
      <w:marRight w:val="0"/>
      <w:marTop w:val="0"/>
      <w:marBottom w:val="0"/>
      <w:divBdr>
        <w:top w:val="none" w:sz="0" w:space="0" w:color="auto"/>
        <w:left w:val="none" w:sz="0" w:space="0" w:color="auto"/>
        <w:bottom w:val="none" w:sz="0" w:space="0" w:color="auto"/>
        <w:right w:val="none" w:sz="0" w:space="0" w:color="auto"/>
      </w:divBdr>
    </w:div>
    <w:div w:id="1262445925">
      <w:bodyDiv w:val="1"/>
      <w:marLeft w:val="0"/>
      <w:marRight w:val="0"/>
      <w:marTop w:val="0"/>
      <w:marBottom w:val="0"/>
      <w:divBdr>
        <w:top w:val="none" w:sz="0" w:space="0" w:color="auto"/>
        <w:left w:val="none" w:sz="0" w:space="0" w:color="auto"/>
        <w:bottom w:val="none" w:sz="0" w:space="0" w:color="auto"/>
        <w:right w:val="none" w:sz="0" w:space="0" w:color="auto"/>
      </w:divBdr>
    </w:div>
    <w:div w:id="1287588221">
      <w:bodyDiv w:val="1"/>
      <w:marLeft w:val="0"/>
      <w:marRight w:val="0"/>
      <w:marTop w:val="0"/>
      <w:marBottom w:val="0"/>
      <w:divBdr>
        <w:top w:val="none" w:sz="0" w:space="0" w:color="auto"/>
        <w:left w:val="none" w:sz="0" w:space="0" w:color="auto"/>
        <w:bottom w:val="none" w:sz="0" w:space="0" w:color="auto"/>
        <w:right w:val="none" w:sz="0" w:space="0" w:color="auto"/>
      </w:divBdr>
    </w:div>
    <w:div w:id="1338924158">
      <w:bodyDiv w:val="1"/>
      <w:marLeft w:val="0"/>
      <w:marRight w:val="0"/>
      <w:marTop w:val="0"/>
      <w:marBottom w:val="0"/>
      <w:divBdr>
        <w:top w:val="none" w:sz="0" w:space="0" w:color="auto"/>
        <w:left w:val="none" w:sz="0" w:space="0" w:color="auto"/>
        <w:bottom w:val="none" w:sz="0" w:space="0" w:color="auto"/>
        <w:right w:val="none" w:sz="0" w:space="0" w:color="auto"/>
      </w:divBdr>
    </w:div>
    <w:div w:id="1350638124">
      <w:bodyDiv w:val="1"/>
      <w:marLeft w:val="0"/>
      <w:marRight w:val="0"/>
      <w:marTop w:val="0"/>
      <w:marBottom w:val="0"/>
      <w:divBdr>
        <w:top w:val="none" w:sz="0" w:space="0" w:color="auto"/>
        <w:left w:val="none" w:sz="0" w:space="0" w:color="auto"/>
        <w:bottom w:val="none" w:sz="0" w:space="0" w:color="auto"/>
        <w:right w:val="none" w:sz="0" w:space="0" w:color="auto"/>
      </w:divBdr>
    </w:div>
    <w:div w:id="1377002177">
      <w:bodyDiv w:val="1"/>
      <w:marLeft w:val="0"/>
      <w:marRight w:val="0"/>
      <w:marTop w:val="0"/>
      <w:marBottom w:val="0"/>
      <w:divBdr>
        <w:top w:val="none" w:sz="0" w:space="0" w:color="auto"/>
        <w:left w:val="none" w:sz="0" w:space="0" w:color="auto"/>
        <w:bottom w:val="none" w:sz="0" w:space="0" w:color="auto"/>
        <w:right w:val="none" w:sz="0" w:space="0" w:color="auto"/>
      </w:divBdr>
    </w:div>
    <w:div w:id="1378702287">
      <w:bodyDiv w:val="1"/>
      <w:marLeft w:val="0"/>
      <w:marRight w:val="0"/>
      <w:marTop w:val="0"/>
      <w:marBottom w:val="0"/>
      <w:divBdr>
        <w:top w:val="none" w:sz="0" w:space="0" w:color="auto"/>
        <w:left w:val="none" w:sz="0" w:space="0" w:color="auto"/>
        <w:bottom w:val="none" w:sz="0" w:space="0" w:color="auto"/>
        <w:right w:val="none" w:sz="0" w:space="0" w:color="auto"/>
      </w:divBdr>
    </w:div>
    <w:div w:id="1389064076">
      <w:bodyDiv w:val="1"/>
      <w:marLeft w:val="0"/>
      <w:marRight w:val="0"/>
      <w:marTop w:val="0"/>
      <w:marBottom w:val="0"/>
      <w:divBdr>
        <w:top w:val="none" w:sz="0" w:space="0" w:color="auto"/>
        <w:left w:val="none" w:sz="0" w:space="0" w:color="auto"/>
        <w:bottom w:val="none" w:sz="0" w:space="0" w:color="auto"/>
        <w:right w:val="none" w:sz="0" w:space="0" w:color="auto"/>
      </w:divBdr>
    </w:div>
    <w:div w:id="1391465974">
      <w:bodyDiv w:val="1"/>
      <w:marLeft w:val="0"/>
      <w:marRight w:val="0"/>
      <w:marTop w:val="0"/>
      <w:marBottom w:val="0"/>
      <w:divBdr>
        <w:top w:val="none" w:sz="0" w:space="0" w:color="auto"/>
        <w:left w:val="none" w:sz="0" w:space="0" w:color="auto"/>
        <w:bottom w:val="none" w:sz="0" w:space="0" w:color="auto"/>
        <w:right w:val="none" w:sz="0" w:space="0" w:color="auto"/>
      </w:divBdr>
    </w:div>
    <w:div w:id="1435595745">
      <w:bodyDiv w:val="1"/>
      <w:marLeft w:val="0"/>
      <w:marRight w:val="0"/>
      <w:marTop w:val="0"/>
      <w:marBottom w:val="0"/>
      <w:divBdr>
        <w:top w:val="none" w:sz="0" w:space="0" w:color="auto"/>
        <w:left w:val="none" w:sz="0" w:space="0" w:color="auto"/>
        <w:bottom w:val="none" w:sz="0" w:space="0" w:color="auto"/>
        <w:right w:val="none" w:sz="0" w:space="0" w:color="auto"/>
      </w:divBdr>
    </w:div>
    <w:div w:id="1507481592">
      <w:bodyDiv w:val="1"/>
      <w:marLeft w:val="0"/>
      <w:marRight w:val="0"/>
      <w:marTop w:val="0"/>
      <w:marBottom w:val="0"/>
      <w:divBdr>
        <w:top w:val="none" w:sz="0" w:space="0" w:color="auto"/>
        <w:left w:val="none" w:sz="0" w:space="0" w:color="auto"/>
        <w:bottom w:val="none" w:sz="0" w:space="0" w:color="auto"/>
        <w:right w:val="none" w:sz="0" w:space="0" w:color="auto"/>
      </w:divBdr>
    </w:div>
    <w:div w:id="1510098168">
      <w:bodyDiv w:val="1"/>
      <w:marLeft w:val="0"/>
      <w:marRight w:val="0"/>
      <w:marTop w:val="0"/>
      <w:marBottom w:val="0"/>
      <w:divBdr>
        <w:top w:val="none" w:sz="0" w:space="0" w:color="auto"/>
        <w:left w:val="none" w:sz="0" w:space="0" w:color="auto"/>
        <w:bottom w:val="none" w:sz="0" w:space="0" w:color="auto"/>
        <w:right w:val="none" w:sz="0" w:space="0" w:color="auto"/>
      </w:divBdr>
    </w:div>
    <w:div w:id="1534078706">
      <w:bodyDiv w:val="1"/>
      <w:marLeft w:val="0"/>
      <w:marRight w:val="0"/>
      <w:marTop w:val="0"/>
      <w:marBottom w:val="0"/>
      <w:divBdr>
        <w:top w:val="none" w:sz="0" w:space="0" w:color="auto"/>
        <w:left w:val="none" w:sz="0" w:space="0" w:color="auto"/>
        <w:bottom w:val="none" w:sz="0" w:space="0" w:color="auto"/>
        <w:right w:val="none" w:sz="0" w:space="0" w:color="auto"/>
      </w:divBdr>
    </w:div>
    <w:div w:id="1540702314">
      <w:bodyDiv w:val="1"/>
      <w:marLeft w:val="0"/>
      <w:marRight w:val="0"/>
      <w:marTop w:val="0"/>
      <w:marBottom w:val="0"/>
      <w:divBdr>
        <w:top w:val="none" w:sz="0" w:space="0" w:color="auto"/>
        <w:left w:val="none" w:sz="0" w:space="0" w:color="auto"/>
        <w:bottom w:val="none" w:sz="0" w:space="0" w:color="auto"/>
        <w:right w:val="none" w:sz="0" w:space="0" w:color="auto"/>
      </w:divBdr>
    </w:div>
    <w:div w:id="1546982864">
      <w:bodyDiv w:val="1"/>
      <w:marLeft w:val="0"/>
      <w:marRight w:val="0"/>
      <w:marTop w:val="0"/>
      <w:marBottom w:val="0"/>
      <w:divBdr>
        <w:top w:val="none" w:sz="0" w:space="0" w:color="auto"/>
        <w:left w:val="none" w:sz="0" w:space="0" w:color="auto"/>
        <w:bottom w:val="none" w:sz="0" w:space="0" w:color="auto"/>
        <w:right w:val="none" w:sz="0" w:space="0" w:color="auto"/>
      </w:divBdr>
    </w:div>
    <w:div w:id="1562331694">
      <w:bodyDiv w:val="1"/>
      <w:marLeft w:val="0"/>
      <w:marRight w:val="0"/>
      <w:marTop w:val="0"/>
      <w:marBottom w:val="0"/>
      <w:divBdr>
        <w:top w:val="none" w:sz="0" w:space="0" w:color="auto"/>
        <w:left w:val="none" w:sz="0" w:space="0" w:color="auto"/>
        <w:bottom w:val="none" w:sz="0" w:space="0" w:color="auto"/>
        <w:right w:val="none" w:sz="0" w:space="0" w:color="auto"/>
      </w:divBdr>
    </w:div>
    <w:div w:id="1571118371">
      <w:bodyDiv w:val="1"/>
      <w:marLeft w:val="0"/>
      <w:marRight w:val="0"/>
      <w:marTop w:val="0"/>
      <w:marBottom w:val="0"/>
      <w:divBdr>
        <w:top w:val="none" w:sz="0" w:space="0" w:color="auto"/>
        <w:left w:val="none" w:sz="0" w:space="0" w:color="auto"/>
        <w:bottom w:val="none" w:sz="0" w:space="0" w:color="auto"/>
        <w:right w:val="none" w:sz="0" w:space="0" w:color="auto"/>
      </w:divBdr>
    </w:div>
    <w:div w:id="1577128914">
      <w:bodyDiv w:val="1"/>
      <w:marLeft w:val="0"/>
      <w:marRight w:val="0"/>
      <w:marTop w:val="0"/>
      <w:marBottom w:val="0"/>
      <w:divBdr>
        <w:top w:val="none" w:sz="0" w:space="0" w:color="auto"/>
        <w:left w:val="none" w:sz="0" w:space="0" w:color="auto"/>
        <w:bottom w:val="none" w:sz="0" w:space="0" w:color="auto"/>
        <w:right w:val="none" w:sz="0" w:space="0" w:color="auto"/>
      </w:divBdr>
    </w:div>
    <w:div w:id="1673217208">
      <w:bodyDiv w:val="1"/>
      <w:marLeft w:val="0"/>
      <w:marRight w:val="0"/>
      <w:marTop w:val="0"/>
      <w:marBottom w:val="0"/>
      <w:divBdr>
        <w:top w:val="none" w:sz="0" w:space="0" w:color="auto"/>
        <w:left w:val="none" w:sz="0" w:space="0" w:color="auto"/>
        <w:bottom w:val="none" w:sz="0" w:space="0" w:color="auto"/>
        <w:right w:val="none" w:sz="0" w:space="0" w:color="auto"/>
      </w:divBdr>
    </w:div>
    <w:div w:id="1717461563">
      <w:bodyDiv w:val="1"/>
      <w:marLeft w:val="0"/>
      <w:marRight w:val="0"/>
      <w:marTop w:val="0"/>
      <w:marBottom w:val="0"/>
      <w:divBdr>
        <w:top w:val="none" w:sz="0" w:space="0" w:color="auto"/>
        <w:left w:val="none" w:sz="0" w:space="0" w:color="auto"/>
        <w:bottom w:val="none" w:sz="0" w:space="0" w:color="auto"/>
        <w:right w:val="none" w:sz="0" w:space="0" w:color="auto"/>
      </w:divBdr>
    </w:div>
    <w:div w:id="1752433972">
      <w:bodyDiv w:val="1"/>
      <w:marLeft w:val="0"/>
      <w:marRight w:val="0"/>
      <w:marTop w:val="0"/>
      <w:marBottom w:val="0"/>
      <w:divBdr>
        <w:top w:val="none" w:sz="0" w:space="0" w:color="auto"/>
        <w:left w:val="none" w:sz="0" w:space="0" w:color="auto"/>
        <w:bottom w:val="none" w:sz="0" w:space="0" w:color="auto"/>
        <w:right w:val="none" w:sz="0" w:space="0" w:color="auto"/>
      </w:divBdr>
    </w:div>
    <w:div w:id="1780376026">
      <w:bodyDiv w:val="1"/>
      <w:marLeft w:val="0"/>
      <w:marRight w:val="0"/>
      <w:marTop w:val="0"/>
      <w:marBottom w:val="0"/>
      <w:divBdr>
        <w:top w:val="none" w:sz="0" w:space="0" w:color="auto"/>
        <w:left w:val="none" w:sz="0" w:space="0" w:color="auto"/>
        <w:bottom w:val="none" w:sz="0" w:space="0" w:color="auto"/>
        <w:right w:val="none" w:sz="0" w:space="0" w:color="auto"/>
      </w:divBdr>
    </w:div>
    <w:div w:id="1854033311">
      <w:bodyDiv w:val="1"/>
      <w:marLeft w:val="0"/>
      <w:marRight w:val="0"/>
      <w:marTop w:val="0"/>
      <w:marBottom w:val="0"/>
      <w:divBdr>
        <w:top w:val="none" w:sz="0" w:space="0" w:color="auto"/>
        <w:left w:val="none" w:sz="0" w:space="0" w:color="auto"/>
        <w:bottom w:val="none" w:sz="0" w:space="0" w:color="auto"/>
        <w:right w:val="none" w:sz="0" w:space="0" w:color="auto"/>
      </w:divBdr>
    </w:div>
    <w:div w:id="1855730915">
      <w:bodyDiv w:val="1"/>
      <w:marLeft w:val="0"/>
      <w:marRight w:val="0"/>
      <w:marTop w:val="0"/>
      <w:marBottom w:val="0"/>
      <w:divBdr>
        <w:top w:val="none" w:sz="0" w:space="0" w:color="auto"/>
        <w:left w:val="none" w:sz="0" w:space="0" w:color="auto"/>
        <w:bottom w:val="none" w:sz="0" w:space="0" w:color="auto"/>
        <w:right w:val="none" w:sz="0" w:space="0" w:color="auto"/>
      </w:divBdr>
    </w:div>
    <w:div w:id="1866022486">
      <w:bodyDiv w:val="1"/>
      <w:marLeft w:val="0"/>
      <w:marRight w:val="0"/>
      <w:marTop w:val="0"/>
      <w:marBottom w:val="0"/>
      <w:divBdr>
        <w:top w:val="none" w:sz="0" w:space="0" w:color="auto"/>
        <w:left w:val="none" w:sz="0" w:space="0" w:color="auto"/>
        <w:bottom w:val="none" w:sz="0" w:space="0" w:color="auto"/>
        <w:right w:val="none" w:sz="0" w:space="0" w:color="auto"/>
      </w:divBdr>
    </w:div>
    <w:div w:id="1872379526">
      <w:bodyDiv w:val="1"/>
      <w:marLeft w:val="0"/>
      <w:marRight w:val="0"/>
      <w:marTop w:val="0"/>
      <w:marBottom w:val="0"/>
      <w:divBdr>
        <w:top w:val="none" w:sz="0" w:space="0" w:color="auto"/>
        <w:left w:val="none" w:sz="0" w:space="0" w:color="auto"/>
        <w:bottom w:val="none" w:sz="0" w:space="0" w:color="auto"/>
        <w:right w:val="none" w:sz="0" w:space="0" w:color="auto"/>
      </w:divBdr>
    </w:div>
    <w:div w:id="1914899494">
      <w:bodyDiv w:val="1"/>
      <w:marLeft w:val="0"/>
      <w:marRight w:val="0"/>
      <w:marTop w:val="0"/>
      <w:marBottom w:val="0"/>
      <w:divBdr>
        <w:top w:val="none" w:sz="0" w:space="0" w:color="auto"/>
        <w:left w:val="none" w:sz="0" w:space="0" w:color="auto"/>
        <w:bottom w:val="none" w:sz="0" w:space="0" w:color="auto"/>
        <w:right w:val="none" w:sz="0" w:space="0" w:color="auto"/>
      </w:divBdr>
    </w:div>
    <w:div w:id="1929733319">
      <w:bodyDiv w:val="1"/>
      <w:marLeft w:val="0"/>
      <w:marRight w:val="0"/>
      <w:marTop w:val="0"/>
      <w:marBottom w:val="0"/>
      <w:divBdr>
        <w:top w:val="none" w:sz="0" w:space="0" w:color="auto"/>
        <w:left w:val="none" w:sz="0" w:space="0" w:color="auto"/>
        <w:bottom w:val="none" w:sz="0" w:space="0" w:color="auto"/>
        <w:right w:val="none" w:sz="0" w:space="0" w:color="auto"/>
      </w:divBdr>
    </w:div>
    <w:div w:id="1964535367">
      <w:bodyDiv w:val="1"/>
      <w:marLeft w:val="0"/>
      <w:marRight w:val="0"/>
      <w:marTop w:val="0"/>
      <w:marBottom w:val="0"/>
      <w:divBdr>
        <w:top w:val="none" w:sz="0" w:space="0" w:color="auto"/>
        <w:left w:val="none" w:sz="0" w:space="0" w:color="auto"/>
        <w:bottom w:val="none" w:sz="0" w:space="0" w:color="auto"/>
        <w:right w:val="none" w:sz="0" w:space="0" w:color="auto"/>
      </w:divBdr>
    </w:div>
    <w:div w:id="1965623516">
      <w:bodyDiv w:val="1"/>
      <w:marLeft w:val="0"/>
      <w:marRight w:val="0"/>
      <w:marTop w:val="0"/>
      <w:marBottom w:val="0"/>
      <w:divBdr>
        <w:top w:val="none" w:sz="0" w:space="0" w:color="auto"/>
        <w:left w:val="none" w:sz="0" w:space="0" w:color="auto"/>
        <w:bottom w:val="none" w:sz="0" w:space="0" w:color="auto"/>
        <w:right w:val="none" w:sz="0" w:space="0" w:color="auto"/>
      </w:divBdr>
    </w:div>
    <w:div w:id="1985503589">
      <w:bodyDiv w:val="1"/>
      <w:marLeft w:val="0"/>
      <w:marRight w:val="0"/>
      <w:marTop w:val="0"/>
      <w:marBottom w:val="0"/>
      <w:divBdr>
        <w:top w:val="none" w:sz="0" w:space="0" w:color="auto"/>
        <w:left w:val="none" w:sz="0" w:space="0" w:color="auto"/>
        <w:bottom w:val="none" w:sz="0" w:space="0" w:color="auto"/>
        <w:right w:val="none" w:sz="0" w:space="0" w:color="auto"/>
      </w:divBdr>
    </w:div>
    <w:div w:id="2005817591">
      <w:bodyDiv w:val="1"/>
      <w:marLeft w:val="0"/>
      <w:marRight w:val="0"/>
      <w:marTop w:val="0"/>
      <w:marBottom w:val="0"/>
      <w:divBdr>
        <w:top w:val="none" w:sz="0" w:space="0" w:color="auto"/>
        <w:left w:val="none" w:sz="0" w:space="0" w:color="auto"/>
        <w:bottom w:val="none" w:sz="0" w:space="0" w:color="auto"/>
        <w:right w:val="none" w:sz="0" w:space="0" w:color="auto"/>
      </w:divBdr>
    </w:div>
    <w:div w:id="2026832439">
      <w:bodyDiv w:val="1"/>
      <w:marLeft w:val="0"/>
      <w:marRight w:val="0"/>
      <w:marTop w:val="0"/>
      <w:marBottom w:val="0"/>
      <w:divBdr>
        <w:top w:val="none" w:sz="0" w:space="0" w:color="auto"/>
        <w:left w:val="none" w:sz="0" w:space="0" w:color="auto"/>
        <w:bottom w:val="none" w:sz="0" w:space="0" w:color="auto"/>
        <w:right w:val="none" w:sz="0" w:space="0" w:color="auto"/>
      </w:divBdr>
    </w:div>
    <w:div w:id="2042823578">
      <w:bodyDiv w:val="1"/>
      <w:marLeft w:val="0"/>
      <w:marRight w:val="0"/>
      <w:marTop w:val="0"/>
      <w:marBottom w:val="0"/>
      <w:divBdr>
        <w:top w:val="none" w:sz="0" w:space="0" w:color="auto"/>
        <w:left w:val="none" w:sz="0" w:space="0" w:color="auto"/>
        <w:bottom w:val="none" w:sz="0" w:space="0" w:color="auto"/>
        <w:right w:val="none" w:sz="0" w:space="0" w:color="auto"/>
      </w:divBdr>
    </w:div>
    <w:div w:id="2048792797">
      <w:bodyDiv w:val="1"/>
      <w:marLeft w:val="0"/>
      <w:marRight w:val="0"/>
      <w:marTop w:val="0"/>
      <w:marBottom w:val="0"/>
      <w:divBdr>
        <w:top w:val="none" w:sz="0" w:space="0" w:color="auto"/>
        <w:left w:val="none" w:sz="0" w:space="0" w:color="auto"/>
        <w:bottom w:val="none" w:sz="0" w:space="0" w:color="auto"/>
        <w:right w:val="none" w:sz="0" w:space="0" w:color="auto"/>
      </w:divBdr>
    </w:div>
    <w:div w:id="2055736810">
      <w:bodyDiv w:val="1"/>
      <w:marLeft w:val="0"/>
      <w:marRight w:val="0"/>
      <w:marTop w:val="0"/>
      <w:marBottom w:val="0"/>
      <w:divBdr>
        <w:top w:val="none" w:sz="0" w:space="0" w:color="auto"/>
        <w:left w:val="none" w:sz="0" w:space="0" w:color="auto"/>
        <w:bottom w:val="none" w:sz="0" w:space="0" w:color="auto"/>
        <w:right w:val="none" w:sz="0" w:space="0" w:color="auto"/>
      </w:divBdr>
    </w:div>
    <w:div w:id="2055886500">
      <w:bodyDiv w:val="1"/>
      <w:marLeft w:val="0"/>
      <w:marRight w:val="0"/>
      <w:marTop w:val="0"/>
      <w:marBottom w:val="0"/>
      <w:divBdr>
        <w:top w:val="none" w:sz="0" w:space="0" w:color="auto"/>
        <w:left w:val="none" w:sz="0" w:space="0" w:color="auto"/>
        <w:bottom w:val="none" w:sz="0" w:space="0" w:color="auto"/>
        <w:right w:val="none" w:sz="0" w:space="0" w:color="auto"/>
      </w:divBdr>
    </w:div>
    <w:div w:id="2071228097">
      <w:bodyDiv w:val="1"/>
      <w:marLeft w:val="0"/>
      <w:marRight w:val="0"/>
      <w:marTop w:val="0"/>
      <w:marBottom w:val="0"/>
      <w:divBdr>
        <w:top w:val="none" w:sz="0" w:space="0" w:color="auto"/>
        <w:left w:val="none" w:sz="0" w:space="0" w:color="auto"/>
        <w:bottom w:val="none" w:sz="0" w:space="0" w:color="auto"/>
        <w:right w:val="none" w:sz="0" w:space="0" w:color="auto"/>
      </w:divBdr>
    </w:div>
    <w:div w:id="2125954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Put13</b:Tag>
    <b:SourceType>Book</b:SourceType>
    <b:Guid>{ECB17250-FAC5-48AA-A995-4D46FABEE2F5}</b:Guid>
    <b:Author>
      <b:Author>
        <b:NameList>
          <b:Person>
            <b:Last>Puttick</b:Last>
            <b:First>K</b:First>
          </b:Person>
        </b:NameList>
      </b:Author>
    </b:Author>
    <b:Title>The police and criminal evidence act 1984</b:Title>
    <b:Year>2013</b:Year>
    <b:City>London</b:City>
    <b:Publisher>Buttersworth Law Publishers</b:Publisher>
    <b:RefOrder>1</b:RefOrder>
  </b:Source>
  <b:Source>
    <b:Tag>Kee17</b:Tag>
    <b:SourceType>Report</b:SourceType>
    <b:Guid>{22D09B9F-2E6F-45DA-BBB1-352947911502}</b:Guid>
    <b:Title>No Respect: Young BAME Men, The Police and Stop and Search</b:Title>
    <b:Year>2017</b:Year>
    <b:Publisher>Criminal Justice Alliance</b:Publisher>
    <b:Author>
      <b:Author>
        <b:NameList>
          <b:Person>
            <b:Last>Keeling</b:Last>
            <b:First>Peter</b:First>
          </b:Person>
        </b:NameList>
      </b:Author>
    </b:Author>
    <b:RefOrder>2</b:RefOrder>
  </b:Source>
  <b:Source>
    <b:Tag>Lea12</b:Tag>
    <b:SourceType>Book</b:SourceType>
    <b:Guid>{BC9E7060-52B0-4A82-B3FF-DE50203ED135}</b:Guid>
    <b:Title>Understanding the riots, criminal justice matters</b:Title>
    <b:Year>2012</b:Year>
    <b:Author>
      <b:Author>
        <b:NameList>
          <b:Person>
            <b:Last>Lea</b:Last>
            <b:First>John </b:First>
          </b:Person>
          <b:Person>
            <b:Last>Hallsworth</b:Last>
            <b:First>Simon </b:First>
          </b:Person>
        </b:NameList>
      </b:Author>
    </b:Author>
    <b:Pages>30-31</b:Pages>
    <b:URL>https://www.tandfonline.com/doi/abs/10.1080/09627251.2012.671013?journalCode=rcjm20</b:URL>
    <b:RefOrder>3</b:RefOrder>
  </b:Source>
  <b:Source>
    <b:Tag>Tay14</b:Tag>
    <b:SourceType>JournalArticle</b:SourceType>
    <b:Guid>{8575E9FD-3141-4748-AA36-EE38C147C242}</b:Guid>
    <b:Author>
      <b:Author>
        <b:NameList>
          <b:Person>
            <b:Last>Taylor</b:Last>
            <b:First>Stan</b:First>
          </b:Person>
        </b:NameList>
      </b:Author>
    </b:Author>
    <b:Title>CHAPTER 2 - The Scarman Report and explanations of riots</b:Title>
    <b:Year>2014</b:Year>
    <b:Publisher>Elsevier Ltd</b:Publisher>
    <b:Pages>20-34</b:Pages>
    <b:JournalName>Scarman and After</b:JournalName>
    <b:RefOrder>4</b:RefOrder>
  </b:Source>
  <b:Source>
    <b:Tag>Kei13</b:Tag>
    <b:SourceType>Book</b:SourceType>
    <b:Guid>{462A2666-527F-4AD9-B373-592097F4EDD0}</b:Guid>
    <b:Title>The Police and Criminal Evidence Act 1984.</b:Title>
    <b:Year>2013</b:Year>
    <b:Author>
      <b:Author>
        <b:NameList>
          <b:Person>
            <b:Last>Puttick</b:Last>
            <b:First>Keith</b:First>
          </b:Person>
        </b:NameList>
      </b:Author>
    </b:Author>
    <b:City>London</b:City>
    <b:Publisher>Butterworths Law Publishers (Lexis-Nexis)</b:Publisher>
    <b:RefOrder>5</b:RefOrder>
  </b:Source>
  <b:Source>
    <b:Tag>Tea19</b:Tag>
    <b:SourceType>Book</b:SourceType>
    <b:Guid>{463D0C20-09E6-4677-AB08-4DAA8C4050E8}</b:Guid>
    <b:Author>
      <b:Author>
        <b:NameList>
          <b:Person>
            <b:Last>Teacher</b:Last>
            <b:First>Law</b:First>
          </b:Person>
        </b:NameList>
      </b:Author>
    </b:Author>
    <b:Title>Police and Criminal Evidence Act 1984</b:Title>
    <b:Year>2019</b:Year>
    <b:Publisher>Law Teacher </b:Publisher>
    <b:URL>https://www.lawteacher.net/acts/police-and-criminal-evidence-act.php </b:URL>
    <b:RefOrder>6</b:RefOrder>
  </b:Source>
  <b:Source>
    <b:Tag>Kri18</b:Tag>
    <b:SourceType>BookSection</b:SourceType>
    <b:Guid>{594266EC-286A-4625-95C8-1B30BE83222D}</b:Guid>
    <b:Title>The implications of the Macpherson report into the death of Stephen Lawrence</b:Title>
    <b:Year>2018</b:Year>
    <b:Pages>106 - 113</b:Pages>
    <b:Author>
      <b:Author>
        <b:NameList>
          <b:Person>
            <b:Last>Storry</b:Last>
            <b:First>Kristen</b:First>
          </b:Person>
        </b:NameList>
      </b:Author>
    </b:Author>
    <b:RefOrder>7</b:RefOrder>
  </b:Source>
  <b:Source>
    <b:Tag>Boi01</b:Tag>
    <b:SourceType>BookSection</b:SourceType>
    <b:Guid>{EBB4C1A7-7E0D-4E4F-AE9A-28B5490654B3}</b:Guid>
    <b:Title>The Stephen Lawrence Case: The London Metropolitan Police in Crisis</b:Title>
    <b:BookTitle>Managing Crises: Threats, Dilemmas, Opportunities</b:BookTitle>
    <b:Year>2001</b:Year>
    <b:Pages>74</b:Pages>
    <b:Publisher>Chales C Thomas Pub Ltd</b:Publisher>
    <b:Author>
      <b:Author>
        <b:NameList>
          <b:Person>
            <b:Last>Boin</b:Last>
            <b:First>Arjen</b:First>
          </b:Person>
          <b:Person>
            <b:Last>rosenthal</b:Last>
            <b:First>uriel</b:First>
          </b:Person>
          <b:Person>
            <b:Last>comfort</b:Last>
            <b:Middle>k</b:Middle>
            <b:First>louise</b:First>
          </b:Person>
        </b:NameList>
      </b:Author>
    </b:Author>
    <b:RefOrder>8</b:RefOrder>
  </b:Source>
  <b:Source>
    <b:Tag>Bou01</b:Tag>
    <b:SourceType>JournalArticle</b:SourceType>
    <b:Guid>{D4AFF572-5AA3-4577-B9A0-DF8F4EC2C03D}</b:Guid>
    <b:Title>The life and times of institutional racism</b:Title>
    <b:Year>2001</b:Year>
    <b:Pages>Volume 43(2): P. 7-22</b:Pages>
    <b:Author>
      <b:Author>
        <b:NameList>
          <b:Person>
            <b:Last>Bourne</b:Last>
            <b:First>Jenny</b:First>
          </b:Person>
        </b:NameList>
      </b:Author>
    </b:Author>
    <b:RefOrder>9</b:RefOrder>
  </b:Source>
  <b:Source>
    <b:Tag>Nic09</b:Tag>
    <b:SourceType>Report</b:SourceType>
    <b:Guid>{C1BD2E91-DE5A-4B09-978B-BD371BAAFDD5}</b:Guid>
    <b:Title>The stephen Lawrence Inquiry 10 Years On</b:Title>
    <b:Year>2009</b:Year>
    <b:Author>
      <b:Author>
        <b:NameList>
          <b:Person>
            <b:Last>Rollock</b:Last>
            <b:First>Nicola</b:First>
          </b:Person>
        </b:NameList>
      </b:Author>
    </b:Author>
    <b:Publisher>Runnymede Reports</b:Publisher>
    <b:RefOrder>10</b:RefOrder>
  </b:Source>
  <b:Source>
    <b:Tag>Hon16</b:Tag>
    <b:SourceType>JournalArticle</b:SourceType>
    <b:Guid>{000FD114-E8B6-419C-9350-77E8F69DDB16}</b:Guid>
    <b:Title>Does Increasing Ethnic Representativeness Reduce Police Misconduct?</b:Title>
    <b:Year>2016</b:Year>
    <b:JournalName>Public Administration Review</b:JournalName>
    <b:Pages>Volume 77, Issue 2/ P.195-205</b:Pages>
    <b:Author>
      <b:Author>
        <b:NameList>
          <b:Person>
            <b:Last>Hong</b:Last>
            <b:First>Sounman</b:First>
          </b:Person>
        </b:NameList>
      </b:Author>
    </b:Author>
    <b:RefOrder>11</b:RefOrder>
  </b:Source>
  <b:Source>
    <b:Tag>Soc14</b:Tag>
    <b:SourceType>DocumentFromInternetSite</b:SourceType>
    <b:Guid>{AFA27292-CB8B-4B4B-BB80-2CA3A015524D}</b:Guid>
    <b:Year>2014</b:Year>
    <b:URL>https://www.legislation.gov.uk/anaw/2014/4/pdfs/anaw_20140004_en.pdf</b:URL>
    <b:Author>
      <b:Author>
        <b:NameList>
          <b:Person>
            <b:Last>Social Services and Wellbeing Act</b:Last>
          </b:Person>
        </b:NameList>
      </b:Author>
    </b:Author>
    <b:RefOrder>12</b:RefOrder>
  </b:Source>
  <b:Source>
    <b:Tag>Joh13</b:Tag>
    <b:SourceType>Book</b:SourceType>
    <b:Guid>{10161AE3-793A-46F8-A27B-67E799BA18FA}</b:Guid>
    <b:Title>Cuckooing: Home Takeovers of Vulnerable Tenants</b:Title>
    <b:Year>2013</b:Year>
    <b:Publisher>Department of Criminology, University of Ottawa</b:Publisher>
    <b:Author>
      <b:Author>
        <b:NameList>
          <b:Person>
            <b:Last>Butera</b:Last>
            <b:First>Johny-Angel</b:First>
          </b:Person>
        </b:NameList>
      </b:Author>
    </b:Author>
    <b:RefOrder>13</b:RefOrder>
  </b:Source>
  <b:Source>
    <b:Tag>rob18</b:Tag>
    <b:SourceType>JournalArticle</b:SourceType>
    <b:Guid>{7A71FB5B-B021-4344-A903-3E6B5777B8A6}</b:Guid>
    <b:Title>Working County Lines: Child Criminal Exploitation and Illicit Drug Dealing in Glasgow and Merseyside</b:Title>
    <b:Year>2018</b:Year>
    <b:Pages>Volume 63, issue 5</b:Pages>
    <b:Author>
      <b:Author>
        <b:NameList>
          <b:Person>
            <b:Last>robinson</b:Last>
            <b:First>Grace</b:First>
          </b:Person>
          <b:Person>
            <b:Last>McLean</b:Last>
            <b:First>Robert</b:First>
          </b:Person>
          <b:Person>
            <b:Last>Densley</b:Last>
            <b:First>James</b:First>
          </b:Person>
        </b:NameList>
      </b:Author>
    </b:Author>
    <b:RefOrder>14</b:RefOrder>
  </b:Source>
  <b:Source>
    <b:Tag>Nig18</b:Tag>
    <b:SourceType>JournalArticle</b:SourceType>
    <b:Guid>{12D5742E-73CA-4A66-9C6F-82557A39C625}</b:Guid>
    <b:Author>
      <b:Author>
        <b:NameList>
          <b:Person>
            <b:Last>Stone</b:Last>
            <b:First>Nigel</b:First>
          </b:Person>
        </b:NameList>
      </b:Author>
    </b:Author>
    <b:Title>Child Criminal Exploitation: "County Lines", Trafficking and Cuckooing.</b:Title>
    <b:Year>2018</b:Year>
    <b:Pages>Volume 18, Issue 3</b:Pages>
    <b:RefOrder>15</b:RefOrder>
  </b:Source>
  <b:Source>
    <b:Tag>Win20</b:Tag>
    <b:SourceType>JournalArticle</b:SourceType>
    <b:Guid>{EAECB80C-C32E-408D-B0B9-1285CB170AA2}</b:Guid>
    <b:Author>
      <b:Author>
        <b:NameList>
          <b:Person>
            <b:Last>Windle</b:Last>
            <b:First>James</b:First>
          </b:Person>
          <b:Person>
            <b:Last>Moyle</b:Last>
            <b:First>Leah</b:First>
          </b:Person>
          <b:Person>
            <b:Last>Coomber</b:Last>
            <b:First>Ross</b:First>
          </b:Person>
        </b:NameList>
      </b:Author>
    </b:Author>
    <b:Title>Vulnerable Kids Going Country: Children and Young People's Involvment in County Lines Drug Dealing</b:Title>
    <b:Year>2020</b:Year>
    <b:Pages>Volume 20, Issue 1-2</b:Pages>
    <b:RefOrder>16</b:RefOrder>
  </b:Source>
  <b:Source>
    <b:Tag>Olv21</b:Tag>
    <b:SourceType>JournalArticle</b:SourceType>
    <b:Guid>{3C68079C-DB4E-4339-A238-642ECFD54A8B}</b:Guid>
    <b:Title>Professionals' Views on Responding to County Lines-Related Criminal Exploitation in the West Midlands</b:Title>
    <b:JournalName>Child Abuse Review</b:JournalName>
    <b:Year>2021</b:Year>
    <b:Pages>Volume 30, Issue 4, P. 347 - 362</b:Pages>
    <b:Author>
      <b:Author>
        <b:NameList>
          <b:Person>
            <b:Last>Olver</b:Last>
            <b:First>Kristen</b:First>
          </b:Person>
          <b:Person>
            <b:Last>Cockbain</b:Last>
            <b:First>Ella</b:First>
          </b:Person>
        </b:NameList>
      </b:Author>
    </b:Author>
    <b:RefOrder>17</b:RefOrder>
  </b:Source>
  <b:Source>
    <b:Tag>Geo15</b:Tag>
    <b:SourceType>JournalArticle</b:SourceType>
    <b:Guid>{0542FB9F-267D-4666-A02A-6D4D8DBA36D1}</b:Guid>
    <b:Author>
      <b:Author>
        <b:NameList>
          <b:Person>
            <b:Last>Coliandris</b:Last>
            <b:First>Geoff</b:First>
          </b:Person>
        </b:NameList>
      </b:Author>
    </b:Author>
    <b:Title>County lines and wicked problems: Exploring the need for improved policing approaches to vulnerable and early intervention</b:Title>
    <b:JournalName>Australasian Policing</b:JournalName>
    <b:Year>2015</b:Year>
    <b:RefOrder>18</b:RefOrder>
  </b:Source>
  <b:Source>
    <b:Tag>Nar22</b:Tag>
    <b:SourceType>InternetSite</b:SourceType>
    <b:Guid>{C3B6376D-0A73-4B23-B31A-FE755DC1F57E}</b:Guid>
    <b:Title>Advice for people under MAPPA</b:Title>
    <b:Year>2022</b:Year>
    <b:Author>
      <b:Author>
        <b:NameList>
          <b:Person>
            <b:Last>Narco</b:Last>
          </b:Person>
        </b:NameList>
      </b:Author>
    </b:Author>
    <b:InternetSiteTitle>Narco</b:InternetSiteTitle>
    <b:URL>https://www.nacro.org.uk/criminal-record-support-service/support-for-individuals/advice-prisoners-people-licence-sex-offenders-mappa/advice-people-mappa/</b:URL>
    <b:RefOrder>19</b:RefOrder>
  </b:Source>
  <b:Source>
    <b:Tag>HMI21</b:Tag>
    <b:SourceType>InternetSite</b:SourceType>
    <b:Guid>{3C644C52-98A2-4C66-A486-380EB8FFAE6C}</b:Guid>
    <b:Title>Multi-Agency public protection arrangments</b:Title>
    <b:InternetSiteTitle>Justice Inspectorates</b:InternetSiteTitle>
    <b:Year>2021</b:Year>
    <b:URL>https://www.justiceinspectorates.gov.uk/hmiprobation/research/the-evidence-base-probation/specific-types-of-delivery/mappa/</b:URL>
    <b:Author>
      <b:Author>
        <b:NameList>
          <b:Person>
            <b:Last>HM Inspectorate of Probation</b:Last>
          </b:Person>
        </b:NameList>
      </b:Author>
    </b:Author>
    <b:RefOrder>20</b:RefOrder>
  </b:Source>
  <b:Source>
    <b:Tag>Unl22</b:Tag>
    <b:SourceType>InternetSite</b:SourceType>
    <b:Guid>{74D918EF-1ECE-4E5D-9B02-4B17955B49BA}</b:Guid>
    <b:Title>MAPPA</b:Title>
    <b:InternetSiteTitle>Unlock, For people with criminal records</b:InternetSiteTitle>
    <b:Year>2022</b:Year>
    <b:URL>https://unlock.org.uk/advice/mappa/#:~:text=The%20three%20formal%20MAPPA%20categories%20are%3A%201%20Category,notification%20requirements%203%20Category%20Three%3A%20Other%20dangerous%20offenders</b:URL>
    <b:Author>
      <b:Author>
        <b:NameList>
          <b:Person>
            <b:Last>Unlock</b:Last>
          </b:Person>
        </b:NameList>
      </b:Author>
    </b:Author>
    <b:RefOrder>21</b:RefOrder>
  </b:Source>
  <b:Source>
    <b:Tag>Les13</b:Tag>
    <b:SourceType>JournalArticle</b:SourceType>
    <b:Guid>{9821A1B8-6A78-4ADB-8A26-31C0C782321C}</b:Guid>
    <b:Title>The role of the specially trained officer in rape and sexual offence cases</b:Title>
    <b:Year>2013</b:Year>
    <b:Author>
      <b:Author>
        <b:NameList>
          <b:Person>
            <b:Last>McMillan</b:Last>
            <b:First>Lesley</b:First>
          </b:Person>
        </b:NameList>
      </b:Author>
    </b:Author>
    <b:JournalName>Policing and Society, An International Journel of Research and Policy</b:JournalName>
    <b:Pages>622 - 640</b:Pages>
    <b:RefOrder>22</b:RefOrder>
  </b:Source>
  <b:Source>
    <b:Tag>Nat10</b:Tag>
    <b:SourceType>Report</b:SourceType>
    <b:Guid>{EAB83C59-530C-4A52-AB27-D53C2E5CC9FF}</b:Guid>
    <b:Title>Guidance on Investigating and Prosecuting Rape</b:Title>
    <b:Year>2010</b:Year>
    <b:Publisher>National Policing Improvement Agency</b:Publisher>
    <b:Author>
      <b:Author>
        <b:NameList>
          <b:Person>
            <b:Last>National Policing Improvement Agency </b:Last>
          </b:Person>
        </b:NameList>
      </b:Author>
    </b:Author>
    <b:RefOrder>23</b:RefOrder>
  </b:Source>
  <b:Source>
    <b:Tag>Gud10</b:Tag>
    <b:SourceType>JournalArticle</b:SourceType>
    <b:Guid>{86AAF330-3AB8-4FE9-83BA-8E84B6E8A8EC}</b:Guid>
    <b:Title>Phychological vulnerabilities during police interviews. Why are they important?</b:Title>
    <b:Year>2010</b:Year>
    <b:Author>
      <b:Author>
        <b:NameList>
          <b:Person>
            <b:Last>Gudjonsson</b:Last>
            <b:Middle>H</b:Middle>
            <b:First>Gisli</b:First>
          </b:Person>
        </b:NameList>
      </b:Author>
    </b:Author>
    <b:JournalName>Legal and Criminological Psychology </b:JournalName>
    <b:Pages>Volume 15, Issue 2, P. 161-175</b:Pages>
    <b:RefOrder>24</b:RefOrder>
  </b:Source>
  <b:Source>
    <b:Tag>Col22</b:Tag>
    <b:SourceType>InternetSite</b:SourceType>
    <b:Guid>{8D08FF1A-8CB0-42FE-973E-33A1A390E812}</b:Guid>
    <b:Title>Arrest and other positive approaches</b:Title>
    <b:Year>2022</b:Year>
    <b:Author>
      <b:Author>
        <b:NameList>
          <b:Person>
            <b:Last>College of Policing</b:Last>
          </b:Person>
        </b:NameList>
      </b:Author>
    </b:Author>
    <b:InternetSiteTitle>College of Policing</b:InternetSiteTitle>
    <b:URL>https://www.college.police.uk/app/major-investigation-and-public-protection/domestic-abuse/arrest-and-other-positive-approaches</b:URL>
    <b:RefOrder>25</b:RefOrder>
  </b:Source>
  <b:Source>
    <b:Tag>You22</b:Tag>
    <b:SourceType>InternetSite</b:SourceType>
    <b:Guid>{AFD8E4B5-9488-4FDE-96F2-872FD7AB69C9}</b:Guid>
    <b:Title>Early Intervention</b:Title>
    <b:InternetSiteTitle>Youth Crime Commission</b:InternetSiteTitle>
    <b:Year>2022</b:Year>
    <b:URL>https://www.youthcrimecommission.org.uk/early-intervention/</b:URL>
    <b:Author>
      <b:Author>
        <b:NameList>
          <b:Person>
            <b:Last>Commission</b:Last>
            <b:First>Youth</b:First>
            <b:Middle>Crime</b:Middle>
          </b:Person>
        </b:NameList>
      </b:Author>
    </b:Author>
    <b:RefOrder>26</b:RefOrder>
  </b:Source>
  <b:Source>
    <b:Tag>you22</b:Tag>
    <b:SourceType>InternetSite</b:SourceType>
    <b:Guid>{9BEB188D-D498-4DFD-9991-EDAC638A4C35}</b:Guid>
    <b:Author>
      <b:Author>
        <b:NameList>
          <b:Person>
            <b:Last>youth.gov</b:Last>
          </b:Person>
        </b:NameList>
      </b:Author>
    </b:Author>
    <b:Title>Prevention and Early Intervention</b:Title>
    <b:InternetSiteTitle>Youth.Gov</b:InternetSiteTitle>
    <b:Year>2022</b:Year>
    <b:URL>https://youth.gov/youth-topics/juvenile-justice/prevention-and-early-intervention</b:URL>
    <b:RefOrder>27</b:RefOrder>
  </b:Source>
  <b:Source>
    <b:Tag>gol07</b:Tag>
    <b:SourceType>BookSection</b:SourceType>
    <b:Guid>{955B9671-D7C8-4597-BFE8-ABE5BACF75F6}</b:Guid>
    <b:Title>Child criminalisation and the mistake of early intervention</b:Title>
    <b:Year>2007</b:Year>
    <b:Author>
      <b:Author>
        <b:NameList>
          <b:Person>
            <b:Last>goldson</b:Last>
            <b:First>barry</b:First>
          </b:Person>
        </b:NameList>
      </b:Author>
    </b:Author>
    <b:Publisher>Sage</b:Publisher>
    <b:Pages>Issue 69Youth Justice: An international journal</b:Pages>
    <b:RefOrder>28</b:RefOrder>
  </b:Source>
  <b:Source>
    <b:Tag>Sta19</b:Tag>
    <b:SourceType>InternetSite</b:SourceType>
    <b:Guid>{28D33D35-CF9B-4F6A-8195-0EAE997F59D8}</b:Guid>
    <b:Title>Children who identify or have a relationship with gang members in England 2019</b:Title>
    <b:Year>2019</b:Year>
    <b:Author>
      <b:Author>
        <b:NameList>
          <b:Person>
            <b:Last>Statista</b:Last>
          </b:Person>
        </b:NameList>
      </b:Author>
    </b:Author>
    <b:InternetSiteTitle>Statista</b:InternetSiteTitle>
    <b:URL>https://www.statista.com/statistics/979024/child-gang-membership-in-england/</b:URL>
    <b:RefOrder>29</b:RefOrder>
  </b:Source>
  <b:Source>
    <b:Tag>Hes19</b:Tag>
    <b:SourceType>JournalArticle</b:SourceType>
    <b:Guid>{E182F42B-0636-4CF8-BFD3-9D13F6339833}</b:Guid>
    <b:Author>
      <b:Author>
        <b:NameList>
          <b:Person>
            <b:Last>Hesketh</b:Last>
            <b:First>Robert</b:First>
          </b:Person>
        </b:NameList>
      </b:Author>
    </b:Author>
    <b:Title>Why do young people join gangs? Members explain the appeal of risk taking</b:Title>
    <b:Year>2019</b:Year>
    <b:RefOrder>30</b:RefOrder>
  </b:Source>
  <b:Source>
    <b:Tag>Lew19</b:Tag>
    <b:SourceType>InternetSite</b:SourceType>
    <b:Guid>{1EF80429-635F-4446-98AD-FBA88A3E238E}</b:Guid>
    <b:Title>The partnership approach to tackling gangs</b:Title>
    <b:Year>2019</b:Year>
    <b:InternetSiteTitle>Council meetings.Lewisham</b:InternetSiteTitle>
    <b:URL>https://councilmeetings.lewisham.gov.uk/mgAi.aspx?ID=1743</b:URL>
    <b:Author>
      <b:Author>
        <b:NameList>
          <b:Person>
            <b:Last>Lewisham Council</b:Last>
          </b:Person>
        </b:NameList>
      </b:Author>
    </b:Author>
    <b:RefOrder>31</b:RefOrder>
  </b:Source>
  <b:Source>
    <b:Tag>Wad18</b:Tag>
    <b:SourceType>Report</b:SourceType>
    <b:Guid>{06B11E6A-9C5C-4330-9389-4BE2BC09E286}</b:Guid>
    <b:Title>Intervening early to prevent gang and youth violence: The role of primary schools</b:Title>
    <b:Year>2018</b:Year>
    <b:Author>
      <b:Author>
        <b:NameList>
          <b:Person>
            <b:Last>Waddell</b:Last>
            <b:First>Stephanie</b:First>
          </b:Person>
          <b:Person>
            <b:Last>Jones</b:Last>
            <b:First>Naomi</b:First>
          </b:Person>
        </b:NameList>
      </b:Author>
    </b:Author>
    <b:RefOrder>32</b:RefOrder>
  </b:Source>
  <b:Source>
    <b:Tag>Col221</b:Tag>
    <b:SourceType>InternetSite</b:SourceType>
    <b:Guid>{AB4100BA-3872-4C27-B878-3823A615E9D2}</b:Guid>
    <b:Title>Children and Young Persons</b:Title>
    <b:Year>2022</b:Year>
    <b:InternetSiteTitle>College of Policing</b:InternetSiteTitle>
    <b:URL>https://www.college.police.uk/app/detention-and-custody/detainee-care/children-and-young-persons#youth-offending-teams</b:URL>
    <b:Author>
      <b:Author>
        <b:NameList>
          <b:Person>
            <b:Last>College of Policing</b:Last>
          </b:Person>
        </b:NameList>
      </b:Author>
    </b:Author>
    <b:RefOrder>33</b:RefOrder>
  </b:Source>
  <b:Source>
    <b:Tag>Wil13</b:Tag>
    <b:SourceType>Report</b:SourceType>
    <b:Guid>{9668FA3E-200A-4560-B30F-AC580F513C4B}</b:Guid>
    <b:Title>Youth Justice Interventions - findings from the Juvenile Cohort Study</b:Title>
    <b:Year>2013</b:Year>
    <b:URL>https://assets.publishing.service.gov.uk/government/uploads/system/uploads/attachment_data/file/266405/juvenile-cohort-study.pdf</b:URL>
    <b:Publisher>Ministry of Justice Analytical Series</b:Publisher>
    <b:Author>
      <b:Author>
        <b:NameList>
          <b:Person>
            <b:Last>Wilson</b:Last>
            <b:First>Edith</b:First>
          </b:Person>
        </b:NameList>
      </b:Author>
    </b:Author>
    <b:RefOrder>34</b:RefOrder>
  </b:Source>
</b:Sources>
</file>

<file path=customXml/itemProps1.xml><?xml version="1.0" encoding="utf-8"?>
<ds:datastoreItem xmlns:ds="http://schemas.openxmlformats.org/officeDocument/2006/customXml" ds:itemID="{CD0FD7E6-AFE7-47C3-9C34-0DA329633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5148</Words>
  <Characters>29347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Pratlett, Luke</dc:creator>
  <cp:keywords/>
  <dc:description/>
  <cp:lastModifiedBy>Pratlett, Luke</cp:lastModifiedBy>
  <cp:revision>2</cp:revision>
  <dcterms:created xsi:type="dcterms:W3CDTF">2022-11-06T14:57:00Z</dcterms:created>
  <dcterms:modified xsi:type="dcterms:W3CDTF">2022-11-06T14:57:00Z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2022-11-06T10:45:39Z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702fc600-9b2f-401e-a48d-9b3aa816b67f</vt:lpwstr>
  </property>
  <property fmtid="{D5CDD505-2E9C-101B-9397-08002B2CF9AE}" pid="8" name="MSIP_Label_f2acd28b-79a3-4a0f-b0ff-4b75658b1549_ContentBits">
    <vt:lpwstr>0</vt:lpwstr>
  </property>
</Properties>
</file>