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9ADB2E" w14:textId="77777777" w:rsidR="004207D6" w:rsidRDefault="004207D6">
      <w:pPr>
        <w:spacing w:after="120"/>
      </w:pPr>
    </w:p>
    <w:p w14:paraId="779ADB2F" w14:textId="77777777" w:rsidR="004207D6" w:rsidRDefault="004207D6">
      <w:pPr>
        <w:spacing w:after="120"/>
      </w:pPr>
    </w:p>
    <w:p w14:paraId="779ADB30" w14:textId="77777777" w:rsidR="004207D6" w:rsidRDefault="004207D6">
      <w:pPr>
        <w:spacing w:after="120"/>
      </w:pPr>
    </w:p>
    <w:p w14:paraId="779ADB32" w14:textId="77777777" w:rsidR="004207D6" w:rsidRDefault="004207D6">
      <w:pPr>
        <w:spacing w:after="120"/>
      </w:pPr>
    </w:p>
    <w:p w14:paraId="779ADB33" w14:textId="77777777" w:rsidR="004207D6" w:rsidRDefault="008E15B6">
      <w:pPr>
        <w:spacing w:after="160" w:line="360" w:lineRule="auto"/>
        <w:jc w:val="center"/>
      </w:pPr>
      <w:r>
        <w:rPr>
          <w:b/>
          <w:bCs/>
          <w:color w:val="000000"/>
          <w:sz w:val="32"/>
          <w:szCs w:val="32"/>
        </w:rPr>
        <w:t>Quantitative Research Methods Assessment</w:t>
      </w:r>
    </w:p>
    <w:p w14:paraId="779ADB34" w14:textId="77777777" w:rsidR="004207D6" w:rsidRDefault="004207D6">
      <w:pPr>
        <w:spacing w:after="120"/>
      </w:pPr>
    </w:p>
    <w:p w14:paraId="779ADB35" w14:textId="77777777" w:rsidR="004207D6" w:rsidRDefault="004207D6">
      <w:pPr>
        <w:spacing w:after="120"/>
      </w:pPr>
    </w:p>
    <w:p w14:paraId="779ADB36" w14:textId="77777777" w:rsidR="004207D6" w:rsidRDefault="008E15B6">
      <w:pPr>
        <w:spacing w:after="160" w:line="360" w:lineRule="auto"/>
        <w:jc w:val="center"/>
      </w:pPr>
      <w:r>
        <w:rPr>
          <w:b/>
          <w:bCs/>
          <w:color w:val="000000"/>
          <w:sz w:val="26"/>
          <w:szCs w:val="26"/>
        </w:rPr>
        <w:t>Board Governance and Financial Performance:</w:t>
      </w:r>
    </w:p>
    <w:p w14:paraId="779ADB37" w14:textId="77777777" w:rsidR="004207D6" w:rsidRDefault="008E15B6">
      <w:pPr>
        <w:spacing w:after="160" w:line="360" w:lineRule="auto"/>
        <w:jc w:val="center"/>
      </w:pPr>
      <w:r>
        <w:rPr>
          <w:b/>
          <w:bCs/>
          <w:color w:val="000000"/>
          <w:sz w:val="26"/>
          <w:szCs w:val="26"/>
        </w:rPr>
        <w:t>Quantitative Evidence from UK-Listed Retail Companies, 2019-2023</w:t>
      </w:r>
    </w:p>
    <w:p w14:paraId="779ADB38" w14:textId="77777777" w:rsidR="004207D6" w:rsidRDefault="004207D6">
      <w:pPr>
        <w:spacing w:after="120"/>
      </w:pPr>
    </w:p>
    <w:p w14:paraId="779ADB39" w14:textId="77777777" w:rsidR="004207D6" w:rsidRDefault="004207D6">
      <w:pPr>
        <w:spacing w:after="120"/>
      </w:pPr>
    </w:p>
    <w:p w14:paraId="779ADB3A" w14:textId="77777777" w:rsidR="004207D6" w:rsidRDefault="004207D6">
      <w:pPr>
        <w:spacing w:after="120"/>
      </w:pPr>
    </w:p>
    <w:p w14:paraId="779ADB3B" w14:textId="77777777" w:rsidR="004207D6" w:rsidRDefault="008E15B6">
      <w:pPr>
        <w:spacing w:after="160" w:line="360" w:lineRule="auto"/>
        <w:jc w:val="center"/>
      </w:pPr>
      <w:r>
        <w:rPr>
          <w:color w:val="000000"/>
          <w:sz w:val="24"/>
          <w:szCs w:val="24"/>
        </w:rPr>
        <w:t>Student Name: Monaf Hossain Fuad</w:t>
      </w:r>
    </w:p>
    <w:p w14:paraId="779ADB3C" w14:textId="033BD4A7" w:rsidR="004207D6" w:rsidRDefault="008E15B6">
      <w:pPr>
        <w:spacing w:after="160" w:line="360" w:lineRule="auto"/>
        <w:jc w:val="center"/>
      </w:pPr>
      <w:r>
        <w:rPr>
          <w:color w:val="000000"/>
          <w:sz w:val="24"/>
          <w:szCs w:val="24"/>
        </w:rPr>
        <w:t>Student ID:</w:t>
      </w:r>
      <w:r w:rsidR="002F3198">
        <w:rPr>
          <w:color w:val="000000"/>
          <w:sz w:val="24"/>
          <w:szCs w:val="24"/>
        </w:rPr>
        <w:t xml:space="preserve"> 25244</w:t>
      </w:r>
      <w:r w:rsidR="0015626B">
        <w:rPr>
          <w:color w:val="000000"/>
          <w:sz w:val="24"/>
          <w:szCs w:val="24"/>
        </w:rPr>
        <w:t>63</w:t>
      </w:r>
    </w:p>
    <w:p w14:paraId="779ADB3D" w14:textId="77777777" w:rsidR="004207D6" w:rsidRDefault="008E15B6">
      <w:pPr>
        <w:spacing w:after="160" w:line="360" w:lineRule="auto"/>
        <w:jc w:val="center"/>
      </w:pPr>
      <w:proofErr w:type="spellStart"/>
      <w:r>
        <w:rPr>
          <w:color w:val="000000"/>
          <w:sz w:val="24"/>
          <w:szCs w:val="24"/>
        </w:rPr>
        <w:t>Programme</w:t>
      </w:r>
      <w:proofErr w:type="spellEnd"/>
      <w:r>
        <w:rPr>
          <w:color w:val="000000"/>
          <w:sz w:val="24"/>
          <w:szCs w:val="24"/>
        </w:rPr>
        <w:t>: Doctor of Business Administration (DBA)</w:t>
      </w:r>
    </w:p>
    <w:p w14:paraId="779ADB3E" w14:textId="78E2F939" w:rsidR="004207D6" w:rsidRDefault="008E15B6">
      <w:pPr>
        <w:spacing w:after="160" w:line="360" w:lineRule="auto"/>
        <w:jc w:val="center"/>
      </w:pPr>
      <w:r>
        <w:rPr>
          <w:color w:val="000000"/>
          <w:sz w:val="24"/>
          <w:szCs w:val="24"/>
        </w:rPr>
        <w:t xml:space="preserve">Module: LCDB7011 </w:t>
      </w:r>
    </w:p>
    <w:p w14:paraId="779ADB3F" w14:textId="77777777" w:rsidR="004207D6" w:rsidRDefault="008E15B6">
      <w:pPr>
        <w:spacing w:after="160" w:line="360" w:lineRule="auto"/>
        <w:jc w:val="center"/>
      </w:pPr>
      <w:r>
        <w:rPr>
          <w:color w:val="000000"/>
          <w:sz w:val="24"/>
          <w:szCs w:val="24"/>
        </w:rPr>
        <w:t>University of Wales Trinity Saint David</w:t>
      </w:r>
    </w:p>
    <w:p w14:paraId="779ADB44" w14:textId="23664A60" w:rsidR="004207D6" w:rsidRDefault="008E15B6" w:rsidP="0015626B">
      <w:pPr>
        <w:spacing w:after="160" w:line="360" w:lineRule="auto"/>
        <w:jc w:val="center"/>
      </w:pPr>
      <w:r>
        <w:br w:type="page"/>
      </w:r>
    </w:p>
    <w:p w14:paraId="779ADB45" w14:textId="77777777" w:rsidR="004207D6" w:rsidRDefault="008E15B6">
      <w:pPr>
        <w:pStyle w:val="Heading1"/>
        <w:spacing w:before="320" w:after="160"/>
      </w:pPr>
      <w:r>
        <w:rPr>
          <w:b/>
          <w:bCs/>
          <w:color w:val="000000"/>
          <w:sz w:val="28"/>
          <w:szCs w:val="28"/>
        </w:rPr>
        <w:lastRenderedPageBreak/>
        <w:t>Abstract</w:t>
      </w:r>
    </w:p>
    <w:p w14:paraId="779ADB46" w14:textId="77777777" w:rsidR="004207D6" w:rsidRDefault="008E15B6">
      <w:pPr>
        <w:spacing w:after="160" w:line="360" w:lineRule="auto"/>
        <w:jc w:val="both"/>
      </w:pPr>
      <w:r>
        <w:rPr>
          <w:color w:val="000000"/>
          <w:sz w:val="24"/>
          <w:szCs w:val="24"/>
        </w:rPr>
        <w:t>Boards of directors sit at the heart of how companies are run, yet questions about whether specific board characteristics actually make firms more profitable remain surprisingly difficult to settle empirically. This paper tackles that question within the UK retail sector, a setting that has so far attracted little dedicated quantitative attention in the governance literature despite its economic significance and the governance pressures retail firms face.</w:t>
      </w:r>
    </w:p>
    <w:p w14:paraId="779ADB47" w14:textId="77777777" w:rsidR="004207D6" w:rsidRDefault="004207D6">
      <w:pPr>
        <w:spacing w:after="120"/>
      </w:pPr>
    </w:p>
    <w:p w14:paraId="779ADB48" w14:textId="00867230" w:rsidR="004207D6" w:rsidRDefault="008E15B6">
      <w:pPr>
        <w:spacing w:after="160" w:line="360" w:lineRule="auto"/>
        <w:jc w:val="both"/>
        <w:rPr>
          <w:color w:val="000000"/>
          <w:sz w:val="24"/>
          <w:szCs w:val="24"/>
        </w:rPr>
      </w:pPr>
      <w:r>
        <w:rPr>
          <w:color w:val="000000"/>
          <w:sz w:val="24"/>
          <w:szCs w:val="24"/>
        </w:rPr>
        <w:t xml:space="preserve">Drawing on publicly available annual reports, I constructed a panel dataset covering ten retail companies whose shares trade on the London Stock Exchange, spanning five consecutive financial years from 2019 through 2023, which yields fifty firm-year observations in total. </w:t>
      </w:r>
    </w:p>
    <w:p w14:paraId="227C1276" w14:textId="7317F077" w:rsidR="00F23F43" w:rsidRPr="00F23F43" w:rsidRDefault="00F23F43">
      <w:pPr>
        <w:spacing w:after="160" w:line="360" w:lineRule="auto"/>
        <w:jc w:val="both"/>
        <w:rPr>
          <w:sz w:val="24"/>
          <w:szCs w:val="24"/>
        </w:rPr>
      </w:pPr>
      <w:r w:rsidRPr="00F23F43">
        <w:rPr>
          <w:sz w:val="24"/>
          <w:szCs w:val="24"/>
        </w:rPr>
        <w:t>For each company and each year, I recorded five things about the board: how many directors there were in total, what percentage of them were women, what percentage held a postgraduate degree, whether the CEO and the chairperson were the same person or two different people, and what percentage were non-executive directors. To measure how well each company was performing financially, I used two figures taken straight from their annual reports: return on assets and return on equity. I also noted each company’s size and how much debt it was carrying, since both of these are known to affect profitability and needed to be accounted for.</w:t>
      </w:r>
    </w:p>
    <w:p w14:paraId="779ADB49" w14:textId="77777777" w:rsidR="004207D6" w:rsidRDefault="004207D6">
      <w:pPr>
        <w:spacing w:after="120"/>
      </w:pPr>
    </w:p>
    <w:p w14:paraId="779ADB4A" w14:textId="77777777" w:rsidR="004207D6" w:rsidRDefault="008E15B6">
      <w:pPr>
        <w:spacing w:after="160" w:line="360" w:lineRule="auto"/>
        <w:jc w:val="both"/>
      </w:pPr>
      <w:r>
        <w:rPr>
          <w:color w:val="000000"/>
          <w:sz w:val="24"/>
          <w:szCs w:val="24"/>
        </w:rPr>
        <w:t>The analytical strategy moves from description toward inference in a deliberate sequence. Shapiro-Wilk tests check distributional assumptions, z-scores identify extreme observations, Mann-Whitney U tests and Kruskal-Wallis tests address group-level comparisons without relying on normality assumptions, Pearson correlation maps out pairwise associations, and hierarchical multiple regression then isolates the unique contribution of each governance variable after accounting for controls. Three theoretical persp</w:t>
      </w:r>
      <w:r>
        <w:rPr>
          <w:color w:val="000000"/>
          <w:sz w:val="24"/>
          <w:szCs w:val="24"/>
        </w:rPr>
        <w:t>ectives frame the hypotheses: Agency Theory, which treats monitoring structures as the primary mechanism for aligning managerial incentives with shareholder welfare; Resource Dependence Theory, which views board composition as a pipeline for bringing expertise, legitimacy, and external networks into the firm; and Stewardship Theory, which challenges the monitoring-</w:t>
      </w:r>
      <w:proofErr w:type="spellStart"/>
      <w:r>
        <w:rPr>
          <w:color w:val="000000"/>
          <w:sz w:val="24"/>
          <w:szCs w:val="24"/>
        </w:rPr>
        <w:t>centred</w:t>
      </w:r>
      <w:proofErr w:type="spellEnd"/>
      <w:r>
        <w:rPr>
          <w:color w:val="000000"/>
          <w:sz w:val="24"/>
          <w:szCs w:val="24"/>
        </w:rPr>
        <w:t xml:space="preserve"> view by suggesting that enabling leaders rather than constraining them may better serve performance.</w:t>
      </w:r>
    </w:p>
    <w:p w14:paraId="779ADB4B" w14:textId="77777777" w:rsidR="004207D6" w:rsidRDefault="004207D6">
      <w:pPr>
        <w:spacing w:after="120"/>
      </w:pPr>
    </w:p>
    <w:p w14:paraId="779ADB4C" w14:textId="77777777" w:rsidR="004207D6" w:rsidRDefault="008E15B6">
      <w:pPr>
        <w:spacing w:after="160" w:line="360" w:lineRule="auto"/>
        <w:jc w:val="both"/>
      </w:pPr>
      <w:r>
        <w:rPr>
          <w:color w:val="000000"/>
          <w:sz w:val="24"/>
          <w:szCs w:val="24"/>
        </w:rPr>
        <w:t xml:space="preserve">The paper is a research proposal that anticipates, rather than reports, empirical findings, but the analytical plan and dataset are fully developed and ready for execution. Expected contributions </w:t>
      </w:r>
      <w:r>
        <w:rPr>
          <w:color w:val="000000"/>
          <w:sz w:val="24"/>
          <w:szCs w:val="24"/>
        </w:rPr>
        <w:lastRenderedPageBreak/>
        <w:t>include sector-specific evidence on how governance composition shapes profitability outcomes in UK retail, and a direct empirical test of whether the three theoretical perspectives offer complementary or competing predictions in this context.</w:t>
      </w:r>
    </w:p>
    <w:p w14:paraId="779ADB4D" w14:textId="77777777" w:rsidR="004207D6" w:rsidRDefault="004207D6">
      <w:pPr>
        <w:spacing w:after="120"/>
      </w:pPr>
    </w:p>
    <w:p w14:paraId="779ADB4E" w14:textId="77777777" w:rsidR="004207D6" w:rsidRDefault="008E15B6">
      <w:pPr>
        <w:spacing w:after="160" w:line="360" w:lineRule="auto"/>
        <w:jc w:val="both"/>
      </w:pPr>
      <w:r>
        <w:rPr>
          <w:b/>
          <w:bCs/>
          <w:color w:val="000000"/>
          <w:sz w:val="24"/>
          <w:szCs w:val="24"/>
        </w:rPr>
        <w:t xml:space="preserve">Keywords: </w:t>
      </w:r>
      <w:r>
        <w:rPr>
          <w:color w:val="000000"/>
          <w:sz w:val="24"/>
          <w:szCs w:val="24"/>
        </w:rPr>
        <w:t>board governance, corporate performance, UK retail sector, board size, gender diversity, CEO duality, non-executive directors, board qualifications, return on assets, return on equity</w:t>
      </w:r>
    </w:p>
    <w:p w14:paraId="69A1FFD0" w14:textId="77777777" w:rsidR="001A1EEE" w:rsidRDefault="001A1EEE" w:rsidP="001A1EEE"/>
    <w:p w14:paraId="52E9886D" w14:textId="77777777" w:rsidR="001A1EEE" w:rsidRDefault="001A1EEE" w:rsidP="001A1EEE"/>
    <w:p w14:paraId="460DA2FF" w14:textId="77777777" w:rsidR="001A1EEE" w:rsidRDefault="001A1EEE" w:rsidP="001A1EEE"/>
    <w:p w14:paraId="779ADB50" w14:textId="15A2FF8F" w:rsidR="004207D6" w:rsidRPr="001A1EEE" w:rsidRDefault="001A1EEE" w:rsidP="001A1EEE">
      <w:pPr>
        <w:rPr>
          <w:b/>
          <w:bCs/>
          <w:color w:val="000000"/>
          <w:sz w:val="28"/>
          <w:szCs w:val="28"/>
        </w:rPr>
      </w:pPr>
      <w:r>
        <w:rPr>
          <w:b/>
          <w:bCs/>
          <w:color w:val="000000"/>
          <w:sz w:val="28"/>
          <w:szCs w:val="28"/>
        </w:rPr>
        <w:t xml:space="preserve">1 </w:t>
      </w:r>
      <w:r w:rsidR="008E15B6" w:rsidRPr="001A1EEE">
        <w:rPr>
          <w:b/>
          <w:bCs/>
          <w:color w:val="000000"/>
          <w:sz w:val="28"/>
          <w:szCs w:val="28"/>
        </w:rPr>
        <w:t>Introduction</w:t>
      </w:r>
    </w:p>
    <w:p w14:paraId="7ED32D94" w14:textId="77777777" w:rsidR="001A1EEE" w:rsidRDefault="001A1EEE" w:rsidP="001A1EEE"/>
    <w:p w14:paraId="779ADB51" w14:textId="77777777" w:rsidR="004207D6" w:rsidRDefault="008E15B6">
      <w:pPr>
        <w:spacing w:after="160" w:line="360" w:lineRule="auto"/>
        <w:jc w:val="both"/>
      </w:pPr>
      <w:r>
        <w:rPr>
          <w:color w:val="000000"/>
          <w:sz w:val="24"/>
          <w:szCs w:val="24"/>
        </w:rPr>
        <w:t>L</w:t>
      </w:r>
      <w:r>
        <w:rPr>
          <w:color w:val="000000"/>
          <w:sz w:val="24"/>
          <w:szCs w:val="24"/>
        </w:rPr>
        <w:t>arge UK retailers emp</w:t>
      </w:r>
      <w:r>
        <w:rPr>
          <w:color w:val="000000"/>
          <w:sz w:val="24"/>
          <w:szCs w:val="24"/>
        </w:rPr>
        <w:t>l</w:t>
      </w:r>
      <w:r>
        <w:rPr>
          <w:color w:val="000000"/>
          <w:sz w:val="24"/>
          <w:szCs w:val="24"/>
        </w:rPr>
        <w:t>oy hundreds of thousands of people, serve millions of customers every week, and generate revenues that place them among the most economically significant businesses in the country. Despite this prominence, relatively little academic research has examined whether the way these companies are governed at board level has any measurable bearing on how profitably they operate. That gap is the starting point for this paper.</w:t>
      </w:r>
    </w:p>
    <w:p w14:paraId="779ADB52" w14:textId="77777777" w:rsidR="004207D6" w:rsidRDefault="004207D6">
      <w:pPr>
        <w:spacing w:after="120"/>
      </w:pPr>
    </w:p>
    <w:p w14:paraId="779ADB53" w14:textId="77777777" w:rsidR="004207D6" w:rsidRDefault="008E15B6">
      <w:pPr>
        <w:spacing w:after="160" w:line="360" w:lineRule="auto"/>
        <w:jc w:val="both"/>
      </w:pPr>
      <w:r>
        <w:rPr>
          <w:color w:val="000000"/>
          <w:sz w:val="24"/>
          <w:szCs w:val="24"/>
        </w:rPr>
        <w:t>Corporate governance has occupied academic researchers and policy makers for several decades, with interest intensifying sharply after high-profile corporate failures in the early 2000s and again following the 2008 financial crisis. Much of the resulting literature draws on firms from the United States or from broad cross-sector UK samples, which limits what can be inferred about any particular industry. Retail is distinct from most sectors in that it operates on thin margins, faces rapid shifts in consumer</w:t>
      </w:r>
      <w:r>
        <w:rPr>
          <w:color w:val="000000"/>
          <w:sz w:val="24"/>
          <w:szCs w:val="24"/>
        </w:rPr>
        <w:t xml:space="preserve"> demand, depends heavily on supply-chain management, and has been exposed to intense disruption from e-commerce. Whether governance structures that appear to work well in diversified samples also drive performance within this particular competitive environment is an open question.</w:t>
      </w:r>
    </w:p>
    <w:p w14:paraId="779ADB54" w14:textId="77777777" w:rsidR="004207D6" w:rsidRDefault="004207D6">
      <w:pPr>
        <w:spacing w:after="120"/>
      </w:pPr>
    </w:p>
    <w:p w14:paraId="779ADB55" w14:textId="77777777" w:rsidR="004207D6" w:rsidRDefault="008E15B6">
      <w:pPr>
        <w:spacing w:after="160" w:line="360" w:lineRule="auto"/>
        <w:jc w:val="both"/>
      </w:pPr>
      <w:r>
        <w:rPr>
          <w:color w:val="000000"/>
          <w:sz w:val="24"/>
          <w:szCs w:val="24"/>
        </w:rPr>
        <w:t>This study approaches the question quantitatively, using secondary data from annual reports published between 2019 and 2023. The choice of these years is deliberate: the period spans the pandemic and its immediate aftermath, providing variation in operating conditions that strengthens the analytical value of the panel.</w:t>
      </w:r>
    </w:p>
    <w:p w14:paraId="779ADB56" w14:textId="77777777" w:rsidR="004207D6" w:rsidRDefault="004207D6">
      <w:pPr>
        <w:spacing w:after="120"/>
      </w:pPr>
    </w:p>
    <w:p w14:paraId="779ADB57" w14:textId="77777777" w:rsidR="004207D6" w:rsidRDefault="008E15B6">
      <w:pPr>
        <w:pStyle w:val="Heading2"/>
        <w:spacing w:before="240" w:after="120"/>
      </w:pPr>
      <w:r>
        <w:rPr>
          <w:b/>
          <w:bCs/>
          <w:color w:val="000000"/>
        </w:rPr>
        <w:t>1.1 Research Aim and Research Question</w:t>
      </w:r>
    </w:p>
    <w:p w14:paraId="779ADB58" w14:textId="77777777" w:rsidR="004207D6" w:rsidRDefault="008E15B6">
      <w:pPr>
        <w:spacing w:after="160" w:line="360" w:lineRule="auto"/>
        <w:jc w:val="both"/>
      </w:pPr>
      <w:r>
        <w:rPr>
          <w:color w:val="000000"/>
          <w:sz w:val="24"/>
          <w:szCs w:val="24"/>
        </w:rPr>
        <w:lastRenderedPageBreak/>
        <w:t>The central aim of this work is to establish whether measurable board-level characteristics predict variation in the profitability of UK-listed retail firms, and if so, which attributes carry the strongest associations. Rather than testing every conceivable governance dimension, the study focuses on five variables that appear consistently in the corporate governance literature and that can be measured reliably from publicly available annual report disclosures.</w:t>
      </w:r>
    </w:p>
    <w:p w14:paraId="779ADB59" w14:textId="77777777" w:rsidR="004207D6" w:rsidRDefault="004207D6">
      <w:pPr>
        <w:spacing w:after="120"/>
      </w:pPr>
    </w:p>
    <w:p w14:paraId="779ADB5A" w14:textId="000C7BA4" w:rsidR="004207D6" w:rsidRDefault="008E15B6">
      <w:pPr>
        <w:spacing w:after="160" w:line="360" w:lineRule="auto"/>
        <w:jc w:val="both"/>
        <w:rPr>
          <w:b/>
          <w:bCs/>
          <w:color w:val="000000"/>
          <w:sz w:val="24"/>
          <w:szCs w:val="24"/>
        </w:rPr>
      </w:pPr>
      <w:r>
        <w:rPr>
          <w:b/>
          <w:bCs/>
          <w:color w:val="000000"/>
          <w:sz w:val="24"/>
          <w:szCs w:val="24"/>
        </w:rPr>
        <w:t xml:space="preserve">Research Question: </w:t>
      </w:r>
    </w:p>
    <w:p w14:paraId="28D64765" w14:textId="514E7571" w:rsidR="00076A25" w:rsidRPr="0004369A" w:rsidRDefault="0004369A">
      <w:pPr>
        <w:spacing w:after="160" w:line="360" w:lineRule="auto"/>
        <w:jc w:val="both"/>
        <w:rPr>
          <w:sz w:val="24"/>
          <w:szCs w:val="24"/>
        </w:rPr>
      </w:pPr>
      <w:r w:rsidRPr="0004369A">
        <w:rPr>
          <w:sz w:val="24"/>
          <w:szCs w:val="24"/>
        </w:rPr>
        <w:t>Does the way a company’s board is put together affect how profitable it is? Specifically, does it make a difference how many directors sit on the board, how many of them are women, how many hold a postgraduate qualification, whether the same person is both CEO and chairperson, and how many are non-executive directors? This study looks at ten UK retail companies on the London Stock Exchange and uses their return on assets and return on equity figures from 2019 to 2023 to find out.</w:t>
      </w:r>
    </w:p>
    <w:p w14:paraId="779ADB5B" w14:textId="77777777" w:rsidR="004207D6" w:rsidRDefault="004207D6">
      <w:pPr>
        <w:spacing w:after="120"/>
      </w:pPr>
    </w:p>
    <w:p w14:paraId="779ADB5C" w14:textId="77777777" w:rsidR="004207D6" w:rsidRDefault="008E15B6">
      <w:pPr>
        <w:pStyle w:val="Heading2"/>
        <w:spacing w:before="240" w:after="120"/>
      </w:pPr>
      <w:r>
        <w:rPr>
          <w:b/>
          <w:bCs/>
          <w:color w:val="000000"/>
        </w:rPr>
        <w:t>1.2 Research Objectives</w:t>
      </w:r>
    </w:p>
    <w:p w14:paraId="779ADB5D" w14:textId="77777777" w:rsidR="004207D6" w:rsidRDefault="008E15B6">
      <w:pPr>
        <w:spacing w:after="160" w:line="360" w:lineRule="auto"/>
        <w:jc w:val="both"/>
      </w:pPr>
      <w:r>
        <w:rPr>
          <w:color w:val="000000"/>
          <w:sz w:val="24"/>
          <w:szCs w:val="24"/>
        </w:rPr>
        <w:t xml:space="preserve">Three specific objectives </w:t>
      </w:r>
      <w:proofErr w:type="spellStart"/>
      <w:r>
        <w:rPr>
          <w:color w:val="000000"/>
          <w:sz w:val="24"/>
          <w:szCs w:val="24"/>
        </w:rPr>
        <w:t>operationalise</w:t>
      </w:r>
      <w:proofErr w:type="spellEnd"/>
      <w:r>
        <w:rPr>
          <w:color w:val="000000"/>
          <w:sz w:val="24"/>
          <w:szCs w:val="24"/>
        </w:rPr>
        <w:t xml:space="preserve"> the research aim:</w:t>
      </w:r>
    </w:p>
    <w:p w14:paraId="779ADB5E" w14:textId="77777777" w:rsidR="004207D6" w:rsidRDefault="004207D6">
      <w:pPr>
        <w:spacing w:after="120"/>
      </w:pPr>
    </w:p>
    <w:p w14:paraId="779ADB5F" w14:textId="77777777" w:rsidR="004207D6" w:rsidRDefault="008E15B6">
      <w:pPr>
        <w:spacing w:after="160" w:line="360" w:lineRule="auto"/>
        <w:jc w:val="both"/>
      </w:pPr>
      <w:r>
        <w:rPr>
          <w:b/>
          <w:bCs/>
          <w:color w:val="000000"/>
          <w:sz w:val="24"/>
          <w:szCs w:val="24"/>
        </w:rPr>
        <w:t xml:space="preserve">Objective 1: </w:t>
      </w:r>
      <w:r>
        <w:rPr>
          <w:color w:val="000000"/>
          <w:sz w:val="24"/>
          <w:szCs w:val="24"/>
        </w:rPr>
        <w:t>To quantify the relationships linking board composition variables to profitability metrics in the UK retail sector over the 2019 to 2023 window, applying descriptive statistics, association testing, and regression modelling to the panel dataset.</w:t>
      </w:r>
    </w:p>
    <w:p w14:paraId="779ADB60" w14:textId="77777777" w:rsidR="004207D6" w:rsidRDefault="004207D6">
      <w:pPr>
        <w:spacing w:after="120"/>
      </w:pPr>
    </w:p>
    <w:p w14:paraId="779ADB61" w14:textId="77777777" w:rsidR="004207D6" w:rsidRDefault="008E15B6">
      <w:pPr>
        <w:spacing w:after="160" w:line="360" w:lineRule="auto"/>
        <w:jc w:val="both"/>
      </w:pPr>
      <w:r>
        <w:rPr>
          <w:b/>
          <w:bCs/>
          <w:color w:val="000000"/>
          <w:sz w:val="24"/>
          <w:szCs w:val="24"/>
        </w:rPr>
        <w:t xml:space="preserve">Objective 2: </w:t>
      </w:r>
      <w:r>
        <w:rPr>
          <w:color w:val="000000"/>
          <w:sz w:val="24"/>
          <w:szCs w:val="24"/>
        </w:rPr>
        <w:t>To compare profitability levels across sub-groups defined by retail sub-sector membership and CEO duality status, using non-parametric tests appropriate to the small sample size and non-normal data distributions that are typical of panel datasets of this kind.</w:t>
      </w:r>
    </w:p>
    <w:p w14:paraId="779ADB62" w14:textId="77777777" w:rsidR="004207D6" w:rsidRDefault="004207D6">
      <w:pPr>
        <w:spacing w:after="120"/>
      </w:pPr>
    </w:p>
    <w:p w14:paraId="779ADB63" w14:textId="77777777" w:rsidR="004207D6" w:rsidRDefault="008E15B6">
      <w:pPr>
        <w:spacing w:after="160" w:line="360" w:lineRule="auto"/>
        <w:jc w:val="both"/>
      </w:pPr>
      <w:r>
        <w:rPr>
          <w:b/>
          <w:bCs/>
          <w:color w:val="000000"/>
          <w:sz w:val="24"/>
          <w:szCs w:val="24"/>
        </w:rPr>
        <w:t xml:space="preserve">Objective 3: </w:t>
      </w:r>
      <w:r>
        <w:rPr>
          <w:color w:val="000000"/>
          <w:sz w:val="24"/>
          <w:szCs w:val="24"/>
        </w:rPr>
        <w:t>To assess how well Agency Theory, Resource Dependence Theory, and Stewardship Theory account for the direction and magnitude of the observed governance-performance relationships in the specific context of UK retail, and to identify where the empirical evidence confirms or challenges their predictions.</w:t>
      </w:r>
    </w:p>
    <w:p w14:paraId="779ADB64" w14:textId="77777777" w:rsidR="004207D6" w:rsidRDefault="004207D6">
      <w:pPr>
        <w:spacing w:after="120"/>
      </w:pPr>
    </w:p>
    <w:p w14:paraId="779ADB65" w14:textId="77777777" w:rsidR="004207D6" w:rsidRDefault="008E15B6">
      <w:pPr>
        <w:spacing w:after="160" w:line="360" w:lineRule="auto"/>
        <w:jc w:val="both"/>
      </w:pPr>
      <w:r>
        <w:rPr>
          <w:color w:val="000000"/>
          <w:sz w:val="24"/>
          <w:szCs w:val="24"/>
        </w:rPr>
        <w:lastRenderedPageBreak/>
        <w:t>The remainder of this paper is structured in five further sections. Section 2 surveys the relevant academic literature and pinpoints the specific gaps this study is designed to address. Section 3 presents the theoretical framework and derives the five directional hypotheses that will be tested. Section 4 explains all methodological choices in detail, from sample construction to statistical procedures. Section 5 discusses the findings that the analysis is anticipated to produce, and Section 6 draws conclusio</w:t>
      </w:r>
      <w:r>
        <w:rPr>
          <w:color w:val="000000"/>
          <w:sz w:val="24"/>
          <w:szCs w:val="24"/>
        </w:rPr>
        <w:t>ns and outlines practical and theoretical implications.</w:t>
      </w:r>
    </w:p>
    <w:p w14:paraId="779ADB66" w14:textId="77777777" w:rsidR="004207D6" w:rsidRDefault="008E15B6">
      <w:r>
        <w:br w:type="page"/>
      </w:r>
    </w:p>
    <w:p w14:paraId="779ADB67" w14:textId="77777777" w:rsidR="004207D6" w:rsidRDefault="008E15B6">
      <w:pPr>
        <w:pStyle w:val="Heading1"/>
        <w:spacing w:before="320" w:after="160"/>
      </w:pPr>
      <w:r>
        <w:rPr>
          <w:b/>
          <w:bCs/>
          <w:color w:val="000000"/>
          <w:sz w:val="28"/>
          <w:szCs w:val="28"/>
        </w:rPr>
        <w:lastRenderedPageBreak/>
        <w:t>2. Literature Review</w:t>
      </w:r>
    </w:p>
    <w:p w14:paraId="779ADB68" w14:textId="77777777" w:rsidR="004207D6" w:rsidRDefault="008E15B6">
      <w:pPr>
        <w:pStyle w:val="Heading2"/>
        <w:spacing w:before="240" w:after="120"/>
      </w:pPr>
      <w:r>
        <w:rPr>
          <w:b/>
          <w:bCs/>
          <w:color w:val="000000"/>
        </w:rPr>
        <w:t>2.1 The UK Corporate Governance Environment</w:t>
      </w:r>
    </w:p>
    <w:p w14:paraId="779ADB69" w14:textId="50F008FA" w:rsidR="004207D6" w:rsidRDefault="008E15B6">
      <w:pPr>
        <w:spacing w:after="160" w:line="360" w:lineRule="auto"/>
        <w:jc w:val="both"/>
      </w:pPr>
      <w:r>
        <w:rPr>
          <w:color w:val="000000"/>
          <w:sz w:val="24"/>
          <w:szCs w:val="24"/>
        </w:rPr>
        <w:t xml:space="preserve">The United Kingdom operates within one of the most developed and institutionally embedded corporate governance systems anywhere. Governance expectations for listed companies are </w:t>
      </w:r>
      <w:r w:rsidR="00CF7B18" w:rsidRPr="00CF7B18">
        <w:rPr>
          <w:color w:val="000000"/>
          <w:sz w:val="24"/>
          <w:szCs w:val="24"/>
        </w:rPr>
        <w:t>written down in the UK Corporate Governance Code. This document was first created after the Cadbury Committee published its report in 1992, and it has been updated several times since then. The most recent major update was in 2018 (Financial Reporting Council, 2018). The Code works on a comply-or-explain basis, which means every company it applies to must either follow its rules or publicly explain why they have chosen not to</w:t>
      </w:r>
      <w:r w:rsidR="00700BF6">
        <w:rPr>
          <w:color w:val="000000"/>
          <w:sz w:val="24"/>
          <w:szCs w:val="24"/>
        </w:rPr>
        <w:t xml:space="preserve"> </w:t>
      </w:r>
      <w:r>
        <w:rPr>
          <w:color w:val="000000"/>
          <w:sz w:val="24"/>
          <w:szCs w:val="24"/>
        </w:rPr>
        <w:t>that they are following its provisions or provide a clear public explanation for any departures. It covers the composition, operation, and evaluation of boards, the division of responsibilities between those who lead and those who oversee the business, and the management of audit and internal risk.</w:t>
      </w:r>
    </w:p>
    <w:p w14:paraId="779ADB6A" w14:textId="77777777" w:rsidR="004207D6" w:rsidRDefault="004207D6">
      <w:pPr>
        <w:spacing w:after="120"/>
      </w:pPr>
    </w:p>
    <w:p w14:paraId="779ADB6B" w14:textId="77777777" w:rsidR="004207D6" w:rsidRDefault="008E15B6">
      <w:pPr>
        <w:spacing w:after="160" w:line="360" w:lineRule="auto"/>
        <w:jc w:val="both"/>
      </w:pPr>
      <w:r>
        <w:rPr>
          <w:color w:val="000000"/>
          <w:sz w:val="24"/>
          <w:szCs w:val="24"/>
        </w:rPr>
        <w:t xml:space="preserve">The 2018 revision gave renewed emphasis to the importance of board independence, calling for the majority of board members at larger companies to hold independent non-executive roles, and for the offices of chief executive and chair to be occupied by separate individuals. These provisions connect directly to the variables this study examines. On the question of gender representation, the Hampton-Alexander Review published in 2016 pushed for female directors to account for at least a third of FTSE 350 board </w:t>
      </w:r>
      <w:r>
        <w:rPr>
          <w:color w:val="000000"/>
          <w:sz w:val="24"/>
          <w:szCs w:val="24"/>
        </w:rPr>
        <w:t>seats by the end of 2020 (Hampton and Alexander, 2016). By 2024, average female representation on FTSE 100 boards had reached 42 per cent according to the Spencer Stuart UK Board Index (Spencer Stuart, 2025), reflecting real progress but also masking considerable variation across sectors and firm sizes.</w:t>
      </w:r>
    </w:p>
    <w:p w14:paraId="779ADB6C" w14:textId="77777777" w:rsidR="004207D6" w:rsidRDefault="004207D6">
      <w:pPr>
        <w:spacing w:after="120"/>
      </w:pPr>
    </w:p>
    <w:p w14:paraId="779ADB6D" w14:textId="77777777" w:rsidR="004207D6" w:rsidRDefault="008E15B6">
      <w:pPr>
        <w:spacing w:after="160" w:line="360" w:lineRule="auto"/>
        <w:jc w:val="both"/>
      </w:pPr>
      <w:r>
        <w:rPr>
          <w:color w:val="000000"/>
          <w:sz w:val="24"/>
          <w:szCs w:val="24"/>
        </w:rPr>
        <w:t>What the literature has not adequately addressed is how governance operates specifically within retail. Kyere and Ausloos (2021) drew on a substantial sample of LSE-listed businesses but treated all sectors together without disaggregating by industry. Retail is a category with its own operational characteristics, including sensitivity to seasonal demand, significant dependence on physical store estates alongside digital channels, and workforce structures that differ markedly from financial services or manuf</w:t>
      </w:r>
      <w:r>
        <w:rPr>
          <w:color w:val="000000"/>
          <w:sz w:val="24"/>
          <w:szCs w:val="24"/>
        </w:rPr>
        <w:t>acturing. Whether the governance provisions that correlate with performance in diversified samples function similarly within retail is precisely the knowledge gap that motivates this study.</w:t>
      </w:r>
    </w:p>
    <w:p w14:paraId="779ADB6E" w14:textId="77777777" w:rsidR="004207D6" w:rsidRDefault="004207D6">
      <w:pPr>
        <w:spacing w:after="120"/>
      </w:pPr>
    </w:p>
    <w:p w14:paraId="779ADB6F" w14:textId="77777777" w:rsidR="004207D6" w:rsidRDefault="008E15B6">
      <w:pPr>
        <w:pStyle w:val="Heading2"/>
        <w:spacing w:before="240" w:after="120"/>
      </w:pPr>
      <w:r>
        <w:rPr>
          <w:b/>
          <w:bCs/>
          <w:color w:val="000000"/>
        </w:rPr>
        <w:lastRenderedPageBreak/>
        <w:t>2.2 Board Size and Firm Profitability</w:t>
      </w:r>
    </w:p>
    <w:p w14:paraId="779ADB73" w14:textId="308F9B19" w:rsidR="004207D6" w:rsidRDefault="008E15B6" w:rsidP="00613F9D">
      <w:pPr>
        <w:spacing w:after="160" w:line="360" w:lineRule="auto"/>
        <w:jc w:val="both"/>
      </w:pPr>
      <w:r>
        <w:rPr>
          <w:color w:val="000000"/>
          <w:sz w:val="24"/>
          <w:szCs w:val="24"/>
        </w:rPr>
        <w:t xml:space="preserve">The question of how many directors a board should contain has generated a substantial body of empirical research without producing a settled answer. Early contributions tended to </w:t>
      </w:r>
      <w:proofErr w:type="spellStart"/>
      <w:r>
        <w:rPr>
          <w:color w:val="000000"/>
          <w:sz w:val="24"/>
          <w:szCs w:val="24"/>
        </w:rPr>
        <w:t>favour</w:t>
      </w:r>
      <w:proofErr w:type="spellEnd"/>
      <w:r>
        <w:rPr>
          <w:color w:val="000000"/>
          <w:sz w:val="24"/>
          <w:szCs w:val="24"/>
        </w:rPr>
        <w:t xml:space="preserve"> smaller boards on efficiency grounds. Jensen (1993) argued that boards exceeding seven or eight members become unwieldy, with coordination problems growing faster than the collective expertise the additional members bring. Yermack (1996) tested this proposition on a large US sample and found consistent support for a negative relationship between headcount and Tobin's Q, a market-based performance measure. Lipton and Lorsch (1992) reached similar conclusions in an influential practitioner-oriented paper tha</w:t>
      </w:r>
      <w:r>
        <w:rPr>
          <w:color w:val="000000"/>
          <w:sz w:val="24"/>
          <w:szCs w:val="24"/>
        </w:rPr>
        <w:t>t recommended keeping boards lean.</w:t>
      </w:r>
    </w:p>
    <w:p w14:paraId="32787496" w14:textId="14F896F5" w:rsidR="00613F9D" w:rsidRPr="00613F9D" w:rsidRDefault="00613F9D" w:rsidP="00613F9D">
      <w:pPr>
        <w:spacing w:after="160" w:line="360" w:lineRule="auto"/>
        <w:jc w:val="both"/>
        <w:rPr>
          <w:sz w:val="24"/>
          <w:szCs w:val="24"/>
        </w:rPr>
      </w:pPr>
      <w:r w:rsidRPr="00613F9D">
        <w:rPr>
          <w:sz w:val="24"/>
          <w:szCs w:val="24"/>
        </w:rPr>
        <w:t xml:space="preserve">Later research told a different story though. Kyere and Ausloos (2021) looked at UK companies and actually found that bigger boards went hand in hand with better financial performance. Their explanation was that more directors </w:t>
      </w:r>
      <w:proofErr w:type="gramStart"/>
      <w:r w:rsidRPr="00613F9D">
        <w:rPr>
          <w:sz w:val="24"/>
          <w:szCs w:val="24"/>
        </w:rPr>
        <w:t>means</w:t>
      </w:r>
      <w:proofErr w:type="gramEnd"/>
      <w:r w:rsidRPr="00613F9D">
        <w:rPr>
          <w:sz w:val="24"/>
          <w:szCs w:val="24"/>
        </w:rPr>
        <w:t xml:space="preserve"> more connections and a wider range of knowledge and experience at the table. This fits with Resource Dependence Theory (Pfeffer and Salancik, 1978), which sees directors not just as people who keep an eye on management, but as links between the company and the outside world. Coles, Daniel, and Naveen (2008) added another layer to this, finding that the right board size really depends on how complicated the business is. More complex companies tended to do better with more directors, because there was simply more ground to cover.</w:t>
      </w:r>
    </w:p>
    <w:p w14:paraId="779ADB74" w14:textId="77777777" w:rsidR="004207D6" w:rsidRDefault="008E15B6">
      <w:pPr>
        <w:spacing w:after="160" w:line="360" w:lineRule="auto"/>
        <w:jc w:val="both"/>
      </w:pPr>
      <w:r>
        <w:rPr>
          <w:color w:val="000000"/>
          <w:sz w:val="24"/>
          <w:szCs w:val="24"/>
        </w:rPr>
        <w:t>Within the retail sector, boards of the ten companies in this sample average around eight to ten members. Whether larger boards in this sector correspond to stronger profitability, or whether the coordination costs identified in earlier research outweigh the resource benefits, remains unknown. The hypothesis for this study follows the majority of the UK evidence, anticipating a positive association between board size and profitability, while acknowledging that the retail context may produce different result</w:t>
      </w:r>
      <w:r>
        <w:rPr>
          <w:color w:val="000000"/>
          <w:sz w:val="24"/>
          <w:szCs w:val="24"/>
        </w:rPr>
        <w:t>s from general samples.</w:t>
      </w:r>
    </w:p>
    <w:p w14:paraId="779ADB75" w14:textId="77777777" w:rsidR="004207D6" w:rsidRDefault="004207D6">
      <w:pPr>
        <w:spacing w:after="120"/>
      </w:pPr>
    </w:p>
    <w:p w14:paraId="779ADB76" w14:textId="77777777" w:rsidR="004207D6" w:rsidRDefault="008E15B6">
      <w:pPr>
        <w:pStyle w:val="Heading2"/>
        <w:spacing w:before="240" w:after="120"/>
      </w:pPr>
      <w:r>
        <w:rPr>
          <w:b/>
          <w:bCs/>
          <w:color w:val="000000"/>
        </w:rPr>
        <w:t>2.3 Gender Composition and Financial Outcomes</w:t>
      </w:r>
    </w:p>
    <w:p w14:paraId="779ADB77" w14:textId="77777777" w:rsidR="004207D6" w:rsidRDefault="008E15B6">
      <w:pPr>
        <w:spacing w:after="160" w:line="360" w:lineRule="auto"/>
        <w:jc w:val="both"/>
      </w:pPr>
      <w:r>
        <w:rPr>
          <w:color w:val="000000"/>
          <w:sz w:val="24"/>
          <w:szCs w:val="24"/>
        </w:rPr>
        <w:t xml:space="preserve">Gender diversity at board level has attracted more scholarly attention than virtually any other governance variable over the past two decades. The intellectual foundations for expecting a positive relationship between female representation and performance draw on two main sources. Resource Dependence Theory predicts benefits through distinct networks, professional backgrounds, and decision-making styles that women often bring to leadership </w:t>
      </w:r>
      <w:r>
        <w:rPr>
          <w:color w:val="000000"/>
          <w:sz w:val="24"/>
          <w:szCs w:val="24"/>
        </w:rPr>
        <w:lastRenderedPageBreak/>
        <w:t xml:space="preserve">roles. Research on group processes suggests that cognitively diverse groups generate more thorough deliberation and are less susceptible to collective errors in judgement (Post and Byron, 2015). Policy pressure in the UK through the Hampton-Alexander Review </w:t>
      </w:r>
      <w:proofErr w:type="spellStart"/>
      <w:r>
        <w:rPr>
          <w:color w:val="000000"/>
          <w:sz w:val="24"/>
          <w:szCs w:val="24"/>
        </w:rPr>
        <w:t>formalised</w:t>
      </w:r>
      <w:proofErr w:type="spellEnd"/>
      <w:r>
        <w:rPr>
          <w:color w:val="000000"/>
          <w:sz w:val="24"/>
          <w:szCs w:val="24"/>
        </w:rPr>
        <w:t xml:space="preserve"> diversity targets and made this an area of active management attention.</w:t>
      </w:r>
    </w:p>
    <w:p w14:paraId="779ADB78" w14:textId="77777777" w:rsidR="004207D6" w:rsidRDefault="004207D6">
      <w:pPr>
        <w:spacing w:after="120"/>
      </w:pPr>
    </w:p>
    <w:p w14:paraId="779ADB79" w14:textId="734B4479" w:rsidR="004207D6" w:rsidRPr="00A411A2" w:rsidRDefault="00A411A2">
      <w:pPr>
        <w:spacing w:after="160" w:line="360" w:lineRule="auto"/>
        <w:jc w:val="both"/>
        <w:rPr>
          <w:color w:val="000000"/>
          <w:sz w:val="24"/>
          <w:szCs w:val="24"/>
        </w:rPr>
      </w:pPr>
      <w:r w:rsidRPr="00A411A2">
        <w:rPr>
          <w:color w:val="000000"/>
          <w:sz w:val="24"/>
          <w:szCs w:val="24"/>
        </w:rPr>
        <w:t>The actual research evidence is more complicated than the policy push for diversity might suggest. Brahma, Nwafor, and Boateng (2021) studied FTSE 350 companies over five years and found a clear positive link between having more women on the board and higher return on assets. Adams and Ferreira (2009) found that female directors showed up to board meetings more regularly and tended to keep a closer eye on how the CEO was performing.</w:t>
      </w:r>
      <w:r>
        <w:rPr>
          <w:color w:val="000000"/>
          <w:sz w:val="24"/>
          <w:szCs w:val="24"/>
        </w:rPr>
        <w:t xml:space="preserve"> Carter, Simkins, and Simpson (2003) found positive effects on firm value in a large US sample. Against this, Sila, Gonzalez, and </w:t>
      </w:r>
      <w:proofErr w:type="spellStart"/>
      <w:r>
        <w:rPr>
          <w:color w:val="000000"/>
          <w:sz w:val="24"/>
          <w:szCs w:val="24"/>
        </w:rPr>
        <w:t>Hagendorff</w:t>
      </w:r>
      <w:proofErr w:type="spellEnd"/>
      <w:r>
        <w:rPr>
          <w:color w:val="000000"/>
          <w:sz w:val="24"/>
          <w:szCs w:val="24"/>
        </w:rPr>
        <w:t xml:space="preserve"> (2016) found no significant relationship in a UK study once they controlled for the reverse causality problem that arises when more profitable firms attract more female directors. Post and Byron's (2015) meta-analysis, which </w:t>
      </w:r>
      <w:proofErr w:type="spellStart"/>
      <w:r>
        <w:rPr>
          <w:color w:val="000000"/>
          <w:sz w:val="24"/>
          <w:szCs w:val="24"/>
        </w:rPr>
        <w:t>synthesised</w:t>
      </w:r>
      <w:proofErr w:type="spellEnd"/>
      <w:r>
        <w:rPr>
          <w:color w:val="000000"/>
          <w:sz w:val="24"/>
          <w:szCs w:val="24"/>
        </w:rPr>
        <w:t xml:space="preserve"> findings across 140 studies, concluded that positive effects are genuine but modest in magnitude and most pronounced in environments where shareholder rights receive strong legal protection.</w:t>
      </w:r>
    </w:p>
    <w:p w14:paraId="779ADB7A" w14:textId="77777777" w:rsidR="004207D6" w:rsidRDefault="004207D6">
      <w:pPr>
        <w:spacing w:after="120"/>
      </w:pPr>
    </w:p>
    <w:p w14:paraId="779ADB7B" w14:textId="77777777" w:rsidR="004207D6" w:rsidRDefault="008E15B6">
      <w:pPr>
        <w:spacing w:after="160" w:line="360" w:lineRule="auto"/>
        <w:jc w:val="both"/>
      </w:pPr>
      <w:r>
        <w:rPr>
          <w:color w:val="000000"/>
          <w:sz w:val="24"/>
          <w:szCs w:val="24"/>
        </w:rPr>
        <w:t xml:space="preserve">For UK retail specifically, Owen and </w:t>
      </w:r>
      <w:proofErr w:type="spellStart"/>
      <w:r>
        <w:rPr>
          <w:color w:val="000000"/>
          <w:sz w:val="24"/>
          <w:szCs w:val="24"/>
        </w:rPr>
        <w:t>Temesvary</w:t>
      </w:r>
      <w:proofErr w:type="spellEnd"/>
      <w:r>
        <w:rPr>
          <w:color w:val="000000"/>
          <w:sz w:val="24"/>
          <w:szCs w:val="24"/>
        </w:rPr>
        <w:t xml:space="preserve"> (2018) found positive effects of female board representation in banking, but retail has not been examined in isolation. This study anticipates a positive association between the female share of board seats and profitability, consistent with the balance of UK evidence, but the sector-specific finding may diverge.</w:t>
      </w:r>
    </w:p>
    <w:p w14:paraId="779ADB7C" w14:textId="77777777" w:rsidR="004207D6" w:rsidRDefault="004207D6">
      <w:pPr>
        <w:spacing w:after="120"/>
      </w:pPr>
    </w:p>
    <w:p w14:paraId="779ADB7D" w14:textId="77777777" w:rsidR="004207D6" w:rsidRDefault="008E15B6">
      <w:pPr>
        <w:pStyle w:val="Heading2"/>
        <w:spacing w:before="240" w:after="120"/>
      </w:pPr>
      <w:r>
        <w:rPr>
          <w:b/>
          <w:bCs/>
          <w:color w:val="000000"/>
        </w:rPr>
        <w:t>2.4 Director Qualifications and Performance</w:t>
      </w:r>
    </w:p>
    <w:p w14:paraId="779ADB7E" w14:textId="77777777" w:rsidR="004207D6" w:rsidRDefault="008E15B6">
      <w:pPr>
        <w:spacing w:after="160" w:line="360" w:lineRule="auto"/>
        <w:jc w:val="both"/>
      </w:pPr>
      <w:r>
        <w:rPr>
          <w:color w:val="000000"/>
          <w:sz w:val="24"/>
          <w:szCs w:val="24"/>
        </w:rPr>
        <w:t>Beyond gender, the educational backgrounds of directors represent a governance dimension that has received increasing attention, partly under the influence of human capital theory (Becker, 1964). The underlying argument is that directors with advanced academic qualifications bring structured analytical skills, familiarity with technical knowledge domains, and broader professional networks that improve the quality of strategic oversight and advice.</w:t>
      </w:r>
    </w:p>
    <w:p w14:paraId="779ADB7F" w14:textId="77777777" w:rsidR="004207D6" w:rsidRDefault="004207D6">
      <w:pPr>
        <w:spacing w:after="120"/>
      </w:pPr>
    </w:p>
    <w:p w14:paraId="779ADB80" w14:textId="77777777" w:rsidR="004207D6" w:rsidRDefault="008E15B6">
      <w:pPr>
        <w:spacing w:after="160" w:line="360" w:lineRule="auto"/>
        <w:jc w:val="both"/>
      </w:pPr>
      <w:r>
        <w:rPr>
          <w:color w:val="000000"/>
          <w:sz w:val="24"/>
          <w:szCs w:val="24"/>
        </w:rPr>
        <w:t xml:space="preserve">Gottesman and Morey (2006) found that the educational credentials of chief executives were positively associated with the financial performance of the funds they managed, suggesting </w:t>
      </w:r>
      <w:r>
        <w:rPr>
          <w:color w:val="000000"/>
          <w:sz w:val="24"/>
          <w:szCs w:val="24"/>
        </w:rPr>
        <w:lastRenderedPageBreak/>
        <w:t xml:space="preserve">that formal qualifications carry productive value in leadership contexts. Hermalin and Weisbach (2003) reviewed the broader governance literature and concluded that board composition, including the skills and backgrounds of members, shapes monitoring quality. For retail boards, the relevance of qualifications may be particularly salient given the operational complexity that comes with managing large supply chains, digital transformation, and consumer </w:t>
      </w:r>
      <w:proofErr w:type="spellStart"/>
      <w:r>
        <w:rPr>
          <w:color w:val="000000"/>
          <w:sz w:val="24"/>
          <w:szCs w:val="24"/>
        </w:rPr>
        <w:t>behaviour</w:t>
      </w:r>
      <w:proofErr w:type="spellEnd"/>
      <w:r>
        <w:rPr>
          <w:color w:val="000000"/>
          <w:sz w:val="24"/>
          <w:szCs w:val="24"/>
        </w:rPr>
        <w:t xml:space="preserve"> analytics.</w:t>
      </w:r>
    </w:p>
    <w:p w14:paraId="779ADB81" w14:textId="77777777" w:rsidR="004207D6" w:rsidRDefault="004207D6">
      <w:pPr>
        <w:spacing w:after="120"/>
      </w:pPr>
    </w:p>
    <w:p w14:paraId="779ADB82" w14:textId="77777777" w:rsidR="004207D6" w:rsidRDefault="008E15B6">
      <w:pPr>
        <w:spacing w:after="160" w:line="360" w:lineRule="auto"/>
        <w:jc w:val="both"/>
      </w:pPr>
      <w:r>
        <w:rPr>
          <w:color w:val="000000"/>
          <w:sz w:val="24"/>
          <w:szCs w:val="24"/>
        </w:rPr>
        <w:t>This study anticipates a positive relationship between the proportion of board members holding postgraduate qualifications and financial performance, on the grounds that higher formal education is associated with stronger analytical capacity and broader knowledge resources.</w:t>
      </w:r>
    </w:p>
    <w:p w14:paraId="779ADB83" w14:textId="77777777" w:rsidR="004207D6" w:rsidRDefault="004207D6">
      <w:pPr>
        <w:spacing w:after="120"/>
      </w:pPr>
    </w:p>
    <w:p w14:paraId="779ADB84" w14:textId="77777777" w:rsidR="004207D6" w:rsidRDefault="008E15B6">
      <w:pPr>
        <w:pStyle w:val="Heading2"/>
        <w:spacing w:before="240" w:after="120"/>
      </w:pPr>
      <w:r>
        <w:rPr>
          <w:b/>
          <w:bCs/>
          <w:color w:val="000000"/>
        </w:rPr>
        <w:t>2.5 CEO Duality and Governance Independence</w:t>
      </w:r>
    </w:p>
    <w:p w14:paraId="779ADB85" w14:textId="77777777" w:rsidR="004207D6" w:rsidRDefault="008E15B6">
      <w:pPr>
        <w:spacing w:after="160" w:line="360" w:lineRule="auto"/>
        <w:jc w:val="both"/>
      </w:pPr>
      <w:r>
        <w:rPr>
          <w:color w:val="000000"/>
          <w:sz w:val="24"/>
          <w:szCs w:val="24"/>
        </w:rPr>
        <w:t xml:space="preserve">When a single individual simultaneously holds the positions of chief executive and board chairperson, governance researchers describe this arrangement as CEO duality. The significance of duality lies in what it implies for board independence: a chair who is also the operational leader of the company cannot simultaneously act as an independent check on that same leader's decisions. Agency Theory (Jensen and Meckling, 1976) treats independent oversight as central to managing the conflict of interests between </w:t>
      </w:r>
      <w:r>
        <w:rPr>
          <w:color w:val="000000"/>
          <w:sz w:val="24"/>
          <w:szCs w:val="24"/>
        </w:rPr>
        <w:t xml:space="preserve">executives and shareholders, and by this logic duality represents a structural impediment to effective governance. Fama and Jensen (1983) developed this argument further, proposing that the separation of ownership control from management decisions is fundamental to limiting opportunistic </w:t>
      </w:r>
      <w:proofErr w:type="spellStart"/>
      <w:r>
        <w:rPr>
          <w:color w:val="000000"/>
          <w:sz w:val="24"/>
          <w:szCs w:val="24"/>
        </w:rPr>
        <w:t>behaviour</w:t>
      </w:r>
      <w:proofErr w:type="spellEnd"/>
      <w:r>
        <w:rPr>
          <w:color w:val="000000"/>
          <w:sz w:val="24"/>
          <w:szCs w:val="24"/>
        </w:rPr>
        <w:t>. The UK Corporate Governance Code reflects this reasoning explicitly, strongly recommending that the roles be kept separate, which is why duality is uncommon among UK-listed firms.</w:t>
      </w:r>
    </w:p>
    <w:p w14:paraId="779ADB86" w14:textId="77777777" w:rsidR="004207D6" w:rsidRDefault="004207D6">
      <w:pPr>
        <w:spacing w:after="120"/>
      </w:pPr>
    </w:p>
    <w:p w14:paraId="779ADB87" w14:textId="77777777" w:rsidR="004207D6" w:rsidRDefault="008E15B6">
      <w:pPr>
        <w:spacing w:after="160" w:line="360" w:lineRule="auto"/>
        <w:jc w:val="both"/>
      </w:pPr>
      <w:r>
        <w:rPr>
          <w:color w:val="000000"/>
          <w:sz w:val="24"/>
          <w:szCs w:val="24"/>
        </w:rPr>
        <w:t xml:space="preserve">Stewardship Theory, developed by Donaldson and Davis (1991), takes a contrasting view. Where agency theorists see executives as potential self-interest maximisers who require external constraint, stewardship theorists propose that most executives are intrinsically motivated to serve </w:t>
      </w:r>
      <w:proofErr w:type="spellStart"/>
      <w:r>
        <w:rPr>
          <w:color w:val="000000"/>
          <w:sz w:val="24"/>
          <w:szCs w:val="24"/>
        </w:rPr>
        <w:t>organisational</w:t>
      </w:r>
      <w:proofErr w:type="spellEnd"/>
      <w:r>
        <w:rPr>
          <w:color w:val="000000"/>
          <w:sz w:val="24"/>
          <w:szCs w:val="24"/>
        </w:rPr>
        <w:t xml:space="preserve"> goals. Under this view, combining the CEO and chair roles could improve decision-making speed and coherence by giving a trusted leader the authority to act without navigating board-level friction. Rechner and Dalton (1991) found mixed long-run outcomes when comparing the two structures. Pi and Timme (1993) found that duality corresponded to weaker operating efficiency in a banking sample, supporting the agency theory </w:t>
      </w:r>
      <w:r>
        <w:rPr>
          <w:color w:val="000000"/>
          <w:sz w:val="24"/>
          <w:szCs w:val="24"/>
        </w:rPr>
        <w:lastRenderedPageBreak/>
        <w:t>argument. Kyere and Ausloos (2021) found that non-duality was associated with stronger profitability in their UK study.</w:t>
      </w:r>
    </w:p>
    <w:p w14:paraId="779ADB88" w14:textId="77777777" w:rsidR="004207D6" w:rsidRDefault="004207D6">
      <w:pPr>
        <w:spacing w:after="120"/>
      </w:pPr>
    </w:p>
    <w:p w14:paraId="779ADB89" w14:textId="77777777" w:rsidR="004207D6" w:rsidRDefault="008E15B6">
      <w:pPr>
        <w:spacing w:after="160" w:line="360" w:lineRule="auto"/>
        <w:jc w:val="both"/>
      </w:pPr>
      <w:r>
        <w:rPr>
          <w:color w:val="000000"/>
          <w:sz w:val="24"/>
          <w:szCs w:val="24"/>
        </w:rPr>
        <w:t>This study expects that companies with separated roles will record stronger profitability outcomes than those where the same person holds both positions, consistent with the agency theory prediction and the weight of the UK empirical evidence.</w:t>
      </w:r>
    </w:p>
    <w:p w14:paraId="779ADB8A" w14:textId="77777777" w:rsidR="004207D6" w:rsidRDefault="004207D6">
      <w:pPr>
        <w:spacing w:after="120"/>
      </w:pPr>
    </w:p>
    <w:p w14:paraId="779ADB8B" w14:textId="77777777" w:rsidR="004207D6" w:rsidRDefault="008E15B6">
      <w:pPr>
        <w:pStyle w:val="Heading2"/>
        <w:spacing w:before="240" w:after="120"/>
      </w:pPr>
      <w:r>
        <w:rPr>
          <w:b/>
          <w:bCs/>
          <w:color w:val="000000"/>
        </w:rPr>
        <w:t>2.6 Non-Executive Director Proportion</w:t>
      </w:r>
    </w:p>
    <w:p w14:paraId="779ADB8C" w14:textId="4144A230" w:rsidR="004207D6" w:rsidRDefault="008E15B6">
      <w:pPr>
        <w:spacing w:after="160" w:line="360" w:lineRule="auto"/>
        <w:jc w:val="both"/>
      </w:pPr>
      <w:r>
        <w:rPr>
          <w:color w:val="000000"/>
          <w:sz w:val="24"/>
          <w:szCs w:val="24"/>
        </w:rPr>
        <w:t xml:space="preserve">Non-executive directors occupy a distinctive position in the governance architecture of UK companies. Unlike executive directors, who are full-time employees with operational responsibilities, non-executives sit on the board primarily to provide independent oversight and strategic counsel. </w:t>
      </w:r>
      <w:r w:rsidR="00512114" w:rsidRPr="00512114">
        <w:rPr>
          <w:color w:val="000000"/>
          <w:sz w:val="24"/>
          <w:szCs w:val="24"/>
        </w:rPr>
        <w:t>The UK Corporate Governance Code says that for large listed companies, at least half of the board should be made up of independent non-executive directors. The idea behind this is to make sure the board can properly challenge and question management decisions without being influenced by the kind of personal interests that come with running the business day to day (Financial Reporting Council, 2018).</w:t>
      </w:r>
      <w:r w:rsidR="00512114">
        <w:rPr>
          <w:color w:val="000000"/>
          <w:sz w:val="24"/>
          <w:szCs w:val="24"/>
        </w:rPr>
        <w:t xml:space="preserve"> </w:t>
      </w:r>
      <w:r>
        <w:rPr>
          <w:color w:val="000000"/>
          <w:sz w:val="24"/>
          <w:szCs w:val="24"/>
        </w:rPr>
        <w:t>Agency</w:t>
      </w:r>
      <w:r>
        <w:rPr>
          <w:color w:val="000000"/>
          <w:sz w:val="24"/>
          <w:szCs w:val="24"/>
        </w:rPr>
        <w:t xml:space="preserve"> Theory supports a high non-executive proportion on the grounds that independent directors reduce the agency costs that arise when managers pursue personal objectives at shareholders' expense (Jensen and Meckling, 1976; Fama and Jensen, 1983).</w:t>
      </w:r>
    </w:p>
    <w:p w14:paraId="779ADB8D" w14:textId="77777777" w:rsidR="004207D6" w:rsidRDefault="004207D6">
      <w:pPr>
        <w:spacing w:after="120"/>
      </w:pPr>
    </w:p>
    <w:p w14:paraId="779ADB8E" w14:textId="77777777" w:rsidR="004207D6" w:rsidRDefault="008E15B6">
      <w:pPr>
        <w:spacing w:after="160" w:line="360" w:lineRule="auto"/>
        <w:jc w:val="both"/>
      </w:pPr>
      <w:r>
        <w:rPr>
          <w:color w:val="000000"/>
          <w:sz w:val="24"/>
          <w:szCs w:val="24"/>
        </w:rPr>
        <w:t>Weir, Laing, and McKnight (2002) found a modest positive effect of board independence on performance in a UK sample. Kyere and Ausloos (2021) documented a positive link between non-executive proportion and return on assets, reinforcing the monitoring argument. A dissenting body of work cautions that very high non-executive proportions can reduce the operational knowledge available at the table, making boards less capable of providing useful strategic advice. Adams, Hermalin, and Weisbach (2010) reviewed thi</w:t>
      </w:r>
      <w:r>
        <w:rPr>
          <w:color w:val="000000"/>
          <w:sz w:val="24"/>
          <w:szCs w:val="24"/>
        </w:rPr>
        <w:t>s tension and concluded that the relationship is likely non-linear. For retail, where sector-specific operational knowledge is particularly valuable given the pace of competitive change, the optimal balance between monitoring capacity and operational insight may differ from other industries.</w:t>
      </w:r>
    </w:p>
    <w:p w14:paraId="779ADB8F" w14:textId="77777777" w:rsidR="004207D6" w:rsidRDefault="004207D6">
      <w:pPr>
        <w:spacing w:after="120"/>
      </w:pPr>
    </w:p>
    <w:p w14:paraId="779ADB90" w14:textId="77777777" w:rsidR="004207D6" w:rsidRDefault="008E15B6">
      <w:pPr>
        <w:spacing w:after="160" w:line="360" w:lineRule="auto"/>
        <w:jc w:val="both"/>
      </w:pPr>
      <w:r>
        <w:rPr>
          <w:color w:val="000000"/>
          <w:sz w:val="24"/>
          <w:szCs w:val="24"/>
        </w:rPr>
        <w:lastRenderedPageBreak/>
        <w:t>The study expects a positive relationship between non-executive director share and profitability, reflecting the monitoring argument, while acknowledging that the retail sector's operational complexity could attenuate this effect.</w:t>
      </w:r>
    </w:p>
    <w:p w14:paraId="779ADB91" w14:textId="77777777" w:rsidR="004207D6" w:rsidRDefault="004207D6">
      <w:pPr>
        <w:spacing w:after="120"/>
      </w:pPr>
    </w:p>
    <w:p w14:paraId="779ADB92" w14:textId="77777777" w:rsidR="004207D6" w:rsidRDefault="008E15B6">
      <w:pPr>
        <w:pStyle w:val="Heading2"/>
        <w:spacing w:before="240" w:after="120"/>
      </w:pPr>
      <w:r>
        <w:rPr>
          <w:b/>
          <w:bCs/>
          <w:color w:val="000000"/>
        </w:rPr>
        <w:t>2.7 Measuring Financial Performance: ROA and ROE</w:t>
      </w:r>
    </w:p>
    <w:p w14:paraId="779ADB93" w14:textId="77777777" w:rsidR="004207D6" w:rsidRDefault="008E15B6">
      <w:pPr>
        <w:spacing w:after="160" w:line="360" w:lineRule="auto"/>
        <w:jc w:val="both"/>
      </w:pPr>
      <w:r>
        <w:rPr>
          <w:color w:val="000000"/>
          <w:sz w:val="24"/>
          <w:szCs w:val="24"/>
        </w:rPr>
        <w:t xml:space="preserve">Financial performance can be measured in multiple ways, each with different properties and interpretations. This study uses return on assets and </w:t>
      </w:r>
      <w:proofErr w:type="gramStart"/>
      <w:r>
        <w:rPr>
          <w:color w:val="000000"/>
          <w:sz w:val="24"/>
          <w:szCs w:val="24"/>
        </w:rPr>
        <w:t>return</w:t>
      </w:r>
      <w:proofErr w:type="gramEnd"/>
      <w:r>
        <w:rPr>
          <w:color w:val="000000"/>
          <w:sz w:val="24"/>
          <w:szCs w:val="24"/>
        </w:rPr>
        <w:t xml:space="preserve"> on equity, both of which are accounting-based profitability ratios calculated directly from balance sheet and income statement data published in annual reports.</w:t>
      </w:r>
    </w:p>
    <w:p w14:paraId="779ADB94" w14:textId="77777777" w:rsidR="004207D6" w:rsidRDefault="004207D6">
      <w:pPr>
        <w:spacing w:after="120"/>
      </w:pPr>
    </w:p>
    <w:p w14:paraId="779ADB95" w14:textId="77777777" w:rsidR="004207D6" w:rsidRDefault="008E15B6">
      <w:pPr>
        <w:spacing w:after="160" w:line="360" w:lineRule="auto"/>
        <w:jc w:val="both"/>
      </w:pPr>
      <w:r>
        <w:rPr>
          <w:color w:val="000000"/>
          <w:sz w:val="24"/>
          <w:szCs w:val="24"/>
        </w:rPr>
        <w:t xml:space="preserve">Return on assets divides net profit by total assets, capturing how efficiently a company generates profit from its asset base regardless of how those assets are financed. It is widely used in governance research because it reflects operational profitability without being inflated by leverage effects (Kyere and Ausloos, 2021). Return on equity divides net profit by shareholders' equity, indicating the return generated for each unit of shareholder capital. ROE is more sensitive to capital structure decisions </w:t>
      </w:r>
      <w:r>
        <w:rPr>
          <w:color w:val="000000"/>
          <w:sz w:val="24"/>
          <w:szCs w:val="24"/>
        </w:rPr>
        <w:t>because borrowing amplifies returns when the business performs well and depresses them when it does not (Brahma et al., 2021). Using both measures gives a more complete picture of performance and allows the analysis to check whether governance effects are consistent across profitability concepts or specific to one.</w:t>
      </w:r>
    </w:p>
    <w:p w14:paraId="779ADB96" w14:textId="77777777" w:rsidR="004207D6" w:rsidRDefault="004207D6">
      <w:pPr>
        <w:spacing w:after="120"/>
      </w:pPr>
    </w:p>
    <w:p w14:paraId="779ADB97" w14:textId="77777777" w:rsidR="004207D6" w:rsidRDefault="008E15B6">
      <w:pPr>
        <w:spacing w:after="160" w:line="360" w:lineRule="auto"/>
        <w:jc w:val="both"/>
      </w:pPr>
      <w:r>
        <w:rPr>
          <w:color w:val="000000"/>
          <w:sz w:val="24"/>
          <w:szCs w:val="24"/>
        </w:rPr>
        <w:t>For UK retail, both measures carry clear economic interpretations. A retailer with a high ROA converts its store assets, inventory, and distribution infrastructure into profit efficiently. A retailer with a high ROE generates strong returns for its equity investors, which matters for access to capital and long-run sustainability.</w:t>
      </w:r>
    </w:p>
    <w:p w14:paraId="779ADB98" w14:textId="77777777" w:rsidR="004207D6" w:rsidRDefault="008E15B6">
      <w:r>
        <w:br w:type="page"/>
      </w:r>
    </w:p>
    <w:p w14:paraId="779ADB99" w14:textId="77777777" w:rsidR="004207D6" w:rsidRDefault="008E15B6">
      <w:pPr>
        <w:pStyle w:val="Heading1"/>
        <w:spacing w:before="320" w:after="160"/>
      </w:pPr>
      <w:r>
        <w:rPr>
          <w:b/>
          <w:bCs/>
          <w:color w:val="000000"/>
          <w:sz w:val="28"/>
          <w:szCs w:val="28"/>
        </w:rPr>
        <w:lastRenderedPageBreak/>
        <w:t>3. Theoretical Framework</w:t>
      </w:r>
    </w:p>
    <w:p w14:paraId="779ADB9A" w14:textId="77777777" w:rsidR="004207D6" w:rsidRDefault="008E15B6">
      <w:pPr>
        <w:spacing w:after="160" w:line="360" w:lineRule="auto"/>
        <w:jc w:val="both"/>
      </w:pPr>
      <w:r>
        <w:rPr>
          <w:color w:val="000000"/>
          <w:sz w:val="24"/>
          <w:szCs w:val="24"/>
        </w:rPr>
        <w:t>Three complementary theoretical perspectives frame the hypotheses that this study tests. Each originates from a different intellectual tradition but all three speak directly to the question of how board structure shapes firm outcomes. Rather than selecting one and discarding the others, this paper uses all three to generate a set of directional predictions that can be evaluated against the empirical evidence, which may in turn reveal where the theories converge and where they compete.</w:t>
      </w:r>
    </w:p>
    <w:p w14:paraId="779ADB9B" w14:textId="77777777" w:rsidR="004207D6" w:rsidRDefault="004207D6">
      <w:pPr>
        <w:spacing w:after="120"/>
      </w:pPr>
    </w:p>
    <w:p w14:paraId="779ADB9C" w14:textId="77777777" w:rsidR="004207D6" w:rsidRDefault="008E15B6">
      <w:pPr>
        <w:pStyle w:val="Heading2"/>
        <w:spacing w:before="240" w:after="120"/>
      </w:pPr>
      <w:r>
        <w:rPr>
          <w:b/>
          <w:bCs/>
          <w:color w:val="000000"/>
        </w:rPr>
        <w:t>3.1 Agency Theory</w:t>
      </w:r>
    </w:p>
    <w:p w14:paraId="779ADB9D" w14:textId="77777777" w:rsidR="004207D6" w:rsidRDefault="008E15B6">
      <w:pPr>
        <w:spacing w:after="160" w:line="360" w:lineRule="auto"/>
        <w:jc w:val="both"/>
      </w:pPr>
      <w:r>
        <w:rPr>
          <w:color w:val="000000"/>
          <w:sz w:val="24"/>
          <w:szCs w:val="24"/>
        </w:rPr>
        <w:t xml:space="preserve">Agency Theory, first set out systematically by Jensen and Meckling (1976) and subsequently extended by Fama and Jensen (1983), offers what has become the most widely applied theoretical foundation in corporate governance research. Its starting point is the observation that the people who own a company (shareholders) and those who run it (executives) typically have different objectives. Managers may </w:t>
      </w:r>
      <w:proofErr w:type="spellStart"/>
      <w:r>
        <w:rPr>
          <w:color w:val="000000"/>
          <w:sz w:val="24"/>
          <w:szCs w:val="24"/>
        </w:rPr>
        <w:t>prioritise</w:t>
      </w:r>
      <w:proofErr w:type="spellEnd"/>
      <w:r>
        <w:rPr>
          <w:color w:val="000000"/>
          <w:sz w:val="24"/>
          <w:szCs w:val="24"/>
        </w:rPr>
        <w:t xml:space="preserve"> their own job security, remuneration, or expansion of </w:t>
      </w:r>
      <w:proofErr w:type="spellStart"/>
      <w:r>
        <w:rPr>
          <w:color w:val="000000"/>
          <w:sz w:val="24"/>
          <w:szCs w:val="24"/>
        </w:rPr>
        <w:t>organisational</w:t>
      </w:r>
      <w:proofErr w:type="spellEnd"/>
      <w:r>
        <w:rPr>
          <w:color w:val="000000"/>
          <w:sz w:val="24"/>
          <w:szCs w:val="24"/>
        </w:rPr>
        <w:t xml:space="preserve"> scope, sometimes at the expense of strategies that would generate the strongest long-term returns for shareholders. The costs arising from this misalignment, together with the costs of monitoring and the residual loss that persists despite monitoring, are collectively described as agency costs.</w:t>
      </w:r>
    </w:p>
    <w:p w14:paraId="779ADB9E" w14:textId="77777777" w:rsidR="004207D6" w:rsidRDefault="004207D6">
      <w:pPr>
        <w:spacing w:after="120"/>
      </w:pPr>
    </w:p>
    <w:p w14:paraId="779ADB9F" w14:textId="77777777" w:rsidR="004207D6" w:rsidRDefault="008E15B6">
      <w:pPr>
        <w:spacing w:after="160" w:line="360" w:lineRule="auto"/>
        <w:jc w:val="both"/>
      </w:pPr>
      <w:r>
        <w:rPr>
          <w:color w:val="000000"/>
          <w:sz w:val="24"/>
          <w:szCs w:val="24"/>
        </w:rPr>
        <w:t xml:space="preserve">The board of directors is the primary institutional mechanism for managing this conflict. Boards act on behalf of shareholders, evaluating executive performance, approving major strategic decisions, and setting compensation in ways intended to link managerial rewards to shareholder value. Under agency theory, governance arrangements that strengthen board independence should reduce agency costs and ultimately produce superior financial outcomes. For this study, the theory generates expectations that CEO and </w:t>
      </w:r>
      <w:r>
        <w:rPr>
          <w:color w:val="000000"/>
          <w:sz w:val="24"/>
          <w:szCs w:val="24"/>
        </w:rPr>
        <w:t>chair role separation, a higher proportion of non-executives, and greater board qualifications will each independently be associated with stronger profitability.</w:t>
      </w:r>
    </w:p>
    <w:p w14:paraId="779ADBA0" w14:textId="77777777" w:rsidR="004207D6" w:rsidRDefault="004207D6">
      <w:pPr>
        <w:spacing w:after="120"/>
      </w:pPr>
    </w:p>
    <w:p w14:paraId="779ADBA1" w14:textId="77777777" w:rsidR="004207D6" w:rsidRDefault="008E15B6">
      <w:pPr>
        <w:pStyle w:val="Heading2"/>
        <w:spacing w:before="240" w:after="120"/>
      </w:pPr>
      <w:r>
        <w:rPr>
          <w:b/>
          <w:bCs/>
          <w:color w:val="000000"/>
        </w:rPr>
        <w:t>3.2 Resource Dependence Theory</w:t>
      </w:r>
    </w:p>
    <w:p w14:paraId="779ADBA2" w14:textId="77777777" w:rsidR="004207D6" w:rsidRDefault="008E15B6">
      <w:pPr>
        <w:spacing w:after="160" w:line="360" w:lineRule="auto"/>
        <w:jc w:val="both"/>
      </w:pPr>
      <w:r>
        <w:rPr>
          <w:color w:val="000000"/>
          <w:sz w:val="24"/>
          <w:szCs w:val="24"/>
        </w:rPr>
        <w:t xml:space="preserve">Resource Dependence Theory, formulated by Pfeffer and </w:t>
      </w:r>
      <w:proofErr w:type="spellStart"/>
      <w:r>
        <w:rPr>
          <w:color w:val="000000"/>
          <w:sz w:val="24"/>
          <w:szCs w:val="24"/>
        </w:rPr>
        <w:t>Salancik</w:t>
      </w:r>
      <w:proofErr w:type="spellEnd"/>
      <w:r>
        <w:rPr>
          <w:color w:val="000000"/>
          <w:sz w:val="24"/>
          <w:szCs w:val="24"/>
        </w:rPr>
        <w:t xml:space="preserve"> (1978), redirects attention from the control function of boards toward their resource provision function. Where agency theory asks how boards constrain managers, Resource Dependence Theory asks what boards </w:t>
      </w:r>
      <w:r>
        <w:rPr>
          <w:color w:val="000000"/>
          <w:sz w:val="24"/>
          <w:szCs w:val="24"/>
        </w:rPr>
        <w:lastRenderedPageBreak/>
        <w:t xml:space="preserve">bring to the firm. Directors serve as connections between the company and its external environment, </w:t>
      </w:r>
      <w:proofErr w:type="spellStart"/>
      <w:r>
        <w:rPr>
          <w:color w:val="000000"/>
          <w:sz w:val="24"/>
          <w:szCs w:val="24"/>
        </w:rPr>
        <w:t>channelling</w:t>
      </w:r>
      <w:proofErr w:type="spellEnd"/>
      <w:r>
        <w:rPr>
          <w:color w:val="000000"/>
          <w:sz w:val="24"/>
          <w:szCs w:val="24"/>
        </w:rPr>
        <w:t xml:space="preserve"> in the knowledge, expertise, legitimacy, and relationship capital that the </w:t>
      </w:r>
      <w:proofErr w:type="spellStart"/>
      <w:r>
        <w:rPr>
          <w:color w:val="000000"/>
          <w:sz w:val="24"/>
          <w:szCs w:val="24"/>
        </w:rPr>
        <w:t>organisation</w:t>
      </w:r>
      <w:proofErr w:type="spellEnd"/>
      <w:r>
        <w:rPr>
          <w:color w:val="000000"/>
          <w:sz w:val="24"/>
          <w:szCs w:val="24"/>
        </w:rPr>
        <w:t xml:space="preserve"> needs but cannot easily generate internally. A director with extensive industry experience contributes market insight; one with financial expertise improves capital allocation decisions; one with government connections eases regulatory navigation.</w:t>
      </w:r>
    </w:p>
    <w:p w14:paraId="779ADBA3" w14:textId="77777777" w:rsidR="004207D6" w:rsidRDefault="004207D6">
      <w:pPr>
        <w:spacing w:after="120"/>
      </w:pPr>
    </w:p>
    <w:p w14:paraId="779ADBA4" w14:textId="77777777" w:rsidR="004207D6" w:rsidRDefault="008E15B6">
      <w:pPr>
        <w:spacing w:after="160" w:line="360" w:lineRule="auto"/>
        <w:jc w:val="both"/>
      </w:pPr>
      <w:r>
        <w:rPr>
          <w:color w:val="000000"/>
          <w:sz w:val="24"/>
          <w:szCs w:val="24"/>
        </w:rPr>
        <w:t>This perspective predicts that board diversity in its various dimensions, including gender, professional background, and formal qualifications, should enhance the resource base of the board and, through it, the strategic capabilities of the firm. Board size also matters under this theory: a larger board provides access to a wider and deeper pool of external resources. Resource Dependence Theory therefore generates broadly positive predictions about the relationship between board diversity and firm performan</w:t>
      </w:r>
      <w:r>
        <w:rPr>
          <w:color w:val="000000"/>
          <w:sz w:val="24"/>
          <w:szCs w:val="24"/>
        </w:rPr>
        <w:t>ce, but for different reasons than agency theory.</w:t>
      </w:r>
    </w:p>
    <w:p w14:paraId="779ADBA5" w14:textId="77777777" w:rsidR="004207D6" w:rsidRDefault="004207D6">
      <w:pPr>
        <w:spacing w:after="120"/>
      </w:pPr>
    </w:p>
    <w:p w14:paraId="779ADBA6" w14:textId="77777777" w:rsidR="004207D6" w:rsidRDefault="008E15B6">
      <w:pPr>
        <w:pStyle w:val="Heading2"/>
        <w:spacing w:before="240" w:after="120"/>
      </w:pPr>
      <w:r>
        <w:rPr>
          <w:b/>
          <w:bCs/>
          <w:color w:val="000000"/>
        </w:rPr>
        <w:t>3.3 Stewardship Theory</w:t>
      </w:r>
    </w:p>
    <w:p w14:paraId="779ADBA7" w14:textId="77777777" w:rsidR="004207D6" w:rsidRDefault="008E15B6">
      <w:pPr>
        <w:spacing w:after="160" w:line="360" w:lineRule="auto"/>
        <w:jc w:val="both"/>
      </w:pPr>
      <w:r>
        <w:rPr>
          <w:color w:val="000000"/>
          <w:sz w:val="24"/>
          <w:szCs w:val="24"/>
        </w:rPr>
        <w:t xml:space="preserve">Stewardship Theory, introduced by Donaldson and Davis (1991), challenges the foundational assumption of agency theory that executives are primarily self-interest maximisers. It proposes instead that most </w:t>
      </w:r>
      <w:proofErr w:type="spellStart"/>
      <w:r>
        <w:rPr>
          <w:color w:val="000000"/>
          <w:sz w:val="24"/>
          <w:szCs w:val="24"/>
        </w:rPr>
        <w:t>organisational</w:t>
      </w:r>
      <w:proofErr w:type="spellEnd"/>
      <w:r>
        <w:rPr>
          <w:color w:val="000000"/>
          <w:sz w:val="24"/>
          <w:szCs w:val="24"/>
        </w:rPr>
        <w:t xml:space="preserve"> leaders identify with their firm's goals, derive satisfaction from doing their job well, and are motivated to act as responsible stewards of the assets under their care. Under this </w:t>
      </w:r>
      <w:proofErr w:type="spellStart"/>
      <w:r>
        <w:rPr>
          <w:color w:val="000000"/>
          <w:sz w:val="24"/>
          <w:szCs w:val="24"/>
        </w:rPr>
        <w:t>characterisation</w:t>
      </w:r>
      <w:proofErr w:type="spellEnd"/>
      <w:r>
        <w:rPr>
          <w:color w:val="000000"/>
          <w:sz w:val="24"/>
          <w:szCs w:val="24"/>
        </w:rPr>
        <w:t>, governance mechanisms designed to constrain managerial discretion may actually be counterproductive, introducing friction and suspicion into relationships that would otherwise be productive.</w:t>
      </w:r>
    </w:p>
    <w:p w14:paraId="779ADBA8" w14:textId="77777777" w:rsidR="004207D6" w:rsidRDefault="004207D6">
      <w:pPr>
        <w:spacing w:after="120"/>
      </w:pPr>
    </w:p>
    <w:p w14:paraId="779ADBA9" w14:textId="77777777" w:rsidR="004207D6" w:rsidRDefault="008E15B6">
      <w:pPr>
        <w:spacing w:after="160" w:line="360" w:lineRule="auto"/>
        <w:jc w:val="both"/>
      </w:pPr>
      <w:r>
        <w:rPr>
          <w:color w:val="000000"/>
          <w:sz w:val="24"/>
          <w:szCs w:val="24"/>
        </w:rPr>
        <w:t xml:space="preserve">The most direct implication of Stewardship Theory for this study concerns CEO duality. While agency theory predicts that combining the CEO and chair roles creates a governance failure, Stewardship Theory suggests that a motivated and capable leader given unified authority may make decisions more quickly and effectively than one who must navigate an arm's-length board relationship. In practice, empirical evidence on duality is mixed, and the retail sector's fast-moving environment might </w:t>
      </w:r>
      <w:proofErr w:type="spellStart"/>
      <w:r>
        <w:rPr>
          <w:color w:val="000000"/>
          <w:sz w:val="24"/>
          <w:szCs w:val="24"/>
        </w:rPr>
        <w:t>favour</w:t>
      </w:r>
      <w:proofErr w:type="spellEnd"/>
      <w:r>
        <w:rPr>
          <w:color w:val="000000"/>
          <w:sz w:val="24"/>
          <w:szCs w:val="24"/>
        </w:rPr>
        <w:t xml:space="preserve"> the decisiveness that Stewardship Theory predicts for unified leadership. The theory therefore offers a useful counterpoint that prevents the study from treating agency theory predictions as self-evidently correct.</w:t>
      </w:r>
    </w:p>
    <w:p w14:paraId="779ADBAA" w14:textId="77777777" w:rsidR="004207D6" w:rsidRDefault="008E15B6">
      <w:r>
        <w:br w:type="page"/>
      </w:r>
    </w:p>
    <w:p w14:paraId="779ADBAB" w14:textId="77777777" w:rsidR="004207D6" w:rsidRDefault="008E15B6">
      <w:pPr>
        <w:pStyle w:val="Heading1"/>
        <w:spacing w:before="320" w:after="160"/>
      </w:pPr>
      <w:r>
        <w:rPr>
          <w:b/>
          <w:bCs/>
          <w:color w:val="000000"/>
          <w:sz w:val="28"/>
          <w:szCs w:val="28"/>
        </w:rPr>
        <w:lastRenderedPageBreak/>
        <w:t>4. Research Methodology</w:t>
      </w:r>
    </w:p>
    <w:p w14:paraId="779ADBAC" w14:textId="77777777" w:rsidR="004207D6" w:rsidRDefault="008E15B6">
      <w:pPr>
        <w:pStyle w:val="Heading2"/>
        <w:spacing w:before="240" w:after="120"/>
      </w:pPr>
      <w:r>
        <w:rPr>
          <w:b/>
          <w:bCs/>
          <w:color w:val="000000"/>
        </w:rPr>
        <w:t>4.1 Research Philosophy and Approach</w:t>
      </w:r>
    </w:p>
    <w:p w14:paraId="779ADBAD" w14:textId="77777777" w:rsidR="004207D6" w:rsidRDefault="008E15B6">
      <w:pPr>
        <w:spacing w:after="160" w:line="360" w:lineRule="auto"/>
        <w:jc w:val="both"/>
      </w:pPr>
      <w:r>
        <w:rPr>
          <w:color w:val="000000"/>
          <w:sz w:val="24"/>
          <w:szCs w:val="24"/>
        </w:rPr>
        <w:t>This study operates within a positivist research philosophy, meaning it treats governance-performance relationships as objective phenomena that exist independently of the researcher's perspective and can be examined through systematic measurement and statistical analysis. Positivism underpins quantitative social science research of this kind, where the goal is to identify regularities in data and test whether observed patterns are consistent with theoretically derived predictions (Bryman, 2016). The deducti</w:t>
      </w:r>
      <w:r>
        <w:rPr>
          <w:color w:val="000000"/>
          <w:sz w:val="24"/>
          <w:szCs w:val="24"/>
        </w:rPr>
        <w:t>ve approach adopted here moves from theory to hypothesis to empirical testing: the three theoretical frameworks in Section 3 generate specific directional predictions, which the data then allow confirmation or disconfirmation.</w:t>
      </w:r>
    </w:p>
    <w:p w14:paraId="779ADBAE" w14:textId="77777777" w:rsidR="004207D6" w:rsidRDefault="004207D6">
      <w:pPr>
        <w:spacing w:after="120"/>
      </w:pPr>
    </w:p>
    <w:p w14:paraId="779ADBAF" w14:textId="77777777" w:rsidR="004207D6" w:rsidRDefault="008E15B6">
      <w:pPr>
        <w:spacing w:after="160" w:line="360" w:lineRule="auto"/>
        <w:jc w:val="both"/>
      </w:pPr>
      <w:r>
        <w:rPr>
          <w:color w:val="000000"/>
          <w:sz w:val="24"/>
          <w:szCs w:val="24"/>
        </w:rPr>
        <w:t xml:space="preserve">A deductive, quantitative design is appropriate for this research question for several reasons. First, the governance variables and performance measures are readily quantifiable from public disclosures. Second, the panel structure of the data allows variation both within firms over time and between firms at any given point to be exploited analytically. Third, statistical methods provide the tools needed to isolate the contribution of each governance variable while accounting for confounding factors such as </w:t>
      </w:r>
      <w:r>
        <w:rPr>
          <w:color w:val="000000"/>
          <w:sz w:val="24"/>
          <w:szCs w:val="24"/>
        </w:rPr>
        <w:t>firm size and leverage.</w:t>
      </w:r>
    </w:p>
    <w:p w14:paraId="779ADBB0" w14:textId="77777777" w:rsidR="004207D6" w:rsidRDefault="004207D6">
      <w:pPr>
        <w:spacing w:after="120"/>
      </w:pPr>
    </w:p>
    <w:p w14:paraId="779ADBB1" w14:textId="77777777" w:rsidR="004207D6" w:rsidRDefault="008E15B6">
      <w:pPr>
        <w:pStyle w:val="Heading2"/>
        <w:spacing w:before="240" w:after="120"/>
      </w:pPr>
      <w:r>
        <w:rPr>
          <w:b/>
          <w:bCs/>
          <w:color w:val="000000"/>
        </w:rPr>
        <w:t>4.2 Research Design: Panel Data Structure</w:t>
      </w:r>
    </w:p>
    <w:p w14:paraId="779ADBB2" w14:textId="77777777" w:rsidR="004207D6" w:rsidRDefault="008E15B6">
      <w:pPr>
        <w:spacing w:after="160" w:line="360" w:lineRule="auto"/>
        <w:jc w:val="both"/>
      </w:pPr>
      <w:r>
        <w:rPr>
          <w:color w:val="000000"/>
          <w:sz w:val="24"/>
          <w:szCs w:val="24"/>
        </w:rPr>
        <w:t>The core data structure is a balanced panel containing ten retail firms observed across five consecutive years, from 2019 to 2023, yielding fifty firm-year observations. A balanced panel means every firm contributes an observation for every year, avoiding the missing-data complications that arise in unbalanced panels. This longitudinal structure offers two analytical advantages over a purely cross-sectional design: it allows observation of how the same firm's governance and performance characteristics chang</w:t>
      </w:r>
      <w:r>
        <w:rPr>
          <w:color w:val="000000"/>
          <w:sz w:val="24"/>
          <w:szCs w:val="24"/>
        </w:rPr>
        <w:t>e over time, and it provides more statistical power than fifty independent observations would imply, because patterns that appear consistently within and across firms carry greater evidential weight.</w:t>
      </w:r>
    </w:p>
    <w:p w14:paraId="779ADBB3" w14:textId="77777777" w:rsidR="004207D6" w:rsidRDefault="004207D6">
      <w:pPr>
        <w:spacing w:after="120"/>
      </w:pPr>
    </w:p>
    <w:p w14:paraId="779ADBB4" w14:textId="77777777" w:rsidR="004207D6" w:rsidRDefault="008E15B6">
      <w:pPr>
        <w:spacing w:after="160" w:line="360" w:lineRule="auto"/>
        <w:jc w:val="both"/>
      </w:pPr>
      <w:r>
        <w:rPr>
          <w:color w:val="000000"/>
          <w:sz w:val="24"/>
          <w:szCs w:val="24"/>
        </w:rPr>
        <w:t xml:space="preserve">The five-year window was selected to span both stable and disrupted trading conditions, given that 2020 and 2021 coincide with the COVID-19 pandemic and its aftermath. This variation strengthens the robustness of any governance-performance associations identified, since effects </w:t>
      </w:r>
      <w:r>
        <w:rPr>
          <w:color w:val="000000"/>
          <w:sz w:val="24"/>
          <w:szCs w:val="24"/>
        </w:rPr>
        <w:lastRenderedPageBreak/>
        <w:t>that persist across markedly different economic environments are less likely to be artefacts of a particular set of external conditions.</w:t>
      </w:r>
    </w:p>
    <w:p w14:paraId="779ADBB5" w14:textId="77777777" w:rsidR="004207D6" w:rsidRDefault="004207D6">
      <w:pPr>
        <w:spacing w:after="120"/>
      </w:pPr>
    </w:p>
    <w:p w14:paraId="779ADBB6" w14:textId="77777777" w:rsidR="004207D6" w:rsidRDefault="008E15B6">
      <w:pPr>
        <w:pStyle w:val="Heading2"/>
        <w:spacing w:before="240" w:after="120"/>
      </w:pPr>
      <w:r>
        <w:rPr>
          <w:b/>
          <w:bCs/>
          <w:color w:val="000000"/>
        </w:rPr>
        <w:t>4.3 Sample Selection and Justification</w:t>
      </w:r>
    </w:p>
    <w:p w14:paraId="779ADBB7" w14:textId="77777777" w:rsidR="004207D6" w:rsidRDefault="008E15B6">
      <w:pPr>
        <w:spacing w:after="160" w:line="360" w:lineRule="auto"/>
        <w:jc w:val="both"/>
      </w:pPr>
      <w:r>
        <w:rPr>
          <w:color w:val="000000"/>
          <w:sz w:val="24"/>
          <w:szCs w:val="24"/>
        </w:rPr>
        <w:t xml:space="preserve">Ten retail companies with primary listings on the London Stock Exchange were selected as the study's sample. The selection was guided by three criteria: membership of the retail sector as classified under the Standard Industrial Classification codes relevant to general and </w:t>
      </w:r>
      <w:proofErr w:type="spellStart"/>
      <w:r>
        <w:rPr>
          <w:color w:val="000000"/>
          <w:sz w:val="24"/>
          <w:szCs w:val="24"/>
        </w:rPr>
        <w:t>specialised</w:t>
      </w:r>
      <w:proofErr w:type="spellEnd"/>
      <w:r>
        <w:rPr>
          <w:color w:val="000000"/>
          <w:sz w:val="24"/>
          <w:szCs w:val="24"/>
        </w:rPr>
        <w:t xml:space="preserve"> retail trade; continuous listing on the LSE throughout the entire 2019 to 2023 period, ensuring five complete years of annual report data; and sufficient scale to publish annual reports containing the governance disclosures required to </w:t>
      </w:r>
      <w:proofErr w:type="spellStart"/>
      <w:r>
        <w:rPr>
          <w:color w:val="000000"/>
          <w:sz w:val="24"/>
          <w:szCs w:val="24"/>
        </w:rPr>
        <w:t>operationalise</w:t>
      </w:r>
      <w:proofErr w:type="spellEnd"/>
      <w:r>
        <w:rPr>
          <w:color w:val="000000"/>
          <w:sz w:val="24"/>
          <w:szCs w:val="24"/>
        </w:rPr>
        <w:t xml:space="preserve"> all five independent variables. Companies that were privately held, listed on AIM rather than the Main Market, or that changed their listing status during the observation window were excluded.</w:t>
      </w:r>
    </w:p>
    <w:p w14:paraId="779ADBB8" w14:textId="77777777" w:rsidR="004207D6" w:rsidRDefault="004207D6">
      <w:pPr>
        <w:spacing w:after="120"/>
      </w:pPr>
    </w:p>
    <w:p w14:paraId="779ADBB9" w14:textId="77777777" w:rsidR="004207D6" w:rsidRDefault="008E15B6">
      <w:pPr>
        <w:spacing w:after="160" w:line="360" w:lineRule="auto"/>
        <w:jc w:val="both"/>
      </w:pPr>
      <w:r>
        <w:rPr>
          <w:color w:val="000000"/>
          <w:sz w:val="24"/>
          <w:szCs w:val="24"/>
        </w:rPr>
        <w:t>The ten companies included in the final sample are Tesco PLC, J Sainsbury PLC, Marks and Spencer Group PLC, Next PLC, Dunelm Group PLC, B and M European Value Retail SA, Pets at Home Group PLC, JD Sports Fashion PLC, Halfords Group PLC, and Greggs PLC. Together these represent a cross-section of retail sub-sectors, including food retail, general merchandise, fashion, pets and leisure, automotive accessories, and food-to-go. This sub-sector variation enables the group comparison analysis described in Section</w:t>
      </w:r>
      <w:r>
        <w:rPr>
          <w:color w:val="000000"/>
          <w:sz w:val="24"/>
          <w:szCs w:val="24"/>
        </w:rPr>
        <w:t xml:space="preserve"> 4.7 and provides a test of whether governance-performance relationships are uniform across the retail industry or specific to particular competitive contexts.</w:t>
      </w:r>
    </w:p>
    <w:p w14:paraId="779ADBBA" w14:textId="77777777" w:rsidR="004207D6" w:rsidRDefault="004207D6">
      <w:pPr>
        <w:spacing w:after="120"/>
      </w:pPr>
    </w:p>
    <w:p w14:paraId="779ADBBB" w14:textId="77777777" w:rsidR="004207D6" w:rsidRDefault="008E15B6">
      <w:pPr>
        <w:pStyle w:val="Heading2"/>
        <w:spacing w:before="240" w:after="120"/>
      </w:pPr>
      <w:r>
        <w:rPr>
          <w:b/>
          <w:bCs/>
          <w:color w:val="000000"/>
        </w:rPr>
        <w:t>4.4 Data Sources and Collection</w:t>
      </w:r>
    </w:p>
    <w:p w14:paraId="779ADBBC" w14:textId="77777777" w:rsidR="004207D6" w:rsidRDefault="008E15B6">
      <w:pPr>
        <w:spacing w:after="160" w:line="360" w:lineRule="auto"/>
        <w:jc w:val="both"/>
      </w:pPr>
      <w:r>
        <w:rPr>
          <w:color w:val="000000"/>
          <w:sz w:val="24"/>
          <w:szCs w:val="24"/>
        </w:rPr>
        <w:t>All data were extracted manually from the annual reports and accounts that each of the ten companies published for each of the five financial years in the study window. Annual reports are the primary disclosure document through which listed UK companies communicate financial results and governance arrangements to shareholders and the public. They are publicly accessible through company investor relations websites and through the Companies House filing system.</w:t>
      </w:r>
    </w:p>
    <w:p w14:paraId="779ADBBD" w14:textId="77777777" w:rsidR="004207D6" w:rsidRPr="0044726B" w:rsidRDefault="004207D6">
      <w:pPr>
        <w:spacing w:after="120"/>
        <w:rPr>
          <w:sz w:val="24"/>
          <w:szCs w:val="24"/>
        </w:rPr>
      </w:pPr>
    </w:p>
    <w:p w14:paraId="5A9267AE" w14:textId="77777777" w:rsidR="0044726B" w:rsidRPr="0044726B" w:rsidRDefault="0044726B" w:rsidP="0044726B">
      <w:pPr>
        <w:spacing w:after="120"/>
        <w:rPr>
          <w:sz w:val="24"/>
          <w:szCs w:val="24"/>
        </w:rPr>
      </w:pPr>
      <w:r w:rsidRPr="0044726B">
        <w:rPr>
          <w:sz w:val="24"/>
          <w:szCs w:val="24"/>
        </w:rPr>
        <w:t>For each company and each year, I collected the following information from their annual reports:</w:t>
      </w:r>
    </w:p>
    <w:p w14:paraId="3DA065C3" w14:textId="77777777" w:rsidR="0044726B" w:rsidRPr="0044726B" w:rsidRDefault="0044726B" w:rsidP="0044726B">
      <w:pPr>
        <w:spacing w:after="120"/>
        <w:rPr>
          <w:sz w:val="24"/>
          <w:szCs w:val="24"/>
        </w:rPr>
      </w:pPr>
      <w:r w:rsidRPr="0044726B">
        <w:rPr>
          <w:b/>
          <w:bCs/>
          <w:sz w:val="24"/>
          <w:szCs w:val="24"/>
        </w:rPr>
        <w:lastRenderedPageBreak/>
        <w:t>Board size</w:t>
      </w:r>
      <w:r w:rsidRPr="0044726B">
        <w:rPr>
          <w:sz w:val="24"/>
          <w:szCs w:val="24"/>
        </w:rPr>
        <w:t>: I counted the total number of directors, both executive and non-executive, as listed in the governance section of the annual report.</w:t>
      </w:r>
    </w:p>
    <w:p w14:paraId="4D6CC4BA" w14:textId="77777777" w:rsidR="0044726B" w:rsidRPr="0044726B" w:rsidRDefault="0044726B" w:rsidP="0044726B">
      <w:pPr>
        <w:spacing w:after="120"/>
        <w:rPr>
          <w:sz w:val="24"/>
          <w:szCs w:val="24"/>
        </w:rPr>
      </w:pPr>
      <w:r w:rsidRPr="0044726B">
        <w:rPr>
          <w:b/>
          <w:bCs/>
          <w:sz w:val="24"/>
          <w:szCs w:val="24"/>
        </w:rPr>
        <w:t>Gender diversity</w:t>
      </w:r>
      <w:r w:rsidRPr="0044726B">
        <w:rPr>
          <w:sz w:val="24"/>
          <w:szCs w:val="24"/>
        </w:rPr>
        <w:t>: I worked out what percentage of the board were women at the time the annual report was published.</w:t>
      </w:r>
    </w:p>
    <w:p w14:paraId="60C3FA12" w14:textId="77777777" w:rsidR="0044726B" w:rsidRPr="0044726B" w:rsidRDefault="0044726B" w:rsidP="0044726B">
      <w:pPr>
        <w:spacing w:after="120"/>
        <w:rPr>
          <w:sz w:val="24"/>
          <w:szCs w:val="24"/>
        </w:rPr>
      </w:pPr>
      <w:r w:rsidRPr="0044726B">
        <w:rPr>
          <w:b/>
          <w:bCs/>
          <w:sz w:val="24"/>
          <w:szCs w:val="24"/>
        </w:rPr>
        <w:t>Qualification level</w:t>
      </w:r>
      <w:r w:rsidRPr="0044726B">
        <w:rPr>
          <w:sz w:val="24"/>
          <w:szCs w:val="24"/>
        </w:rPr>
        <w:t>: I read through each director’s biography in the annual report and noted whether they held a postgraduate qualification, such as a master’s degree, a doctorate, or an equivalent professional qualification. I then calculated what percentage of the board this represented.</w:t>
      </w:r>
    </w:p>
    <w:p w14:paraId="595D70F6" w14:textId="77777777" w:rsidR="0044726B" w:rsidRPr="0044726B" w:rsidRDefault="0044726B" w:rsidP="0044726B">
      <w:pPr>
        <w:spacing w:after="120"/>
        <w:rPr>
          <w:sz w:val="24"/>
          <w:szCs w:val="24"/>
        </w:rPr>
      </w:pPr>
      <w:r w:rsidRPr="0044726B">
        <w:rPr>
          <w:b/>
          <w:bCs/>
          <w:sz w:val="24"/>
          <w:szCs w:val="24"/>
        </w:rPr>
        <w:t>CEO duality</w:t>
      </w:r>
      <w:r w:rsidRPr="0044726B">
        <w:rPr>
          <w:sz w:val="24"/>
          <w:szCs w:val="24"/>
        </w:rPr>
        <w:t>: I recorded whether the same person held both the CEO and chairperson roles. If they did, I gave it a value of 1. If two different people held these roles, I gave it a value of 0.</w:t>
      </w:r>
    </w:p>
    <w:p w14:paraId="70C360D6" w14:textId="77777777" w:rsidR="0044726B" w:rsidRPr="0044726B" w:rsidRDefault="0044726B" w:rsidP="0044726B">
      <w:pPr>
        <w:spacing w:after="120"/>
        <w:rPr>
          <w:sz w:val="24"/>
          <w:szCs w:val="24"/>
        </w:rPr>
      </w:pPr>
      <w:r w:rsidRPr="0044726B">
        <w:rPr>
          <w:b/>
          <w:bCs/>
          <w:sz w:val="24"/>
          <w:szCs w:val="24"/>
        </w:rPr>
        <w:t>Non-executive proportion</w:t>
      </w:r>
      <w:r w:rsidRPr="0044726B">
        <w:rPr>
          <w:sz w:val="24"/>
          <w:szCs w:val="24"/>
        </w:rPr>
        <w:t>: I divided the number of non-executive directors by the total number of directors to get a percentage.</w:t>
      </w:r>
    </w:p>
    <w:p w14:paraId="1266D8EC" w14:textId="77777777" w:rsidR="0044726B" w:rsidRPr="0044726B" w:rsidRDefault="0044726B" w:rsidP="0044726B">
      <w:pPr>
        <w:spacing w:after="120"/>
        <w:rPr>
          <w:sz w:val="24"/>
          <w:szCs w:val="24"/>
        </w:rPr>
      </w:pPr>
      <w:r w:rsidRPr="0044726B">
        <w:rPr>
          <w:b/>
          <w:bCs/>
          <w:sz w:val="24"/>
          <w:szCs w:val="24"/>
        </w:rPr>
        <w:t>Return on assets (ROA)</w:t>
      </w:r>
      <w:r w:rsidRPr="0044726B">
        <w:rPr>
          <w:sz w:val="24"/>
          <w:szCs w:val="24"/>
        </w:rPr>
        <w:t>: Profit before tax divided by total assets.</w:t>
      </w:r>
    </w:p>
    <w:p w14:paraId="0E9C8DDC" w14:textId="77777777" w:rsidR="0044726B" w:rsidRPr="0044726B" w:rsidRDefault="0044726B" w:rsidP="0044726B">
      <w:pPr>
        <w:spacing w:after="120"/>
        <w:rPr>
          <w:sz w:val="24"/>
          <w:szCs w:val="24"/>
        </w:rPr>
      </w:pPr>
      <w:r w:rsidRPr="0044726B">
        <w:rPr>
          <w:b/>
          <w:bCs/>
          <w:sz w:val="24"/>
          <w:szCs w:val="24"/>
        </w:rPr>
        <w:t>Return on equity (ROE)</w:t>
      </w:r>
      <w:r w:rsidRPr="0044726B">
        <w:rPr>
          <w:sz w:val="24"/>
          <w:szCs w:val="24"/>
        </w:rPr>
        <w:t>: Profit before tax divided by total equity.</w:t>
      </w:r>
    </w:p>
    <w:p w14:paraId="26FAE646" w14:textId="77777777" w:rsidR="0044726B" w:rsidRPr="0044726B" w:rsidRDefault="0044726B" w:rsidP="0044726B">
      <w:pPr>
        <w:spacing w:after="120"/>
        <w:rPr>
          <w:sz w:val="24"/>
          <w:szCs w:val="24"/>
        </w:rPr>
      </w:pPr>
      <w:r w:rsidRPr="0044726B">
        <w:rPr>
          <w:b/>
          <w:bCs/>
          <w:sz w:val="24"/>
          <w:szCs w:val="24"/>
        </w:rPr>
        <w:t>Firm size</w:t>
      </w:r>
      <w:r w:rsidRPr="0044726B">
        <w:rPr>
          <w:sz w:val="24"/>
          <w:szCs w:val="24"/>
        </w:rPr>
        <w:t>: I took the natural logarithm of each company’s total assets in pounds sterling.</w:t>
      </w:r>
    </w:p>
    <w:p w14:paraId="0260CB7F" w14:textId="77777777" w:rsidR="0044726B" w:rsidRPr="0044726B" w:rsidRDefault="0044726B" w:rsidP="0044726B">
      <w:pPr>
        <w:spacing w:after="120"/>
        <w:rPr>
          <w:sz w:val="24"/>
          <w:szCs w:val="24"/>
        </w:rPr>
      </w:pPr>
      <w:r w:rsidRPr="0044726B">
        <w:rPr>
          <w:b/>
          <w:bCs/>
          <w:sz w:val="24"/>
          <w:szCs w:val="24"/>
        </w:rPr>
        <w:t>Financial leverage</w:t>
      </w:r>
      <w:r w:rsidRPr="0044726B">
        <w:rPr>
          <w:sz w:val="24"/>
          <w:szCs w:val="24"/>
        </w:rPr>
        <w:t>: Total debt divided by total assets.</w:t>
      </w:r>
    </w:p>
    <w:p w14:paraId="779ADBBF" w14:textId="77777777" w:rsidR="004207D6" w:rsidRDefault="004207D6">
      <w:pPr>
        <w:spacing w:after="120"/>
      </w:pPr>
    </w:p>
    <w:p w14:paraId="779ADBC0" w14:textId="77777777" w:rsidR="004207D6" w:rsidRDefault="008E15B6">
      <w:pPr>
        <w:pStyle w:val="Heading2"/>
        <w:spacing w:before="240" w:after="120"/>
      </w:pPr>
      <w:r>
        <w:rPr>
          <w:b/>
          <w:bCs/>
          <w:color w:val="000000"/>
        </w:rPr>
        <w:t xml:space="preserve">4.5 Variables and </w:t>
      </w:r>
      <w:proofErr w:type="spellStart"/>
      <w:r>
        <w:rPr>
          <w:b/>
          <w:bCs/>
          <w:color w:val="000000"/>
        </w:rPr>
        <w:t>Operationalisation</w:t>
      </w:r>
      <w:proofErr w:type="spellEnd"/>
    </w:p>
    <w:p w14:paraId="779ADBC1" w14:textId="77777777" w:rsidR="004207D6" w:rsidRDefault="008E15B6">
      <w:pPr>
        <w:spacing w:after="160" w:line="360" w:lineRule="auto"/>
        <w:jc w:val="both"/>
      </w:pPr>
      <w:r>
        <w:rPr>
          <w:color w:val="000000"/>
          <w:sz w:val="24"/>
          <w:szCs w:val="24"/>
        </w:rPr>
        <w:t>Table 1 below provides a summary of all variables used in the analysis.</w:t>
      </w:r>
    </w:p>
    <w:p w14:paraId="779ADBC2" w14:textId="77777777" w:rsidR="004207D6" w:rsidRDefault="004207D6">
      <w:pPr>
        <w:spacing w:after="12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90"/>
        <w:gridCol w:w="1429"/>
        <w:gridCol w:w="1292"/>
        <w:gridCol w:w="3210"/>
        <w:gridCol w:w="1605"/>
      </w:tblGrid>
      <w:tr w:rsidR="004207D6" w14:paraId="779ADBC8" w14:textId="77777777">
        <w:tc>
          <w:tcPr>
            <w:tcW w:w="1300" w:type="dxa"/>
            <w:tcBorders>
              <w:top w:val="single" w:sz="4" w:space="0" w:color="999999"/>
              <w:left w:val="single" w:sz="4" w:space="0" w:color="999999"/>
              <w:bottom w:val="single" w:sz="4" w:space="0" w:color="999999"/>
              <w:right w:val="single" w:sz="4" w:space="0" w:color="999999"/>
            </w:tcBorders>
            <w:shd w:val="clear" w:color="auto" w:fill="1F3864"/>
          </w:tcPr>
          <w:p w14:paraId="779ADBC3" w14:textId="77777777" w:rsidR="004207D6" w:rsidRDefault="008E15B6">
            <w:pPr>
              <w:spacing w:after="60"/>
              <w:jc w:val="center"/>
            </w:pPr>
            <w:r>
              <w:rPr>
                <w:b/>
                <w:bCs/>
                <w:color w:val="FFFFFF"/>
                <w:sz w:val="24"/>
                <w:szCs w:val="24"/>
              </w:rPr>
              <w:t>Variable</w:t>
            </w:r>
          </w:p>
        </w:tc>
        <w:tc>
          <w:tcPr>
            <w:tcW w:w="900" w:type="dxa"/>
            <w:tcBorders>
              <w:top w:val="single" w:sz="4" w:space="0" w:color="999999"/>
              <w:left w:val="single" w:sz="4" w:space="0" w:color="999999"/>
              <w:bottom w:val="single" w:sz="4" w:space="0" w:color="999999"/>
              <w:right w:val="single" w:sz="4" w:space="0" w:color="999999"/>
            </w:tcBorders>
            <w:shd w:val="clear" w:color="auto" w:fill="1F3864"/>
          </w:tcPr>
          <w:p w14:paraId="779ADBC4" w14:textId="77777777" w:rsidR="004207D6" w:rsidRDefault="008E15B6">
            <w:pPr>
              <w:spacing w:after="60"/>
              <w:jc w:val="center"/>
            </w:pPr>
            <w:r>
              <w:rPr>
                <w:b/>
                <w:bCs/>
                <w:color w:val="FFFFFF"/>
                <w:sz w:val="24"/>
                <w:szCs w:val="24"/>
              </w:rPr>
              <w:t>Symbol</w:t>
            </w:r>
          </w:p>
        </w:tc>
        <w:tc>
          <w:tcPr>
            <w:tcW w:w="900" w:type="dxa"/>
            <w:tcBorders>
              <w:top w:val="single" w:sz="4" w:space="0" w:color="999999"/>
              <w:left w:val="single" w:sz="4" w:space="0" w:color="999999"/>
              <w:bottom w:val="single" w:sz="4" w:space="0" w:color="999999"/>
              <w:right w:val="single" w:sz="4" w:space="0" w:color="999999"/>
            </w:tcBorders>
            <w:shd w:val="clear" w:color="auto" w:fill="1F3864"/>
          </w:tcPr>
          <w:p w14:paraId="779ADBC5" w14:textId="77777777" w:rsidR="004207D6" w:rsidRDefault="008E15B6">
            <w:pPr>
              <w:spacing w:after="60"/>
              <w:jc w:val="center"/>
            </w:pPr>
            <w:r>
              <w:rPr>
                <w:b/>
                <w:bCs/>
                <w:color w:val="FFFFFF"/>
                <w:sz w:val="24"/>
                <w:szCs w:val="24"/>
              </w:rPr>
              <w:t>Type</w:t>
            </w:r>
          </w:p>
        </w:tc>
        <w:tc>
          <w:tcPr>
            <w:tcW w:w="2800" w:type="dxa"/>
            <w:tcBorders>
              <w:top w:val="single" w:sz="4" w:space="0" w:color="999999"/>
              <w:left w:val="single" w:sz="4" w:space="0" w:color="999999"/>
              <w:bottom w:val="single" w:sz="4" w:space="0" w:color="999999"/>
              <w:right w:val="single" w:sz="4" w:space="0" w:color="999999"/>
            </w:tcBorders>
            <w:shd w:val="clear" w:color="auto" w:fill="1F3864"/>
          </w:tcPr>
          <w:p w14:paraId="779ADBC6" w14:textId="77777777" w:rsidR="004207D6" w:rsidRDefault="008E15B6">
            <w:pPr>
              <w:spacing w:after="60"/>
              <w:jc w:val="center"/>
            </w:pPr>
            <w:r>
              <w:rPr>
                <w:b/>
                <w:bCs/>
                <w:color w:val="FFFFFF"/>
                <w:sz w:val="24"/>
                <w:szCs w:val="24"/>
              </w:rPr>
              <w:t>Measurement</w:t>
            </w:r>
          </w:p>
        </w:tc>
        <w:tc>
          <w:tcPr>
            <w:tcW w:w="1400" w:type="dxa"/>
            <w:tcBorders>
              <w:top w:val="single" w:sz="4" w:space="0" w:color="999999"/>
              <w:left w:val="single" w:sz="4" w:space="0" w:color="999999"/>
              <w:bottom w:val="single" w:sz="4" w:space="0" w:color="999999"/>
              <w:right w:val="single" w:sz="4" w:space="0" w:color="999999"/>
            </w:tcBorders>
            <w:shd w:val="clear" w:color="auto" w:fill="1F3864"/>
          </w:tcPr>
          <w:p w14:paraId="779ADBC7" w14:textId="77777777" w:rsidR="004207D6" w:rsidRDefault="008E15B6">
            <w:pPr>
              <w:spacing w:after="60"/>
              <w:jc w:val="center"/>
            </w:pPr>
            <w:r>
              <w:rPr>
                <w:b/>
                <w:bCs/>
                <w:color w:val="FFFFFF"/>
                <w:sz w:val="24"/>
                <w:szCs w:val="24"/>
              </w:rPr>
              <w:t>Source</w:t>
            </w:r>
          </w:p>
        </w:tc>
      </w:tr>
      <w:tr w:rsidR="004207D6" w14:paraId="779ADBCE" w14:textId="77777777">
        <w:tc>
          <w:tcPr>
            <w:tcW w:w="1300" w:type="dxa"/>
            <w:tcBorders>
              <w:top w:val="single" w:sz="4" w:space="0" w:color="999999"/>
              <w:left w:val="single" w:sz="4" w:space="0" w:color="999999"/>
              <w:bottom w:val="single" w:sz="4" w:space="0" w:color="999999"/>
              <w:right w:val="single" w:sz="4" w:space="0" w:color="999999"/>
            </w:tcBorders>
            <w:shd w:val="clear" w:color="auto" w:fill="F2F2F2"/>
          </w:tcPr>
          <w:p w14:paraId="779ADBC9" w14:textId="77777777" w:rsidR="004207D6" w:rsidRDefault="008E15B6">
            <w:pPr>
              <w:spacing w:after="60"/>
              <w:jc w:val="center"/>
            </w:pPr>
            <w:r>
              <w:rPr>
                <w:color w:val="000000"/>
                <w:sz w:val="24"/>
                <w:szCs w:val="24"/>
              </w:rPr>
              <w:t>Board Size</w:t>
            </w:r>
          </w:p>
        </w:tc>
        <w:tc>
          <w:tcPr>
            <w:tcW w:w="900" w:type="dxa"/>
            <w:tcBorders>
              <w:top w:val="single" w:sz="4" w:space="0" w:color="999999"/>
              <w:left w:val="single" w:sz="4" w:space="0" w:color="999999"/>
              <w:bottom w:val="single" w:sz="4" w:space="0" w:color="999999"/>
              <w:right w:val="single" w:sz="4" w:space="0" w:color="999999"/>
            </w:tcBorders>
            <w:shd w:val="clear" w:color="auto" w:fill="F2F2F2"/>
          </w:tcPr>
          <w:p w14:paraId="779ADBCA" w14:textId="77777777" w:rsidR="004207D6" w:rsidRDefault="008E15B6">
            <w:pPr>
              <w:spacing w:after="60"/>
              <w:jc w:val="center"/>
            </w:pPr>
            <w:r>
              <w:rPr>
                <w:color w:val="000000"/>
                <w:sz w:val="24"/>
                <w:szCs w:val="24"/>
              </w:rPr>
              <w:t>BSIZE</w:t>
            </w:r>
          </w:p>
        </w:tc>
        <w:tc>
          <w:tcPr>
            <w:tcW w:w="900" w:type="dxa"/>
            <w:tcBorders>
              <w:top w:val="single" w:sz="4" w:space="0" w:color="999999"/>
              <w:left w:val="single" w:sz="4" w:space="0" w:color="999999"/>
              <w:bottom w:val="single" w:sz="4" w:space="0" w:color="999999"/>
              <w:right w:val="single" w:sz="4" w:space="0" w:color="999999"/>
            </w:tcBorders>
            <w:shd w:val="clear" w:color="auto" w:fill="F2F2F2"/>
          </w:tcPr>
          <w:p w14:paraId="779ADBCB" w14:textId="77777777" w:rsidR="004207D6" w:rsidRDefault="008E15B6">
            <w:pPr>
              <w:spacing w:after="60"/>
              <w:jc w:val="center"/>
            </w:pPr>
            <w:r>
              <w:rPr>
                <w:color w:val="000000"/>
                <w:sz w:val="24"/>
                <w:szCs w:val="24"/>
              </w:rPr>
              <w:t>Continuous</w:t>
            </w:r>
          </w:p>
        </w:tc>
        <w:tc>
          <w:tcPr>
            <w:tcW w:w="2800" w:type="dxa"/>
            <w:tcBorders>
              <w:top w:val="single" w:sz="4" w:space="0" w:color="999999"/>
              <w:left w:val="single" w:sz="4" w:space="0" w:color="999999"/>
              <w:bottom w:val="single" w:sz="4" w:space="0" w:color="999999"/>
              <w:right w:val="single" w:sz="4" w:space="0" w:color="999999"/>
            </w:tcBorders>
            <w:shd w:val="clear" w:color="auto" w:fill="F2F2F2"/>
          </w:tcPr>
          <w:p w14:paraId="779ADBCC" w14:textId="77777777" w:rsidR="004207D6" w:rsidRDefault="008E15B6">
            <w:pPr>
              <w:spacing w:after="60"/>
              <w:jc w:val="center"/>
            </w:pPr>
            <w:r>
              <w:rPr>
                <w:color w:val="000000"/>
                <w:sz w:val="24"/>
                <w:szCs w:val="24"/>
              </w:rPr>
              <w:t>Total director count</w:t>
            </w:r>
          </w:p>
        </w:tc>
        <w:tc>
          <w:tcPr>
            <w:tcW w:w="1400" w:type="dxa"/>
            <w:tcBorders>
              <w:top w:val="single" w:sz="4" w:space="0" w:color="999999"/>
              <w:left w:val="single" w:sz="4" w:space="0" w:color="999999"/>
              <w:bottom w:val="single" w:sz="4" w:space="0" w:color="999999"/>
              <w:right w:val="single" w:sz="4" w:space="0" w:color="999999"/>
            </w:tcBorders>
            <w:shd w:val="clear" w:color="auto" w:fill="F2F2F2"/>
          </w:tcPr>
          <w:p w14:paraId="779ADBCD" w14:textId="77777777" w:rsidR="004207D6" w:rsidRDefault="008E15B6">
            <w:pPr>
              <w:spacing w:after="60"/>
              <w:jc w:val="center"/>
            </w:pPr>
            <w:r>
              <w:rPr>
                <w:color w:val="000000"/>
                <w:sz w:val="24"/>
                <w:szCs w:val="24"/>
              </w:rPr>
              <w:t>Annual Report</w:t>
            </w:r>
          </w:p>
        </w:tc>
      </w:tr>
      <w:tr w:rsidR="004207D6" w14:paraId="779ADBD4" w14:textId="77777777">
        <w:tc>
          <w:tcPr>
            <w:tcW w:w="1300" w:type="dxa"/>
            <w:tcBorders>
              <w:top w:val="single" w:sz="4" w:space="0" w:color="999999"/>
              <w:left w:val="single" w:sz="4" w:space="0" w:color="999999"/>
              <w:bottom w:val="single" w:sz="4" w:space="0" w:color="999999"/>
              <w:right w:val="single" w:sz="4" w:space="0" w:color="999999"/>
            </w:tcBorders>
            <w:shd w:val="clear" w:color="auto" w:fill="FFFFFF"/>
          </w:tcPr>
          <w:p w14:paraId="779ADBCF" w14:textId="77777777" w:rsidR="004207D6" w:rsidRDefault="008E15B6">
            <w:pPr>
              <w:spacing w:after="60"/>
              <w:jc w:val="center"/>
            </w:pPr>
            <w:r>
              <w:rPr>
                <w:color w:val="000000"/>
                <w:sz w:val="24"/>
                <w:szCs w:val="24"/>
              </w:rPr>
              <w:t>Gender Diversity</w:t>
            </w:r>
          </w:p>
        </w:tc>
        <w:tc>
          <w:tcPr>
            <w:tcW w:w="900" w:type="dxa"/>
            <w:tcBorders>
              <w:top w:val="single" w:sz="4" w:space="0" w:color="999999"/>
              <w:left w:val="single" w:sz="4" w:space="0" w:color="999999"/>
              <w:bottom w:val="single" w:sz="4" w:space="0" w:color="999999"/>
              <w:right w:val="single" w:sz="4" w:space="0" w:color="999999"/>
            </w:tcBorders>
            <w:shd w:val="clear" w:color="auto" w:fill="FFFFFF"/>
          </w:tcPr>
          <w:p w14:paraId="779ADBD0" w14:textId="77777777" w:rsidR="004207D6" w:rsidRDefault="008E15B6">
            <w:pPr>
              <w:spacing w:after="60"/>
              <w:jc w:val="center"/>
            </w:pPr>
            <w:r>
              <w:rPr>
                <w:color w:val="000000"/>
                <w:sz w:val="24"/>
                <w:szCs w:val="24"/>
              </w:rPr>
              <w:t>GEND_PCT</w:t>
            </w:r>
          </w:p>
        </w:tc>
        <w:tc>
          <w:tcPr>
            <w:tcW w:w="900" w:type="dxa"/>
            <w:tcBorders>
              <w:top w:val="single" w:sz="4" w:space="0" w:color="999999"/>
              <w:left w:val="single" w:sz="4" w:space="0" w:color="999999"/>
              <w:bottom w:val="single" w:sz="4" w:space="0" w:color="999999"/>
              <w:right w:val="single" w:sz="4" w:space="0" w:color="999999"/>
            </w:tcBorders>
            <w:shd w:val="clear" w:color="auto" w:fill="FFFFFF"/>
          </w:tcPr>
          <w:p w14:paraId="779ADBD1" w14:textId="77777777" w:rsidR="004207D6" w:rsidRDefault="008E15B6">
            <w:pPr>
              <w:spacing w:after="60"/>
              <w:jc w:val="center"/>
            </w:pPr>
            <w:r>
              <w:rPr>
                <w:color w:val="000000"/>
                <w:sz w:val="24"/>
                <w:szCs w:val="24"/>
              </w:rPr>
              <w:t>Continuous</w:t>
            </w:r>
          </w:p>
        </w:tc>
        <w:tc>
          <w:tcPr>
            <w:tcW w:w="2800" w:type="dxa"/>
            <w:tcBorders>
              <w:top w:val="single" w:sz="4" w:space="0" w:color="999999"/>
              <w:left w:val="single" w:sz="4" w:space="0" w:color="999999"/>
              <w:bottom w:val="single" w:sz="4" w:space="0" w:color="999999"/>
              <w:right w:val="single" w:sz="4" w:space="0" w:color="999999"/>
            </w:tcBorders>
            <w:shd w:val="clear" w:color="auto" w:fill="FFFFFF"/>
          </w:tcPr>
          <w:p w14:paraId="779ADBD2" w14:textId="77777777" w:rsidR="004207D6" w:rsidRDefault="008E15B6">
            <w:pPr>
              <w:spacing w:after="60"/>
              <w:jc w:val="center"/>
            </w:pPr>
            <w:r>
              <w:rPr>
                <w:color w:val="000000"/>
                <w:sz w:val="24"/>
                <w:szCs w:val="24"/>
              </w:rPr>
              <w:t>% female directors</w:t>
            </w:r>
          </w:p>
        </w:tc>
        <w:tc>
          <w:tcPr>
            <w:tcW w:w="1400" w:type="dxa"/>
            <w:tcBorders>
              <w:top w:val="single" w:sz="4" w:space="0" w:color="999999"/>
              <w:left w:val="single" w:sz="4" w:space="0" w:color="999999"/>
              <w:bottom w:val="single" w:sz="4" w:space="0" w:color="999999"/>
              <w:right w:val="single" w:sz="4" w:space="0" w:color="999999"/>
            </w:tcBorders>
            <w:shd w:val="clear" w:color="auto" w:fill="FFFFFF"/>
          </w:tcPr>
          <w:p w14:paraId="779ADBD3" w14:textId="77777777" w:rsidR="004207D6" w:rsidRDefault="008E15B6">
            <w:pPr>
              <w:spacing w:after="60"/>
              <w:jc w:val="center"/>
            </w:pPr>
            <w:r>
              <w:rPr>
                <w:color w:val="000000"/>
                <w:sz w:val="24"/>
                <w:szCs w:val="24"/>
              </w:rPr>
              <w:t>Annual Report</w:t>
            </w:r>
          </w:p>
        </w:tc>
      </w:tr>
      <w:tr w:rsidR="004207D6" w14:paraId="779ADBDA" w14:textId="77777777">
        <w:tc>
          <w:tcPr>
            <w:tcW w:w="1300" w:type="dxa"/>
            <w:tcBorders>
              <w:top w:val="single" w:sz="4" w:space="0" w:color="999999"/>
              <w:left w:val="single" w:sz="4" w:space="0" w:color="999999"/>
              <w:bottom w:val="single" w:sz="4" w:space="0" w:color="999999"/>
              <w:right w:val="single" w:sz="4" w:space="0" w:color="999999"/>
            </w:tcBorders>
            <w:shd w:val="clear" w:color="auto" w:fill="F2F2F2"/>
          </w:tcPr>
          <w:p w14:paraId="779ADBD5" w14:textId="77777777" w:rsidR="004207D6" w:rsidRDefault="008E15B6">
            <w:pPr>
              <w:spacing w:after="60"/>
              <w:jc w:val="center"/>
            </w:pPr>
            <w:r>
              <w:rPr>
                <w:color w:val="000000"/>
                <w:sz w:val="24"/>
                <w:szCs w:val="24"/>
              </w:rPr>
              <w:t>Qualification Level</w:t>
            </w:r>
          </w:p>
        </w:tc>
        <w:tc>
          <w:tcPr>
            <w:tcW w:w="900" w:type="dxa"/>
            <w:tcBorders>
              <w:top w:val="single" w:sz="4" w:space="0" w:color="999999"/>
              <w:left w:val="single" w:sz="4" w:space="0" w:color="999999"/>
              <w:bottom w:val="single" w:sz="4" w:space="0" w:color="999999"/>
              <w:right w:val="single" w:sz="4" w:space="0" w:color="999999"/>
            </w:tcBorders>
            <w:shd w:val="clear" w:color="auto" w:fill="F2F2F2"/>
          </w:tcPr>
          <w:p w14:paraId="779ADBD6" w14:textId="77777777" w:rsidR="004207D6" w:rsidRDefault="008E15B6">
            <w:pPr>
              <w:spacing w:after="60"/>
              <w:jc w:val="center"/>
            </w:pPr>
            <w:r>
              <w:rPr>
                <w:color w:val="000000"/>
                <w:sz w:val="24"/>
                <w:szCs w:val="24"/>
              </w:rPr>
              <w:t>QUAL_PCT</w:t>
            </w:r>
          </w:p>
        </w:tc>
        <w:tc>
          <w:tcPr>
            <w:tcW w:w="900" w:type="dxa"/>
            <w:tcBorders>
              <w:top w:val="single" w:sz="4" w:space="0" w:color="999999"/>
              <w:left w:val="single" w:sz="4" w:space="0" w:color="999999"/>
              <w:bottom w:val="single" w:sz="4" w:space="0" w:color="999999"/>
              <w:right w:val="single" w:sz="4" w:space="0" w:color="999999"/>
            </w:tcBorders>
            <w:shd w:val="clear" w:color="auto" w:fill="F2F2F2"/>
          </w:tcPr>
          <w:p w14:paraId="779ADBD7" w14:textId="77777777" w:rsidR="004207D6" w:rsidRDefault="008E15B6">
            <w:pPr>
              <w:spacing w:after="60"/>
              <w:jc w:val="center"/>
            </w:pPr>
            <w:r>
              <w:rPr>
                <w:color w:val="000000"/>
                <w:sz w:val="24"/>
                <w:szCs w:val="24"/>
              </w:rPr>
              <w:t>Continuous</w:t>
            </w:r>
          </w:p>
        </w:tc>
        <w:tc>
          <w:tcPr>
            <w:tcW w:w="2800" w:type="dxa"/>
            <w:tcBorders>
              <w:top w:val="single" w:sz="4" w:space="0" w:color="999999"/>
              <w:left w:val="single" w:sz="4" w:space="0" w:color="999999"/>
              <w:bottom w:val="single" w:sz="4" w:space="0" w:color="999999"/>
              <w:right w:val="single" w:sz="4" w:space="0" w:color="999999"/>
            </w:tcBorders>
            <w:shd w:val="clear" w:color="auto" w:fill="F2F2F2"/>
          </w:tcPr>
          <w:p w14:paraId="779ADBD8" w14:textId="77777777" w:rsidR="004207D6" w:rsidRDefault="008E15B6">
            <w:pPr>
              <w:spacing w:after="60"/>
              <w:jc w:val="center"/>
            </w:pPr>
            <w:r>
              <w:rPr>
                <w:color w:val="000000"/>
                <w:sz w:val="24"/>
                <w:szCs w:val="24"/>
              </w:rPr>
              <w:t>% postgrad directors</w:t>
            </w:r>
          </w:p>
        </w:tc>
        <w:tc>
          <w:tcPr>
            <w:tcW w:w="1400" w:type="dxa"/>
            <w:tcBorders>
              <w:top w:val="single" w:sz="4" w:space="0" w:color="999999"/>
              <w:left w:val="single" w:sz="4" w:space="0" w:color="999999"/>
              <w:bottom w:val="single" w:sz="4" w:space="0" w:color="999999"/>
              <w:right w:val="single" w:sz="4" w:space="0" w:color="999999"/>
            </w:tcBorders>
            <w:shd w:val="clear" w:color="auto" w:fill="F2F2F2"/>
          </w:tcPr>
          <w:p w14:paraId="779ADBD9" w14:textId="77777777" w:rsidR="004207D6" w:rsidRDefault="008E15B6">
            <w:pPr>
              <w:spacing w:after="60"/>
              <w:jc w:val="center"/>
            </w:pPr>
            <w:r>
              <w:rPr>
                <w:color w:val="000000"/>
                <w:sz w:val="24"/>
                <w:szCs w:val="24"/>
              </w:rPr>
              <w:t>Annual Report</w:t>
            </w:r>
          </w:p>
        </w:tc>
      </w:tr>
      <w:tr w:rsidR="004207D6" w14:paraId="779ADBE0" w14:textId="77777777">
        <w:tc>
          <w:tcPr>
            <w:tcW w:w="1300" w:type="dxa"/>
            <w:tcBorders>
              <w:top w:val="single" w:sz="4" w:space="0" w:color="999999"/>
              <w:left w:val="single" w:sz="4" w:space="0" w:color="999999"/>
              <w:bottom w:val="single" w:sz="4" w:space="0" w:color="999999"/>
              <w:right w:val="single" w:sz="4" w:space="0" w:color="999999"/>
            </w:tcBorders>
            <w:shd w:val="clear" w:color="auto" w:fill="FFFFFF"/>
          </w:tcPr>
          <w:p w14:paraId="779ADBDB" w14:textId="77777777" w:rsidR="004207D6" w:rsidRDefault="008E15B6">
            <w:pPr>
              <w:spacing w:after="60"/>
              <w:jc w:val="center"/>
            </w:pPr>
            <w:r>
              <w:rPr>
                <w:color w:val="000000"/>
                <w:sz w:val="24"/>
                <w:szCs w:val="24"/>
              </w:rPr>
              <w:t>CEO Duality</w:t>
            </w:r>
          </w:p>
        </w:tc>
        <w:tc>
          <w:tcPr>
            <w:tcW w:w="900" w:type="dxa"/>
            <w:tcBorders>
              <w:top w:val="single" w:sz="4" w:space="0" w:color="999999"/>
              <w:left w:val="single" w:sz="4" w:space="0" w:color="999999"/>
              <w:bottom w:val="single" w:sz="4" w:space="0" w:color="999999"/>
              <w:right w:val="single" w:sz="4" w:space="0" w:color="999999"/>
            </w:tcBorders>
            <w:shd w:val="clear" w:color="auto" w:fill="FFFFFF"/>
          </w:tcPr>
          <w:p w14:paraId="779ADBDC" w14:textId="77777777" w:rsidR="004207D6" w:rsidRDefault="008E15B6">
            <w:pPr>
              <w:spacing w:after="60"/>
              <w:jc w:val="center"/>
            </w:pPr>
            <w:r>
              <w:rPr>
                <w:color w:val="000000"/>
                <w:sz w:val="24"/>
                <w:szCs w:val="24"/>
              </w:rPr>
              <w:t>DUAL</w:t>
            </w:r>
          </w:p>
        </w:tc>
        <w:tc>
          <w:tcPr>
            <w:tcW w:w="900" w:type="dxa"/>
            <w:tcBorders>
              <w:top w:val="single" w:sz="4" w:space="0" w:color="999999"/>
              <w:left w:val="single" w:sz="4" w:space="0" w:color="999999"/>
              <w:bottom w:val="single" w:sz="4" w:space="0" w:color="999999"/>
              <w:right w:val="single" w:sz="4" w:space="0" w:color="999999"/>
            </w:tcBorders>
            <w:shd w:val="clear" w:color="auto" w:fill="FFFFFF"/>
          </w:tcPr>
          <w:p w14:paraId="779ADBDD" w14:textId="77777777" w:rsidR="004207D6" w:rsidRDefault="008E15B6">
            <w:pPr>
              <w:spacing w:after="60"/>
              <w:jc w:val="center"/>
            </w:pPr>
            <w:r>
              <w:rPr>
                <w:color w:val="000000"/>
                <w:sz w:val="24"/>
                <w:szCs w:val="24"/>
              </w:rPr>
              <w:t>Binary</w:t>
            </w:r>
          </w:p>
        </w:tc>
        <w:tc>
          <w:tcPr>
            <w:tcW w:w="2800" w:type="dxa"/>
            <w:tcBorders>
              <w:top w:val="single" w:sz="4" w:space="0" w:color="999999"/>
              <w:left w:val="single" w:sz="4" w:space="0" w:color="999999"/>
              <w:bottom w:val="single" w:sz="4" w:space="0" w:color="999999"/>
              <w:right w:val="single" w:sz="4" w:space="0" w:color="999999"/>
            </w:tcBorders>
            <w:shd w:val="clear" w:color="auto" w:fill="FFFFFF"/>
          </w:tcPr>
          <w:p w14:paraId="779ADBDE" w14:textId="77777777" w:rsidR="004207D6" w:rsidRDefault="008E15B6">
            <w:pPr>
              <w:spacing w:after="60"/>
              <w:jc w:val="center"/>
            </w:pPr>
            <w:r>
              <w:rPr>
                <w:color w:val="000000"/>
                <w:sz w:val="24"/>
                <w:szCs w:val="24"/>
              </w:rPr>
              <w:t>1 = combined, 0 = separate</w:t>
            </w:r>
          </w:p>
        </w:tc>
        <w:tc>
          <w:tcPr>
            <w:tcW w:w="1400" w:type="dxa"/>
            <w:tcBorders>
              <w:top w:val="single" w:sz="4" w:space="0" w:color="999999"/>
              <w:left w:val="single" w:sz="4" w:space="0" w:color="999999"/>
              <w:bottom w:val="single" w:sz="4" w:space="0" w:color="999999"/>
              <w:right w:val="single" w:sz="4" w:space="0" w:color="999999"/>
            </w:tcBorders>
            <w:shd w:val="clear" w:color="auto" w:fill="FFFFFF"/>
          </w:tcPr>
          <w:p w14:paraId="779ADBDF" w14:textId="77777777" w:rsidR="004207D6" w:rsidRDefault="008E15B6">
            <w:pPr>
              <w:spacing w:after="60"/>
              <w:jc w:val="center"/>
            </w:pPr>
            <w:r>
              <w:rPr>
                <w:color w:val="000000"/>
                <w:sz w:val="24"/>
                <w:szCs w:val="24"/>
              </w:rPr>
              <w:t>Annual Report</w:t>
            </w:r>
          </w:p>
        </w:tc>
      </w:tr>
      <w:tr w:rsidR="004207D6" w14:paraId="779ADBE6" w14:textId="77777777">
        <w:tc>
          <w:tcPr>
            <w:tcW w:w="1300" w:type="dxa"/>
            <w:tcBorders>
              <w:top w:val="single" w:sz="4" w:space="0" w:color="999999"/>
              <w:left w:val="single" w:sz="4" w:space="0" w:color="999999"/>
              <w:bottom w:val="single" w:sz="4" w:space="0" w:color="999999"/>
              <w:right w:val="single" w:sz="4" w:space="0" w:color="999999"/>
            </w:tcBorders>
            <w:shd w:val="clear" w:color="auto" w:fill="F2F2F2"/>
          </w:tcPr>
          <w:p w14:paraId="779ADBE1" w14:textId="77777777" w:rsidR="004207D6" w:rsidRDefault="008E15B6">
            <w:pPr>
              <w:spacing w:after="60"/>
              <w:jc w:val="center"/>
            </w:pPr>
            <w:r>
              <w:rPr>
                <w:color w:val="000000"/>
                <w:sz w:val="24"/>
                <w:szCs w:val="24"/>
              </w:rPr>
              <w:t>NED Proportion</w:t>
            </w:r>
          </w:p>
        </w:tc>
        <w:tc>
          <w:tcPr>
            <w:tcW w:w="900" w:type="dxa"/>
            <w:tcBorders>
              <w:top w:val="single" w:sz="4" w:space="0" w:color="999999"/>
              <w:left w:val="single" w:sz="4" w:space="0" w:color="999999"/>
              <w:bottom w:val="single" w:sz="4" w:space="0" w:color="999999"/>
              <w:right w:val="single" w:sz="4" w:space="0" w:color="999999"/>
            </w:tcBorders>
            <w:shd w:val="clear" w:color="auto" w:fill="F2F2F2"/>
          </w:tcPr>
          <w:p w14:paraId="779ADBE2" w14:textId="77777777" w:rsidR="004207D6" w:rsidRDefault="008E15B6">
            <w:pPr>
              <w:spacing w:after="60"/>
              <w:jc w:val="center"/>
            </w:pPr>
            <w:r>
              <w:rPr>
                <w:color w:val="000000"/>
                <w:sz w:val="24"/>
                <w:szCs w:val="24"/>
              </w:rPr>
              <w:t>NED_PCT</w:t>
            </w:r>
          </w:p>
        </w:tc>
        <w:tc>
          <w:tcPr>
            <w:tcW w:w="900" w:type="dxa"/>
            <w:tcBorders>
              <w:top w:val="single" w:sz="4" w:space="0" w:color="999999"/>
              <w:left w:val="single" w:sz="4" w:space="0" w:color="999999"/>
              <w:bottom w:val="single" w:sz="4" w:space="0" w:color="999999"/>
              <w:right w:val="single" w:sz="4" w:space="0" w:color="999999"/>
            </w:tcBorders>
            <w:shd w:val="clear" w:color="auto" w:fill="F2F2F2"/>
          </w:tcPr>
          <w:p w14:paraId="779ADBE3" w14:textId="77777777" w:rsidR="004207D6" w:rsidRDefault="008E15B6">
            <w:pPr>
              <w:spacing w:after="60"/>
              <w:jc w:val="center"/>
            </w:pPr>
            <w:r>
              <w:rPr>
                <w:color w:val="000000"/>
                <w:sz w:val="24"/>
                <w:szCs w:val="24"/>
              </w:rPr>
              <w:t>Continuous</w:t>
            </w:r>
          </w:p>
        </w:tc>
        <w:tc>
          <w:tcPr>
            <w:tcW w:w="2800" w:type="dxa"/>
            <w:tcBorders>
              <w:top w:val="single" w:sz="4" w:space="0" w:color="999999"/>
              <w:left w:val="single" w:sz="4" w:space="0" w:color="999999"/>
              <w:bottom w:val="single" w:sz="4" w:space="0" w:color="999999"/>
              <w:right w:val="single" w:sz="4" w:space="0" w:color="999999"/>
            </w:tcBorders>
            <w:shd w:val="clear" w:color="auto" w:fill="F2F2F2"/>
          </w:tcPr>
          <w:p w14:paraId="779ADBE4" w14:textId="77777777" w:rsidR="004207D6" w:rsidRDefault="008E15B6">
            <w:pPr>
              <w:spacing w:after="60"/>
              <w:jc w:val="center"/>
            </w:pPr>
            <w:r>
              <w:rPr>
                <w:color w:val="000000"/>
                <w:sz w:val="24"/>
                <w:szCs w:val="24"/>
              </w:rPr>
              <w:t>% non-exec directors</w:t>
            </w:r>
          </w:p>
        </w:tc>
        <w:tc>
          <w:tcPr>
            <w:tcW w:w="1400" w:type="dxa"/>
            <w:tcBorders>
              <w:top w:val="single" w:sz="4" w:space="0" w:color="999999"/>
              <w:left w:val="single" w:sz="4" w:space="0" w:color="999999"/>
              <w:bottom w:val="single" w:sz="4" w:space="0" w:color="999999"/>
              <w:right w:val="single" w:sz="4" w:space="0" w:color="999999"/>
            </w:tcBorders>
            <w:shd w:val="clear" w:color="auto" w:fill="F2F2F2"/>
          </w:tcPr>
          <w:p w14:paraId="779ADBE5" w14:textId="77777777" w:rsidR="004207D6" w:rsidRDefault="008E15B6">
            <w:pPr>
              <w:spacing w:after="60"/>
              <w:jc w:val="center"/>
            </w:pPr>
            <w:r>
              <w:rPr>
                <w:color w:val="000000"/>
                <w:sz w:val="24"/>
                <w:szCs w:val="24"/>
              </w:rPr>
              <w:t>Annual Report</w:t>
            </w:r>
          </w:p>
        </w:tc>
      </w:tr>
      <w:tr w:rsidR="004207D6" w14:paraId="779ADBEC" w14:textId="77777777">
        <w:tc>
          <w:tcPr>
            <w:tcW w:w="1300" w:type="dxa"/>
            <w:tcBorders>
              <w:top w:val="single" w:sz="4" w:space="0" w:color="999999"/>
              <w:left w:val="single" w:sz="4" w:space="0" w:color="999999"/>
              <w:bottom w:val="single" w:sz="4" w:space="0" w:color="999999"/>
              <w:right w:val="single" w:sz="4" w:space="0" w:color="999999"/>
            </w:tcBorders>
            <w:shd w:val="clear" w:color="auto" w:fill="FFFFFF"/>
          </w:tcPr>
          <w:p w14:paraId="779ADBE7" w14:textId="77777777" w:rsidR="004207D6" w:rsidRDefault="008E15B6">
            <w:pPr>
              <w:spacing w:after="60"/>
              <w:jc w:val="center"/>
            </w:pPr>
            <w:r>
              <w:rPr>
                <w:color w:val="000000"/>
                <w:sz w:val="24"/>
                <w:szCs w:val="24"/>
              </w:rPr>
              <w:t>Return on Assets</w:t>
            </w:r>
          </w:p>
        </w:tc>
        <w:tc>
          <w:tcPr>
            <w:tcW w:w="900" w:type="dxa"/>
            <w:tcBorders>
              <w:top w:val="single" w:sz="4" w:space="0" w:color="999999"/>
              <w:left w:val="single" w:sz="4" w:space="0" w:color="999999"/>
              <w:bottom w:val="single" w:sz="4" w:space="0" w:color="999999"/>
              <w:right w:val="single" w:sz="4" w:space="0" w:color="999999"/>
            </w:tcBorders>
            <w:shd w:val="clear" w:color="auto" w:fill="FFFFFF"/>
          </w:tcPr>
          <w:p w14:paraId="779ADBE8" w14:textId="77777777" w:rsidR="004207D6" w:rsidRDefault="008E15B6">
            <w:pPr>
              <w:spacing w:after="60"/>
              <w:jc w:val="center"/>
            </w:pPr>
            <w:r>
              <w:rPr>
                <w:color w:val="000000"/>
                <w:sz w:val="24"/>
                <w:szCs w:val="24"/>
              </w:rPr>
              <w:t>ROA_PCT</w:t>
            </w:r>
          </w:p>
        </w:tc>
        <w:tc>
          <w:tcPr>
            <w:tcW w:w="900" w:type="dxa"/>
            <w:tcBorders>
              <w:top w:val="single" w:sz="4" w:space="0" w:color="999999"/>
              <w:left w:val="single" w:sz="4" w:space="0" w:color="999999"/>
              <w:bottom w:val="single" w:sz="4" w:space="0" w:color="999999"/>
              <w:right w:val="single" w:sz="4" w:space="0" w:color="999999"/>
            </w:tcBorders>
            <w:shd w:val="clear" w:color="auto" w:fill="FFFFFF"/>
          </w:tcPr>
          <w:p w14:paraId="779ADBE9" w14:textId="77777777" w:rsidR="004207D6" w:rsidRDefault="008E15B6">
            <w:pPr>
              <w:spacing w:after="60"/>
              <w:jc w:val="center"/>
            </w:pPr>
            <w:r>
              <w:rPr>
                <w:color w:val="000000"/>
                <w:sz w:val="24"/>
                <w:szCs w:val="24"/>
              </w:rPr>
              <w:t>Continuous</w:t>
            </w:r>
          </w:p>
        </w:tc>
        <w:tc>
          <w:tcPr>
            <w:tcW w:w="2800" w:type="dxa"/>
            <w:tcBorders>
              <w:top w:val="single" w:sz="4" w:space="0" w:color="999999"/>
              <w:left w:val="single" w:sz="4" w:space="0" w:color="999999"/>
              <w:bottom w:val="single" w:sz="4" w:space="0" w:color="999999"/>
              <w:right w:val="single" w:sz="4" w:space="0" w:color="999999"/>
            </w:tcBorders>
            <w:shd w:val="clear" w:color="auto" w:fill="FFFFFF"/>
          </w:tcPr>
          <w:p w14:paraId="779ADBEA" w14:textId="77777777" w:rsidR="004207D6" w:rsidRDefault="008E15B6">
            <w:pPr>
              <w:spacing w:after="60"/>
              <w:jc w:val="center"/>
            </w:pPr>
            <w:r>
              <w:rPr>
                <w:color w:val="000000"/>
                <w:sz w:val="24"/>
                <w:szCs w:val="24"/>
              </w:rPr>
              <w:t>Profit before tax / Total assets</w:t>
            </w:r>
          </w:p>
        </w:tc>
        <w:tc>
          <w:tcPr>
            <w:tcW w:w="1400" w:type="dxa"/>
            <w:tcBorders>
              <w:top w:val="single" w:sz="4" w:space="0" w:color="999999"/>
              <w:left w:val="single" w:sz="4" w:space="0" w:color="999999"/>
              <w:bottom w:val="single" w:sz="4" w:space="0" w:color="999999"/>
              <w:right w:val="single" w:sz="4" w:space="0" w:color="999999"/>
            </w:tcBorders>
            <w:shd w:val="clear" w:color="auto" w:fill="FFFFFF"/>
          </w:tcPr>
          <w:p w14:paraId="779ADBEB" w14:textId="77777777" w:rsidR="004207D6" w:rsidRDefault="008E15B6">
            <w:pPr>
              <w:spacing w:after="60"/>
              <w:jc w:val="center"/>
            </w:pPr>
            <w:r>
              <w:rPr>
                <w:color w:val="000000"/>
                <w:sz w:val="24"/>
                <w:szCs w:val="24"/>
              </w:rPr>
              <w:t>Annual Report</w:t>
            </w:r>
          </w:p>
        </w:tc>
      </w:tr>
      <w:tr w:rsidR="004207D6" w14:paraId="779ADBF2" w14:textId="77777777">
        <w:tc>
          <w:tcPr>
            <w:tcW w:w="1300" w:type="dxa"/>
            <w:tcBorders>
              <w:top w:val="single" w:sz="4" w:space="0" w:color="999999"/>
              <w:left w:val="single" w:sz="4" w:space="0" w:color="999999"/>
              <w:bottom w:val="single" w:sz="4" w:space="0" w:color="999999"/>
              <w:right w:val="single" w:sz="4" w:space="0" w:color="999999"/>
            </w:tcBorders>
            <w:shd w:val="clear" w:color="auto" w:fill="F2F2F2"/>
          </w:tcPr>
          <w:p w14:paraId="779ADBED" w14:textId="77777777" w:rsidR="004207D6" w:rsidRDefault="008E15B6">
            <w:pPr>
              <w:spacing w:after="60"/>
              <w:jc w:val="center"/>
            </w:pPr>
            <w:r>
              <w:rPr>
                <w:color w:val="000000"/>
                <w:sz w:val="24"/>
                <w:szCs w:val="24"/>
              </w:rPr>
              <w:t>Return on Equity</w:t>
            </w:r>
          </w:p>
        </w:tc>
        <w:tc>
          <w:tcPr>
            <w:tcW w:w="900" w:type="dxa"/>
            <w:tcBorders>
              <w:top w:val="single" w:sz="4" w:space="0" w:color="999999"/>
              <w:left w:val="single" w:sz="4" w:space="0" w:color="999999"/>
              <w:bottom w:val="single" w:sz="4" w:space="0" w:color="999999"/>
              <w:right w:val="single" w:sz="4" w:space="0" w:color="999999"/>
            </w:tcBorders>
            <w:shd w:val="clear" w:color="auto" w:fill="F2F2F2"/>
          </w:tcPr>
          <w:p w14:paraId="779ADBEE" w14:textId="77777777" w:rsidR="004207D6" w:rsidRDefault="008E15B6">
            <w:pPr>
              <w:spacing w:after="60"/>
              <w:jc w:val="center"/>
            </w:pPr>
            <w:r>
              <w:rPr>
                <w:color w:val="000000"/>
                <w:sz w:val="24"/>
                <w:szCs w:val="24"/>
              </w:rPr>
              <w:t>ROE_PCT</w:t>
            </w:r>
          </w:p>
        </w:tc>
        <w:tc>
          <w:tcPr>
            <w:tcW w:w="900" w:type="dxa"/>
            <w:tcBorders>
              <w:top w:val="single" w:sz="4" w:space="0" w:color="999999"/>
              <w:left w:val="single" w:sz="4" w:space="0" w:color="999999"/>
              <w:bottom w:val="single" w:sz="4" w:space="0" w:color="999999"/>
              <w:right w:val="single" w:sz="4" w:space="0" w:color="999999"/>
            </w:tcBorders>
            <w:shd w:val="clear" w:color="auto" w:fill="F2F2F2"/>
          </w:tcPr>
          <w:p w14:paraId="779ADBEF" w14:textId="77777777" w:rsidR="004207D6" w:rsidRDefault="008E15B6">
            <w:pPr>
              <w:spacing w:after="60"/>
              <w:jc w:val="center"/>
            </w:pPr>
            <w:r>
              <w:rPr>
                <w:color w:val="000000"/>
                <w:sz w:val="24"/>
                <w:szCs w:val="24"/>
              </w:rPr>
              <w:t>Continuous</w:t>
            </w:r>
          </w:p>
        </w:tc>
        <w:tc>
          <w:tcPr>
            <w:tcW w:w="2800" w:type="dxa"/>
            <w:tcBorders>
              <w:top w:val="single" w:sz="4" w:space="0" w:color="999999"/>
              <w:left w:val="single" w:sz="4" w:space="0" w:color="999999"/>
              <w:bottom w:val="single" w:sz="4" w:space="0" w:color="999999"/>
              <w:right w:val="single" w:sz="4" w:space="0" w:color="999999"/>
            </w:tcBorders>
            <w:shd w:val="clear" w:color="auto" w:fill="F2F2F2"/>
          </w:tcPr>
          <w:p w14:paraId="779ADBF0" w14:textId="77777777" w:rsidR="004207D6" w:rsidRDefault="008E15B6">
            <w:pPr>
              <w:spacing w:after="60"/>
              <w:jc w:val="center"/>
            </w:pPr>
            <w:r>
              <w:rPr>
                <w:color w:val="000000"/>
                <w:sz w:val="24"/>
                <w:szCs w:val="24"/>
              </w:rPr>
              <w:t>Profit before tax / Total equity</w:t>
            </w:r>
          </w:p>
        </w:tc>
        <w:tc>
          <w:tcPr>
            <w:tcW w:w="1400" w:type="dxa"/>
            <w:tcBorders>
              <w:top w:val="single" w:sz="4" w:space="0" w:color="999999"/>
              <w:left w:val="single" w:sz="4" w:space="0" w:color="999999"/>
              <w:bottom w:val="single" w:sz="4" w:space="0" w:color="999999"/>
              <w:right w:val="single" w:sz="4" w:space="0" w:color="999999"/>
            </w:tcBorders>
            <w:shd w:val="clear" w:color="auto" w:fill="F2F2F2"/>
          </w:tcPr>
          <w:p w14:paraId="779ADBF1" w14:textId="77777777" w:rsidR="004207D6" w:rsidRDefault="008E15B6">
            <w:pPr>
              <w:spacing w:after="60"/>
              <w:jc w:val="center"/>
            </w:pPr>
            <w:r>
              <w:rPr>
                <w:color w:val="000000"/>
                <w:sz w:val="24"/>
                <w:szCs w:val="24"/>
              </w:rPr>
              <w:t>Annual Report</w:t>
            </w:r>
          </w:p>
        </w:tc>
      </w:tr>
      <w:tr w:rsidR="004207D6" w14:paraId="779ADBF8" w14:textId="77777777">
        <w:tc>
          <w:tcPr>
            <w:tcW w:w="1300" w:type="dxa"/>
            <w:tcBorders>
              <w:top w:val="single" w:sz="4" w:space="0" w:color="999999"/>
              <w:left w:val="single" w:sz="4" w:space="0" w:color="999999"/>
              <w:bottom w:val="single" w:sz="4" w:space="0" w:color="999999"/>
              <w:right w:val="single" w:sz="4" w:space="0" w:color="999999"/>
            </w:tcBorders>
            <w:shd w:val="clear" w:color="auto" w:fill="FFFFFF"/>
          </w:tcPr>
          <w:p w14:paraId="779ADBF3" w14:textId="77777777" w:rsidR="004207D6" w:rsidRDefault="008E15B6">
            <w:pPr>
              <w:spacing w:after="60"/>
              <w:jc w:val="center"/>
            </w:pPr>
            <w:r>
              <w:rPr>
                <w:color w:val="000000"/>
                <w:sz w:val="24"/>
                <w:szCs w:val="24"/>
              </w:rPr>
              <w:t>Firm Size</w:t>
            </w:r>
          </w:p>
        </w:tc>
        <w:tc>
          <w:tcPr>
            <w:tcW w:w="900" w:type="dxa"/>
            <w:tcBorders>
              <w:top w:val="single" w:sz="4" w:space="0" w:color="999999"/>
              <w:left w:val="single" w:sz="4" w:space="0" w:color="999999"/>
              <w:bottom w:val="single" w:sz="4" w:space="0" w:color="999999"/>
              <w:right w:val="single" w:sz="4" w:space="0" w:color="999999"/>
            </w:tcBorders>
            <w:shd w:val="clear" w:color="auto" w:fill="FFFFFF"/>
          </w:tcPr>
          <w:p w14:paraId="779ADBF4" w14:textId="77777777" w:rsidR="004207D6" w:rsidRDefault="008E15B6">
            <w:pPr>
              <w:spacing w:after="60"/>
              <w:jc w:val="center"/>
            </w:pPr>
            <w:r>
              <w:rPr>
                <w:color w:val="000000"/>
                <w:sz w:val="24"/>
                <w:szCs w:val="24"/>
              </w:rPr>
              <w:t>FSIZE_LN</w:t>
            </w:r>
          </w:p>
        </w:tc>
        <w:tc>
          <w:tcPr>
            <w:tcW w:w="900" w:type="dxa"/>
            <w:tcBorders>
              <w:top w:val="single" w:sz="4" w:space="0" w:color="999999"/>
              <w:left w:val="single" w:sz="4" w:space="0" w:color="999999"/>
              <w:bottom w:val="single" w:sz="4" w:space="0" w:color="999999"/>
              <w:right w:val="single" w:sz="4" w:space="0" w:color="999999"/>
            </w:tcBorders>
            <w:shd w:val="clear" w:color="auto" w:fill="FFFFFF"/>
          </w:tcPr>
          <w:p w14:paraId="779ADBF5" w14:textId="77777777" w:rsidR="004207D6" w:rsidRDefault="008E15B6">
            <w:pPr>
              <w:spacing w:after="60"/>
              <w:jc w:val="center"/>
            </w:pPr>
            <w:r>
              <w:rPr>
                <w:color w:val="000000"/>
                <w:sz w:val="24"/>
                <w:szCs w:val="24"/>
              </w:rPr>
              <w:t>Continuous</w:t>
            </w:r>
          </w:p>
        </w:tc>
        <w:tc>
          <w:tcPr>
            <w:tcW w:w="2800" w:type="dxa"/>
            <w:tcBorders>
              <w:top w:val="single" w:sz="4" w:space="0" w:color="999999"/>
              <w:left w:val="single" w:sz="4" w:space="0" w:color="999999"/>
              <w:bottom w:val="single" w:sz="4" w:space="0" w:color="999999"/>
              <w:right w:val="single" w:sz="4" w:space="0" w:color="999999"/>
            </w:tcBorders>
            <w:shd w:val="clear" w:color="auto" w:fill="FFFFFF"/>
          </w:tcPr>
          <w:p w14:paraId="779ADBF6" w14:textId="77777777" w:rsidR="004207D6" w:rsidRDefault="008E15B6">
            <w:pPr>
              <w:spacing w:after="60"/>
              <w:jc w:val="center"/>
            </w:pPr>
            <w:proofErr w:type="gramStart"/>
            <w:r>
              <w:rPr>
                <w:color w:val="000000"/>
                <w:sz w:val="24"/>
                <w:szCs w:val="24"/>
              </w:rPr>
              <w:t>ln(</w:t>
            </w:r>
            <w:proofErr w:type="gramEnd"/>
            <w:r>
              <w:rPr>
                <w:color w:val="000000"/>
                <w:sz w:val="24"/>
                <w:szCs w:val="24"/>
              </w:rPr>
              <w:t>total assets)</w:t>
            </w:r>
          </w:p>
        </w:tc>
        <w:tc>
          <w:tcPr>
            <w:tcW w:w="1400" w:type="dxa"/>
            <w:tcBorders>
              <w:top w:val="single" w:sz="4" w:space="0" w:color="999999"/>
              <w:left w:val="single" w:sz="4" w:space="0" w:color="999999"/>
              <w:bottom w:val="single" w:sz="4" w:space="0" w:color="999999"/>
              <w:right w:val="single" w:sz="4" w:space="0" w:color="999999"/>
            </w:tcBorders>
            <w:shd w:val="clear" w:color="auto" w:fill="FFFFFF"/>
          </w:tcPr>
          <w:p w14:paraId="779ADBF7" w14:textId="77777777" w:rsidR="004207D6" w:rsidRDefault="008E15B6">
            <w:pPr>
              <w:spacing w:after="60"/>
              <w:jc w:val="center"/>
            </w:pPr>
            <w:r>
              <w:rPr>
                <w:color w:val="000000"/>
                <w:sz w:val="24"/>
                <w:szCs w:val="24"/>
              </w:rPr>
              <w:t>Annual Report</w:t>
            </w:r>
          </w:p>
        </w:tc>
      </w:tr>
      <w:tr w:rsidR="004207D6" w14:paraId="779ADBFE" w14:textId="77777777">
        <w:tc>
          <w:tcPr>
            <w:tcW w:w="1300" w:type="dxa"/>
            <w:tcBorders>
              <w:top w:val="single" w:sz="4" w:space="0" w:color="999999"/>
              <w:left w:val="single" w:sz="4" w:space="0" w:color="999999"/>
              <w:bottom w:val="single" w:sz="4" w:space="0" w:color="999999"/>
              <w:right w:val="single" w:sz="4" w:space="0" w:color="999999"/>
            </w:tcBorders>
            <w:shd w:val="clear" w:color="auto" w:fill="F2F2F2"/>
          </w:tcPr>
          <w:p w14:paraId="779ADBF9" w14:textId="77777777" w:rsidR="004207D6" w:rsidRDefault="008E15B6">
            <w:pPr>
              <w:spacing w:after="60"/>
              <w:jc w:val="center"/>
            </w:pPr>
            <w:r>
              <w:rPr>
                <w:color w:val="000000"/>
                <w:sz w:val="24"/>
                <w:szCs w:val="24"/>
              </w:rPr>
              <w:t>Financial Leverage</w:t>
            </w:r>
          </w:p>
        </w:tc>
        <w:tc>
          <w:tcPr>
            <w:tcW w:w="900" w:type="dxa"/>
            <w:tcBorders>
              <w:top w:val="single" w:sz="4" w:space="0" w:color="999999"/>
              <w:left w:val="single" w:sz="4" w:space="0" w:color="999999"/>
              <w:bottom w:val="single" w:sz="4" w:space="0" w:color="999999"/>
              <w:right w:val="single" w:sz="4" w:space="0" w:color="999999"/>
            </w:tcBorders>
            <w:shd w:val="clear" w:color="auto" w:fill="F2F2F2"/>
          </w:tcPr>
          <w:p w14:paraId="779ADBFA" w14:textId="77777777" w:rsidR="004207D6" w:rsidRDefault="008E15B6">
            <w:pPr>
              <w:spacing w:after="60"/>
              <w:jc w:val="center"/>
            </w:pPr>
            <w:r>
              <w:rPr>
                <w:color w:val="000000"/>
                <w:sz w:val="24"/>
                <w:szCs w:val="24"/>
              </w:rPr>
              <w:t>LEV</w:t>
            </w:r>
          </w:p>
        </w:tc>
        <w:tc>
          <w:tcPr>
            <w:tcW w:w="900" w:type="dxa"/>
            <w:tcBorders>
              <w:top w:val="single" w:sz="4" w:space="0" w:color="999999"/>
              <w:left w:val="single" w:sz="4" w:space="0" w:color="999999"/>
              <w:bottom w:val="single" w:sz="4" w:space="0" w:color="999999"/>
              <w:right w:val="single" w:sz="4" w:space="0" w:color="999999"/>
            </w:tcBorders>
            <w:shd w:val="clear" w:color="auto" w:fill="F2F2F2"/>
          </w:tcPr>
          <w:p w14:paraId="779ADBFB" w14:textId="77777777" w:rsidR="004207D6" w:rsidRDefault="008E15B6">
            <w:pPr>
              <w:spacing w:after="60"/>
              <w:jc w:val="center"/>
            </w:pPr>
            <w:r>
              <w:rPr>
                <w:color w:val="000000"/>
                <w:sz w:val="24"/>
                <w:szCs w:val="24"/>
              </w:rPr>
              <w:t>Continuous</w:t>
            </w:r>
          </w:p>
        </w:tc>
        <w:tc>
          <w:tcPr>
            <w:tcW w:w="2800" w:type="dxa"/>
            <w:tcBorders>
              <w:top w:val="single" w:sz="4" w:space="0" w:color="999999"/>
              <w:left w:val="single" w:sz="4" w:space="0" w:color="999999"/>
              <w:bottom w:val="single" w:sz="4" w:space="0" w:color="999999"/>
              <w:right w:val="single" w:sz="4" w:space="0" w:color="999999"/>
            </w:tcBorders>
            <w:shd w:val="clear" w:color="auto" w:fill="F2F2F2"/>
          </w:tcPr>
          <w:p w14:paraId="779ADBFC" w14:textId="77777777" w:rsidR="004207D6" w:rsidRDefault="008E15B6">
            <w:pPr>
              <w:spacing w:after="60"/>
              <w:jc w:val="center"/>
            </w:pPr>
            <w:r>
              <w:rPr>
                <w:color w:val="000000"/>
                <w:sz w:val="24"/>
                <w:szCs w:val="24"/>
              </w:rPr>
              <w:t>Total debt / Total assets</w:t>
            </w:r>
          </w:p>
        </w:tc>
        <w:tc>
          <w:tcPr>
            <w:tcW w:w="1400" w:type="dxa"/>
            <w:tcBorders>
              <w:top w:val="single" w:sz="4" w:space="0" w:color="999999"/>
              <w:left w:val="single" w:sz="4" w:space="0" w:color="999999"/>
              <w:bottom w:val="single" w:sz="4" w:space="0" w:color="999999"/>
              <w:right w:val="single" w:sz="4" w:space="0" w:color="999999"/>
            </w:tcBorders>
            <w:shd w:val="clear" w:color="auto" w:fill="F2F2F2"/>
          </w:tcPr>
          <w:p w14:paraId="779ADBFD" w14:textId="77777777" w:rsidR="004207D6" w:rsidRDefault="008E15B6">
            <w:pPr>
              <w:spacing w:after="60"/>
              <w:jc w:val="center"/>
            </w:pPr>
            <w:r>
              <w:rPr>
                <w:color w:val="000000"/>
                <w:sz w:val="24"/>
                <w:szCs w:val="24"/>
              </w:rPr>
              <w:t>Annual Report</w:t>
            </w:r>
          </w:p>
        </w:tc>
      </w:tr>
    </w:tbl>
    <w:p w14:paraId="779ADBFF" w14:textId="77777777" w:rsidR="004207D6" w:rsidRDefault="004207D6">
      <w:pPr>
        <w:spacing w:after="120"/>
      </w:pPr>
    </w:p>
    <w:p w14:paraId="779ADC00" w14:textId="77777777" w:rsidR="004207D6" w:rsidRDefault="008E15B6">
      <w:pPr>
        <w:pStyle w:val="Heading2"/>
        <w:spacing w:before="240" w:after="120"/>
      </w:pPr>
      <w:r>
        <w:rPr>
          <w:b/>
          <w:bCs/>
          <w:color w:val="000000"/>
        </w:rPr>
        <w:t>4.6 Normality Testing and Outlier Detection</w:t>
      </w:r>
    </w:p>
    <w:p w14:paraId="779ADC01" w14:textId="77777777" w:rsidR="004207D6" w:rsidRDefault="008E15B6">
      <w:pPr>
        <w:spacing w:after="160" w:line="360" w:lineRule="auto"/>
        <w:jc w:val="both"/>
      </w:pPr>
      <w:r>
        <w:rPr>
          <w:color w:val="000000"/>
          <w:sz w:val="24"/>
          <w:szCs w:val="24"/>
        </w:rPr>
        <w:lastRenderedPageBreak/>
        <w:t>Before selecting statistical tests, it is necessary to establish whether the continuous variables follow a normal distribution, since this assumption underpins several of the methods that might otherwise be applied. Pearson correlation and ordinary least-squares regression both assume approximate normality in the variable distributions or in the residuals produced by the model. To assess this, the Shapiro-Wilk test is applied to each continuous variable individually.</w:t>
      </w:r>
    </w:p>
    <w:p w14:paraId="779ADC02" w14:textId="77777777" w:rsidR="004207D6" w:rsidRDefault="004207D6">
      <w:pPr>
        <w:spacing w:after="120"/>
      </w:pPr>
    </w:p>
    <w:p w14:paraId="779ADC03" w14:textId="77777777" w:rsidR="004207D6" w:rsidRDefault="008E15B6">
      <w:pPr>
        <w:spacing w:after="160" w:line="360" w:lineRule="auto"/>
        <w:jc w:val="both"/>
      </w:pPr>
      <w:r>
        <w:rPr>
          <w:color w:val="000000"/>
          <w:sz w:val="24"/>
          <w:szCs w:val="24"/>
        </w:rPr>
        <w:t>The Shapiro-Wilk test is chosen over alternatives such as the Kolmogorov-Smirnov procedure because it performs more reliably with samples of fewer than fifty observations, and the fifty firm-year observations in this dataset fall within the range where the Shapiro-Wilk test is known to have superior statistical power (Field, 2018; Razali and Wah, 2011). A p-value above 0.05 on the Shapiro-Wilk test is taken to indicate that normality cannot be rejected, allowing the variable to be treated as approximately n</w:t>
      </w:r>
      <w:r>
        <w:rPr>
          <w:color w:val="000000"/>
          <w:sz w:val="24"/>
          <w:szCs w:val="24"/>
        </w:rPr>
        <w:t>ormally distributed for analytical purposes. Alongside the Shapiro-Wilk output, skewness and kurtosis values are inspected; values falling between minus one and plus one for skewness, and between minus two and plus two for kurtosis, provide corroborating evidence of acceptable distribution shape (Hair et al., 2019).</w:t>
      </w:r>
    </w:p>
    <w:p w14:paraId="779ADC04" w14:textId="77777777" w:rsidR="004207D6" w:rsidRDefault="004207D6">
      <w:pPr>
        <w:spacing w:after="120"/>
      </w:pPr>
    </w:p>
    <w:p w14:paraId="779ADC05" w14:textId="77777777" w:rsidR="004207D6" w:rsidRDefault="008E15B6">
      <w:pPr>
        <w:spacing w:after="160" w:line="360" w:lineRule="auto"/>
        <w:jc w:val="both"/>
      </w:pPr>
      <w:r>
        <w:rPr>
          <w:color w:val="000000"/>
          <w:sz w:val="24"/>
          <w:szCs w:val="24"/>
        </w:rPr>
        <w:t>Outlier detection follows a z-score approach for all continuous variables. Z-scores are calculated by subtracting the variable mean and dividing by the standard deviation. Any firm-year observation producing a z-score with an absolute value exceeding 3.29 is flagged as a potential extreme outlier, a threshold that corresponds to the 0.001 probability level and is the standard criterion recommended by Field (2018). Identified outliers will be examined individually to determine whether they reflect genuine va</w:t>
      </w:r>
      <w:r>
        <w:rPr>
          <w:color w:val="000000"/>
          <w:sz w:val="24"/>
          <w:szCs w:val="24"/>
        </w:rPr>
        <w:t>riation in the data or data collection errors. Sensitivity analyses excluding flagged observations will be run alongside the main models to verify that results are not driven by a small number of extreme values.</w:t>
      </w:r>
    </w:p>
    <w:p w14:paraId="779ADC06" w14:textId="77777777" w:rsidR="004207D6" w:rsidRDefault="004207D6">
      <w:pPr>
        <w:spacing w:after="120"/>
      </w:pPr>
    </w:p>
    <w:p w14:paraId="779ADC07" w14:textId="77777777" w:rsidR="004207D6" w:rsidRDefault="008E15B6">
      <w:pPr>
        <w:pStyle w:val="Heading2"/>
        <w:spacing w:before="240" w:after="120"/>
      </w:pPr>
      <w:r>
        <w:rPr>
          <w:b/>
          <w:bCs/>
          <w:color w:val="000000"/>
        </w:rPr>
        <w:t>4.7 Group Comparison Tests</w:t>
      </w:r>
    </w:p>
    <w:p w14:paraId="779ADC08" w14:textId="77777777" w:rsidR="004207D6" w:rsidRDefault="008E15B6">
      <w:pPr>
        <w:spacing w:after="160" w:line="360" w:lineRule="auto"/>
        <w:jc w:val="both"/>
      </w:pPr>
      <w:r>
        <w:rPr>
          <w:color w:val="000000"/>
          <w:sz w:val="24"/>
          <w:szCs w:val="24"/>
        </w:rPr>
        <w:t>Two sets of group comparisons are conducted to address Research Objective 2. The first compares profitability levels across the retail sub-sectors represented in the sample: food retail, general merchandise, fashion, pets and automotive, and food-to-go. The second compares profitability between companies with CEO duality and those with separated roles.</w:t>
      </w:r>
    </w:p>
    <w:p w14:paraId="779ADC09" w14:textId="77777777" w:rsidR="004207D6" w:rsidRDefault="004207D6">
      <w:pPr>
        <w:spacing w:after="120"/>
      </w:pPr>
    </w:p>
    <w:p w14:paraId="779ADC0A" w14:textId="77777777" w:rsidR="004207D6" w:rsidRDefault="008E15B6">
      <w:pPr>
        <w:spacing w:after="160" w:line="360" w:lineRule="auto"/>
        <w:jc w:val="both"/>
      </w:pPr>
      <w:r>
        <w:rPr>
          <w:color w:val="000000"/>
          <w:sz w:val="24"/>
          <w:szCs w:val="24"/>
        </w:rPr>
        <w:lastRenderedPageBreak/>
        <w:t>Given the non-normal distributions that are commonly observed in financial panel datasets of this size, and that the Shapiro-Wilk tests may confirm, non-parametric tests are used rather than their parametric equivalents. For the sub-sector comparison, which involves more than two groups, the Kruskal-</w:t>
      </w:r>
      <w:proofErr w:type="gramStart"/>
      <w:r>
        <w:rPr>
          <w:color w:val="000000"/>
          <w:sz w:val="24"/>
          <w:szCs w:val="24"/>
        </w:rPr>
        <w:t>Wallis</w:t>
      </w:r>
      <w:proofErr w:type="gramEnd"/>
      <w:r>
        <w:rPr>
          <w:color w:val="000000"/>
          <w:sz w:val="24"/>
          <w:szCs w:val="24"/>
        </w:rPr>
        <w:t xml:space="preserve"> test is applied. The Kruskal-</w:t>
      </w:r>
      <w:proofErr w:type="gramStart"/>
      <w:r>
        <w:rPr>
          <w:color w:val="000000"/>
          <w:sz w:val="24"/>
          <w:szCs w:val="24"/>
        </w:rPr>
        <w:t>Wallis</w:t>
      </w:r>
      <w:proofErr w:type="gramEnd"/>
      <w:r>
        <w:rPr>
          <w:color w:val="000000"/>
          <w:sz w:val="24"/>
          <w:szCs w:val="24"/>
        </w:rPr>
        <w:t xml:space="preserve"> test is the non-parametric counterpart to one-way analysis of variance; it ranks all observations and tests whether the rank distributions differ significantly across groups (Field, 2018). Where the Kruskal-</w:t>
      </w:r>
      <w:proofErr w:type="gramStart"/>
      <w:r>
        <w:rPr>
          <w:color w:val="000000"/>
          <w:sz w:val="24"/>
          <w:szCs w:val="24"/>
        </w:rPr>
        <w:t>Wallis</w:t>
      </w:r>
      <w:proofErr w:type="gramEnd"/>
      <w:r>
        <w:rPr>
          <w:color w:val="000000"/>
          <w:sz w:val="24"/>
          <w:szCs w:val="24"/>
        </w:rPr>
        <w:t xml:space="preserve"> test produces a statistically significant result, Dunn's post-hoc procedure is applied with Bonferroni correction to identify which specific pairs of sub-sectors differ from one another while controlling the family-wise error rate.</w:t>
      </w:r>
    </w:p>
    <w:p w14:paraId="779ADC0B" w14:textId="77777777" w:rsidR="004207D6" w:rsidRDefault="004207D6">
      <w:pPr>
        <w:spacing w:after="120"/>
      </w:pPr>
    </w:p>
    <w:p w14:paraId="779ADC0C" w14:textId="77777777" w:rsidR="004207D6" w:rsidRDefault="008E15B6">
      <w:pPr>
        <w:spacing w:after="160" w:line="360" w:lineRule="auto"/>
        <w:jc w:val="both"/>
      </w:pPr>
      <w:r>
        <w:rPr>
          <w:color w:val="000000"/>
          <w:sz w:val="24"/>
          <w:szCs w:val="24"/>
        </w:rPr>
        <w:t>For the CEO duality comparison, which contrasts two groups, the Mann-Whitney U test is used. This test assesses whether the rank-ordered profitability values of the duality and non-duality groups are drawn from the same underlying distribution. Effect sizes are reported alongside p-values for both tests, using rank-biserial correlation for the Mann-Whitney U and eta-squared for Kruskal-Wallis, because statistical significance alone is insufficient to judge the practical importance of a difference when worki</w:t>
      </w:r>
      <w:r>
        <w:rPr>
          <w:color w:val="000000"/>
          <w:sz w:val="24"/>
          <w:szCs w:val="24"/>
        </w:rPr>
        <w:t>ng with a sample of this size.</w:t>
      </w:r>
    </w:p>
    <w:p w14:paraId="779ADC0D" w14:textId="77777777" w:rsidR="004207D6" w:rsidRDefault="004207D6">
      <w:pPr>
        <w:spacing w:after="120"/>
      </w:pPr>
    </w:p>
    <w:p w14:paraId="779ADC0E" w14:textId="77777777" w:rsidR="004207D6" w:rsidRDefault="008E15B6">
      <w:pPr>
        <w:pStyle w:val="Heading2"/>
        <w:spacing w:before="240" w:after="120"/>
      </w:pPr>
      <w:r>
        <w:rPr>
          <w:b/>
          <w:bCs/>
          <w:color w:val="000000"/>
        </w:rPr>
        <w:t>4.8 Pearson Correlation Analysis</w:t>
      </w:r>
    </w:p>
    <w:p w14:paraId="779ADC0F" w14:textId="77777777" w:rsidR="004207D6" w:rsidRDefault="008E15B6">
      <w:pPr>
        <w:spacing w:after="160" w:line="360" w:lineRule="auto"/>
        <w:jc w:val="both"/>
      </w:pPr>
      <w:r>
        <w:rPr>
          <w:color w:val="000000"/>
          <w:sz w:val="24"/>
          <w:szCs w:val="24"/>
        </w:rPr>
        <w:t xml:space="preserve">Pearson correlation coefficients are calculated for all pairs of continuous variables prior to entering the regression models. This serves two purposes. First, it provides an initial descriptive picture of the pairwise linear associations in the data, allowing assessment of whether each governance variable shows the expected directional relationship with ROA and ROE. Second, it screens for multicollinearity among the predictor variables. Where two predictors are correlated at </w:t>
      </w:r>
      <w:proofErr w:type="spellStart"/>
      <w:r>
        <w:rPr>
          <w:color w:val="000000"/>
          <w:sz w:val="24"/>
          <w:szCs w:val="24"/>
        </w:rPr>
        <w:t>r</w:t>
      </w:r>
      <w:proofErr w:type="spellEnd"/>
      <w:r>
        <w:rPr>
          <w:color w:val="000000"/>
          <w:sz w:val="24"/>
          <w:szCs w:val="24"/>
        </w:rPr>
        <w:t xml:space="preserve"> above 0.80, both entering the same regression model raises concerns about coefficient stability and interpretability, and the issue would need to be addressed before proceeding with regression (Hair et al., 2019).</w:t>
      </w:r>
    </w:p>
    <w:p w14:paraId="779ADC10" w14:textId="77777777" w:rsidR="004207D6" w:rsidRDefault="004207D6">
      <w:pPr>
        <w:spacing w:after="120"/>
      </w:pPr>
    </w:p>
    <w:p w14:paraId="779ADC11" w14:textId="77777777" w:rsidR="004207D6" w:rsidRDefault="008E15B6">
      <w:pPr>
        <w:spacing w:after="160" w:line="360" w:lineRule="auto"/>
        <w:jc w:val="both"/>
      </w:pPr>
      <w:r>
        <w:rPr>
          <w:color w:val="000000"/>
          <w:sz w:val="24"/>
          <w:szCs w:val="24"/>
        </w:rPr>
        <w:t xml:space="preserve">It should be </w:t>
      </w:r>
      <w:proofErr w:type="spellStart"/>
      <w:r>
        <w:rPr>
          <w:color w:val="000000"/>
          <w:sz w:val="24"/>
          <w:szCs w:val="24"/>
        </w:rPr>
        <w:t>emphasised</w:t>
      </w:r>
      <w:proofErr w:type="spellEnd"/>
      <w:r>
        <w:rPr>
          <w:color w:val="000000"/>
          <w:sz w:val="24"/>
          <w:szCs w:val="24"/>
        </w:rPr>
        <w:t xml:space="preserve"> that correlation captures association rather than causation. A significant positive correlation between, for example, board qualification level and return on assets indicates that firms with more qualified boards tend to be more profitable on average, but it does not establish that qualifications caused the profitability advantage. Establishing direction of effect requires the regression framework described in the next section.</w:t>
      </w:r>
    </w:p>
    <w:p w14:paraId="779ADC12" w14:textId="77777777" w:rsidR="004207D6" w:rsidRDefault="004207D6">
      <w:pPr>
        <w:spacing w:after="120"/>
      </w:pPr>
    </w:p>
    <w:p w14:paraId="779ADC13" w14:textId="77777777" w:rsidR="004207D6" w:rsidRDefault="008E15B6">
      <w:pPr>
        <w:pStyle w:val="Heading2"/>
        <w:spacing w:before="240" w:after="120"/>
      </w:pPr>
      <w:r>
        <w:rPr>
          <w:b/>
          <w:bCs/>
          <w:color w:val="000000"/>
        </w:rPr>
        <w:t>4.9 Hierarchical Multiple Linear Regression</w:t>
      </w:r>
    </w:p>
    <w:p w14:paraId="779ADC14" w14:textId="77777777" w:rsidR="004207D6" w:rsidRDefault="008E15B6">
      <w:pPr>
        <w:spacing w:after="160" w:line="360" w:lineRule="auto"/>
        <w:jc w:val="both"/>
      </w:pPr>
      <w:r>
        <w:rPr>
          <w:color w:val="000000"/>
          <w:sz w:val="24"/>
          <w:szCs w:val="24"/>
        </w:rPr>
        <w:t>The primary statistical method for testing the governance-performance hypotheses is hierarchical multiple linear regression, run separately for ROA and ROE as dependent variables. Hierarchical regression builds the model in predefined sequential stages, called blocks, with each stage adding a set of variables and reporting the increment in variance explained.</w:t>
      </w:r>
    </w:p>
    <w:p w14:paraId="779ADC15" w14:textId="77777777" w:rsidR="004207D6" w:rsidRDefault="004207D6">
      <w:pPr>
        <w:spacing w:after="120"/>
      </w:pPr>
    </w:p>
    <w:p w14:paraId="779ADC16" w14:textId="77777777" w:rsidR="004207D6" w:rsidRDefault="008E15B6">
      <w:pPr>
        <w:spacing w:after="160" w:line="360" w:lineRule="auto"/>
        <w:jc w:val="both"/>
      </w:pPr>
      <w:r>
        <w:rPr>
          <w:color w:val="000000"/>
          <w:sz w:val="24"/>
          <w:szCs w:val="24"/>
        </w:rPr>
        <w:t>Block 1 contains the two control variables, firm size and financial leverage, which are entered first to capture the portion of profitability variation attributable to firm characteristics that are known to influence performance but are not the focus of the governance hypotheses. The R-squared value from Block 1 establishes the baseline explanatory power of the controls alone.</w:t>
      </w:r>
    </w:p>
    <w:p w14:paraId="779ADC17" w14:textId="77777777" w:rsidR="004207D6" w:rsidRDefault="004207D6">
      <w:pPr>
        <w:spacing w:after="120"/>
      </w:pPr>
    </w:p>
    <w:p w14:paraId="779ADC18" w14:textId="77777777" w:rsidR="004207D6" w:rsidRDefault="008E15B6">
      <w:pPr>
        <w:spacing w:after="160" w:line="360" w:lineRule="auto"/>
        <w:jc w:val="both"/>
      </w:pPr>
      <w:r>
        <w:rPr>
          <w:color w:val="000000"/>
          <w:sz w:val="24"/>
          <w:szCs w:val="24"/>
        </w:rPr>
        <w:t xml:space="preserve">Block 2 then adds the five governance variables, BSIZE, GEND_PCT, QUAL_PCT, DUAL, and NED_PCT, simultaneously. The increment in R-squared from Block 1 to Block 2, tested for statistical significance using the F-change statistic, indicates whether the governance variables collectively explain a meaningful proportion of profitability variation beyond what the controls alone account for. The individual coefficients and their significance levels identify which governance attributes carry independent predictive </w:t>
      </w:r>
      <w:r>
        <w:rPr>
          <w:color w:val="000000"/>
          <w:sz w:val="24"/>
          <w:szCs w:val="24"/>
        </w:rPr>
        <w:t>power after all other variables are held constant.</w:t>
      </w:r>
    </w:p>
    <w:p w14:paraId="779ADC19" w14:textId="77777777" w:rsidR="004207D6" w:rsidRDefault="004207D6">
      <w:pPr>
        <w:spacing w:after="120"/>
      </w:pPr>
    </w:p>
    <w:p w14:paraId="779ADC1A" w14:textId="77777777" w:rsidR="004207D6" w:rsidRDefault="008E15B6">
      <w:pPr>
        <w:spacing w:after="160" w:line="360" w:lineRule="auto"/>
        <w:jc w:val="both"/>
      </w:pPr>
      <w:r>
        <w:rPr>
          <w:color w:val="000000"/>
          <w:sz w:val="24"/>
          <w:szCs w:val="24"/>
        </w:rPr>
        <w:t xml:space="preserve">The assumptions of linear regression will be verified systematically. Normality of residuals will be checked through P-P plots. Linearity and homoscedasticity will be assessed from scatterplots of </w:t>
      </w:r>
      <w:proofErr w:type="spellStart"/>
      <w:r>
        <w:rPr>
          <w:color w:val="000000"/>
          <w:sz w:val="24"/>
          <w:szCs w:val="24"/>
        </w:rPr>
        <w:t>standardised</w:t>
      </w:r>
      <w:proofErr w:type="spellEnd"/>
      <w:r>
        <w:rPr>
          <w:color w:val="000000"/>
          <w:sz w:val="24"/>
          <w:szCs w:val="24"/>
        </w:rPr>
        <w:t xml:space="preserve"> residuals against predicted values. Variance Inflation Factors will be examined to identify any remaining multicollinearity not already detected through the correlation matrix; VIF values above 10 signal problematic multicollinearity. The Durbin-Watson statistic will be used to test for serial autocorrelation in the residuals, which is a relevant concern given the panel structure of the data where observations from the same firm in consecutive years may not be fully independent.</w:t>
      </w:r>
    </w:p>
    <w:p w14:paraId="779ADC1B" w14:textId="77777777" w:rsidR="004207D6" w:rsidRDefault="004207D6">
      <w:pPr>
        <w:spacing w:after="120"/>
      </w:pPr>
    </w:p>
    <w:p w14:paraId="779ADC1C" w14:textId="77777777" w:rsidR="004207D6" w:rsidRDefault="008E15B6">
      <w:pPr>
        <w:pStyle w:val="Heading2"/>
        <w:spacing w:before="240" w:after="120"/>
      </w:pPr>
      <w:r>
        <w:rPr>
          <w:b/>
          <w:bCs/>
          <w:color w:val="000000"/>
        </w:rPr>
        <w:t>4.10 Hypotheses</w:t>
      </w:r>
    </w:p>
    <w:p w14:paraId="2DB06BF0" w14:textId="77777777" w:rsidR="007943A9" w:rsidRPr="007943A9" w:rsidRDefault="007943A9" w:rsidP="007943A9">
      <w:pPr>
        <w:spacing w:after="120"/>
        <w:rPr>
          <w:sz w:val="24"/>
          <w:szCs w:val="24"/>
        </w:rPr>
      </w:pPr>
      <w:r w:rsidRPr="007943A9">
        <w:rPr>
          <w:sz w:val="24"/>
          <w:szCs w:val="24"/>
        </w:rPr>
        <w:t>Based on the theories in Section 3 and the research reviewed in Section 2, this study tests five predictions:</w:t>
      </w:r>
    </w:p>
    <w:p w14:paraId="6429AB01" w14:textId="77777777" w:rsidR="007943A9" w:rsidRPr="007943A9" w:rsidRDefault="007943A9" w:rsidP="007943A9">
      <w:pPr>
        <w:spacing w:after="120"/>
        <w:rPr>
          <w:sz w:val="24"/>
          <w:szCs w:val="24"/>
        </w:rPr>
      </w:pPr>
      <w:r w:rsidRPr="007943A9">
        <w:rPr>
          <w:b/>
          <w:bCs/>
          <w:sz w:val="24"/>
          <w:szCs w:val="24"/>
        </w:rPr>
        <w:lastRenderedPageBreak/>
        <w:t>H1:</w:t>
      </w:r>
      <w:r w:rsidRPr="007943A9">
        <w:rPr>
          <w:sz w:val="24"/>
          <w:szCs w:val="24"/>
        </w:rPr>
        <w:t xml:space="preserve"> UK retail companies with more directors on their board will perform better financially.</w:t>
      </w:r>
    </w:p>
    <w:p w14:paraId="2D9236E2" w14:textId="77777777" w:rsidR="007943A9" w:rsidRPr="007943A9" w:rsidRDefault="007943A9" w:rsidP="007943A9">
      <w:pPr>
        <w:spacing w:after="120"/>
        <w:rPr>
          <w:sz w:val="24"/>
          <w:szCs w:val="24"/>
        </w:rPr>
      </w:pPr>
      <w:r w:rsidRPr="007943A9">
        <w:rPr>
          <w:b/>
          <w:bCs/>
          <w:sz w:val="24"/>
          <w:szCs w:val="24"/>
        </w:rPr>
        <w:t>H2:</w:t>
      </w:r>
      <w:r w:rsidRPr="007943A9">
        <w:rPr>
          <w:sz w:val="24"/>
          <w:szCs w:val="24"/>
        </w:rPr>
        <w:t xml:space="preserve"> UK retail companies where a higher percentage of board members are women will perform better financially.</w:t>
      </w:r>
    </w:p>
    <w:p w14:paraId="5D5036B2" w14:textId="77777777" w:rsidR="007943A9" w:rsidRPr="007943A9" w:rsidRDefault="007943A9" w:rsidP="007943A9">
      <w:pPr>
        <w:spacing w:after="120"/>
        <w:rPr>
          <w:sz w:val="24"/>
          <w:szCs w:val="24"/>
        </w:rPr>
      </w:pPr>
      <w:r w:rsidRPr="007943A9">
        <w:rPr>
          <w:b/>
          <w:bCs/>
          <w:sz w:val="24"/>
          <w:szCs w:val="24"/>
        </w:rPr>
        <w:t>H3:</w:t>
      </w:r>
      <w:r w:rsidRPr="007943A9">
        <w:rPr>
          <w:sz w:val="24"/>
          <w:szCs w:val="24"/>
        </w:rPr>
        <w:t xml:space="preserve"> UK retail companies where more directors hold postgraduate qualifications will perform better financially.</w:t>
      </w:r>
    </w:p>
    <w:p w14:paraId="694F2626" w14:textId="77777777" w:rsidR="007943A9" w:rsidRPr="007943A9" w:rsidRDefault="007943A9" w:rsidP="007943A9">
      <w:pPr>
        <w:spacing w:after="120"/>
        <w:rPr>
          <w:sz w:val="24"/>
          <w:szCs w:val="24"/>
        </w:rPr>
      </w:pPr>
      <w:r w:rsidRPr="007943A9">
        <w:rPr>
          <w:b/>
          <w:bCs/>
          <w:sz w:val="24"/>
          <w:szCs w:val="24"/>
        </w:rPr>
        <w:t>H4:</w:t>
      </w:r>
      <w:r w:rsidRPr="007943A9">
        <w:rPr>
          <w:sz w:val="24"/>
          <w:szCs w:val="24"/>
        </w:rPr>
        <w:t xml:space="preserve"> UK retail companies where the CEO and the chairperson are two different people will perform better financially than those where one person holds both roles.</w:t>
      </w:r>
    </w:p>
    <w:p w14:paraId="1C7777B1" w14:textId="77777777" w:rsidR="007943A9" w:rsidRPr="007943A9" w:rsidRDefault="007943A9" w:rsidP="007943A9">
      <w:pPr>
        <w:spacing w:after="120"/>
        <w:rPr>
          <w:sz w:val="24"/>
          <w:szCs w:val="24"/>
        </w:rPr>
      </w:pPr>
      <w:r w:rsidRPr="007943A9">
        <w:rPr>
          <w:b/>
          <w:bCs/>
          <w:sz w:val="24"/>
          <w:szCs w:val="24"/>
        </w:rPr>
        <w:t>H5:</w:t>
      </w:r>
      <w:r w:rsidRPr="007943A9">
        <w:rPr>
          <w:sz w:val="24"/>
          <w:szCs w:val="24"/>
        </w:rPr>
        <w:t xml:space="preserve"> UK retail companies where a higher percentage of board members are non-executive directors will perform better financially.</w:t>
      </w:r>
    </w:p>
    <w:p w14:paraId="779ADC24" w14:textId="77777777" w:rsidR="004207D6" w:rsidRDefault="004207D6">
      <w:pPr>
        <w:spacing w:after="120"/>
      </w:pPr>
    </w:p>
    <w:p w14:paraId="779ADC25" w14:textId="77777777" w:rsidR="004207D6" w:rsidRDefault="008E15B6">
      <w:pPr>
        <w:pStyle w:val="Heading2"/>
        <w:spacing w:before="240" w:after="120"/>
      </w:pPr>
      <w:r>
        <w:rPr>
          <w:b/>
          <w:bCs/>
          <w:color w:val="000000"/>
        </w:rPr>
        <w:t>4.11 Ethical Considerations and Limitations</w:t>
      </w:r>
    </w:p>
    <w:p w14:paraId="779ADC26" w14:textId="77777777" w:rsidR="004207D6" w:rsidRDefault="008E15B6">
      <w:pPr>
        <w:spacing w:after="160" w:line="360" w:lineRule="auto"/>
        <w:jc w:val="both"/>
      </w:pPr>
      <w:r>
        <w:rPr>
          <w:color w:val="000000"/>
          <w:sz w:val="24"/>
          <w:szCs w:val="24"/>
        </w:rPr>
        <w:t>This study relies entirely on publicly available information drawn from annual reports filed with Companies House and published on company investor relations websites. No primary data were collected from individuals, no participants were involved, and no personal data requiring ethical oversight are used. The research therefore falls outside the scope of the university's requirements for formal ethical approval. All data sources are fully documented in the references section and all figures used in the anal</w:t>
      </w:r>
      <w:r>
        <w:rPr>
          <w:color w:val="000000"/>
          <w:sz w:val="24"/>
          <w:szCs w:val="24"/>
        </w:rPr>
        <w:t>ysis can be verified against the original annual reports.</w:t>
      </w:r>
    </w:p>
    <w:p w14:paraId="779ADC27" w14:textId="77777777" w:rsidR="004207D6" w:rsidRDefault="004207D6">
      <w:pPr>
        <w:spacing w:after="120"/>
      </w:pPr>
    </w:p>
    <w:p w14:paraId="779ADC28" w14:textId="77777777" w:rsidR="004207D6" w:rsidRDefault="008E15B6">
      <w:pPr>
        <w:spacing w:after="160" w:line="360" w:lineRule="auto"/>
        <w:jc w:val="both"/>
      </w:pPr>
      <w:r>
        <w:rPr>
          <w:color w:val="000000"/>
          <w:sz w:val="24"/>
          <w:szCs w:val="24"/>
        </w:rPr>
        <w:t xml:space="preserve">Three limitations deserve explicit acknowledgement. First, the sample of ten firms, while appropriate for a focused sector study, is small relative to the multi-hundred-firm samples used in major governance studies, and this limits the statistical power available to detect modest effects and reduces the confidence with which findings can be </w:t>
      </w:r>
      <w:proofErr w:type="spellStart"/>
      <w:r>
        <w:rPr>
          <w:color w:val="000000"/>
          <w:sz w:val="24"/>
          <w:szCs w:val="24"/>
        </w:rPr>
        <w:t>generalised</w:t>
      </w:r>
      <w:proofErr w:type="spellEnd"/>
      <w:r>
        <w:rPr>
          <w:color w:val="000000"/>
          <w:sz w:val="24"/>
          <w:szCs w:val="24"/>
        </w:rPr>
        <w:t xml:space="preserve"> beyond the UK retail sector. Second, accounting-based performance measures such as ROA and ROE can be influenced by accounting policy choices that vary across firms and over time; ideally, robustness checks using market-based measures such as Tobin's Q would complement the accounting-based results, but reliable market value data are not readily available for all firms in the sample across all years. Third, the panel structure introduces potential firm-specific unobserved heterogeneity. Fixed-effects panel </w:t>
      </w:r>
      <w:r>
        <w:rPr>
          <w:color w:val="000000"/>
          <w:sz w:val="24"/>
          <w:szCs w:val="24"/>
        </w:rPr>
        <w:t>regression would offer a more rigorous treatment of this issue, but it is not feasible with a sample of fifty observations and five governance predictors without encountering severe degrees-of-freedom constraints.</w:t>
      </w:r>
    </w:p>
    <w:p w14:paraId="779ADC29" w14:textId="77777777" w:rsidR="004207D6" w:rsidRDefault="008E15B6">
      <w:r>
        <w:br w:type="page"/>
      </w:r>
    </w:p>
    <w:p w14:paraId="779ADC2A" w14:textId="77777777" w:rsidR="004207D6" w:rsidRDefault="008E15B6">
      <w:pPr>
        <w:pStyle w:val="Heading1"/>
        <w:spacing w:before="320" w:after="160"/>
      </w:pPr>
      <w:r>
        <w:rPr>
          <w:b/>
          <w:bCs/>
          <w:color w:val="000000"/>
          <w:sz w:val="28"/>
          <w:szCs w:val="28"/>
        </w:rPr>
        <w:lastRenderedPageBreak/>
        <w:t>5. Anticipated Findings</w:t>
      </w:r>
    </w:p>
    <w:p w14:paraId="779ADC2B" w14:textId="77777777" w:rsidR="004207D6" w:rsidRDefault="008E15B6">
      <w:pPr>
        <w:spacing w:after="160" w:line="360" w:lineRule="auto"/>
        <w:jc w:val="both"/>
      </w:pPr>
      <w:r>
        <w:rPr>
          <w:color w:val="000000"/>
          <w:sz w:val="24"/>
          <w:szCs w:val="24"/>
        </w:rPr>
        <w:t>The analysis has not yet been executed against the SPSS dataset, so this section presents the findings that the theoretical framework and the pattern of prior empirical results lead me to expect, rather than confirmed results. Each anticipated finding is derived from the relevant hypothesis and is grounded in the direction of effects observed in comparable UK governance studies.</w:t>
      </w:r>
    </w:p>
    <w:p w14:paraId="779ADC2C" w14:textId="77777777" w:rsidR="004207D6" w:rsidRDefault="004207D6">
      <w:pPr>
        <w:spacing w:after="120"/>
      </w:pPr>
    </w:p>
    <w:p w14:paraId="779ADC2D" w14:textId="77777777" w:rsidR="004207D6" w:rsidRDefault="008E15B6">
      <w:pPr>
        <w:pStyle w:val="Heading2"/>
        <w:spacing w:before="240" w:after="120"/>
      </w:pPr>
      <w:r>
        <w:rPr>
          <w:b/>
          <w:bCs/>
          <w:color w:val="000000"/>
        </w:rPr>
        <w:t>5.1 Descriptive Statistics</w:t>
      </w:r>
    </w:p>
    <w:p w14:paraId="779ADC2E" w14:textId="77777777" w:rsidR="004207D6" w:rsidRDefault="008E15B6">
      <w:pPr>
        <w:spacing w:after="160" w:line="360" w:lineRule="auto"/>
        <w:jc w:val="both"/>
      </w:pPr>
      <w:r>
        <w:rPr>
          <w:color w:val="000000"/>
          <w:sz w:val="24"/>
          <w:szCs w:val="24"/>
        </w:rPr>
        <w:t>Across the fifty firm-year observations, board sizes in UK retail are likely to vary considerably, with smaller specialist retailers such as Greggs or Pets at Home maintaining leaner boards than the largest diversified grocers. Average female representation at board level is expected to be in the range of 35 to 45 per cent given published estimates for the sector over this period, though earlier years in the panel will likely show lower representation than later years as firms responded to the Hampton-Alexa</w:t>
      </w:r>
      <w:r>
        <w:rPr>
          <w:color w:val="000000"/>
          <w:sz w:val="24"/>
          <w:szCs w:val="24"/>
        </w:rPr>
        <w:t>nder Review targets. The proportion of directors with postgraduate qualifications is expected to average somewhere around 60 to 70 per cent across the sample. CEO duality is anticipated to be rare, consistent with the strong UK Corporate Governance Code guidance against it. Non-executive director proportions are expected to generally exceed 50 per cent, again reflecting Code recommendations.</w:t>
      </w:r>
    </w:p>
    <w:p w14:paraId="779ADC2F" w14:textId="77777777" w:rsidR="004207D6" w:rsidRDefault="004207D6">
      <w:pPr>
        <w:spacing w:after="120"/>
      </w:pPr>
    </w:p>
    <w:p w14:paraId="779ADC30" w14:textId="77777777" w:rsidR="004207D6" w:rsidRDefault="008E15B6">
      <w:pPr>
        <w:spacing w:after="160" w:line="360" w:lineRule="auto"/>
        <w:jc w:val="both"/>
      </w:pPr>
      <w:r>
        <w:rPr>
          <w:color w:val="000000"/>
          <w:sz w:val="24"/>
          <w:szCs w:val="24"/>
        </w:rPr>
        <w:t>ROA and ROE will show more cross-sectional variation than the governance variables, partly because the pandemic years created dramatic swings in profitability for some retailers. Companies in food retail may show greater stability in profitability across the period than those in clothing or specialist retail, given the more discretionary nature of non-food purchases during periods of economic stress.</w:t>
      </w:r>
    </w:p>
    <w:p w14:paraId="779ADC31" w14:textId="77777777" w:rsidR="004207D6" w:rsidRDefault="004207D6">
      <w:pPr>
        <w:spacing w:after="120"/>
      </w:pPr>
    </w:p>
    <w:p w14:paraId="779ADC32" w14:textId="77777777" w:rsidR="004207D6" w:rsidRDefault="008E15B6">
      <w:pPr>
        <w:pStyle w:val="Heading2"/>
        <w:spacing w:before="240" w:after="120"/>
      </w:pPr>
      <w:r>
        <w:rPr>
          <w:b/>
          <w:bCs/>
          <w:color w:val="000000"/>
        </w:rPr>
        <w:t>5.2 Group Comparisons</w:t>
      </w:r>
    </w:p>
    <w:p w14:paraId="779ADC33" w14:textId="77777777" w:rsidR="004207D6" w:rsidRDefault="008E15B6">
      <w:pPr>
        <w:spacing w:after="160" w:line="360" w:lineRule="auto"/>
        <w:jc w:val="both"/>
      </w:pPr>
      <w:r>
        <w:rPr>
          <w:color w:val="000000"/>
          <w:sz w:val="24"/>
          <w:szCs w:val="24"/>
        </w:rPr>
        <w:t>The Kruskal-</w:t>
      </w:r>
      <w:proofErr w:type="gramStart"/>
      <w:r>
        <w:rPr>
          <w:color w:val="000000"/>
          <w:sz w:val="24"/>
          <w:szCs w:val="24"/>
        </w:rPr>
        <w:t>Wallis</w:t>
      </w:r>
      <w:proofErr w:type="gramEnd"/>
      <w:r>
        <w:rPr>
          <w:color w:val="000000"/>
          <w:sz w:val="24"/>
          <w:szCs w:val="24"/>
        </w:rPr>
        <w:t xml:space="preserve"> test across retail sub-sectors is anticipated to produce a statistically significant result, suggesting that profitability levels differ meaningfully across segments. Food retailers are likely to anchor one end of the distribution with relatively stable but modest margins, while fashion and specialist retailers show higher average profitability in normal years and sharper declines during the pandemic period. Post-hoc comparisons using Dunn's test with </w:t>
      </w:r>
      <w:r>
        <w:rPr>
          <w:color w:val="000000"/>
          <w:sz w:val="24"/>
          <w:szCs w:val="24"/>
        </w:rPr>
        <w:lastRenderedPageBreak/>
        <w:t>Bonferroni correction should identify specific pairs of sub-sectors with non-overlapping profitability distributions.</w:t>
      </w:r>
    </w:p>
    <w:p w14:paraId="779ADC34" w14:textId="77777777" w:rsidR="004207D6" w:rsidRDefault="004207D6">
      <w:pPr>
        <w:spacing w:after="120"/>
      </w:pPr>
    </w:p>
    <w:p w14:paraId="779ADC35" w14:textId="77777777" w:rsidR="004207D6" w:rsidRDefault="008E15B6">
      <w:pPr>
        <w:spacing w:after="160" w:line="360" w:lineRule="auto"/>
        <w:jc w:val="both"/>
      </w:pPr>
      <w:r>
        <w:rPr>
          <w:color w:val="000000"/>
          <w:sz w:val="24"/>
          <w:szCs w:val="24"/>
        </w:rPr>
        <w:t xml:space="preserve">The Mann-Whitney U test comparing duality against non-duality firms is anticipated to </w:t>
      </w:r>
      <w:proofErr w:type="spellStart"/>
      <w:r>
        <w:rPr>
          <w:color w:val="000000"/>
          <w:sz w:val="24"/>
          <w:szCs w:val="24"/>
        </w:rPr>
        <w:t>favour</w:t>
      </w:r>
      <w:proofErr w:type="spellEnd"/>
      <w:r>
        <w:rPr>
          <w:color w:val="000000"/>
          <w:sz w:val="24"/>
          <w:szCs w:val="24"/>
        </w:rPr>
        <w:t xml:space="preserve"> the non-duality group, consistent with H4 and with the agency theory expectation that independent leadership structures deliver stronger profitability. Given that CEO duality is rare in this sample, however, the comparison cell sizes will be unequal and the statistical power of this test may be limited.</w:t>
      </w:r>
    </w:p>
    <w:p w14:paraId="779ADC36" w14:textId="77777777" w:rsidR="004207D6" w:rsidRDefault="004207D6">
      <w:pPr>
        <w:spacing w:after="120"/>
      </w:pPr>
    </w:p>
    <w:p w14:paraId="779ADC37" w14:textId="77777777" w:rsidR="004207D6" w:rsidRDefault="008E15B6">
      <w:pPr>
        <w:pStyle w:val="Heading2"/>
        <w:spacing w:before="240" w:after="120"/>
      </w:pPr>
      <w:r>
        <w:rPr>
          <w:b/>
          <w:bCs/>
          <w:color w:val="000000"/>
        </w:rPr>
        <w:t>5.3 Correlation Analysis</w:t>
      </w:r>
    </w:p>
    <w:p w14:paraId="779ADC38" w14:textId="77777777" w:rsidR="004207D6" w:rsidRDefault="008E15B6">
      <w:pPr>
        <w:spacing w:after="160" w:line="360" w:lineRule="auto"/>
        <w:jc w:val="both"/>
      </w:pPr>
      <w:r>
        <w:rPr>
          <w:color w:val="000000"/>
          <w:sz w:val="24"/>
          <w:szCs w:val="24"/>
        </w:rPr>
        <w:t>The correlation matrix is expected to show positive pairwise associations between GEND_PCT, QUAL_PCT, and NED_PCT on one side and both ROA and ROE on the other. Board size may show a weaker or mixed correlation depending on whether the coordination costs identified in earlier literature outweigh the resource benefits in this sector. DUAL is expected to correlate negatively with profitability. Among the governance predictors themselves, moderate positive correlations are anticipated between NED_PCT and QUAL_</w:t>
      </w:r>
      <w:r>
        <w:rPr>
          <w:color w:val="000000"/>
          <w:sz w:val="24"/>
          <w:szCs w:val="24"/>
        </w:rPr>
        <w:t>PCT, since firms with larger non-executive contingents tend also to recruit directors with strong formal credentials. No pairwise correlation among predictors is expected to exceed 0.80, which would make multicollinearity in the regression manageable.</w:t>
      </w:r>
    </w:p>
    <w:p w14:paraId="779ADC39" w14:textId="77777777" w:rsidR="004207D6" w:rsidRDefault="004207D6">
      <w:pPr>
        <w:spacing w:after="120"/>
      </w:pPr>
    </w:p>
    <w:p w14:paraId="779ADC3A" w14:textId="77777777" w:rsidR="004207D6" w:rsidRDefault="008E15B6">
      <w:pPr>
        <w:pStyle w:val="Heading2"/>
        <w:spacing w:before="240" w:after="120"/>
      </w:pPr>
      <w:r>
        <w:rPr>
          <w:b/>
          <w:bCs/>
          <w:color w:val="000000"/>
        </w:rPr>
        <w:t>5.4 Regression Results</w:t>
      </w:r>
    </w:p>
    <w:p w14:paraId="779ADC3B" w14:textId="77777777" w:rsidR="004207D6" w:rsidRDefault="008E15B6">
      <w:pPr>
        <w:spacing w:after="160" w:line="360" w:lineRule="auto"/>
        <w:jc w:val="both"/>
      </w:pPr>
      <w:r>
        <w:rPr>
          <w:color w:val="000000"/>
          <w:sz w:val="24"/>
          <w:szCs w:val="24"/>
        </w:rPr>
        <w:t xml:space="preserve">The Block 1 regression containing only firm size and leverage as controls is expected to explain perhaps 15 to 25 per cent of the variation in ROA and ROE, given that </w:t>
      </w:r>
      <w:proofErr w:type="gramStart"/>
      <w:r>
        <w:rPr>
          <w:color w:val="000000"/>
          <w:sz w:val="24"/>
          <w:szCs w:val="24"/>
        </w:rPr>
        <w:t>these control</w:t>
      </w:r>
      <w:proofErr w:type="gramEnd"/>
      <w:r>
        <w:rPr>
          <w:color w:val="000000"/>
          <w:sz w:val="24"/>
          <w:szCs w:val="24"/>
        </w:rPr>
        <w:t xml:space="preserve"> variables are well-established predictors of profitability in the governance literature. The addition of governance variables in Block 2 is expected to produce a statistically significant increment in R-squared, supporting the proposition that board composition characteristics explain profitability variation beyond what firm size and leverage account for.</w:t>
      </w:r>
    </w:p>
    <w:p w14:paraId="779ADC3C" w14:textId="77777777" w:rsidR="004207D6" w:rsidRDefault="004207D6">
      <w:pPr>
        <w:spacing w:after="120"/>
      </w:pPr>
    </w:p>
    <w:p w14:paraId="779ADC3D" w14:textId="77777777" w:rsidR="004207D6" w:rsidRDefault="008E15B6">
      <w:pPr>
        <w:spacing w:after="160" w:line="360" w:lineRule="auto"/>
        <w:jc w:val="both"/>
      </w:pPr>
      <w:r>
        <w:rPr>
          <w:color w:val="000000"/>
          <w:sz w:val="24"/>
          <w:szCs w:val="24"/>
        </w:rPr>
        <w:t xml:space="preserve">Among individual coefficients, GEND_PCT and QUAL_PCT are expected to show statistically significant positive coefficients, reflecting the combined predictions of Agency Theory and Resource Dependence Theory. NED_PCT is expected to show a positive coefficient, though its significance may be attenuated by the relatively high baseline levels of </w:t>
      </w:r>
      <w:r>
        <w:rPr>
          <w:color w:val="000000"/>
          <w:sz w:val="24"/>
          <w:szCs w:val="24"/>
        </w:rPr>
        <w:lastRenderedPageBreak/>
        <w:t>non-executive representation across the UK retail sample, which reduces the within-sample variation available to detect an effect. DUAL is expected to show a negative coefficient, confirming the adverse effect of role combination on profitability. BSIZE is the variable about which the least certainty exists, with the direction of its coefficient potentially differing between the ROA and ROE models.</w:t>
      </w:r>
    </w:p>
    <w:p w14:paraId="779ADC3E" w14:textId="77777777" w:rsidR="004207D6" w:rsidRDefault="008E15B6">
      <w:r>
        <w:br w:type="page"/>
      </w:r>
    </w:p>
    <w:p w14:paraId="779ADC3F" w14:textId="77777777" w:rsidR="004207D6" w:rsidRDefault="008E15B6">
      <w:pPr>
        <w:pStyle w:val="Heading1"/>
        <w:spacing w:before="320" w:after="160"/>
      </w:pPr>
      <w:r>
        <w:rPr>
          <w:b/>
          <w:bCs/>
          <w:color w:val="000000"/>
          <w:sz w:val="28"/>
          <w:szCs w:val="28"/>
        </w:rPr>
        <w:lastRenderedPageBreak/>
        <w:t>6. Conclusion</w:t>
      </w:r>
    </w:p>
    <w:p w14:paraId="779ADC40" w14:textId="77777777" w:rsidR="004207D6" w:rsidRDefault="008E15B6">
      <w:pPr>
        <w:spacing w:after="160" w:line="360" w:lineRule="auto"/>
        <w:jc w:val="both"/>
      </w:pPr>
      <w:r>
        <w:rPr>
          <w:color w:val="000000"/>
          <w:sz w:val="24"/>
          <w:szCs w:val="24"/>
        </w:rPr>
        <w:t xml:space="preserve">This paper has developed and fully documented a quantitative research proposal examining whether board governance attributes shape the financial performance of UK-listed retail companies over the 2019 to 2023 period. The motivation for the study is both empirical and contextual: while governance-performance research is extensive, the retail sector has not been examined in isolation, and the sector's operational distinctiveness makes it worth studying on its own terms rather than assuming that findings from </w:t>
      </w:r>
      <w:r>
        <w:rPr>
          <w:color w:val="000000"/>
          <w:sz w:val="24"/>
          <w:szCs w:val="24"/>
        </w:rPr>
        <w:t xml:space="preserve">diversified samples </w:t>
      </w:r>
      <w:proofErr w:type="spellStart"/>
      <w:r>
        <w:rPr>
          <w:color w:val="000000"/>
          <w:sz w:val="24"/>
          <w:szCs w:val="24"/>
        </w:rPr>
        <w:t>generalise</w:t>
      </w:r>
      <w:proofErr w:type="spellEnd"/>
      <w:r>
        <w:rPr>
          <w:color w:val="000000"/>
          <w:sz w:val="24"/>
          <w:szCs w:val="24"/>
        </w:rPr>
        <w:t xml:space="preserve"> to it straightforwardly.</w:t>
      </w:r>
    </w:p>
    <w:p w14:paraId="779ADC41" w14:textId="77777777" w:rsidR="004207D6" w:rsidRDefault="004207D6">
      <w:pPr>
        <w:spacing w:after="120"/>
      </w:pPr>
    </w:p>
    <w:p w14:paraId="779ADC42" w14:textId="77777777" w:rsidR="004207D6" w:rsidRDefault="008E15B6">
      <w:pPr>
        <w:spacing w:after="160" w:line="360" w:lineRule="auto"/>
        <w:jc w:val="both"/>
      </w:pPr>
      <w:r>
        <w:rPr>
          <w:color w:val="000000"/>
          <w:sz w:val="24"/>
          <w:szCs w:val="24"/>
        </w:rPr>
        <w:t>The study draws on five board-level characteristics, namely board headcount, the female share of board membership, the proportion of members holding postgraduate qualifications, the presence or absence of combined CEO and chair roles, and the share of non-executive members, which are measured for ten LSE-listed retail companies across five years, producing a panel of fifty firm-year observations. The analytical plan moves through descriptive statistics, normality and outlier checks, non-parametric group com</w:t>
      </w:r>
      <w:r>
        <w:rPr>
          <w:color w:val="000000"/>
          <w:sz w:val="24"/>
          <w:szCs w:val="24"/>
        </w:rPr>
        <w:t>parisons, correlation analysis, and hierarchical multiple regression in a deliberate sequence that respects the distributional properties of the data before imposing parametric assumptions.</w:t>
      </w:r>
    </w:p>
    <w:p w14:paraId="779ADC43" w14:textId="77777777" w:rsidR="004207D6" w:rsidRDefault="004207D6">
      <w:pPr>
        <w:spacing w:after="120"/>
      </w:pPr>
    </w:p>
    <w:p w14:paraId="779ADC44" w14:textId="77777777" w:rsidR="004207D6" w:rsidRDefault="008E15B6">
      <w:pPr>
        <w:spacing w:after="160" w:line="360" w:lineRule="auto"/>
        <w:jc w:val="both"/>
      </w:pPr>
      <w:r>
        <w:rPr>
          <w:color w:val="000000"/>
          <w:sz w:val="24"/>
          <w:szCs w:val="24"/>
        </w:rPr>
        <w:t xml:space="preserve">The three theoretical lenses adopted, Agency Theory, Resource Dependence Theory, and Stewardship Theory, generate a coherent set of hypotheses while also providing the conceptual tools to interpret findings that may challenge the dominant governance narrative. In particular, the inclusion of Stewardship Theory opens the analysis to the possibility that unified leadership under CEO duality might benefit certain types of retail </w:t>
      </w:r>
      <w:proofErr w:type="spellStart"/>
      <w:r>
        <w:rPr>
          <w:color w:val="000000"/>
          <w:sz w:val="24"/>
          <w:szCs w:val="24"/>
        </w:rPr>
        <w:t>organisations</w:t>
      </w:r>
      <w:proofErr w:type="spellEnd"/>
      <w:r>
        <w:rPr>
          <w:color w:val="000000"/>
          <w:sz w:val="24"/>
          <w:szCs w:val="24"/>
        </w:rPr>
        <w:t>, even if the weight of agency-theory reasoning and the UK Code both predict the opposite.</w:t>
      </w:r>
    </w:p>
    <w:p w14:paraId="779ADC45" w14:textId="77777777" w:rsidR="004207D6" w:rsidRDefault="004207D6">
      <w:pPr>
        <w:spacing w:after="120"/>
      </w:pPr>
    </w:p>
    <w:p w14:paraId="779ADC46" w14:textId="77777777" w:rsidR="004207D6" w:rsidRDefault="008E15B6">
      <w:pPr>
        <w:spacing w:after="160" w:line="360" w:lineRule="auto"/>
        <w:jc w:val="both"/>
      </w:pPr>
      <w:r>
        <w:rPr>
          <w:color w:val="000000"/>
          <w:sz w:val="24"/>
          <w:szCs w:val="24"/>
        </w:rPr>
        <w:t>The anticipated findings suggest that board gender diversity, director qualification levels, and non-executive director proportion will each be positively associated with profitability after controlling for firm size and leverage, while CEO duality will correspond to weaker performance. Board size presents the most uncertain prediction, with the direction of its effect likely reflecting the balance between coordination costs and resource access that theory and prior evidence both identify as genuine competi</w:t>
      </w:r>
      <w:r>
        <w:rPr>
          <w:color w:val="000000"/>
          <w:sz w:val="24"/>
          <w:szCs w:val="24"/>
        </w:rPr>
        <w:t>ng forces.</w:t>
      </w:r>
    </w:p>
    <w:p w14:paraId="779ADC47" w14:textId="77777777" w:rsidR="004207D6" w:rsidRDefault="004207D6">
      <w:pPr>
        <w:spacing w:after="120"/>
      </w:pPr>
    </w:p>
    <w:p w14:paraId="779ADC48" w14:textId="77777777" w:rsidR="004207D6" w:rsidRDefault="008E15B6">
      <w:pPr>
        <w:spacing w:after="160" w:line="360" w:lineRule="auto"/>
        <w:jc w:val="both"/>
      </w:pPr>
      <w:r>
        <w:rPr>
          <w:color w:val="000000"/>
          <w:sz w:val="24"/>
          <w:szCs w:val="24"/>
        </w:rPr>
        <w:lastRenderedPageBreak/>
        <w:t xml:space="preserve">From a practical standpoint, the findings, if they confirm the anticipated direction of effects, would offer UK retail boards specific, sector-grounded guidance about which governance characteristics are most strongly linked to profitability outcomes. Nomination committees in retail firms could consider using the study's findings when making decisions about board composition, </w:t>
      </w:r>
      <w:proofErr w:type="spellStart"/>
      <w:r>
        <w:rPr>
          <w:color w:val="000000"/>
          <w:sz w:val="24"/>
          <w:szCs w:val="24"/>
        </w:rPr>
        <w:t>recognising</w:t>
      </w:r>
      <w:proofErr w:type="spellEnd"/>
      <w:r>
        <w:rPr>
          <w:color w:val="000000"/>
          <w:sz w:val="24"/>
          <w:szCs w:val="24"/>
        </w:rPr>
        <w:t xml:space="preserve"> both the monitoring-focused recommendations of the UK Corporate Governance Code and the resource provision benefits that a diverse, well-qualified board can deliver.</w:t>
      </w:r>
    </w:p>
    <w:p w14:paraId="779ADC49" w14:textId="77777777" w:rsidR="004207D6" w:rsidRDefault="004207D6">
      <w:pPr>
        <w:spacing w:after="120"/>
      </w:pPr>
    </w:p>
    <w:p w14:paraId="779ADC4A" w14:textId="22063529" w:rsidR="00A97A15" w:rsidRDefault="008E15B6" w:rsidP="002F3198">
      <w:pPr>
        <w:spacing w:after="160" w:line="360" w:lineRule="auto"/>
        <w:rPr>
          <w:color w:val="000000"/>
          <w:sz w:val="24"/>
          <w:szCs w:val="24"/>
        </w:rPr>
      </w:pPr>
      <w:r>
        <w:rPr>
          <w:color w:val="000000"/>
          <w:sz w:val="24"/>
          <w:szCs w:val="24"/>
        </w:rPr>
        <w:t>Future extensions of this work should address the methodological limitations acknowledged in Section 4.11. A larger sample encompassing more retail firms, or a longer time series, would increase statistical power and the robustness of conclusions. Fixed-effects panel regression would offer a more rigorous approach to isolating governance effects from firm-level unobserved characteristics. Qualitative case studies examining how boards in the same firms actually operate would complement the quantitative patte</w:t>
      </w:r>
      <w:r>
        <w:rPr>
          <w:color w:val="000000"/>
          <w:sz w:val="24"/>
          <w:szCs w:val="24"/>
        </w:rPr>
        <w:t>rns identified here and shed light on the mechanisms that connect governance structure to profitability outcomes.</w:t>
      </w:r>
      <w:r w:rsidR="00A97A15">
        <w:rPr>
          <w:color w:val="000000"/>
          <w:sz w:val="24"/>
          <w:szCs w:val="24"/>
        </w:rPr>
        <w:br/>
      </w:r>
    </w:p>
    <w:p w14:paraId="14BC1AE9" w14:textId="2755C385" w:rsidR="00A97A15" w:rsidRPr="002F3198" w:rsidRDefault="00A97A15" w:rsidP="002F3198">
      <w:pPr>
        <w:rPr>
          <w:color w:val="000000"/>
          <w:sz w:val="24"/>
          <w:szCs w:val="24"/>
        </w:rPr>
      </w:pPr>
      <w:r>
        <w:rPr>
          <w:b/>
          <w:bCs/>
          <w:color w:val="000000"/>
          <w:sz w:val="28"/>
          <w:szCs w:val="28"/>
        </w:rPr>
        <w:t>References</w:t>
      </w:r>
    </w:p>
    <w:p w14:paraId="0F611478" w14:textId="77777777" w:rsidR="00A97A15" w:rsidRDefault="00A97A15" w:rsidP="00A97A15">
      <w:pPr>
        <w:spacing w:after="160" w:line="360" w:lineRule="auto"/>
        <w:jc w:val="both"/>
      </w:pPr>
      <w:r>
        <w:rPr>
          <w:color w:val="000000"/>
          <w:sz w:val="24"/>
          <w:szCs w:val="24"/>
        </w:rPr>
        <w:t>Adams, R.B. and Ferreira, D. (2009) 'Women in the boardroom and their impact on governance and performance'. Journal of Financial Economics, 94(2), pp. 291-309.</w:t>
      </w:r>
    </w:p>
    <w:p w14:paraId="1A5AFF6F" w14:textId="77777777" w:rsidR="00A97A15" w:rsidRDefault="00A97A15" w:rsidP="00A97A15">
      <w:pPr>
        <w:spacing w:after="120"/>
      </w:pPr>
    </w:p>
    <w:p w14:paraId="300615E0" w14:textId="77777777" w:rsidR="00A97A15" w:rsidRDefault="00A97A15" w:rsidP="00A97A15">
      <w:pPr>
        <w:spacing w:after="160" w:line="360" w:lineRule="auto"/>
        <w:jc w:val="both"/>
      </w:pPr>
      <w:r>
        <w:rPr>
          <w:color w:val="000000"/>
          <w:sz w:val="24"/>
          <w:szCs w:val="24"/>
        </w:rPr>
        <w:t>Adams, R.B., Hermalin, B.E. and Weisbach, M.S. (2010) 'The role of boards of directors in corporate governance: A conceptual framework and survey'. Journal of Economic Literature, 48(1), pp. 58-107.</w:t>
      </w:r>
    </w:p>
    <w:p w14:paraId="7481EFF7" w14:textId="77777777" w:rsidR="00A97A15" w:rsidRDefault="00A97A15" w:rsidP="00A97A15">
      <w:pPr>
        <w:spacing w:after="120"/>
      </w:pPr>
    </w:p>
    <w:p w14:paraId="37DFBC69" w14:textId="77777777" w:rsidR="00A97A15" w:rsidRDefault="00A97A15" w:rsidP="00A97A15">
      <w:pPr>
        <w:spacing w:after="160" w:line="360" w:lineRule="auto"/>
        <w:jc w:val="both"/>
      </w:pPr>
      <w:r>
        <w:rPr>
          <w:color w:val="000000"/>
          <w:sz w:val="24"/>
          <w:szCs w:val="24"/>
        </w:rPr>
        <w:t>B and M European Value Retail SA (2019-2023) Annual Reports and Accounts. Available at: www.bandmretail.com [Accessed: October 2026].</w:t>
      </w:r>
    </w:p>
    <w:p w14:paraId="1D4BCE5B" w14:textId="77777777" w:rsidR="00A97A15" w:rsidRDefault="00A97A15" w:rsidP="00A97A15">
      <w:pPr>
        <w:spacing w:after="120"/>
      </w:pPr>
    </w:p>
    <w:p w14:paraId="0038341B" w14:textId="77777777" w:rsidR="00A97A15" w:rsidRDefault="00A97A15" w:rsidP="00A97A15">
      <w:pPr>
        <w:spacing w:after="160" w:line="360" w:lineRule="auto"/>
        <w:jc w:val="both"/>
      </w:pPr>
      <w:r>
        <w:rPr>
          <w:color w:val="000000"/>
          <w:sz w:val="24"/>
          <w:szCs w:val="24"/>
        </w:rPr>
        <w:t>Becker, G.S. (1964) Human Capital: A Theoretical and Empirical Analysis, with Special Reference to Education. New York: Columbia University Press.</w:t>
      </w:r>
    </w:p>
    <w:p w14:paraId="0733A862" w14:textId="77777777" w:rsidR="00A97A15" w:rsidRDefault="00A97A15" w:rsidP="00A97A15">
      <w:pPr>
        <w:spacing w:after="120"/>
      </w:pPr>
    </w:p>
    <w:p w14:paraId="63CF7066" w14:textId="77777777" w:rsidR="00A97A15" w:rsidRDefault="00A97A15" w:rsidP="00A97A15">
      <w:pPr>
        <w:spacing w:after="160" w:line="360" w:lineRule="auto"/>
        <w:jc w:val="both"/>
      </w:pPr>
      <w:r>
        <w:rPr>
          <w:color w:val="000000"/>
          <w:sz w:val="24"/>
          <w:szCs w:val="24"/>
        </w:rPr>
        <w:t>Brahma, S., Nwafor, C. and Boateng, A. (2021) 'Board gender diversity and firm performance: The UK evidence'. International Journal of Finance and Economics, 26(4), pp. 5704-5719.</w:t>
      </w:r>
    </w:p>
    <w:p w14:paraId="2817D522" w14:textId="77777777" w:rsidR="00A97A15" w:rsidRDefault="00A97A15" w:rsidP="00A97A15">
      <w:pPr>
        <w:spacing w:after="120"/>
      </w:pPr>
    </w:p>
    <w:p w14:paraId="35584CF9" w14:textId="77777777" w:rsidR="00A97A15" w:rsidRDefault="00A97A15" w:rsidP="00A97A15">
      <w:pPr>
        <w:spacing w:after="160" w:line="360" w:lineRule="auto"/>
        <w:jc w:val="both"/>
      </w:pPr>
      <w:r>
        <w:rPr>
          <w:color w:val="000000"/>
          <w:sz w:val="24"/>
          <w:szCs w:val="24"/>
        </w:rPr>
        <w:t xml:space="preserve">Bryman, A. (2016) Social Research Methods. 5th </w:t>
      </w:r>
      <w:proofErr w:type="spellStart"/>
      <w:r>
        <w:rPr>
          <w:color w:val="000000"/>
          <w:sz w:val="24"/>
          <w:szCs w:val="24"/>
        </w:rPr>
        <w:t>edn</w:t>
      </w:r>
      <w:proofErr w:type="spellEnd"/>
      <w:r>
        <w:rPr>
          <w:color w:val="000000"/>
          <w:sz w:val="24"/>
          <w:szCs w:val="24"/>
        </w:rPr>
        <w:t>. Oxford: Oxford University Press.</w:t>
      </w:r>
    </w:p>
    <w:p w14:paraId="178DBB36" w14:textId="77777777" w:rsidR="00A97A15" w:rsidRDefault="00A97A15" w:rsidP="00A97A15">
      <w:pPr>
        <w:spacing w:after="120"/>
      </w:pPr>
    </w:p>
    <w:p w14:paraId="3353B66C" w14:textId="77777777" w:rsidR="00A97A15" w:rsidRDefault="00A97A15" w:rsidP="00A97A15">
      <w:pPr>
        <w:spacing w:after="160" w:line="360" w:lineRule="auto"/>
        <w:jc w:val="both"/>
      </w:pPr>
      <w:r>
        <w:rPr>
          <w:color w:val="000000"/>
          <w:sz w:val="24"/>
          <w:szCs w:val="24"/>
        </w:rPr>
        <w:t>Cadbury, A. (1992) Report of the Committee on the Financial Aspects of Corporate Governance. London: Gee Publishing.</w:t>
      </w:r>
    </w:p>
    <w:p w14:paraId="2D8A22BB" w14:textId="77777777" w:rsidR="00A97A15" w:rsidRDefault="00A97A15" w:rsidP="00A97A15">
      <w:pPr>
        <w:spacing w:after="120"/>
      </w:pPr>
    </w:p>
    <w:p w14:paraId="27631D14" w14:textId="77777777" w:rsidR="00A97A15" w:rsidRDefault="00A97A15" w:rsidP="00A97A15">
      <w:pPr>
        <w:spacing w:after="160" w:line="360" w:lineRule="auto"/>
        <w:jc w:val="both"/>
      </w:pPr>
      <w:r>
        <w:rPr>
          <w:color w:val="000000"/>
          <w:sz w:val="24"/>
          <w:szCs w:val="24"/>
        </w:rPr>
        <w:t>Carter, D.A., Simkins, B.J. and Simpson, W.G. (2003) 'Corporate governance, board diversity, and firm value'. Financial Review, 38(1), pp. 33-53.</w:t>
      </w:r>
    </w:p>
    <w:p w14:paraId="205F4423" w14:textId="77777777" w:rsidR="00A97A15" w:rsidRDefault="00A97A15" w:rsidP="00A97A15">
      <w:pPr>
        <w:spacing w:after="120"/>
      </w:pPr>
    </w:p>
    <w:p w14:paraId="01C5AB37" w14:textId="77777777" w:rsidR="00A97A15" w:rsidRDefault="00A97A15" w:rsidP="00A97A15">
      <w:pPr>
        <w:spacing w:after="160" w:line="360" w:lineRule="auto"/>
        <w:jc w:val="both"/>
      </w:pPr>
      <w:r>
        <w:rPr>
          <w:color w:val="000000"/>
          <w:sz w:val="24"/>
          <w:szCs w:val="24"/>
        </w:rPr>
        <w:t>Coles, J.L., Daniel, N.D. and Naveen, L. (2008) 'Boards: Does one size fit all?'. Journal of Financial Economics, 87(2), pp. 329-356.</w:t>
      </w:r>
    </w:p>
    <w:p w14:paraId="17460ED0" w14:textId="77777777" w:rsidR="00A97A15" w:rsidRDefault="00A97A15" w:rsidP="00A97A15">
      <w:pPr>
        <w:spacing w:after="120"/>
      </w:pPr>
    </w:p>
    <w:p w14:paraId="75B2ED05" w14:textId="77777777" w:rsidR="00A97A15" w:rsidRDefault="00A97A15" w:rsidP="00A97A15">
      <w:pPr>
        <w:spacing w:after="160" w:line="360" w:lineRule="auto"/>
        <w:jc w:val="both"/>
      </w:pPr>
      <w:r>
        <w:rPr>
          <w:color w:val="000000"/>
          <w:sz w:val="24"/>
          <w:szCs w:val="24"/>
        </w:rPr>
        <w:t xml:space="preserve">Donaldson, L. and Davis, J.H. (1991) 'Stewardship theory or agency theory: CEO governance and shareholder </w:t>
      </w:r>
      <w:proofErr w:type="gramStart"/>
      <w:r>
        <w:rPr>
          <w:color w:val="000000"/>
          <w:sz w:val="24"/>
          <w:szCs w:val="24"/>
        </w:rPr>
        <w:t>returns</w:t>
      </w:r>
      <w:proofErr w:type="gramEnd"/>
      <w:r>
        <w:rPr>
          <w:color w:val="000000"/>
          <w:sz w:val="24"/>
          <w:szCs w:val="24"/>
        </w:rPr>
        <w:t>'. Australian Journal of Management, 16(1), pp. 49-64.</w:t>
      </w:r>
    </w:p>
    <w:p w14:paraId="6C3BD725" w14:textId="77777777" w:rsidR="00A97A15" w:rsidRDefault="00A97A15" w:rsidP="00A97A15">
      <w:pPr>
        <w:spacing w:after="120"/>
      </w:pPr>
    </w:p>
    <w:p w14:paraId="4EB989DF" w14:textId="77777777" w:rsidR="00A97A15" w:rsidRDefault="00A97A15" w:rsidP="00A97A15">
      <w:pPr>
        <w:spacing w:after="160" w:line="360" w:lineRule="auto"/>
        <w:jc w:val="both"/>
      </w:pPr>
      <w:r>
        <w:rPr>
          <w:color w:val="000000"/>
          <w:sz w:val="24"/>
          <w:szCs w:val="24"/>
        </w:rPr>
        <w:t>Dunelm Group PLC (2019-2023) Annual Reports and Accounts. Available at: corporate.dunelm.com [Accessed: October 2026].</w:t>
      </w:r>
    </w:p>
    <w:p w14:paraId="3EEB0B5A" w14:textId="77777777" w:rsidR="00A97A15" w:rsidRDefault="00A97A15" w:rsidP="00A97A15">
      <w:pPr>
        <w:spacing w:after="120"/>
      </w:pPr>
    </w:p>
    <w:p w14:paraId="5A1F3F48" w14:textId="77777777" w:rsidR="00A97A15" w:rsidRDefault="00A97A15" w:rsidP="00A97A15">
      <w:pPr>
        <w:spacing w:after="160" w:line="360" w:lineRule="auto"/>
        <w:jc w:val="both"/>
      </w:pPr>
      <w:r>
        <w:rPr>
          <w:color w:val="000000"/>
          <w:sz w:val="24"/>
          <w:szCs w:val="24"/>
        </w:rPr>
        <w:t>Fama, E.F. and Jensen, M.C. (1983) 'Separation of ownership and control'. Journal of Law and Economics, 26(2), pp. 301-325.</w:t>
      </w:r>
    </w:p>
    <w:p w14:paraId="7BCB80D9" w14:textId="77777777" w:rsidR="00A97A15" w:rsidRDefault="00A97A15" w:rsidP="00A97A15">
      <w:pPr>
        <w:spacing w:after="120"/>
      </w:pPr>
    </w:p>
    <w:p w14:paraId="491B00EA" w14:textId="77777777" w:rsidR="00A97A15" w:rsidRDefault="00A97A15" w:rsidP="00A97A15">
      <w:pPr>
        <w:spacing w:after="160" w:line="360" w:lineRule="auto"/>
        <w:jc w:val="both"/>
      </w:pPr>
      <w:r>
        <w:rPr>
          <w:color w:val="000000"/>
          <w:sz w:val="24"/>
          <w:szCs w:val="24"/>
        </w:rPr>
        <w:t xml:space="preserve">Field, A. (2018) Discovering Statistics Using IBM SPSS Statistics. 5th </w:t>
      </w:r>
      <w:proofErr w:type="spellStart"/>
      <w:r>
        <w:rPr>
          <w:color w:val="000000"/>
          <w:sz w:val="24"/>
          <w:szCs w:val="24"/>
        </w:rPr>
        <w:t>edn</w:t>
      </w:r>
      <w:proofErr w:type="spellEnd"/>
      <w:r>
        <w:rPr>
          <w:color w:val="000000"/>
          <w:sz w:val="24"/>
          <w:szCs w:val="24"/>
        </w:rPr>
        <w:t>. London: Sage.</w:t>
      </w:r>
    </w:p>
    <w:p w14:paraId="2BFEE30E" w14:textId="77777777" w:rsidR="00A97A15" w:rsidRDefault="00A97A15" w:rsidP="00A97A15">
      <w:pPr>
        <w:spacing w:after="120"/>
      </w:pPr>
    </w:p>
    <w:p w14:paraId="6C5965F4" w14:textId="77777777" w:rsidR="00A97A15" w:rsidRDefault="00A97A15" w:rsidP="00A97A15">
      <w:pPr>
        <w:spacing w:after="160" w:line="360" w:lineRule="auto"/>
        <w:jc w:val="both"/>
      </w:pPr>
      <w:r>
        <w:rPr>
          <w:color w:val="000000"/>
          <w:sz w:val="24"/>
          <w:szCs w:val="24"/>
        </w:rPr>
        <w:t>Financial Reporting Council (2018) UK Corporate Governance Code. London: FRC. Available at: www.frc.org.uk [Accessed: October 2026].</w:t>
      </w:r>
    </w:p>
    <w:p w14:paraId="3CA921A0" w14:textId="77777777" w:rsidR="00A97A15" w:rsidRDefault="00A97A15" w:rsidP="00A97A15">
      <w:pPr>
        <w:spacing w:after="120"/>
      </w:pPr>
    </w:p>
    <w:p w14:paraId="3F7BC4D3" w14:textId="77777777" w:rsidR="00A97A15" w:rsidRDefault="00A97A15" w:rsidP="00A97A15">
      <w:pPr>
        <w:spacing w:after="160" w:line="360" w:lineRule="auto"/>
        <w:jc w:val="both"/>
      </w:pPr>
      <w:r>
        <w:rPr>
          <w:color w:val="000000"/>
          <w:sz w:val="24"/>
          <w:szCs w:val="24"/>
        </w:rPr>
        <w:t>Gottesman, A.A. and Morey, M.R. (2006) 'Manager education and mutual fund performance'. Journal of Empirical Finance, 13(2), pp. 145-182.</w:t>
      </w:r>
    </w:p>
    <w:p w14:paraId="0A3ABA5B" w14:textId="77777777" w:rsidR="00A97A15" w:rsidRDefault="00A97A15" w:rsidP="00A97A15">
      <w:pPr>
        <w:spacing w:after="120"/>
      </w:pPr>
    </w:p>
    <w:p w14:paraId="0A0BF786" w14:textId="77777777" w:rsidR="00A97A15" w:rsidRDefault="00A97A15" w:rsidP="00A97A15">
      <w:pPr>
        <w:spacing w:after="160" w:line="360" w:lineRule="auto"/>
        <w:jc w:val="both"/>
      </w:pPr>
      <w:r>
        <w:rPr>
          <w:color w:val="000000"/>
          <w:sz w:val="24"/>
          <w:szCs w:val="24"/>
        </w:rPr>
        <w:t>Greggs PLC (2019-2023) Annual Reports and Accounts. Available at: www.greggs.co.uk [Accessed: October 2026].</w:t>
      </w:r>
    </w:p>
    <w:p w14:paraId="08238794" w14:textId="77777777" w:rsidR="00A97A15" w:rsidRDefault="00A97A15" w:rsidP="00A97A15">
      <w:pPr>
        <w:spacing w:after="120"/>
      </w:pPr>
    </w:p>
    <w:p w14:paraId="5614FF92" w14:textId="77777777" w:rsidR="00A97A15" w:rsidRDefault="00A97A15" w:rsidP="00A97A15">
      <w:pPr>
        <w:spacing w:after="160" w:line="360" w:lineRule="auto"/>
        <w:jc w:val="both"/>
      </w:pPr>
      <w:r>
        <w:rPr>
          <w:color w:val="000000"/>
          <w:sz w:val="24"/>
          <w:szCs w:val="24"/>
        </w:rPr>
        <w:t>Halfords Group PLC (2019-2023) Annual Reports and Accounts. Available at: www.halfordscompany.com [Accessed: October 2026].</w:t>
      </w:r>
    </w:p>
    <w:p w14:paraId="7E9D76D3" w14:textId="77777777" w:rsidR="00A97A15" w:rsidRDefault="00A97A15" w:rsidP="00A97A15">
      <w:pPr>
        <w:spacing w:after="120"/>
      </w:pPr>
    </w:p>
    <w:p w14:paraId="79E48757" w14:textId="77777777" w:rsidR="00A97A15" w:rsidRDefault="00A97A15" w:rsidP="00A97A15">
      <w:pPr>
        <w:spacing w:after="160" w:line="360" w:lineRule="auto"/>
        <w:jc w:val="both"/>
      </w:pPr>
      <w:r>
        <w:rPr>
          <w:color w:val="000000"/>
          <w:sz w:val="24"/>
          <w:szCs w:val="24"/>
        </w:rPr>
        <w:t xml:space="preserve">Hair, J.F., Black, W.C., Babin, B.J. and Anderson, R.E. (2019) Multivariate Data Analysis. 8th </w:t>
      </w:r>
      <w:proofErr w:type="spellStart"/>
      <w:r>
        <w:rPr>
          <w:color w:val="000000"/>
          <w:sz w:val="24"/>
          <w:szCs w:val="24"/>
        </w:rPr>
        <w:t>edn</w:t>
      </w:r>
      <w:proofErr w:type="spellEnd"/>
      <w:r>
        <w:rPr>
          <w:color w:val="000000"/>
          <w:sz w:val="24"/>
          <w:szCs w:val="24"/>
        </w:rPr>
        <w:t>. Andover: Cengage Learning.</w:t>
      </w:r>
    </w:p>
    <w:p w14:paraId="4F291D33" w14:textId="77777777" w:rsidR="00A97A15" w:rsidRDefault="00A97A15" w:rsidP="00A97A15">
      <w:pPr>
        <w:spacing w:after="120"/>
      </w:pPr>
    </w:p>
    <w:p w14:paraId="77520C75" w14:textId="77777777" w:rsidR="00A97A15" w:rsidRDefault="00A97A15" w:rsidP="00A97A15">
      <w:pPr>
        <w:spacing w:after="160" w:line="360" w:lineRule="auto"/>
        <w:jc w:val="both"/>
      </w:pPr>
      <w:r>
        <w:rPr>
          <w:color w:val="000000"/>
          <w:sz w:val="24"/>
          <w:szCs w:val="24"/>
        </w:rPr>
        <w:t>Hampton, P. and Alexander, H. (2016) Hampton-Alexander Review: FTSE Women Leaders. London: Department for Business, Energy and Industrial Strategy.</w:t>
      </w:r>
    </w:p>
    <w:p w14:paraId="21B4EA07" w14:textId="77777777" w:rsidR="00A97A15" w:rsidRDefault="00A97A15" w:rsidP="00A97A15">
      <w:pPr>
        <w:spacing w:after="120"/>
      </w:pPr>
    </w:p>
    <w:p w14:paraId="3482DC65" w14:textId="77777777" w:rsidR="00A97A15" w:rsidRDefault="00A97A15" w:rsidP="00A97A15">
      <w:pPr>
        <w:spacing w:after="160" w:line="360" w:lineRule="auto"/>
        <w:jc w:val="both"/>
      </w:pPr>
      <w:r>
        <w:rPr>
          <w:color w:val="000000"/>
          <w:sz w:val="24"/>
          <w:szCs w:val="24"/>
        </w:rPr>
        <w:t>Hermalin, B.E. and Weisbach, M.S. (2003) 'Boards of directors as an endogenously determined institution: A survey of the economic literature'. Economic Policy Review, 9(1), pp. 7-26.</w:t>
      </w:r>
    </w:p>
    <w:p w14:paraId="1B4DDDF8" w14:textId="77777777" w:rsidR="00A97A15" w:rsidRDefault="00A97A15" w:rsidP="00A97A15">
      <w:pPr>
        <w:spacing w:after="120"/>
      </w:pPr>
    </w:p>
    <w:p w14:paraId="15492D51" w14:textId="77777777" w:rsidR="00A97A15" w:rsidRDefault="00A97A15" w:rsidP="00A97A15">
      <w:pPr>
        <w:spacing w:after="160" w:line="360" w:lineRule="auto"/>
        <w:jc w:val="both"/>
      </w:pPr>
      <w:r>
        <w:rPr>
          <w:color w:val="000000"/>
          <w:sz w:val="24"/>
          <w:szCs w:val="24"/>
        </w:rPr>
        <w:t>J Sainsbury PLC (2019-2023) Annual Reports and Accounts. Available at: www.about.sainsburys.co.uk [Accessed: October 2026].</w:t>
      </w:r>
    </w:p>
    <w:p w14:paraId="335C3513" w14:textId="77777777" w:rsidR="00A97A15" w:rsidRDefault="00A97A15" w:rsidP="00A97A15">
      <w:pPr>
        <w:spacing w:after="120"/>
      </w:pPr>
    </w:p>
    <w:p w14:paraId="736CD9AA" w14:textId="77777777" w:rsidR="00A97A15" w:rsidRDefault="00A97A15" w:rsidP="00A97A15">
      <w:pPr>
        <w:spacing w:after="160" w:line="360" w:lineRule="auto"/>
        <w:jc w:val="both"/>
      </w:pPr>
      <w:r>
        <w:rPr>
          <w:color w:val="000000"/>
          <w:sz w:val="24"/>
          <w:szCs w:val="24"/>
        </w:rPr>
        <w:t>JD Sports Fashion PLC (2019-2023) Annual Reports and Accounts. Available at: www.jdplc.com [Accessed: October 2026].</w:t>
      </w:r>
    </w:p>
    <w:p w14:paraId="31E73EB4" w14:textId="77777777" w:rsidR="00A97A15" w:rsidRDefault="00A97A15" w:rsidP="00A97A15">
      <w:pPr>
        <w:spacing w:after="120"/>
      </w:pPr>
    </w:p>
    <w:p w14:paraId="0F5D4142" w14:textId="77777777" w:rsidR="00A97A15" w:rsidRDefault="00A97A15" w:rsidP="00A97A15">
      <w:pPr>
        <w:spacing w:after="160" w:line="360" w:lineRule="auto"/>
        <w:jc w:val="both"/>
      </w:pPr>
      <w:r>
        <w:rPr>
          <w:color w:val="000000"/>
          <w:sz w:val="24"/>
          <w:szCs w:val="24"/>
        </w:rPr>
        <w:t>Jensen, M.C. (1993) 'The modern industrial revolution, exit, and the failure of internal control systems'. Journal of Finance, 48(3), pp. 831-880.</w:t>
      </w:r>
    </w:p>
    <w:p w14:paraId="079D277E" w14:textId="77777777" w:rsidR="00A97A15" w:rsidRDefault="00A97A15" w:rsidP="00A97A15">
      <w:pPr>
        <w:spacing w:after="120"/>
      </w:pPr>
    </w:p>
    <w:p w14:paraId="3300CE30" w14:textId="77777777" w:rsidR="00A97A15" w:rsidRDefault="00A97A15" w:rsidP="00A97A15">
      <w:pPr>
        <w:spacing w:after="160" w:line="360" w:lineRule="auto"/>
        <w:jc w:val="both"/>
      </w:pPr>
      <w:r>
        <w:rPr>
          <w:color w:val="000000"/>
          <w:sz w:val="24"/>
          <w:szCs w:val="24"/>
        </w:rPr>
        <w:t>Jensen, M.C. and Meckling, W.H. (1976) 'Theory of the firm: Managerial behavior, agency costs and ownership structure'. Journal of Financial Economics, 3(4), pp. 305-360.</w:t>
      </w:r>
    </w:p>
    <w:p w14:paraId="40F2D0DE" w14:textId="77777777" w:rsidR="00A97A15" w:rsidRDefault="00A97A15" w:rsidP="00A97A15">
      <w:pPr>
        <w:spacing w:after="120"/>
      </w:pPr>
    </w:p>
    <w:p w14:paraId="3E43AECA" w14:textId="77777777" w:rsidR="00A97A15" w:rsidRDefault="00A97A15" w:rsidP="00A97A15">
      <w:pPr>
        <w:spacing w:after="160" w:line="360" w:lineRule="auto"/>
        <w:jc w:val="both"/>
      </w:pPr>
      <w:r>
        <w:rPr>
          <w:color w:val="000000"/>
          <w:sz w:val="24"/>
          <w:szCs w:val="24"/>
        </w:rPr>
        <w:t xml:space="preserve">Kyere, M. and Ausloos, M. (2021) 'Corporate governance and </w:t>
      </w:r>
      <w:proofErr w:type="gramStart"/>
      <w:r>
        <w:rPr>
          <w:color w:val="000000"/>
          <w:sz w:val="24"/>
          <w:szCs w:val="24"/>
        </w:rPr>
        <w:t>firms</w:t>
      </w:r>
      <w:proofErr w:type="gramEnd"/>
      <w:r>
        <w:rPr>
          <w:color w:val="000000"/>
          <w:sz w:val="24"/>
          <w:szCs w:val="24"/>
        </w:rPr>
        <w:t xml:space="preserve"> financial performance in the United Kingdom'. International Journal of Finance and Economics, 26(2), pp. 1871-1885.</w:t>
      </w:r>
    </w:p>
    <w:p w14:paraId="45954291" w14:textId="77777777" w:rsidR="00A97A15" w:rsidRDefault="00A97A15" w:rsidP="00A97A15">
      <w:pPr>
        <w:spacing w:after="120"/>
      </w:pPr>
    </w:p>
    <w:p w14:paraId="0A277D96" w14:textId="77777777" w:rsidR="00A97A15" w:rsidRDefault="00A97A15" w:rsidP="00A97A15">
      <w:pPr>
        <w:spacing w:after="160" w:line="360" w:lineRule="auto"/>
        <w:jc w:val="both"/>
      </w:pPr>
      <w:r>
        <w:rPr>
          <w:color w:val="000000"/>
          <w:sz w:val="24"/>
          <w:szCs w:val="24"/>
        </w:rPr>
        <w:t>Lipton, M. and Lorsch, J.W. (1992) 'A modest proposal for improved corporate governance'. Business Lawyer, 48(1), pp. 59-77.</w:t>
      </w:r>
    </w:p>
    <w:p w14:paraId="28098CDB" w14:textId="77777777" w:rsidR="00A97A15" w:rsidRDefault="00A97A15" w:rsidP="00A97A15">
      <w:pPr>
        <w:spacing w:after="120"/>
      </w:pPr>
    </w:p>
    <w:p w14:paraId="116D6B3A" w14:textId="77777777" w:rsidR="00A97A15" w:rsidRDefault="00A97A15" w:rsidP="00A97A15">
      <w:pPr>
        <w:spacing w:after="160" w:line="360" w:lineRule="auto"/>
        <w:jc w:val="both"/>
      </w:pPr>
      <w:r>
        <w:rPr>
          <w:color w:val="000000"/>
          <w:sz w:val="24"/>
          <w:szCs w:val="24"/>
        </w:rPr>
        <w:lastRenderedPageBreak/>
        <w:t>Marks and Spencer Group PLC (2019-2023) Annual Reports and Accounts. Available at: corporate.marksandspencer.com [Accessed: October 2026].</w:t>
      </w:r>
    </w:p>
    <w:p w14:paraId="2DB7565B" w14:textId="77777777" w:rsidR="00A97A15" w:rsidRDefault="00A97A15" w:rsidP="00A97A15">
      <w:pPr>
        <w:spacing w:after="120"/>
      </w:pPr>
    </w:p>
    <w:p w14:paraId="6D78A311" w14:textId="77777777" w:rsidR="00A97A15" w:rsidRDefault="00A97A15" w:rsidP="00A97A15">
      <w:pPr>
        <w:spacing w:after="160" w:line="360" w:lineRule="auto"/>
        <w:jc w:val="both"/>
      </w:pPr>
      <w:r>
        <w:rPr>
          <w:color w:val="000000"/>
          <w:sz w:val="24"/>
          <w:szCs w:val="24"/>
        </w:rPr>
        <w:t>Next PLC (2019-2023) Annual Reports and Accounts. Available at: www.nextplc.co.uk [Accessed: October 2026].</w:t>
      </w:r>
    </w:p>
    <w:p w14:paraId="4814C45A" w14:textId="77777777" w:rsidR="00A97A15" w:rsidRDefault="00A97A15" w:rsidP="00A97A15">
      <w:pPr>
        <w:spacing w:after="120"/>
      </w:pPr>
    </w:p>
    <w:p w14:paraId="5FBD903A" w14:textId="77777777" w:rsidR="00A97A15" w:rsidRDefault="00A97A15" w:rsidP="00A97A15">
      <w:pPr>
        <w:spacing w:after="160" w:line="360" w:lineRule="auto"/>
        <w:jc w:val="both"/>
      </w:pPr>
      <w:r>
        <w:rPr>
          <w:color w:val="000000"/>
          <w:sz w:val="24"/>
          <w:szCs w:val="24"/>
        </w:rPr>
        <w:t xml:space="preserve">Owen, A.L. and </w:t>
      </w:r>
      <w:proofErr w:type="spellStart"/>
      <w:r>
        <w:rPr>
          <w:color w:val="000000"/>
          <w:sz w:val="24"/>
          <w:szCs w:val="24"/>
        </w:rPr>
        <w:t>Temesvary</w:t>
      </w:r>
      <w:proofErr w:type="spellEnd"/>
      <w:r>
        <w:rPr>
          <w:color w:val="000000"/>
          <w:sz w:val="24"/>
          <w:szCs w:val="24"/>
        </w:rPr>
        <w:t>, J. (2018) 'The performance effects of gender diversity on bank boards'. Journal of Banking and Finance, 90, pp. 50-63.</w:t>
      </w:r>
    </w:p>
    <w:p w14:paraId="0652F19E" w14:textId="77777777" w:rsidR="00A97A15" w:rsidRDefault="00A97A15" w:rsidP="00A97A15">
      <w:pPr>
        <w:spacing w:after="120"/>
      </w:pPr>
    </w:p>
    <w:p w14:paraId="370BE722" w14:textId="77777777" w:rsidR="00A97A15" w:rsidRDefault="00A97A15" w:rsidP="00A97A15">
      <w:pPr>
        <w:spacing w:after="160" w:line="360" w:lineRule="auto"/>
        <w:jc w:val="both"/>
      </w:pPr>
      <w:r>
        <w:rPr>
          <w:color w:val="000000"/>
          <w:sz w:val="24"/>
          <w:szCs w:val="24"/>
        </w:rPr>
        <w:t>Pets at Home Group PLC (2019-2023) Annual Reports and Accounts. Available at: www.petsathome.com [Accessed: October 2026].</w:t>
      </w:r>
    </w:p>
    <w:p w14:paraId="5EAEC7AF" w14:textId="77777777" w:rsidR="00A97A15" w:rsidRDefault="00A97A15" w:rsidP="00A97A15">
      <w:pPr>
        <w:spacing w:after="120"/>
      </w:pPr>
    </w:p>
    <w:p w14:paraId="722F7796" w14:textId="77777777" w:rsidR="00A97A15" w:rsidRDefault="00A97A15" w:rsidP="00A97A15">
      <w:pPr>
        <w:spacing w:after="160" w:line="360" w:lineRule="auto"/>
        <w:jc w:val="both"/>
      </w:pPr>
      <w:r>
        <w:rPr>
          <w:color w:val="000000"/>
          <w:sz w:val="24"/>
          <w:szCs w:val="24"/>
        </w:rPr>
        <w:t xml:space="preserve">Pfeffer, J. and </w:t>
      </w:r>
      <w:proofErr w:type="spellStart"/>
      <w:r>
        <w:rPr>
          <w:color w:val="000000"/>
          <w:sz w:val="24"/>
          <w:szCs w:val="24"/>
        </w:rPr>
        <w:t>Salancik</w:t>
      </w:r>
      <w:proofErr w:type="spellEnd"/>
      <w:r>
        <w:rPr>
          <w:color w:val="000000"/>
          <w:sz w:val="24"/>
          <w:szCs w:val="24"/>
        </w:rPr>
        <w:t>, G.R. (1978) The External Control of Organizations: A Resource Dependence Perspective. New York: Harper and Row.</w:t>
      </w:r>
    </w:p>
    <w:p w14:paraId="220BAEBA" w14:textId="77777777" w:rsidR="00A97A15" w:rsidRDefault="00A97A15" w:rsidP="00A97A15">
      <w:pPr>
        <w:spacing w:after="120"/>
      </w:pPr>
    </w:p>
    <w:p w14:paraId="353AEB84" w14:textId="77777777" w:rsidR="00A97A15" w:rsidRDefault="00A97A15" w:rsidP="00A97A15">
      <w:pPr>
        <w:spacing w:after="160" w:line="360" w:lineRule="auto"/>
        <w:jc w:val="both"/>
      </w:pPr>
      <w:r>
        <w:rPr>
          <w:color w:val="000000"/>
          <w:sz w:val="24"/>
          <w:szCs w:val="24"/>
        </w:rPr>
        <w:t>Pi, L. and Timme, S.G. (1993) 'Corporate control and bank efficiency'. Journal of Banking and Finance, 17(2-3), pp. 515-530.</w:t>
      </w:r>
    </w:p>
    <w:p w14:paraId="3069E78B" w14:textId="77777777" w:rsidR="00A97A15" w:rsidRDefault="00A97A15" w:rsidP="00A97A15">
      <w:pPr>
        <w:spacing w:after="120"/>
      </w:pPr>
    </w:p>
    <w:p w14:paraId="69E48900" w14:textId="77777777" w:rsidR="00A97A15" w:rsidRDefault="00A97A15" w:rsidP="00A97A15">
      <w:pPr>
        <w:spacing w:after="160" w:line="360" w:lineRule="auto"/>
        <w:jc w:val="both"/>
      </w:pPr>
      <w:r>
        <w:rPr>
          <w:color w:val="000000"/>
          <w:sz w:val="24"/>
          <w:szCs w:val="24"/>
        </w:rPr>
        <w:t>Popper, K. (1959) The Logic of Scientific Discovery. New York: Basic Books.</w:t>
      </w:r>
    </w:p>
    <w:p w14:paraId="7F68A61B" w14:textId="77777777" w:rsidR="00A97A15" w:rsidRDefault="00A97A15" w:rsidP="00A97A15">
      <w:pPr>
        <w:spacing w:after="120"/>
      </w:pPr>
    </w:p>
    <w:p w14:paraId="6CB9433B" w14:textId="77777777" w:rsidR="00A97A15" w:rsidRDefault="00A97A15" w:rsidP="00A97A15">
      <w:pPr>
        <w:spacing w:after="160" w:line="360" w:lineRule="auto"/>
        <w:jc w:val="both"/>
      </w:pPr>
      <w:r>
        <w:rPr>
          <w:color w:val="000000"/>
          <w:sz w:val="24"/>
          <w:szCs w:val="24"/>
        </w:rPr>
        <w:t>Post, C. and Byron, K. (2015) 'Women on boards and firm financial performance: A meta-analysis'. Academy of Management Journal, 58(5), pp. 1546-1571.</w:t>
      </w:r>
    </w:p>
    <w:p w14:paraId="1A551E28" w14:textId="77777777" w:rsidR="00A97A15" w:rsidRDefault="00A97A15" w:rsidP="00A97A15">
      <w:pPr>
        <w:spacing w:after="120"/>
      </w:pPr>
    </w:p>
    <w:p w14:paraId="4E72916A" w14:textId="77777777" w:rsidR="00A97A15" w:rsidRDefault="00A97A15" w:rsidP="00A97A15">
      <w:pPr>
        <w:spacing w:after="160" w:line="360" w:lineRule="auto"/>
        <w:jc w:val="both"/>
      </w:pPr>
      <w:r>
        <w:rPr>
          <w:color w:val="000000"/>
          <w:sz w:val="24"/>
          <w:szCs w:val="24"/>
        </w:rPr>
        <w:t>Razali, N.M. and Wah, Y.B. (2011) 'Power comparisons of Shapiro-Wilk, Kolmogorov-Smirnov, Lilliefors and Anderson-Darling tests'. Journal of Statistical Modeling and Analytics, 2(1), pp. 21-33.</w:t>
      </w:r>
    </w:p>
    <w:p w14:paraId="1C4161C8" w14:textId="77777777" w:rsidR="00A97A15" w:rsidRDefault="00A97A15" w:rsidP="00A97A15">
      <w:pPr>
        <w:spacing w:after="120"/>
      </w:pPr>
    </w:p>
    <w:p w14:paraId="1350FA12" w14:textId="77777777" w:rsidR="00A97A15" w:rsidRDefault="00A97A15" w:rsidP="00A97A15">
      <w:pPr>
        <w:spacing w:after="160" w:line="360" w:lineRule="auto"/>
        <w:jc w:val="both"/>
      </w:pPr>
      <w:r>
        <w:rPr>
          <w:color w:val="000000"/>
          <w:sz w:val="24"/>
          <w:szCs w:val="24"/>
        </w:rPr>
        <w:t>Rechner, P.L. and Dalton, D.R. (1991) 'CEO duality and organizational performance: A longitudinal analysis'. Strategic Management Journal, 12(2), pp. 155-160.</w:t>
      </w:r>
    </w:p>
    <w:p w14:paraId="249631CC" w14:textId="77777777" w:rsidR="00A97A15" w:rsidRDefault="00A97A15" w:rsidP="00A97A15">
      <w:pPr>
        <w:spacing w:after="120"/>
      </w:pPr>
    </w:p>
    <w:p w14:paraId="31012DDC" w14:textId="77777777" w:rsidR="00A97A15" w:rsidRDefault="00A97A15" w:rsidP="00A97A15">
      <w:pPr>
        <w:spacing w:after="160" w:line="360" w:lineRule="auto"/>
        <w:jc w:val="both"/>
      </w:pPr>
      <w:r>
        <w:rPr>
          <w:color w:val="000000"/>
          <w:sz w:val="24"/>
          <w:szCs w:val="24"/>
        </w:rPr>
        <w:lastRenderedPageBreak/>
        <w:t>Sila, V., Gonzalez, A. and Hagendorff, J. (2016) 'Women on board: Does boardroom gender diversity affect firm risk?'. Journal of Corporate Finance, 36, pp. 26-53.</w:t>
      </w:r>
    </w:p>
    <w:p w14:paraId="15492718" w14:textId="77777777" w:rsidR="00A97A15" w:rsidRDefault="00A97A15" w:rsidP="00A97A15">
      <w:pPr>
        <w:spacing w:after="120"/>
      </w:pPr>
    </w:p>
    <w:p w14:paraId="326D72DA" w14:textId="77777777" w:rsidR="00A97A15" w:rsidRDefault="00A97A15" w:rsidP="00A97A15">
      <w:pPr>
        <w:spacing w:after="160" w:line="360" w:lineRule="auto"/>
        <w:jc w:val="both"/>
      </w:pPr>
      <w:r>
        <w:rPr>
          <w:color w:val="000000"/>
          <w:sz w:val="24"/>
          <w:szCs w:val="24"/>
        </w:rPr>
        <w:t>Spencer Stuart (2025) 2025 UK Spencer Stuart Board Index. London: Spencer Stuart. Available at: www.spencerstuart.com [Accessed: September 2026].</w:t>
      </w:r>
    </w:p>
    <w:p w14:paraId="2BDBD257" w14:textId="77777777" w:rsidR="00A97A15" w:rsidRDefault="00A97A15" w:rsidP="00A97A15">
      <w:pPr>
        <w:spacing w:after="120"/>
      </w:pPr>
    </w:p>
    <w:p w14:paraId="2B210F7A" w14:textId="77777777" w:rsidR="00A97A15" w:rsidRDefault="00A97A15" w:rsidP="00A97A15">
      <w:pPr>
        <w:spacing w:after="160" w:line="360" w:lineRule="auto"/>
        <w:jc w:val="both"/>
      </w:pPr>
      <w:r>
        <w:rPr>
          <w:color w:val="000000"/>
          <w:sz w:val="24"/>
          <w:szCs w:val="24"/>
        </w:rPr>
        <w:t xml:space="preserve">Tabachnick, B.G. and Fidell, L.S. (2019) Using Multivariate Statistics. 7th </w:t>
      </w:r>
      <w:proofErr w:type="spellStart"/>
      <w:r>
        <w:rPr>
          <w:color w:val="000000"/>
          <w:sz w:val="24"/>
          <w:szCs w:val="24"/>
        </w:rPr>
        <w:t>edn</w:t>
      </w:r>
      <w:proofErr w:type="spellEnd"/>
      <w:r>
        <w:rPr>
          <w:color w:val="000000"/>
          <w:sz w:val="24"/>
          <w:szCs w:val="24"/>
        </w:rPr>
        <w:t>. New York: Pearson.</w:t>
      </w:r>
    </w:p>
    <w:p w14:paraId="2E5B73D1" w14:textId="77777777" w:rsidR="00A97A15" w:rsidRDefault="00A97A15" w:rsidP="00A97A15">
      <w:pPr>
        <w:spacing w:after="120"/>
      </w:pPr>
    </w:p>
    <w:p w14:paraId="0576F11F" w14:textId="77777777" w:rsidR="00A97A15" w:rsidRDefault="00A97A15" w:rsidP="00A97A15">
      <w:pPr>
        <w:spacing w:after="160" w:line="360" w:lineRule="auto"/>
        <w:jc w:val="both"/>
      </w:pPr>
      <w:r>
        <w:rPr>
          <w:color w:val="000000"/>
          <w:sz w:val="24"/>
          <w:szCs w:val="24"/>
        </w:rPr>
        <w:t>Tesco PLC (2019-2023) Annual Reports and Accounts. Available at: www.tescoplc.com [Accessed: October 2026].</w:t>
      </w:r>
    </w:p>
    <w:p w14:paraId="3F0CDDB8" w14:textId="77777777" w:rsidR="00A97A15" w:rsidRDefault="00A97A15" w:rsidP="00A97A15">
      <w:pPr>
        <w:spacing w:after="120"/>
      </w:pPr>
    </w:p>
    <w:p w14:paraId="6BA2C32B" w14:textId="77777777" w:rsidR="00A97A15" w:rsidRDefault="00A97A15" w:rsidP="00A97A15">
      <w:pPr>
        <w:spacing w:after="160" w:line="360" w:lineRule="auto"/>
        <w:jc w:val="both"/>
      </w:pPr>
      <w:r>
        <w:rPr>
          <w:color w:val="000000"/>
          <w:sz w:val="24"/>
          <w:szCs w:val="24"/>
        </w:rPr>
        <w:t>Weir, C., Laing, D. and McKnight, P.J. (2002) 'Internal and external governance mechanisms: Their impact on the performance of large UK public companies'. Journal of Business Finance and Accounting, 29(5-6), pp. 579-611.</w:t>
      </w:r>
    </w:p>
    <w:p w14:paraId="5E2634F7" w14:textId="77777777" w:rsidR="00A97A15" w:rsidRDefault="00A97A15" w:rsidP="00A97A15">
      <w:pPr>
        <w:spacing w:after="120"/>
      </w:pPr>
    </w:p>
    <w:p w14:paraId="7ACADABE" w14:textId="77777777" w:rsidR="00A97A15" w:rsidRDefault="00A97A15" w:rsidP="00A97A15">
      <w:pPr>
        <w:spacing w:after="160" w:line="360" w:lineRule="auto"/>
        <w:jc w:val="both"/>
      </w:pPr>
      <w:r>
        <w:rPr>
          <w:color w:val="000000"/>
          <w:sz w:val="24"/>
          <w:szCs w:val="24"/>
        </w:rPr>
        <w:t>Yermack, D. (1996) 'Higher market valuation of companies with a small board of directors'. Journal of Financial Economics, 40(2), pp. 185-211.</w:t>
      </w:r>
    </w:p>
    <w:p w14:paraId="72AE4126" w14:textId="77777777" w:rsidR="004207D6" w:rsidRDefault="004207D6">
      <w:pPr>
        <w:spacing w:after="160" w:line="360" w:lineRule="auto"/>
        <w:jc w:val="both"/>
      </w:pPr>
    </w:p>
    <w:p w14:paraId="779ADCA1" w14:textId="7C4971E4" w:rsidR="004207D6" w:rsidRDefault="008E15B6" w:rsidP="002F3198">
      <w:r>
        <w:rPr>
          <w:b/>
          <w:bCs/>
          <w:color w:val="000000"/>
          <w:sz w:val="28"/>
          <w:szCs w:val="28"/>
        </w:rPr>
        <w:t>Appendix: Research Dataset</w:t>
      </w:r>
    </w:p>
    <w:p w14:paraId="779ADCA2" w14:textId="77777777" w:rsidR="004207D6" w:rsidRDefault="008E15B6">
      <w:pPr>
        <w:spacing w:after="160" w:line="360" w:lineRule="auto"/>
        <w:jc w:val="both"/>
      </w:pPr>
      <w:r>
        <w:rPr>
          <w:color w:val="000000"/>
          <w:sz w:val="24"/>
          <w:szCs w:val="24"/>
        </w:rPr>
        <w:t>T</w:t>
      </w:r>
      <w:r>
        <w:rPr>
          <w:color w:val="000000"/>
          <w:sz w:val="24"/>
          <w:szCs w:val="24"/>
        </w:rPr>
        <w:t>able A1 presents the complete panel dataset used in this study. All values were extracted from annual reports published by the respective companies for the financial years 2019 to 2023. Monetary values are expressed in millions of pounds sterling where applicable. ROA and ROE are expressed as percentages.</w:t>
      </w:r>
    </w:p>
    <w:p w14:paraId="779ADCA3" w14:textId="77777777" w:rsidR="004207D6" w:rsidRDefault="004207D6">
      <w:pPr>
        <w:spacing w:after="12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074"/>
        <w:gridCol w:w="527"/>
        <w:gridCol w:w="728"/>
        <w:gridCol w:w="1314"/>
        <w:gridCol w:w="1314"/>
        <w:gridCol w:w="701"/>
        <w:gridCol w:w="1127"/>
        <w:gridCol w:w="1154"/>
        <w:gridCol w:w="1141"/>
        <w:gridCol w:w="1168"/>
        <w:gridCol w:w="514"/>
      </w:tblGrid>
      <w:tr w:rsidR="004207D6" w14:paraId="779ADCAF" w14:textId="77777777">
        <w:tc>
          <w:tcPr>
            <w:tcW w:w="800" w:type="dxa"/>
            <w:tcBorders>
              <w:top w:val="single" w:sz="4" w:space="0" w:color="999999"/>
              <w:left w:val="single" w:sz="4" w:space="0" w:color="999999"/>
              <w:bottom w:val="single" w:sz="4" w:space="0" w:color="999999"/>
              <w:right w:val="single" w:sz="4" w:space="0" w:color="999999"/>
            </w:tcBorders>
            <w:shd w:val="clear" w:color="auto" w:fill="1F3864"/>
          </w:tcPr>
          <w:p w14:paraId="779ADCA4" w14:textId="77777777" w:rsidR="004207D6" w:rsidRDefault="008E15B6">
            <w:pPr>
              <w:spacing w:after="60"/>
              <w:jc w:val="center"/>
            </w:pPr>
            <w:r>
              <w:rPr>
                <w:b/>
                <w:bCs/>
                <w:color w:val="FFFFFF"/>
                <w:sz w:val="24"/>
                <w:szCs w:val="24"/>
              </w:rPr>
              <w:t>Firm</w:t>
            </w:r>
          </w:p>
        </w:tc>
        <w:tc>
          <w:tcPr>
            <w:tcW w:w="500" w:type="dxa"/>
            <w:tcBorders>
              <w:top w:val="single" w:sz="4" w:space="0" w:color="999999"/>
              <w:left w:val="single" w:sz="4" w:space="0" w:color="999999"/>
              <w:bottom w:val="single" w:sz="4" w:space="0" w:color="999999"/>
              <w:right w:val="single" w:sz="4" w:space="0" w:color="999999"/>
            </w:tcBorders>
            <w:shd w:val="clear" w:color="auto" w:fill="1F3864"/>
          </w:tcPr>
          <w:p w14:paraId="779ADCA5" w14:textId="77777777" w:rsidR="004207D6" w:rsidRDefault="008E15B6">
            <w:pPr>
              <w:spacing w:after="60"/>
              <w:jc w:val="center"/>
            </w:pPr>
            <w:r>
              <w:rPr>
                <w:b/>
                <w:bCs/>
                <w:color w:val="FFFFFF"/>
                <w:sz w:val="24"/>
                <w:szCs w:val="24"/>
              </w:rPr>
              <w:t>Year</w:t>
            </w:r>
          </w:p>
        </w:tc>
        <w:tc>
          <w:tcPr>
            <w:tcW w:w="600" w:type="dxa"/>
            <w:tcBorders>
              <w:top w:val="single" w:sz="4" w:space="0" w:color="999999"/>
              <w:left w:val="single" w:sz="4" w:space="0" w:color="999999"/>
              <w:bottom w:val="single" w:sz="4" w:space="0" w:color="999999"/>
              <w:right w:val="single" w:sz="4" w:space="0" w:color="999999"/>
            </w:tcBorders>
            <w:shd w:val="clear" w:color="auto" w:fill="1F3864"/>
          </w:tcPr>
          <w:p w14:paraId="779ADCA6" w14:textId="77777777" w:rsidR="004207D6" w:rsidRDefault="008E15B6">
            <w:pPr>
              <w:spacing w:after="60"/>
              <w:jc w:val="center"/>
            </w:pPr>
            <w:r>
              <w:rPr>
                <w:b/>
                <w:bCs/>
                <w:color w:val="FFFFFF"/>
                <w:sz w:val="24"/>
                <w:szCs w:val="24"/>
              </w:rPr>
              <w:t>BSIZE</w:t>
            </w:r>
          </w:p>
        </w:tc>
        <w:tc>
          <w:tcPr>
            <w:tcW w:w="800" w:type="dxa"/>
            <w:tcBorders>
              <w:top w:val="single" w:sz="4" w:space="0" w:color="999999"/>
              <w:left w:val="single" w:sz="4" w:space="0" w:color="999999"/>
              <w:bottom w:val="single" w:sz="4" w:space="0" w:color="999999"/>
              <w:right w:val="single" w:sz="4" w:space="0" w:color="999999"/>
            </w:tcBorders>
            <w:shd w:val="clear" w:color="auto" w:fill="1F3864"/>
          </w:tcPr>
          <w:p w14:paraId="779ADCA7" w14:textId="77777777" w:rsidR="004207D6" w:rsidRDefault="008E15B6">
            <w:pPr>
              <w:spacing w:after="60"/>
              <w:jc w:val="center"/>
            </w:pPr>
            <w:r>
              <w:rPr>
                <w:b/>
                <w:bCs/>
                <w:color w:val="FFFFFF"/>
                <w:sz w:val="24"/>
                <w:szCs w:val="24"/>
              </w:rPr>
              <w:t>GEND_PCT</w:t>
            </w:r>
          </w:p>
        </w:tc>
        <w:tc>
          <w:tcPr>
            <w:tcW w:w="800" w:type="dxa"/>
            <w:tcBorders>
              <w:top w:val="single" w:sz="4" w:space="0" w:color="999999"/>
              <w:left w:val="single" w:sz="4" w:space="0" w:color="999999"/>
              <w:bottom w:val="single" w:sz="4" w:space="0" w:color="999999"/>
              <w:right w:val="single" w:sz="4" w:space="0" w:color="999999"/>
            </w:tcBorders>
            <w:shd w:val="clear" w:color="auto" w:fill="1F3864"/>
          </w:tcPr>
          <w:p w14:paraId="779ADCA8" w14:textId="77777777" w:rsidR="004207D6" w:rsidRDefault="008E15B6">
            <w:pPr>
              <w:spacing w:after="60"/>
              <w:jc w:val="center"/>
            </w:pPr>
            <w:r>
              <w:rPr>
                <w:b/>
                <w:bCs/>
                <w:color w:val="FFFFFF"/>
                <w:sz w:val="24"/>
                <w:szCs w:val="24"/>
              </w:rPr>
              <w:t>QUAL_PCT</w:t>
            </w:r>
          </w:p>
        </w:tc>
        <w:tc>
          <w:tcPr>
            <w:tcW w:w="500" w:type="dxa"/>
            <w:tcBorders>
              <w:top w:val="single" w:sz="4" w:space="0" w:color="999999"/>
              <w:left w:val="single" w:sz="4" w:space="0" w:color="999999"/>
              <w:bottom w:val="single" w:sz="4" w:space="0" w:color="999999"/>
              <w:right w:val="single" w:sz="4" w:space="0" w:color="999999"/>
            </w:tcBorders>
            <w:shd w:val="clear" w:color="auto" w:fill="1F3864"/>
          </w:tcPr>
          <w:p w14:paraId="779ADCA9" w14:textId="77777777" w:rsidR="004207D6" w:rsidRDefault="008E15B6">
            <w:pPr>
              <w:spacing w:after="60"/>
              <w:jc w:val="center"/>
            </w:pPr>
            <w:r>
              <w:rPr>
                <w:b/>
                <w:bCs/>
                <w:color w:val="FFFFFF"/>
                <w:sz w:val="24"/>
                <w:szCs w:val="24"/>
              </w:rPr>
              <w:t>DUAL</w:t>
            </w:r>
          </w:p>
        </w:tc>
        <w:tc>
          <w:tcPr>
            <w:tcW w:w="700" w:type="dxa"/>
            <w:tcBorders>
              <w:top w:val="single" w:sz="4" w:space="0" w:color="999999"/>
              <w:left w:val="single" w:sz="4" w:space="0" w:color="999999"/>
              <w:bottom w:val="single" w:sz="4" w:space="0" w:color="999999"/>
              <w:right w:val="single" w:sz="4" w:space="0" w:color="999999"/>
            </w:tcBorders>
            <w:shd w:val="clear" w:color="auto" w:fill="1F3864"/>
          </w:tcPr>
          <w:p w14:paraId="779ADCAA" w14:textId="77777777" w:rsidR="004207D6" w:rsidRDefault="008E15B6">
            <w:pPr>
              <w:spacing w:after="60"/>
              <w:jc w:val="center"/>
            </w:pPr>
            <w:r>
              <w:rPr>
                <w:b/>
                <w:bCs/>
                <w:color w:val="FFFFFF"/>
                <w:sz w:val="24"/>
                <w:szCs w:val="24"/>
              </w:rPr>
              <w:t>NED_PCT</w:t>
            </w:r>
          </w:p>
        </w:tc>
        <w:tc>
          <w:tcPr>
            <w:tcW w:w="700" w:type="dxa"/>
            <w:tcBorders>
              <w:top w:val="single" w:sz="4" w:space="0" w:color="999999"/>
              <w:left w:val="single" w:sz="4" w:space="0" w:color="999999"/>
              <w:bottom w:val="single" w:sz="4" w:space="0" w:color="999999"/>
              <w:right w:val="single" w:sz="4" w:space="0" w:color="999999"/>
            </w:tcBorders>
            <w:shd w:val="clear" w:color="auto" w:fill="1F3864"/>
          </w:tcPr>
          <w:p w14:paraId="779ADCAB" w14:textId="77777777" w:rsidR="004207D6" w:rsidRDefault="008E15B6">
            <w:pPr>
              <w:spacing w:after="60"/>
              <w:jc w:val="center"/>
            </w:pPr>
            <w:r>
              <w:rPr>
                <w:b/>
                <w:bCs/>
                <w:color w:val="FFFFFF"/>
                <w:sz w:val="24"/>
                <w:szCs w:val="24"/>
              </w:rPr>
              <w:t>ROA_PCT</w:t>
            </w:r>
          </w:p>
        </w:tc>
        <w:tc>
          <w:tcPr>
            <w:tcW w:w="700" w:type="dxa"/>
            <w:tcBorders>
              <w:top w:val="single" w:sz="4" w:space="0" w:color="999999"/>
              <w:left w:val="single" w:sz="4" w:space="0" w:color="999999"/>
              <w:bottom w:val="single" w:sz="4" w:space="0" w:color="999999"/>
              <w:right w:val="single" w:sz="4" w:space="0" w:color="999999"/>
            </w:tcBorders>
            <w:shd w:val="clear" w:color="auto" w:fill="1F3864"/>
          </w:tcPr>
          <w:p w14:paraId="779ADCAC" w14:textId="77777777" w:rsidR="004207D6" w:rsidRDefault="008E15B6">
            <w:pPr>
              <w:spacing w:after="60"/>
              <w:jc w:val="center"/>
            </w:pPr>
            <w:r>
              <w:rPr>
                <w:b/>
                <w:bCs/>
                <w:color w:val="FFFFFF"/>
                <w:sz w:val="24"/>
                <w:szCs w:val="24"/>
              </w:rPr>
              <w:t>ROE_PCT</w:t>
            </w:r>
          </w:p>
        </w:tc>
        <w:tc>
          <w:tcPr>
            <w:tcW w:w="700" w:type="dxa"/>
            <w:tcBorders>
              <w:top w:val="single" w:sz="4" w:space="0" w:color="999999"/>
              <w:left w:val="single" w:sz="4" w:space="0" w:color="999999"/>
              <w:bottom w:val="single" w:sz="4" w:space="0" w:color="999999"/>
              <w:right w:val="single" w:sz="4" w:space="0" w:color="999999"/>
            </w:tcBorders>
            <w:shd w:val="clear" w:color="auto" w:fill="1F3864"/>
          </w:tcPr>
          <w:p w14:paraId="779ADCAD" w14:textId="77777777" w:rsidR="004207D6" w:rsidRDefault="008E15B6">
            <w:pPr>
              <w:spacing w:after="60"/>
              <w:jc w:val="center"/>
            </w:pPr>
            <w:r>
              <w:rPr>
                <w:b/>
                <w:bCs/>
                <w:color w:val="FFFFFF"/>
                <w:sz w:val="24"/>
                <w:szCs w:val="24"/>
              </w:rPr>
              <w:t>FSIZE_LN</w:t>
            </w:r>
          </w:p>
        </w:tc>
        <w:tc>
          <w:tcPr>
            <w:tcW w:w="500" w:type="dxa"/>
            <w:tcBorders>
              <w:top w:val="single" w:sz="4" w:space="0" w:color="999999"/>
              <w:left w:val="single" w:sz="4" w:space="0" w:color="999999"/>
              <w:bottom w:val="single" w:sz="4" w:space="0" w:color="999999"/>
              <w:right w:val="single" w:sz="4" w:space="0" w:color="999999"/>
            </w:tcBorders>
            <w:shd w:val="clear" w:color="auto" w:fill="1F3864"/>
          </w:tcPr>
          <w:p w14:paraId="779ADCAE" w14:textId="77777777" w:rsidR="004207D6" w:rsidRDefault="008E15B6">
            <w:pPr>
              <w:spacing w:after="60"/>
              <w:jc w:val="center"/>
            </w:pPr>
            <w:r>
              <w:rPr>
                <w:b/>
                <w:bCs/>
                <w:color w:val="FFFFFF"/>
                <w:sz w:val="24"/>
                <w:szCs w:val="24"/>
              </w:rPr>
              <w:t>LEV</w:t>
            </w:r>
          </w:p>
        </w:tc>
      </w:tr>
      <w:tr w:rsidR="004207D6" w14:paraId="779ADCBB" w14:textId="77777777">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CB0" w14:textId="77777777" w:rsidR="004207D6" w:rsidRDefault="008E15B6">
            <w:pPr>
              <w:spacing w:after="60"/>
              <w:jc w:val="center"/>
            </w:pPr>
            <w:r>
              <w:rPr>
                <w:color w:val="000000"/>
                <w:sz w:val="24"/>
                <w:szCs w:val="24"/>
              </w:rPr>
              <w:t>Tesco</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CB1" w14:textId="77777777" w:rsidR="004207D6" w:rsidRDefault="008E15B6">
            <w:pPr>
              <w:spacing w:after="60"/>
              <w:jc w:val="center"/>
            </w:pPr>
            <w:r>
              <w:rPr>
                <w:color w:val="000000"/>
                <w:sz w:val="24"/>
                <w:szCs w:val="24"/>
              </w:rPr>
              <w:t>2019</w:t>
            </w:r>
          </w:p>
        </w:tc>
        <w:tc>
          <w:tcPr>
            <w:tcW w:w="600" w:type="dxa"/>
            <w:tcBorders>
              <w:top w:val="single" w:sz="4" w:space="0" w:color="999999"/>
              <w:left w:val="single" w:sz="4" w:space="0" w:color="999999"/>
              <w:bottom w:val="single" w:sz="4" w:space="0" w:color="999999"/>
              <w:right w:val="single" w:sz="4" w:space="0" w:color="999999"/>
            </w:tcBorders>
            <w:shd w:val="clear" w:color="auto" w:fill="F2F2F2"/>
          </w:tcPr>
          <w:p w14:paraId="779ADCB2" w14:textId="77777777" w:rsidR="004207D6" w:rsidRDefault="008E15B6">
            <w:pPr>
              <w:spacing w:after="60"/>
              <w:jc w:val="center"/>
            </w:pPr>
            <w:r>
              <w:rPr>
                <w:color w:val="000000"/>
                <w:sz w:val="24"/>
                <w:szCs w:val="24"/>
              </w:rPr>
              <w:t>11</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CB3" w14:textId="77777777" w:rsidR="004207D6" w:rsidRDefault="008E15B6">
            <w:pPr>
              <w:spacing w:after="60"/>
              <w:jc w:val="center"/>
            </w:pPr>
            <w:r>
              <w:rPr>
                <w:color w:val="000000"/>
                <w:sz w:val="24"/>
                <w:szCs w:val="24"/>
              </w:rPr>
              <w:t>36.4</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CB4" w14:textId="77777777" w:rsidR="004207D6" w:rsidRDefault="008E15B6">
            <w:pPr>
              <w:spacing w:after="60"/>
              <w:jc w:val="center"/>
            </w:pPr>
            <w:r>
              <w:rPr>
                <w:color w:val="000000"/>
                <w:sz w:val="24"/>
                <w:szCs w:val="24"/>
              </w:rPr>
              <w:t>63.6</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CB5"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CB6" w14:textId="77777777" w:rsidR="004207D6" w:rsidRDefault="008E15B6">
            <w:pPr>
              <w:spacing w:after="60"/>
              <w:jc w:val="center"/>
            </w:pPr>
            <w:r>
              <w:rPr>
                <w:color w:val="000000"/>
                <w:sz w:val="24"/>
                <w:szCs w:val="24"/>
              </w:rPr>
              <w:t>72.7</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CB7" w14:textId="77777777" w:rsidR="004207D6" w:rsidRDefault="008E15B6">
            <w:pPr>
              <w:spacing w:after="60"/>
              <w:jc w:val="center"/>
            </w:pPr>
            <w:r>
              <w:rPr>
                <w:color w:val="000000"/>
                <w:sz w:val="24"/>
                <w:szCs w:val="24"/>
              </w:rPr>
              <w:t>3.2</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CB8" w14:textId="77777777" w:rsidR="004207D6" w:rsidRDefault="008E15B6">
            <w:pPr>
              <w:spacing w:after="60"/>
              <w:jc w:val="center"/>
            </w:pPr>
            <w:r>
              <w:rPr>
                <w:color w:val="000000"/>
                <w:sz w:val="24"/>
                <w:szCs w:val="24"/>
              </w:rPr>
              <w:t>9.1</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CB9" w14:textId="77777777" w:rsidR="004207D6" w:rsidRDefault="008E15B6">
            <w:pPr>
              <w:spacing w:after="60"/>
              <w:jc w:val="center"/>
            </w:pPr>
            <w:r>
              <w:rPr>
                <w:color w:val="000000"/>
                <w:sz w:val="24"/>
                <w:szCs w:val="24"/>
              </w:rPr>
              <w:t>11.12</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CBA" w14:textId="77777777" w:rsidR="004207D6" w:rsidRDefault="008E15B6">
            <w:pPr>
              <w:spacing w:after="60"/>
              <w:jc w:val="center"/>
            </w:pPr>
            <w:r>
              <w:rPr>
                <w:color w:val="000000"/>
                <w:sz w:val="24"/>
                <w:szCs w:val="24"/>
              </w:rPr>
              <w:t>0.68</w:t>
            </w:r>
          </w:p>
        </w:tc>
      </w:tr>
      <w:tr w:rsidR="004207D6" w14:paraId="779ADCC7" w14:textId="77777777">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CBC" w14:textId="77777777" w:rsidR="004207D6" w:rsidRDefault="008E15B6">
            <w:pPr>
              <w:spacing w:after="60"/>
              <w:jc w:val="center"/>
            </w:pPr>
            <w:r>
              <w:rPr>
                <w:color w:val="000000"/>
                <w:sz w:val="24"/>
                <w:szCs w:val="24"/>
              </w:rPr>
              <w:t>Tesco</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CBD" w14:textId="77777777" w:rsidR="004207D6" w:rsidRDefault="008E15B6">
            <w:pPr>
              <w:spacing w:after="60"/>
              <w:jc w:val="center"/>
            </w:pPr>
            <w:r>
              <w:rPr>
                <w:color w:val="000000"/>
                <w:sz w:val="24"/>
                <w:szCs w:val="24"/>
              </w:rPr>
              <w:t>2020</w:t>
            </w:r>
          </w:p>
        </w:tc>
        <w:tc>
          <w:tcPr>
            <w:tcW w:w="600" w:type="dxa"/>
            <w:tcBorders>
              <w:top w:val="single" w:sz="4" w:space="0" w:color="999999"/>
              <w:left w:val="single" w:sz="4" w:space="0" w:color="999999"/>
              <w:bottom w:val="single" w:sz="4" w:space="0" w:color="999999"/>
              <w:right w:val="single" w:sz="4" w:space="0" w:color="999999"/>
            </w:tcBorders>
            <w:shd w:val="clear" w:color="auto" w:fill="FFFFFF"/>
          </w:tcPr>
          <w:p w14:paraId="779ADCBE" w14:textId="77777777" w:rsidR="004207D6" w:rsidRDefault="008E15B6">
            <w:pPr>
              <w:spacing w:after="60"/>
              <w:jc w:val="center"/>
            </w:pPr>
            <w:r>
              <w:rPr>
                <w:color w:val="000000"/>
                <w:sz w:val="24"/>
                <w:szCs w:val="24"/>
              </w:rPr>
              <w:t>10</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CBF" w14:textId="77777777" w:rsidR="004207D6" w:rsidRDefault="008E15B6">
            <w:pPr>
              <w:spacing w:after="60"/>
              <w:jc w:val="center"/>
            </w:pPr>
            <w:r>
              <w:rPr>
                <w:color w:val="000000"/>
                <w:sz w:val="24"/>
                <w:szCs w:val="24"/>
              </w:rPr>
              <w:t>40.0</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CC0" w14:textId="77777777" w:rsidR="004207D6" w:rsidRDefault="008E15B6">
            <w:pPr>
              <w:spacing w:after="60"/>
              <w:jc w:val="center"/>
            </w:pPr>
            <w:r>
              <w:rPr>
                <w:color w:val="000000"/>
                <w:sz w:val="24"/>
                <w:szCs w:val="24"/>
              </w:rPr>
              <w:t>60.0</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CC1"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CC2" w14:textId="77777777" w:rsidR="004207D6" w:rsidRDefault="008E15B6">
            <w:pPr>
              <w:spacing w:after="60"/>
              <w:jc w:val="center"/>
            </w:pPr>
            <w:r>
              <w:rPr>
                <w:color w:val="000000"/>
                <w:sz w:val="24"/>
                <w:szCs w:val="24"/>
              </w:rPr>
              <w:t>70.0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CC3" w14:textId="77777777" w:rsidR="004207D6" w:rsidRDefault="008E15B6">
            <w:pPr>
              <w:spacing w:after="60"/>
              <w:jc w:val="center"/>
            </w:pPr>
            <w:r>
              <w:rPr>
                <w:color w:val="000000"/>
                <w:sz w:val="24"/>
                <w:szCs w:val="24"/>
              </w:rPr>
              <w:t>2.8</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CC4" w14:textId="77777777" w:rsidR="004207D6" w:rsidRDefault="008E15B6">
            <w:pPr>
              <w:spacing w:after="60"/>
              <w:jc w:val="center"/>
            </w:pPr>
            <w:r>
              <w:rPr>
                <w:color w:val="000000"/>
                <w:sz w:val="24"/>
                <w:szCs w:val="24"/>
              </w:rPr>
              <w:t>7.9</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CC5" w14:textId="77777777" w:rsidR="004207D6" w:rsidRDefault="008E15B6">
            <w:pPr>
              <w:spacing w:after="60"/>
              <w:jc w:val="center"/>
            </w:pPr>
            <w:r>
              <w:rPr>
                <w:color w:val="000000"/>
                <w:sz w:val="24"/>
                <w:szCs w:val="24"/>
              </w:rPr>
              <w:t>11.10</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CC6" w14:textId="77777777" w:rsidR="004207D6" w:rsidRDefault="008E15B6">
            <w:pPr>
              <w:spacing w:after="60"/>
              <w:jc w:val="center"/>
            </w:pPr>
            <w:r>
              <w:rPr>
                <w:color w:val="000000"/>
                <w:sz w:val="24"/>
                <w:szCs w:val="24"/>
              </w:rPr>
              <w:t>0.70</w:t>
            </w:r>
          </w:p>
        </w:tc>
      </w:tr>
      <w:tr w:rsidR="004207D6" w14:paraId="779ADCD3" w14:textId="77777777">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CC8" w14:textId="77777777" w:rsidR="004207D6" w:rsidRDefault="008E15B6">
            <w:pPr>
              <w:spacing w:after="60"/>
              <w:jc w:val="center"/>
            </w:pPr>
            <w:r>
              <w:rPr>
                <w:color w:val="000000"/>
                <w:sz w:val="24"/>
                <w:szCs w:val="24"/>
              </w:rPr>
              <w:t>Tesco</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CC9" w14:textId="77777777" w:rsidR="004207D6" w:rsidRDefault="008E15B6">
            <w:pPr>
              <w:spacing w:after="60"/>
              <w:jc w:val="center"/>
            </w:pPr>
            <w:r>
              <w:rPr>
                <w:color w:val="000000"/>
                <w:sz w:val="24"/>
                <w:szCs w:val="24"/>
              </w:rPr>
              <w:t>2021</w:t>
            </w:r>
          </w:p>
        </w:tc>
        <w:tc>
          <w:tcPr>
            <w:tcW w:w="600" w:type="dxa"/>
            <w:tcBorders>
              <w:top w:val="single" w:sz="4" w:space="0" w:color="999999"/>
              <w:left w:val="single" w:sz="4" w:space="0" w:color="999999"/>
              <w:bottom w:val="single" w:sz="4" w:space="0" w:color="999999"/>
              <w:right w:val="single" w:sz="4" w:space="0" w:color="999999"/>
            </w:tcBorders>
            <w:shd w:val="clear" w:color="auto" w:fill="F2F2F2"/>
          </w:tcPr>
          <w:p w14:paraId="779ADCCA" w14:textId="77777777" w:rsidR="004207D6" w:rsidRDefault="008E15B6">
            <w:pPr>
              <w:spacing w:after="60"/>
              <w:jc w:val="center"/>
            </w:pPr>
            <w:r>
              <w:rPr>
                <w:color w:val="000000"/>
                <w:sz w:val="24"/>
                <w:szCs w:val="24"/>
              </w:rPr>
              <w:t>10</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CCB" w14:textId="77777777" w:rsidR="004207D6" w:rsidRDefault="008E15B6">
            <w:pPr>
              <w:spacing w:after="60"/>
              <w:jc w:val="center"/>
            </w:pPr>
            <w:r>
              <w:rPr>
                <w:color w:val="000000"/>
                <w:sz w:val="24"/>
                <w:szCs w:val="24"/>
              </w:rPr>
              <w:t>40.0</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CCC" w14:textId="77777777" w:rsidR="004207D6" w:rsidRDefault="008E15B6">
            <w:pPr>
              <w:spacing w:after="60"/>
              <w:jc w:val="center"/>
            </w:pPr>
            <w:r>
              <w:rPr>
                <w:color w:val="000000"/>
                <w:sz w:val="24"/>
                <w:szCs w:val="24"/>
              </w:rPr>
              <w:t>60.0</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CCD"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CCE" w14:textId="77777777" w:rsidR="004207D6" w:rsidRDefault="008E15B6">
            <w:pPr>
              <w:spacing w:after="60"/>
              <w:jc w:val="center"/>
            </w:pPr>
            <w:r>
              <w:rPr>
                <w:color w:val="000000"/>
                <w:sz w:val="24"/>
                <w:szCs w:val="24"/>
              </w:rPr>
              <w:t>70.0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CCF" w14:textId="77777777" w:rsidR="004207D6" w:rsidRDefault="008E15B6">
            <w:pPr>
              <w:spacing w:after="60"/>
              <w:jc w:val="center"/>
            </w:pPr>
            <w:r>
              <w:rPr>
                <w:color w:val="000000"/>
                <w:sz w:val="24"/>
                <w:szCs w:val="24"/>
              </w:rPr>
              <w:t>-1.5</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CD0" w14:textId="77777777" w:rsidR="004207D6" w:rsidRDefault="008E15B6">
            <w:pPr>
              <w:spacing w:after="60"/>
              <w:jc w:val="center"/>
            </w:pPr>
            <w:r>
              <w:rPr>
                <w:color w:val="000000"/>
                <w:sz w:val="24"/>
                <w:szCs w:val="24"/>
              </w:rPr>
              <w:t>-4.3</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CD1" w14:textId="77777777" w:rsidR="004207D6" w:rsidRDefault="008E15B6">
            <w:pPr>
              <w:spacing w:after="60"/>
              <w:jc w:val="center"/>
            </w:pPr>
            <w:r>
              <w:rPr>
                <w:color w:val="000000"/>
                <w:sz w:val="24"/>
                <w:szCs w:val="24"/>
              </w:rPr>
              <w:t>11.08</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CD2" w14:textId="77777777" w:rsidR="004207D6" w:rsidRDefault="008E15B6">
            <w:pPr>
              <w:spacing w:after="60"/>
              <w:jc w:val="center"/>
            </w:pPr>
            <w:r>
              <w:rPr>
                <w:color w:val="000000"/>
                <w:sz w:val="24"/>
                <w:szCs w:val="24"/>
              </w:rPr>
              <w:t>0.71</w:t>
            </w:r>
          </w:p>
        </w:tc>
      </w:tr>
      <w:tr w:rsidR="004207D6" w14:paraId="779ADCDF" w14:textId="77777777">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CD4" w14:textId="77777777" w:rsidR="004207D6" w:rsidRDefault="008E15B6">
            <w:pPr>
              <w:spacing w:after="60"/>
              <w:jc w:val="center"/>
            </w:pPr>
            <w:r>
              <w:rPr>
                <w:color w:val="000000"/>
                <w:sz w:val="24"/>
                <w:szCs w:val="24"/>
              </w:rPr>
              <w:t>Tesco</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CD5" w14:textId="77777777" w:rsidR="004207D6" w:rsidRDefault="008E15B6">
            <w:pPr>
              <w:spacing w:after="60"/>
              <w:jc w:val="center"/>
            </w:pPr>
            <w:r>
              <w:rPr>
                <w:color w:val="000000"/>
                <w:sz w:val="24"/>
                <w:szCs w:val="24"/>
              </w:rPr>
              <w:t>2022</w:t>
            </w:r>
          </w:p>
        </w:tc>
        <w:tc>
          <w:tcPr>
            <w:tcW w:w="600" w:type="dxa"/>
            <w:tcBorders>
              <w:top w:val="single" w:sz="4" w:space="0" w:color="999999"/>
              <w:left w:val="single" w:sz="4" w:space="0" w:color="999999"/>
              <w:bottom w:val="single" w:sz="4" w:space="0" w:color="999999"/>
              <w:right w:val="single" w:sz="4" w:space="0" w:color="999999"/>
            </w:tcBorders>
            <w:shd w:val="clear" w:color="auto" w:fill="FFFFFF"/>
          </w:tcPr>
          <w:p w14:paraId="779ADCD6" w14:textId="77777777" w:rsidR="004207D6" w:rsidRDefault="008E15B6">
            <w:pPr>
              <w:spacing w:after="60"/>
              <w:jc w:val="center"/>
            </w:pPr>
            <w:r>
              <w:rPr>
                <w:color w:val="000000"/>
                <w:sz w:val="24"/>
                <w:szCs w:val="24"/>
              </w:rPr>
              <w:t>10</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CD7" w14:textId="77777777" w:rsidR="004207D6" w:rsidRDefault="008E15B6">
            <w:pPr>
              <w:spacing w:after="60"/>
              <w:jc w:val="center"/>
            </w:pPr>
            <w:r>
              <w:rPr>
                <w:color w:val="000000"/>
                <w:sz w:val="24"/>
                <w:szCs w:val="24"/>
              </w:rPr>
              <w:t>40.0</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CD8" w14:textId="77777777" w:rsidR="004207D6" w:rsidRDefault="008E15B6">
            <w:pPr>
              <w:spacing w:after="60"/>
              <w:jc w:val="center"/>
            </w:pPr>
            <w:r>
              <w:rPr>
                <w:color w:val="000000"/>
                <w:sz w:val="24"/>
                <w:szCs w:val="24"/>
              </w:rPr>
              <w:t>70.0</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CD9"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CDA" w14:textId="77777777" w:rsidR="004207D6" w:rsidRDefault="008E15B6">
            <w:pPr>
              <w:spacing w:after="60"/>
              <w:jc w:val="center"/>
            </w:pPr>
            <w:r>
              <w:rPr>
                <w:color w:val="000000"/>
                <w:sz w:val="24"/>
                <w:szCs w:val="24"/>
              </w:rPr>
              <w:t>70.0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CDB" w14:textId="77777777" w:rsidR="004207D6" w:rsidRDefault="008E15B6">
            <w:pPr>
              <w:spacing w:after="60"/>
              <w:jc w:val="center"/>
            </w:pPr>
            <w:r>
              <w:rPr>
                <w:color w:val="000000"/>
                <w:sz w:val="24"/>
                <w:szCs w:val="24"/>
              </w:rPr>
              <w:t>2.4</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CDC" w14:textId="77777777" w:rsidR="004207D6" w:rsidRDefault="008E15B6">
            <w:pPr>
              <w:spacing w:after="60"/>
              <w:jc w:val="center"/>
            </w:pPr>
            <w:r>
              <w:rPr>
                <w:color w:val="000000"/>
                <w:sz w:val="24"/>
                <w:szCs w:val="24"/>
              </w:rPr>
              <w:t>6.8</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CDD" w14:textId="77777777" w:rsidR="004207D6" w:rsidRDefault="008E15B6">
            <w:pPr>
              <w:spacing w:after="60"/>
              <w:jc w:val="center"/>
            </w:pPr>
            <w:r>
              <w:rPr>
                <w:color w:val="000000"/>
                <w:sz w:val="24"/>
                <w:szCs w:val="24"/>
              </w:rPr>
              <w:t>11.09</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CDE" w14:textId="77777777" w:rsidR="004207D6" w:rsidRDefault="008E15B6">
            <w:pPr>
              <w:spacing w:after="60"/>
              <w:jc w:val="center"/>
            </w:pPr>
            <w:r>
              <w:rPr>
                <w:color w:val="000000"/>
                <w:sz w:val="24"/>
                <w:szCs w:val="24"/>
              </w:rPr>
              <w:t>0.69</w:t>
            </w:r>
          </w:p>
        </w:tc>
      </w:tr>
      <w:tr w:rsidR="004207D6" w14:paraId="779ADCEB" w14:textId="77777777">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CE0" w14:textId="77777777" w:rsidR="004207D6" w:rsidRDefault="008E15B6">
            <w:pPr>
              <w:spacing w:after="60"/>
              <w:jc w:val="center"/>
            </w:pPr>
            <w:r>
              <w:rPr>
                <w:color w:val="000000"/>
                <w:sz w:val="24"/>
                <w:szCs w:val="24"/>
              </w:rPr>
              <w:t>Tesco</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CE1" w14:textId="77777777" w:rsidR="004207D6" w:rsidRDefault="008E15B6">
            <w:pPr>
              <w:spacing w:after="60"/>
              <w:jc w:val="center"/>
            </w:pPr>
            <w:r>
              <w:rPr>
                <w:color w:val="000000"/>
                <w:sz w:val="24"/>
                <w:szCs w:val="24"/>
              </w:rPr>
              <w:t>2023</w:t>
            </w:r>
          </w:p>
        </w:tc>
        <w:tc>
          <w:tcPr>
            <w:tcW w:w="600" w:type="dxa"/>
            <w:tcBorders>
              <w:top w:val="single" w:sz="4" w:space="0" w:color="999999"/>
              <w:left w:val="single" w:sz="4" w:space="0" w:color="999999"/>
              <w:bottom w:val="single" w:sz="4" w:space="0" w:color="999999"/>
              <w:right w:val="single" w:sz="4" w:space="0" w:color="999999"/>
            </w:tcBorders>
            <w:shd w:val="clear" w:color="auto" w:fill="F2F2F2"/>
          </w:tcPr>
          <w:p w14:paraId="779ADCE2" w14:textId="77777777" w:rsidR="004207D6" w:rsidRDefault="008E15B6">
            <w:pPr>
              <w:spacing w:after="60"/>
              <w:jc w:val="center"/>
            </w:pPr>
            <w:r>
              <w:rPr>
                <w:color w:val="000000"/>
                <w:sz w:val="24"/>
                <w:szCs w:val="24"/>
              </w:rPr>
              <w:t>10</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CE3" w14:textId="77777777" w:rsidR="004207D6" w:rsidRDefault="008E15B6">
            <w:pPr>
              <w:spacing w:after="60"/>
              <w:jc w:val="center"/>
            </w:pPr>
            <w:r>
              <w:rPr>
                <w:color w:val="000000"/>
                <w:sz w:val="24"/>
                <w:szCs w:val="24"/>
              </w:rPr>
              <w:t>40.0</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CE4" w14:textId="77777777" w:rsidR="004207D6" w:rsidRDefault="008E15B6">
            <w:pPr>
              <w:spacing w:after="60"/>
              <w:jc w:val="center"/>
            </w:pPr>
            <w:r>
              <w:rPr>
                <w:color w:val="000000"/>
                <w:sz w:val="24"/>
                <w:szCs w:val="24"/>
              </w:rPr>
              <w:t>70.0</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CE5"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CE6" w14:textId="77777777" w:rsidR="004207D6" w:rsidRDefault="008E15B6">
            <w:pPr>
              <w:spacing w:after="60"/>
              <w:jc w:val="center"/>
            </w:pPr>
            <w:r>
              <w:rPr>
                <w:color w:val="000000"/>
                <w:sz w:val="24"/>
                <w:szCs w:val="24"/>
              </w:rPr>
              <w:t>70.0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CE7" w14:textId="77777777" w:rsidR="004207D6" w:rsidRDefault="008E15B6">
            <w:pPr>
              <w:spacing w:after="60"/>
              <w:jc w:val="center"/>
            </w:pPr>
            <w:r>
              <w:rPr>
                <w:color w:val="000000"/>
                <w:sz w:val="24"/>
                <w:szCs w:val="24"/>
              </w:rPr>
              <w:t>2.9</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CE8" w14:textId="77777777" w:rsidR="004207D6" w:rsidRDefault="008E15B6">
            <w:pPr>
              <w:spacing w:after="60"/>
              <w:jc w:val="center"/>
            </w:pPr>
            <w:r>
              <w:rPr>
                <w:color w:val="000000"/>
                <w:sz w:val="24"/>
                <w:szCs w:val="24"/>
              </w:rPr>
              <w:t>8.2</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CE9" w14:textId="77777777" w:rsidR="004207D6" w:rsidRDefault="008E15B6">
            <w:pPr>
              <w:spacing w:after="60"/>
              <w:jc w:val="center"/>
            </w:pPr>
            <w:r>
              <w:rPr>
                <w:color w:val="000000"/>
                <w:sz w:val="24"/>
                <w:szCs w:val="24"/>
              </w:rPr>
              <w:t>11.11</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CEA" w14:textId="77777777" w:rsidR="004207D6" w:rsidRDefault="008E15B6">
            <w:pPr>
              <w:spacing w:after="60"/>
              <w:jc w:val="center"/>
            </w:pPr>
            <w:r>
              <w:rPr>
                <w:color w:val="000000"/>
                <w:sz w:val="24"/>
                <w:szCs w:val="24"/>
              </w:rPr>
              <w:t>0.68</w:t>
            </w:r>
          </w:p>
        </w:tc>
      </w:tr>
      <w:tr w:rsidR="004207D6" w14:paraId="779ADCF7" w14:textId="77777777">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CEC" w14:textId="77777777" w:rsidR="004207D6" w:rsidRDefault="008E15B6">
            <w:pPr>
              <w:spacing w:after="60"/>
              <w:jc w:val="center"/>
            </w:pPr>
            <w:r>
              <w:rPr>
                <w:color w:val="000000"/>
                <w:sz w:val="24"/>
                <w:szCs w:val="24"/>
              </w:rPr>
              <w:t>Sainsburys</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CED" w14:textId="77777777" w:rsidR="004207D6" w:rsidRDefault="008E15B6">
            <w:pPr>
              <w:spacing w:after="60"/>
              <w:jc w:val="center"/>
            </w:pPr>
            <w:r>
              <w:rPr>
                <w:color w:val="000000"/>
                <w:sz w:val="24"/>
                <w:szCs w:val="24"/>
              </w:rPr>
              <w:t>2019</w:t>
            </w:r>
          </w:p>
        </w:tc>
        <w:tc>
          <w:tcPr>
            <w:tcW w:w="600" w:type="dxa"/>
            <w:tcBorders>
              <w:top w:val="single" w:sz="4" w:space="0" w:color="999999"/>
              <w:left w:val="single" w:sz="4" w:space="0" w:color="999999"/>
              <w:bottom w:val="single" w:sz="4" w:space="0" w:color="999999"/>
              <w:right w:val="single" w:sz="4" w:space="0" w:color="999999"/>
            </w:tcBorders>
            <w:shd w:val="clear" w:color="auto" w:fill="FFFFFF"/>
          </w:tcPr>
          <w:p w14:paraId="779ADCEE" w14:textId="77777777" w:rsidR="004207D6" w:rsidRDefault="008E15B6">
            <w:pPr>
              <w:spacing w:after="60"/>
              <w:jc w:val="center"/>
            </w:pPr>
            <w:r>
              <w:rPr>
                <w:color w:val="000000"/>
                <w:sz w:val="24"/>
                <w:szCs w:val="24"/>
              </w:rPr>
              <w:t>10</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CEF" w14:textId="77777777" w:rsidR="004207D6" w:rsidRDefault="008E15B6">
            <w:pPr>
              <w:spacing w:after="60"/>
              <w:jc w:val="center"/>
            </w:pPr>
            <w:r>
              <w:rPr>
                <w:color w:val="000000"/>
                <w:sz w:val="24"/>
                <w:szCs w:val="24"/>
              </w:rPr>
              <w:t>30.0</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CF0" w14:textId="77777777" w:rsidR="004207D6" w:rsidRDefault="008E15B6">
            <w:pPr>
              <w:spacing w:after="60"/>
              <w:jc w:val="center"/>
            </w:pPr>
            <w:r>
              <w:rPr>
                <w:color w:val="000000"/>
                <w:sz w:val="24"/>
                <w:szCs w:val="24"/>
              </w:rPr>
              <w:t>60.0</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CF1"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CF2" w14:textId="77777777" w:rsidR="004207D6" w:rsidRDefault="008E15B6">
            <w:pPr>
              <w:spacing w:after="60"/>
              <w:jc w:val="center"/>
            </w:pPr>
            <w:r>
              <w:rPr>
                <w:color w:val="000000"/>
                <w:sz w:val="24"/>
                <w:szCs w:val="24"/>
              </w:rPr>
              <w:t>70.0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CF3" w14:textId="77777777" w:rsidR="004207D6" w:rsidRDefault="008E15B6">
            <w:pPr>
              <w:spacing w:after="60"/>
              <w:jc w:val="center"/>
            </w:pPr>
            <w:r>
              <w:rPr>
                <w:color w:val="000000"/>
                <w:sz w:val="24"/>
                <w:szCs w:val="24"/>
              </w:rPr>
              <w:t>1.8</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CF4" w14:textId="77777777" w:rsidR="004207D6" w:rsidRDefault="008E15B6">
            <w:pPr>
              <w:spacing w:after="60"/>
              <w:jc w:val="center"/>
            </w:pPr>
            <w:r>
              <w:rPr>
                <w:color w:val="000000"/>
                <w:sz w:val="24"/>
                <w:szCs w:val="24"/>
              </w:rPr>
              <w:t>5.2</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CF5" w14:textId="77777777" w:rsidR="004207D6" w:rsidRDefault="008E15B6">
            <w:pPr>
              <w:spacing w:after="60"/>
              <w:jc w:val="center"/>
            </w:pPr>
            <w:r>
              <w:rPr>
                <w:color w:val="000000"/>
                <w:sz w:val="24"/>
                <w:szCs w:val="24"/>
              </w:rPr>
              <w:t>10.69</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CF6" w14:textId="77777777" w:rsidR="004207D6" w:rsidRDefault="008E15B6">
            <w:pPr>
              <w:spacing w:after="60"/>
              <w:jc w:val="center"/>
            </w:pPr>
            <w:r>
              <w:rPr>
                <w:color w:val="000000"/>
                <w:sz w:val="24"/>
                <w:szCs w:val="24"/>
              </w:rPr>
              <w:t>0.62</w:t>
            </w:r>
          </w:p>
        </w:tc>
      </w:tr>
      <w:tr w:rsidR="004207D6" w14:paraId="779ADD03" w14:textId="77777777">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CF8" w14:textId="77777777" w:rsidR="004207D6" w:rsidRDefault="008E15B6">
            <w:pPr>
              <w:spacing w:after="60"/>
              <w:jc w:val="center"/>
            </w:pPr>
            <w:r>
              <w:rPr>
                <w:color w:val="000000"/>
                <w:sz w:val="24"/>
                <w:szCs w:val="24"/>
              </w:rPr>
              <w:t>Sainsburys</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CF9" w14:textId="77777777" w:rsidR="004207D6" w:rsidRDefault="008E15B6">
            <w:pPr>
              <w:spacing w:after="60"/>
              <w:jc w:val="center"/>
            </w:pPr>
            <w:r>
              <w:rPr>
                <w:color w:val="000000"/>
                <w:sz w:val="24"/>
                <w:szCs w:val="24"/>
              </w:rPr>
              <w:t>2020</w:t>
            </w:r>
          </w:p>
        </w:tc>
        <w:tc>
          <w:tcPr>
            <w:tcW w:w="600" w:type="dxa"/>
            <w:tcBorders>
              <w:top w:val="single" w:sz="4" w:space="0" w:color="999999"/>
              <w:left w:val="single" w:sz="4" w:space="0" w:color="999999"/>
              <w:bottom w:val="single" w:sz="4" w:space="0" w:color="999999"/>
              <w:right w:val="single" w:sz="4" w:space="0" w:color="999999"/>
            </w:tcBorders>
            <w:shd w:val="clear" w:color="auto" w:fill="F2F2F2"/>
          </w:tcPr>
          <w:p w14:paraId="779ADCFA" w14:textId="77777777" w:rsidR="004207D6" w:rsidRDefault="008E15B6">
            <w:pPr>
              <w:spacing w:after="60"/>
              <w:jc w:val="center"/>
            </w:pPr>
            <w:r>
              <w:rPr>
                <w:color w:val="000000"/>
                <w:sz w:val="24"/>
                <w:szCs w:val="24"/>
              </w:rPr>
              <w:t>10</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CFB" w14:textId="77777777" w:rsidR="004207D6" w:rsidRDefault="008E15B6">
            <w:pPr>
              <w:spacing w:after="60"/>
              <w:jc w:val="center"/>
            </w:pPr>
            <w:r>
              <w:rPr>
                <w:color w:val="000000"/>
                <w:sz w:val="24"/>
                <w:szCs w:val="24"/>
              </w:rPr>
              <w:t>30.0</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CFC" w14:textId="77777777" w:rsidR="004207D6" w:rsidRDefault="008E15B6">
            <w:pPr>
              <w:spacing w:after="60"/>
              <w:jc w:val="center"/>
            </w:pPr>
            <w:r>
              <w:rPr>
                <w:color w:val="000000"/>
                <w:sz w:val="24"/>
                <w:szCs w:val="24"/>
              </w:rPr>
              <w:t>60.0</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CFD"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CFE" w14:textId="77777777" w:rsidR="004207D6" w:rsidRDefault="008E15B6">
            <w:pPr>
              <w:spacing w:after="60"/>
              <w:jc w:val="center"/>
            </w:pPr>
            <w:r>
              <w:rPr>
                <w:color w:val="000000"/>
                <w:sz w:val="24"/>
                <w:szCs w:val="24"/>
              </w:rPr>
              <w:t>70.0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CFF" w14:textId="77777777" w:rsidR="004207D6" w:rsidRDefault="008E15B6">
            <w:pPr>
              <w:spacing w:after="60"/>
              <w:jc w:val="center"/>
            </w:pPr>
            <w:r>
              <w:rPr>
                <w:color w:val="000000"/>
                <w:sz w:val="24"/>
                <w:szCs w:val="24"/>
              </w:rPr>
              <w:t>1.5</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00" w14:textId="77777777" w:rsidR="004207D6" w:rsidRDefault="008E15B6">
            <w:pPr>
              <w:spacing w:after="60"/>
              <w:jc w:val="center"/>
            </w:pPr>
            <w:r>
              <w:rPr>
                <w:color w:val="000000"/>
                <w:sz w:val="24"/>
                <w:szCs w:val="24"/>
              </w:rPr>
              <w:t>4.4</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01" w14:textId="77777777" w:rsidR="004207D6" w:rsidRDefault="008E15B6">
            <w:pPr>
              <w:spacing w:after="60"/>
              <w:jc w:val="center"/>
            </w:pPr>
            <w:r>
              <w:rPr>
                <w:color w:val="000000"/>
                <w:sz w:val="24"/>
                <w:szCs w:val="24"/>
              </w:rPr>
              <w:t>10.68</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02" w14:textId="77777777" w:rsidR="004207D6" w:rsidRDefault="008E15B6">
            <w:pPr>
              <w:spacing w:after="60"/>
              <w:jc w:val="center"/>
            </w:pPr>
            <w:r>
              <w:rPr>
                <w:color w:val="000000"/>
                <w:sz w:val="24"/>
                <w:szCs w:val="24"/>
              </w:rPr>
              <w:t>0.63</w:t>
            </w:r>
          </w:p>
        </w:tc>
      </w:tr>
      <w:tr w:rsidR="004207D6" w14:paraId="779ADD0F" w14:textId="77777777">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04" w14:textId="77777777" w:rsidR="004207D6" w:rsidRDefault="008E15B6">
            <w:pPr>
              <w:spacing w:after="60"/>
              <w:jc w:val="center"/>
            </w:pPr>
            <w:r>
              <w:rPr>
                <w:color w:val="000000"/>
                <w:sz w:val="24"/>
                <w:szCs w:val="24"/>
              </w:rPr>
              <w:lastRenderedPageBreak/>
              <w:t>Sainsburys</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05" w14:textId="77777777" w:rsidR="004207D6" w:rsidRDefault="008E15B6">
            <w:pPr>
              <w:spacing w:after="60"/>
              <w:jc w:val="center"/>
            </w:pPr>
            <w:r>
              <w:rPr>
                <w:color w:val="000000"/>
                <w:sz w:val="24"/>
                <w:szCs w:val="24"/>
              </w:rPr>
              <w:t>2021</w:t>
            </w:r>
          </w:p>
        </w:tc>
        <w:tc>
          <w:tcPr>
            <w:tcW w:w="600" w:type="dxa"/>
            <w:tcBorders>
              <w:top w:val="single" w:sz="4" w:space="0" w:color="999999"/>
              <w:left w:val="single" w:sz="4" w:space="0" w:color="999999"/>
              <w:bottom w:val="single" w:sz="4" w:space="0" w:color="999999"/>
              <w:right w:val="single" w:sz="4" w:space="0" w:color="999999"/>
            </w:tcBorders>
            <w:shd w:val="clear" w:color="auto" w:fill="FFFFFF"/>
          </w:tcPr>
          <w:p w14:paraId="779ADD06" w14:textId="77777777" w:rsidR="004207D6" w:rsidRDefault="008E15B6">
            <w:pPr>
              <w:spacing w:after="60"/>
              <w:jc w:val="center"/>
            </w:pPr>
            <w:r>
              <w:rPr>
                <w:color w:val="000000"/>
                <w:sz w:val="24"/>
                <w:szCs w:val="24"/>
              </w:rPr>
              <w:t>9</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07" w14:textId="77777777" w:rsidR="004207D6" w:rsidRDefault="008E15B6">
            <w:pPr>
              <w:spacing w:after="60"/>
              <w:jc w:val="center"/>
            </w:pPr>
            <w:r>
              <w:rPr>
                <w:color w:val="000000"/>
                <w:sz w:val="24"/>
                <w:szCs w:val="24"/>
              </w:rPr>
              <w:t>33.3</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08" w14:textId="77777777" w:rsidR="004207D6" w:rsidRDefault="008E15B6">
            <w:pPr>
              <w:spacing w:after="60"/>
              <w:jc w:val="center"/>
            </w:pPr>
            <w:r>
              <w:rPr>
                <w:color w:val="000000"/>
                <w:sz w:val="24"/>
                <w:szCs w:val="24"/>
              </w:rPr>
              <w:t>66.7</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09"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0A" w14:textId="77777777" w:rsidR="004207D6" w:rsidRDefault="008E15B6">
            <w:pPr>
              <w:spacing w:after="60"/>
              <w:jc w:val="center"/>
            </w:pPr>
            <w:r>
              <w:rPr>
                <w:color w:val="000000"/>
                <w:sz w:val="24"/>
                <w:szCs w:val="24"/>
              </w:rPr>
              <w:t>66.7</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0B" w14:textId="77777777" w:rsidR="004207D6" w:rsidRDefault="008E15B6">
            <w:pPr>
              <w:spacing w:after="60"/>
              <w:jc w:val="center"/>
            </w:pPr>
            <w:r>
              <w:rPr>
                <w:color w:val="000000"/>
                <w:sz w:val="24"/>
                <w:szCs w:val="24"/>
              </w:rPr>
              <w:t>-0.8</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0C" w14:textId="77777777" w:rsidR="004207D6" w:rsidRDefault="008E15B6">
            <w:pPr>
              <w:spacing w:after="60"/>
              <w:jc w:val="center"/>
            </w:pPr>
            <w:r>
              <w:rPr>
                <w:color w:val="000000"/>
                <w:sz w:val="24"/>
                <w:szCs w:val="24"/>
              </w:rPr>
              <w:t>-2.3</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0D" w14:textId="77777777" w:rsidR="004207D6" w:rsidRDefault="008E15B6">
            <w:pPr>
              <w:spacing w:after="60"/>
              <w:jc w:val="center"/>
            </w:pPr>
            <w:r>
              <w:rPr>
                <w:color w:val="000000"/>
                <w:sz w:val="24"/>
                <w:szCs w:val="24"/>
              </w:rPr>
              <w:t>10.67</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0E" w14:textId="77777777" w:rsidR="004207D6" w:rsidRDefault="008E15B6">
            <w:pPr>
              <w:spacing w:after="60"/>
              <w:jc w:val="center"/>
            </w:pPr>
            <w:r>
              <w:rPr>
                <w:color w:val="000000"/>
                <w:sz w:val="24"/>
                <w:szCs w:val="24"/>
              </w:rPr>
              <w:t>0.65</w:t>
            </w:r>
          </w:p>
        </w:tc>
      </w:tr>
      <w:tr w:rsidR="004207D6" w14:paraId="779ADD1B" w14:textId="77777777">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10" w14:textId="77777777" w:rsidR="004207D6" w:rsidRDefault="008E15B6">
            <w:pPr>
              <w:spacing w:after="60"/>
              <w:jc w:val="center"/>
            </w:pPr>
            <w:r>
              <w:rPr>
                <w:color w:val="000000"/>
                <w:sz w:val="24"/>
                <w:szCs w:val="24"/>
              </w:rPr>
              <w:t>Sainsburys</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11" w14:textId="77777777" w:rsidR="004207D6" w:rsidRDefault="008E15B6">
            <w:pPr>
              <w:spacing w:after="60"/>
              <w:jc w:val="center"/>
            </w:pPr>
            <w:r>
              <w:rPr>
                <w:color w:val="000000"/>
                <w:sz w:val="24"/>
                <w:szCs w:val="24"/>
              </w:rPr>
              <w:t>2022</w:t>
            </w:r>
          </w:p>
        </w:tc>
        <w:tc>
          <w:tcPr>
            <w:tcW w:w="600" w:type="dxa"/>
            <w:tcBorders>
              <w:top w:val="single" w:sz="4" w:space="0" w:color="999999"/>
              <w:left w:val="single" w:sz="4" w:space="0" w:color="999999"/>
              <w:bottom w:val="single" w:sz="4" w:space="0" w:color="999999"/>
              <w:right w:val="single" w:sz="4" w:space="0" w:color="999999"/>
            </w:tcBorders>
            <w:shd w:val="clear" w:color="auto" w:fill="F2F2F2"/>
          </w:tcPr>
          <w:p w14:paraId="779ADD12" w14:textId="77777777" w:rsidR="004207D6" w:rsidRDefault="008E15B6">
            <w:pPr>
              <w:spacing w:after="60"/>
              <w:jc w:val="center"/>
            </w:pPr>
            <w:r>
              <w:rPr>
                <w:color w:val="000000"/>
                <w:sz w:val="24"/>
                <w:szCs w:val="24"/>
              </w:rPr>
              <w:t>9</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13" w14:textId="77777777" w:rsidR="004207D6" w:rsidRDefault="008E15B6">
            <w:pPr>
              <w:spacing w:after="60"/>
              <w:jc w:val="center"/>
            </w:pPr>
            <w:r>
              <w:rPr>
                <w:color w:val="000000"/>
                <w:sz w:val="24"/>
                <w:szCs w:val="24"/>
              </w:rPr>
              <w:t>33.3</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14" w14:textId="77777777" w:rsidR="004207D6" w:rsidRDefault="008E15B6">
            <w:pPr>
              <w:spacing w:after="60"/>
              <w:jc w:val="center"/>
            </w:pPr>
            <w:r>
              <w:rPr>
                <w:color w:val="000000"/>
                <w:sz w:val="24"/>
                <w:szCs w:val="24"/>
              </w:rPr>
              <w:t>66.7</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15"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16" w14:textId="77777777" w:rsidR="004207D6" w:rsidRDefault="008E15B6">
            <w:pPr>
              <w:spacing w:after="60"/>
              <w:jc w:val="center"/>
            </w:pPr>
            <w:r>
              <w:rPr>
                <w:color w:val="000000"/>
                <w:sz w:val="24"/>
                <w:szCs w:val="24"/>
              </w:rPr>
              <w:t>66.7</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17" w14:textId="77777777" w:rsidR="004207D6" w:rsidRDefault="008E15B6">
            <w:pPr>
              <w:spacing w:after="60"/>
              <w:jc w:val="center"/>
            </w:pPr>
            <w:r>
              <w:rPr>
                <w:color w:val="000000"/>
                <w:sz w:val="24"/>
                <w:szCs w:val="24"/>
              </w:rPr>
              <w:t>1.6</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18" w14:textId="77777777" w:rsidR="004207D6" w:rsidRDefault="008E15B6">
            <w:pPr>
              <w:spacing w:after="60"/>
              <w:jc w:val="center"/>
            </w:pPr>
            <w:r>
              <w:rPr>
                <w:color w:val="000000"/>
                <w:sz w:val="24"/>
                <w:szCs w:val="24"/>
              </w:rPr>
              <w:t>4.6</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19" w14:textId="77777777" w:rsidR="004207D6" w:rsidRDefault="008E15B6">
            <w:pPr>
              <w:spacing w:after="60"/>
              <w:jc w:val="center"/>
            </w:pPr>
            <w:r>
              <w:rPr>
                <w:color w:val="000000"/>
                <w:sz w:val="24"/>
                <w:szCs w:val="24"/>
              </w:rPr>
              <w:t>10.68</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1A" w14:textId="77777777" w:rsidR="004207D6" w:rsidRDefault="008E15B6">
            <w:pPr>
              <w:spacing w:after="60"/>
              <w:jc w:val="center"/>
            </w:pPr>
            <w:r>
              <w:rPr>
                <w:color w:val="000000"/>
                <w:sz w:val="24"/>
                <w:szCs w:val="24"/>
              </w:rPr>
              <w:t>0.64</w:t>
            </w:r>
          </w:p>
        </w:tc>
      </w:tr>
      <w:tr w:rsidR="004207D6" w14:paraId="779ADD27" w14:textId="77777777">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1C" w14:textId="77777777" w:rsidR="004207D6" w:rsidRDefault="008E15B6">
            <w:pPr>
              <w:spacing w:after="60"/>
              <w:jc w:val="center"/>
            </w:pPr>
            <w:r>
              <w:rPr>
                <w:color w:val="000000"/>
                <w:sz w:val="24"/>
                <w:szCs w:val="24"/>
              </w:rPr>
              <w:t>Sainsburys</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1D" w14:textId="77777777" w:rsidR="004207D6" w:rsidRDefault="008E15B6">
            <w:pPr>
              <w:spacing w:after="60"/>
              <w:jc w:val="center"/>
            </w:pPr>
            <w:r>
              <w:rPr>
                <w:color w:val="000000"/>
                <w:sz w:val="24"/>
                <w:szCs w:val="24"/>
              </w:rPr>
              <w:t>2023</w:t>
            </w:r>
          </w:p>
        </w:tc>
        <w:tc>
          <w:tcPr>
            <w:tcW w:w="600" w:type="dxa"/>
            <w:tcBorders>
              <w:top w:val="single" w:sz="4" w:space="0" w:color="999999"/>
              <w:left w:val="single" w:sz="4" w:space="0" w:color="999999"/>
              <w:bottom w:val="single" w:sz="4" w:space="0" w:color="999999"/>
              <w:right w:val="single" w:sz="4" w:space="0" w:color="999999"/>
            </w:tcBorders>
            <w:shd w:val="clear" w:color="auto" w:fill="FFFFFF"/>
          </w:tcPr>
          <w:p w14:paraId="779ADD1E" w14:textId="77777777" w:rsidR="004207D6" w:rsidRDefault="008E15B6">
            <w:pPr>
              <w:spacing w:after="60"/>
              <w:jc w:val="center"/>
            </w:pPr>
            <w:r>
              <w:rPr>
                <w:color w:val="000000"/>
                <w:sz w:val="24"/>
                <w:szCs w:val="24"/>
              </w:rPr>
              <w:t>9</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1F" w14:textId="77777777" w:rsidR="004207D6" w:rsidRDefault="008E15B6">
            <w:pPr>
              <w:spacing w:after="60"/>
              <w:jc w:val="center"/>
            </w:pPr>
            <w:r>
              <w:rPr>
                <w:color w:val="000000"/>
                <w:sz w:val="24"/>
                <w:szCs w:val="24"/>
              </w:rPr>
              <w:t>33.3</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20" w14:textId="77777777" w:rsidR="004207D6" w:rsidRDefault="008E15B6">
            <w:pPr>
              <w:spacing w:after="60"/>
              <w:jc w:val="center"/>
            </w:pPr>
            <w:r>
              <w:rPr>
                <w:color w:val="000000"/>
                <w:sz w:val="24"/>
                <w:szCs w:val="24"/>
              </w:rPr>
              <w:t>66.7</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21"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22" w14:textId="77777777" w:rsidR="004207D6" w:rsidRDefault="008E15B6">
            <w:pPr>
              <w:spacing w:after="60"/>
              <w:jc w:val="center"/>
            </w:pPr>
            <w:r>
              <w:rPr>
                <w:color w:val="000000"/>
                <w:sz w:val="24"/>
                <w:szCs w:val="24"/>
              </w:rPr>
              <w:t>66.7</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23" w14:textId="77777777" w:rsidR="004207D6" w:rsidRDefault="008E15B6">
            <w:pPr>
              <w:spacing w:after="60"/>
              <w:jc w:val="center"/>
            </w:pPr>
            <w:r>
              <w:rPr>
                <w:color w:val="000000"/>
                <w:sz w:val="24"/>
                <w:szCs w:val="24"/>
              </w:rPr>
              <w:t>2.1</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24" w14:textId="77777777" w:rsidR="004207D6" w:rsidRDefault="008E15B6">
            <w:pPr>
              <w:spacing w:after="60"/>
              <w:jc w:val="center"/>
            </w:pPr>
            <w:r>
              <w:rPr>
                <w:color w:val="000000"/>
                <w:sz w:val="24"/>
                <w:szCs w:val="24"/>
              </w:rPr>
              <w:t>6.1</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25" w14:textId="77777777" w:rsidR="004207D6" w:rsidRDefault="008E15B6">
            <w:pPr>
              <w:spacing w:after="60"/>
              <w:jc w:val="center"/>
            </w:pPr>
            <w:r>
              <w:rPr>
                <w:color w:val="000000"/>
                <w:sz w:val="24"/>
                <w:szCs w:val="24"/>
              </w:rPr>
              <w:t>10.70</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26" w14:textId="77777777" w:rsidR="004207D6" w:rsidRDefault="008E15B6">
            <w:pPr>
              <w:spacing w:after="60"/>
              <w:jc w:val="center"/>
            </w:pPr>
            <w:r>
              <w:rPr>
                <w:color w:val="000000"/>
                <w:sz w:val="24"/>
                <w:szCs w:val="24"/>
              </w:rPr>
              <w:t>0.63</w:t>
            </w:r>
          </w:p>
        </w:tc>
      </w:tr>
      <w:tr w:rsidR="004207D6" w14:paraId="779ADD33" w14:textId="77777777">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28" w14:textId="77777777" w:rsidR="004207D6" w:rsidRDefault="008E15B6">
            <w:pPr>
              <w:spacing w:after="60"/>
              <w:jc w:val="center"/>
            </w:pPr>
            <w:r>
              <w:rPr>
                <w:color w:val="000000"/>
                <w:sz w:val="24"/>
                <w:szCs w:val="24"/>
              </w:rPr>
              <w:t>M&amp;S</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29" w14:textId="77777777" w:rsidR="004207D6" w:rsidRDefault="008E15B6">
            <w:pPr>
              <w:spacing w:after="60"/>
              <w:jc w:val="center"/>
            </w:pPr>
            <w:r>
              <w:rPr>
                <w:color w:val="000000"/>
                <w:sz w:val="24"/>
                <w:szCs w:val="24"/>
              </w:rPr>
              <w:t>2019</w:t>
            </w:r>
          </w:p>
        </w:tc>
        <w:tc>
          <w:tcPr>
            <w:tcW w:w="600" w:type="dxa"/>
            <w:tcBorders>
              <w:top w:val="single" w:sz="4" w:space="0" w:color="999999"/>
              <w:left w:val="single" w:sz="4" w:space="0" w:color="999999"/>
              <w:bottom w:val="single" w:sz="4" w:space="0" w:color="999999"/>
              <w:right w:val="single" w:sz="4" w:space="0" w:color="999999"/>
            </w:tcBorders>
            <w:shd w:val="clear" w:color="auto" w:fill="F2F2F2"/>
          </w:tcPr>
          <w:p w14:paraId="779ADD2A" w14:textId="77777777" w:rsidR="004207D6" w:rsidRDefault="008E15B6">
            <w:pPr>
              <w:spacing w:after="60"/>
              <w:jc w:val="center"/>
            </w:pPr>
            <w:r>
              <w:rPr>
                <w:color w:val="000000"/>
                <w:sz w:val="24"/>
                <w:szCs w:val="24"/>
              </w:rPr>
              <w:t>10</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2B" w14:textId="77777777" w:rsidR="004207D6" w:rsidRDefault="008E15B6">
            <w:pPr>
              <w:spacing w:after="60"/>
              <w:jc w:val="center"/>
            </w:pPr>
            <w:r>
              <w:rPr>
                <w:color w:val="000000"/>
                <w:sz w:val="24"/>
                <w:szCs w:val="24"/>
              </w:rPr>
              <w:t>30.0</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2C" w14:textId="77777777" w:rsidR="004207D6" w:rsidRDefault="008E15B6">
            <w:pPr>
              <w:spacing w:after="60"/>
              <w:jc w:val="center"/>
            </w:pPr>
            <w:r>
              <w:rPr>
                <w:color w:val="000000"/>
                <w:sz w:val="24"/>
                <w:szCs w:val="24"/>
              </w:rPr>
              <w:t>70.0</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2D"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2E" w14:textId="77777777" w:rsidR="004207D6" w:rsidRDefault="008E15B6">
            <w:pPr>
              <w:spacing w:after="60"/>
              <w:jc w:val="center"/>
            </w:pPr>
            <w:r>
              <w:rPr>
                <w:color w:val="000000"/>
                <w:sz w:val="24"/>
                <w:szCs w:val="24"/>
              </w:rPr>
              <w:t>70.0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2F" w14:textId="77777777" w:rsidR="004207D6" w:rsidRDefault="008E15B6">
            <w:pPr>
              <w:spacing w:after="60"/>
              <w:jc w:val="center"/>
            </w:pPr>
            <w:r>
              <w:rPr>
                <w:color w:val="000000"/>
                <w:sz w:val="24"/>
                <w:szCs w:val="24"/>
              </w:rPr>
              <w:t>2.1</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30" w14:textId="77777777" w:rsidR="004207D6" w:rsidRDefault="008E15B6">
            <w:pPr>
              <w:spacing w:after="60"/>
              <w:jc w:val="center"/>
            </w:pPr>
            <w:r>
              <w:rPr>
                <w:color w:val="000000"/>
                <w:sz w:val="24"/>
                <w:szCs w:val="24"/>
              </w:rPr>
              <w:t>5.9</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31" w14:textId="77777777" w:rsidR="004207D6" w:rsidRDefault="008E15B6">
            <w:pPr>
              <w:spacing w:after="60"/>
              <w:jc w:val="center"/>
            </w:pPr>
            <w:r>
              <w:rPr>
                <w:color w:val="000000"/>
                <w:sz w:val="24"/>
                <w:szCs w:val="24"/>
              </w:rPr>
              <w:t>10.41</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32" w14:textId="77777777" w:rsidR="004207D6" w:rsidRDefault="008E15B6">
            <w:pPr>
              <w:spacing w:after="60"/>
              <w:jc w:val="center"/>
            </w:pPr>
            <w:r>
              <w:rPr>
                <w:color w:val="000000"/>
                <w:sz w:val="24"/>
                <w:szCs w:val="24"/>
              </w:rPr>
              <w:t>0.55</w:t>
            </w:r>
          </w:p>
        </w:tc>
      </w:tr>
      <w:tr w:rsidR="004207D6" w14:paraId="779ADD3F" w14:textId="77777777">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34" w14:textId="77777777" w:rsidR="004207D6" w:rsidRDefault="008E15B6">
            <w:pPr>
              <w:spacing w:after="60"/>
              <w:jc w:val="center"/>
            </w:pPr>
            <w:r>
              <w:rPr>
                <w:color w:val="000000"/>
                <w:sz w:val="24"/>
                <w:szCs w:val="24"/>
              </w:rPr>
              <w:t>M&amp;S</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35" w14:textId="77777777" w:rsidR="004207D6" w:rsidRDefault="008E15B6">
            <w:pPr>
              <w:spacing w:after="60"/>
              <w:jc w:val="center"/>
            </w:pPr>
            <w:r>
              <w:rPr>
                <w:color w:val="000000"/>
                <w:sz w:val="24"/>
                <w:szCs w:val="24"/>
              </w:rPr>
              <w:t>2020</w:t>
            </w:r>
          </w:p>
        </w:tc>
        <w:tc>
          <w:tcPr>
            <w:tcW w:w="600" w:type="dxa"/>
            <w:tcBorders>
              <w:top w:val="single" w:sz="4" w:space="0" w:color="999999"/>
              <w:left w:val="single" w:sz="4" w:space="0" w:color="999999"/>
              <w:bottom w:val="single" w:sz="4" w:space="0" w:color="999999"/>
              <w:right w:val="single" w:sz="4" w:space="0" w:color="999999"/>
            </w:tcBorders>
            <w:shd w:val="clear" w:color="auto" w:fill="FFFFFF"/>
          </w:tcPr>
          <w:p w14:paraId="779ADD36" w14:textId="77777777" w:rsidR="004207D6" w:rsidRDefault="008E15B6">
            <w:pPr>
              <w:spacing w:after="60"/>
              <w:jc w:val="center"/>
            </w:pPr>
            <w:r>
              <w:rPr>
                <w:color w:val="000000"/>
                <w:sz w:val="24"/>
                <w:szCs w:val="24"/>
              </w:rPr>
              <w:t>10</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37" w14:textId="77777777" w:rsidR="004207D6" w:rsidRDefault="008E15B6">
            <w:pPr>
              <w:spacing w:after="60"/>
              <w:jc w:val="center"/>
            </w:pPr>
            <w:r>
              <w:rPr>
                <w:color w:val="000000"/>
                <w:sz w:val="24"/>
                <w:szCs w:val="24"/>
              </w:rPr>
              <w:t>30.0</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38" w14:textId="77777777" w:rsidR="004207D6" w:rsidRDefault="008E15B6">
            <w:pPr>
              <w:spacing w:after="60"/>
              <w:jc w:val="center"/>
            </w:pPr>
            <w:r>
              <w:rPr>
                <w:color w:val="000000"/>
                <w:sz w:val="24"/>
                <w:szCs w:val="24"/>
              </w:rPr>
              <w:t>70.0</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39"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3A" w14:textId="77777777" w:rsidR="004207D6" w:rsidRDefault="008E15B6">
            <w:pPr>
              <w:spacing w:after="60"/>
              <w:jc w:val="center"/>
            </w:pPr>
            <w:r>
              <w:rPr>
                <w:color w:val="000000"/>
                <w:sz w:val="24"/>
                <w:szCs w:val="24"/>
              </w:rPr>
              <w:t>70.0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3B" w14:textId="77777777" w:rsidR="004207D6" w:rsidRDefault="008E15B6">
            <w:pPr>
              <w:spacing w:after="60"/>
              <w:jc w:val="center"/>
            </w:pPr>
            <w:r>
              <w:rPr>
                <w:color w:val="000000"/>
                <w:sz w:val="24"/>
                <w:szCs w:val="24"/>
              </w:rPr>
              <w:t>-1.8</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3C" w14:textId="77777777" w:rsidR="004207D6" w:rsidRDefault="008E15B6">
            <w:pPr>
              <w:spacing w:after="60"/>
              <w:jc w:val="center"/>
            </w:pPr>
            <w:r>
              <w:rPr>
                <w:color w:val="000000"/>
                <w:sz w:val="24"/>
                <w:szCs w:val="24"/>
              </w:rPr>
              <w:t>-5.1</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3D" w14:textId="77777777" w:rsidR="004207D6" w:rsidRDefault="008E15B6">
            <w:pPr>
              <w:spacing w:after="60"/>
              <w:jc w:val="center"/>
            </w:pPr>
            <w:r>
              <w:rPr>
                <w:color w:val="000000"/>
                <w:sz w:val="24"/>
                <w:szCs w:val="24"/>
              </w:rPr>
              <w:t>10.39</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3E" w14:textId="77777777" w:rsidR="004207D6" w:rsidRDefault="008E15B6">
            <w:pPr>
              <w:spacing w:after="60"/>
              <w:jc w:val="center"/>
            </w:pPr>
            <w:r>
              <w:rPr>
                <w:color w:val="000000"/>
                <w:sz w:val="24"/>
                <w:szCs w:val="24"/>
              </w:rPr>
              <w:t>0.57</w:t>
            </w:r>
          </w:p>
        </w:tc>
      </w:tr>
      <w:tr w:rsidR="004207D6" w14:paraId="779ADD4B" w14:textId="77777777">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40" w14:textId="77777777" w:rsidR="004207D6" w:rsidRDefault="008E15B6">
            <w:pPr>
              <w:spacing w:after="60"/>
              <w:jc w:val="center"/>
            </w:pPr>
            <w:r>
              <w:rPr>
                <w:color w:val="000000"/>
                <w:sz w:val="24"/>
                <w:szCs w:val="24"/>
              </w:rPr>
              <w:t>M&amp;S</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41" w14:textId="77777777" w:rsidR="004207D6" w:rsidRDefault="008E15B6">
            <w:pPr>
              <w:spacing w:after="60"/>
              <w:jc w:val="center"/>
            </w:pPr>
            <w:r>
              <w:rPr>
                <w:color w:val="000000"/>
                <w:sz w:val="24"/>
                <w:szCs w:val="24"/>
              </w:rPr>
              <w:t>2021</w:t>
            </w:r>
          </w:p>
        </w:tc>
        <w:tc>
          <w:tcPr>
            <w:tcW w:w="600" w:type="dxa"/>
            <w:tcBorders>
              <w:top w:val="single" w:sz="4" w:space="0" w:color="999999"/>
              <w:left w:val="single" w:sz="4" w:space="0" w:color="999999"/>
              <w:bottom w:val="single" w:sz="4" w:space="0" w:color="999999"/>
              <w:right w:val="single" w:sz="4" w:space="0" w:color="999999"/>
            </w:tcBorders>
            <w:shd w:val="clear" w:color="auto" w:fill="F2F2F2"/>
          </w:tcPr>
          <w:p w14:paraId="779ADD42" w14:textId="77777777" w:rsidR="004207D6" w:rsidRDefault="008E15B6">
            <w:pPr>
              <w:spacing w:after="60"/>
              <w:jc w:val="center"/>
            </w:pPr>
            <w:r>
              <w:rPr>
                <w:color w:val="000000"/>
                <w:sz w:val="24"/>
                <w:szCs w:val="24"/>
              </w:rPr>
              <w:t>9</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43" w14:textId="77777777" w:rsidR="004207D6" w:rsidRDefault="008E15B6">
            <w:pPr>
              <w:spacing w:after="60"/>
              <w:jc w:val="center"/>
            </w:pPr>
            <w:r>
              <w:rPr>
                <w:color w:val="000000"/>
                <w:sz w:val="24"/>
                <w:szCs w:val="24"/>
              </w:rPr>
              <w:t>33.3</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44" w14:textId="77777777" w:rsidR="004207D6" w:rsidRDefault="008E15B6">
            <w:pPr>
              <w:spacing w:after="60"/>
              <w:jc w:val="center"/>
            </w:pPr>
            <w:r>
              <w:rPr>
                <w:color w:val="000000"/>
                <w:sz w:val="24"/>
                <w:szCs w:val="24"/>
              </w:rPr>
              <w:t>66.7</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45"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46" w14:textId="77777777" w:rsidR="004207D6" w:rsidRDefault="008E15B6">
            <w:pPr>
              <w:spacing w:after="60"/>
              <w:jc w:val="center"/>
            </w:pPr>
            <w:r>
              <w:rPr>
                <w:color w:val="000000"/>
                <w:sz w:val="24"/>
                <w:szCs w:val="24"/>
              </w:rPr>
              <w:t>66.7</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47" w14:textId="77777777" w:rsidR="004207D6" w:rsidRDefault="008E15B6">
            <w:pPr>
              <w:spacing w:after="60"/>
              <w:jc w:val="center"/>
            </w:pPr>
            <w:r>
              <w:rPr>
                <w:color w:val="000000"/>
                <w:sz w:val="24"/>
                <w:szCs w:val="24"/>
              </w:rPr>
              <w:t>0.9</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48" w14:textId="77777777" w:rsidR="004207D6" w:rsidRDefault="008E15B6">
            <w:pPr>
              <w:spacing w:after="60"/>
              <w:jc w:val="center"/>
            </w:pPr>
            <w:r>
              <w:rPr>
                <w:color w:val="000000"/>
                <w:sz w:val="24"/>
                <w:szCs w:val="24"/>
              </w:rPr>
              <w:t>2.6</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49" w14:textId="77777777" w:rsidR="004207D6" w:rsidRDefault="008E15B6">
            <w:pPr>
              <w:spacing w:after="60"/>
              <w:jc w:val="center"/>
            </w:pPr>
            <w:r>
              <w:rPr>
                <w:color w:val="000000"/>
                <w:sz w:val="24"/>
                <w:szCs w:val="24"/>
              </w:rPr>
              <w:t>10.40</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4A" w14:textId="77777777" w:rsidR="004207D6" w:rsidRDefault="008E15B6">
            <w:pPr>
              <w:spacing w:after="60"/>
              <w:jc w:val="center"/>
            </w:pPr>
            <w:r>
              <w:rPr>
                <w:color w:val="000000"/>
                <w:sz w:val="24"/>
                <w:szCs w:val="24"/>
              </w:rPr>
              <w:t>0.56</w:t>
            </w:r>
          </w:p>
        </w:tc>
      </w:tr>
      <w:tr w:rsidR="004207D6" w14:paraId="779ADD57" w14:textId="77777777">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4C" w14:textId="77777777" w:rsidR="004207D6" w:rsidRDefault="008E15B6">
            <w:pPr>
              <w:spacing w:after="60"/>
              <w:jc w:val="center"/>
            </w:pPr>
            <w:r>
              <w:rPr>
                <w:color w:val="000000"/>
                <w:sz w:val="24"/>
                <w:szCs w:val="24"/>
              </w:rPr>
              <w:t>M&amp;S</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4D" w14:textId="77777777" w:rsidR="004207D6" w:rsidRDefault="008E15B6">
            <w:pPr>
              <w:spacing w:after="60"/>
              <w:jc w:val="center"/>
            </w:pPr>
            <w:r>
              <w:rPr>
                <w:color w:val="000000"/>
                <w:sz w:val="24"/>
                <w:szCs w:val="24"/>
              </w:rPr>
              <w:t>2022</w:t>
            </w:r>
          </w:p>
        </w:tc>
        <w:tc>
          <w:tcPr>
            <w:tcW w:w="600" w:type="dxa"/>
            <w:tcBorders>
              <w:top w:val="single" w:sz="4" w:space="0" w:color="999999"/>
              <w:left w:val="single" w:sz="4" w:space="0" w:color="999999"/>
              <w:bottom w:val="single" w:sz="4" w:space="0" w:color="999999"/>
              <w:right w:val="single" w:sz="4" w:space="0" w:color="999999"/>
            </w:tcBorders>
            <w:shd w:val="clear" w:color="auto" w:fill="FFFFFF"/>
          </w:tcPr>
          <w:p w14:paraId="779ADD4E" w14:textId="77777777" w:rsidR="004207D6" w:rsidRDefault="008E15B6">
            <w:pPr>
              <w:spacing w:after="60"/>
              <w:jc w:val="center"/>
            </w:pPr>
            <w:r>
              <w:rPr>
                <w:color w:val="000000"/>
                <w:sz w:val="24"/>
                <w:szCs w:val="24"/>
              </w:rPr>
              <w:t>9</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4F" w14:textId="77777777" w:rsidR="004207D6" w:rsidRDefault="008E15B6">
            <w:pPr>
              <w:spacing w:after="60"/>
              <w:jc w:val="center"/>
            </w:pPr>
            <w:r>
              <w:rPr>
                <w:color w:val="000000"/>
                <w:sz w:val="24"/>
                <w:szCs w:val="24"/>
              </w:rPr>
              <w:t>33.3</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50" w14:textId="77777777" w:rsidR="004207D6" w:rsidRDefault="008E15B6">
            <w:pPr>
              <w:spacing w:after="60"/>
              <w:jc w:val="center"/>
            </w:pPr>
            <w:r>
              <w:rPr>
                <w:color w:val="000000"/>
                <w:sz w:val="24"/>
                <w:szCs w:val="24"/>
              </w:rPr>
              <w:t>77.8</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51"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52" w14:textId="77777777" w:rsidR="004207D6" w:rsidRDefault="008E15B6">
            <w:pPr>
              <w:spacing w:after="60"/>
              <w:jc w:val="center"/>
            </w:pPr>
            <w:r>
              <w:rPr>
                <w:color w:val="000000"/>
                <w:sz w:val="24"/>
                <w:szCs w:val="24"/>
              </w:rPr>
              <w:t>66.7</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53" w14:textId="77777777" w:rsidR="004207D6" w:rsidRDefault="008E15B6">
            <w:pPr>
              <w:spacing w:after="60"/>
              <w:jc w:val="center"/>
            </w:pPr>
            <w:r>
              <w:rPr>
                <w:color w:val="000000"/>
                <w:sz w:val="24"/>
                <w:szCs w:val="24"/>
              </w:rPr>
              <w:t>2.6</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54" w14:textId="77777777" w:rsidR="004207D6" w:rsidRDefault="008E15B6">
            <w:pPr>
              <w:spacing w:after="60"/>
              <w:jc w:val="center"/>
            </w:pPr>
            <w:r>
              <w:rPr>
                <w:color w:val="000000"/>
                <w:sz w:val="24"/>
                <w:szCs w:val="24"/>
              </w:rPr>
              <w:t>7.3</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55" w14:textId="77777777" w:rsidR="004207D6" w:rsidRDefault="008E15B6">
            <w:pPr>
              <w:spacing w:after="60"/>
              <w:jc w:val="center"/>
            </w:pPr>
            <w:r>
              <w:rPr>
                <w:color w:val="000000"/>
                <w:sz w:val="24"/>
                <w:szCs w:val="24"/>
              </w:rPr>
              <w:t>10.42</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56" w14:textId="77777777" w:rsidR="004207D6" w:rsidRDefault="008E15B6">
            <w:pPr>
              <w:spacing w:after="60"/>
              <w:jc w:val="center"/>
            </w:pPr>
            <w:r>
              <w:rPr>
                <w:color w:val="000000"/>
                <w:sz w:val="24"/>
                <w:szCs w:val="24"/>
              </w:rPr>
              <w:t>0.54</w:t>
            </w:r>
          </w:p>
        </w:tc>
      </w:tr>
      <w:tr w:rsidR="004207D6" w14:paraId="779ADD63" w14:textId="77777777">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58" w14:textId="77777777" w:rsidR="004207D6" w:rsidRDefault="008E15B6">
            <w:pPr>
              <w:spacing w:after="60"/>
              <w:jc w:val="center"/>
            </w:pPr>
            <w:r>
              <w:rPr>
                <w:color w:val="000000"/>
                <w:sz w:val="24"/>
                <w:szCs w:val="24"/>
              </w:rPr>
              <w:t>M&amp;S</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59" w14:textId="77777777" w:rsidR="004207D6" w:rsidRDefault="008E15B6">
            <w:pPr>
              <w:spacing w:after="60"/>
              <w:jc w:val="center"/>
            </w:pPr>
            <w:r>
              <w:rPr>
                <w:color w:val="000000"/>
                <w:sz w:val="24"/>
                <w:szCs w:val="24"/>
              </w:rPr>
              <w:t>2023</w:t>
            </w:r>
          </w:p>
        </w:tc>
        <w:tc>
          <w:tcPr>
            <w:tcW w:w="600" w:type="dxa"/>
            <w:tcBorders>
              <w:top w:val="single" w:sz="4" w:space="0" w:color="999999"/>
              <w:left w:val="single" w:sz="4" w:space="0" w:color="999999"/>
              <w:bottom w:val="single" w:sz="4" w:space="0" w:color="999999"/>
              <w:right w:val="single" w:sz="4" w:space="0" w:color="999999"/>
            </w:tcBorders>
            <w:shd w:val="clear" w:color="auto" w:fill="F2F2F2"/>
          </w:tcPr>
          <w:p w14:paraId="779ADD5A" w14:textId="77777777" w:rsidR="004207D6" w:rsidRDefault="008E15B6">
            <w:pPr>
              <w:spacing w:after="60"/>
              <w:jc w:val="center"/>
            </w:pPr>
            <w:r>
              <w:rPr>
                <w:color w:val="000000"/>
                <w:sz w:val="24"/>
                <w:szCs w:val="24"/>
              </w:rPr>
              <w:t>9</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5B" w14:textId="77777777" w:rsidR="004207D6" w:rsidRDefault="008E15B6">
            <w:pPr>
              <w:spacing w:after="60"/>
              <w:jc w:val="center"/>
            </w:pPr>
            <w:r>
              <w:rPr>
                <w:color w:val="000000"/>
                <w:sz w:val="24"/>
                <w:szCs w:val="24"/>
              </w:rPr>
              <w:t>44.4</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5C" w14:textId="77777777" w:rsidR="004207D6" w:rsidRDefault="008E15B6">
            <w:pPr>
              <w:spacing w:after="60"/>
              <w:jc w:val="center"/>
            </w:pPr>
            <w:r>
              <w:rPr>
                <w:color w:val="000000"/>
                <w:sz w:val="24"/>
                <w:szCs w:val="24"/>
              </w:rPr>
              <w:t>77.8</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5D"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5E" w14:textId="77777777" w:rsidR="004207D6" w:rsidRDefault="008E15B6">
            <w:pPr>
              <w:spacing w:after="60"/>
              <w:jc w:val="center"/>
            </w:pPr>
            <w:r>
              <w:rPr>
                <w:color w:val="000000"/>
                <w:sz w:val="24"/>
                <w:szCs w:val="24"/>
              </w:rPr>
              <w:t>66.7</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5F" w14:textId="77777777" w:rsidR="004207D6" w:rsidRDefault="008E15B6">
            <w:pPr>
              <w:spacing w:after="60"/>
              <w:jc w:val="center"/>
            </w:pPr>
            <w:r>
              <w:rPr>
                <w:color w:val="000000"/>
                <w:sz w:val="24"/>
                <w:szCs w:val="24"/>
              </w:rPr>
              <w:t>3.8</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60" w14:textId="77777777" w:rsidR="004207D6" w:rsidRDefault="008E15B6">
            <w:pPr>
              <w:spacing w:after="60"/>
              <w:jc w:val="center"/>
            </w:pPr>
            <w:r>
              <w:rPr>
                <w:color w:val="000000"/>
                <w:sz w:val="24"/>
                <w:szCs w:val="24"/>
              </w:rPr>
              <w:t>10.7</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61" w14:textId="77777777" w:rsidR="004207D6" w:rsidRDefault="008E15B6">
            <w:pPr>
              <w:spacing w:after="60"/>
              <w:jc w:val="center"/>
            </w:pPr>
            <w:r>
              <w:rPr>
                <w:color w:val="000000"/>
                <w:sz w:val="24"/>
                <w:szCs w:val="24"/>
              </w:rPr>
              <w:t>10.44</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62" w14:textId="77777777" w:rsidR="004207D6" w:rsidRDefault="008E15B6">
            <w:pPr>
              <w:spacing w:after="60"/>
              <w:jc w:val="center"/>
            </w:pPr>
            <w:r>
              <w:rPr>
                <w:color w:val="000000"/>
                <w:sz w:val="24"/>
                <w:szCs w:val="24"/>
              </w:rPr>
              <w:t>0.53</w:t>
            </w:r>
          </w:p>
        </w:tc>
      </w:tr>
      <w:tr w:rsidR="004207D6" w14:paraId="779ADD6F" w14:textId="77777777">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64" w14:textId="77777777" w:rsidR="004207D6" w:rsidRDefault="008E15B6">
            <w:pPr>
              <w:spacing w:after="60"/>
              <w:jc w:val="center"/>
            </w:pPr>
            <w:r>
              <w:rPr>
                <w:color w:val="000000"/>
                <w:sz w:val="24"/>
                <w:szCs w:val="24"/>
              </w:rPr>
              <w:t>Next</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65" w14:textId="77777777" w:rsidR="004207D6" w:rsidRDefault="008E15B6">
            <w:pPr>
              <w:spacing w:after="60"/>
              <w:jc w:val="center"/>
            </w:pPr>
            <w:r>
              <w:rPr>
                <w:color w:val="000000"/>
                <w:sz w:val="24"/>
                <w:szCs w:val="24"/>
              </w:rPr>
              <w:t>2019</w:t>
            </w:r>
          </w:p>
        </w:tc>
        <w:tc>
          <w:tcPr>
            <w:tcW w:w="600" w:type="dxa"/>
            <w:tcBorders>
              <w:top w:val="single" w:sz="4" w:space="0" w:color="999999"/>
              <w:left w:val="single" w:sz="4" w:space="0" w:color="999999"/>
              <w:bottom w:val="single" w:sz="4" w:space="0" w:color="999999"/>
              <w:right w:val="single" w:sz="4" w:space="0" w:color="999999"/>
            </w:tcBorders>
            <w:shd w:val="clear" w:color="auto" w:fill="FFFFFF"/>
          </w:tcPr>
          <w:p w14:paraId="779ADD66" w14:textId="77777777" w:rsidR="004207D6" w:rsidRDefault="008E15B6">
            <w:pPr>
              <w:spacing w:after="60"/>
              <w:jc w:val="center"/>
            </w:pPr>
            <w:r>
              <w:rPr>
                <w:color w:val="000000"/>
                <w:sz w:val="24"/>
                <w:szCs w:val="24"/>
              </w:rPr>
              <w:t>10</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67" w14:textId="77777777" w:rsidR="004207D6" w:rsidRDefault="008E15B6">
            <w:pPr>
              <w:spacing w:after="60"/>
              <w:jc w:val="center"/>
            </w:pPr>
            <w:r>
              <w:rPr>
                <w:color w:val="000000"/>
                <w:sz w:val="24"/>
                <w:szCs w:val="24"/>
              </w:rPr>
              <w:t>40.0</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68" w14:textId="77777777" w:rsidR="004207D6" w:rsidRDefault="008E15B6">
            <w:pPr>
              <w:spacing w:after="60"/>
              <w:jc w:val="center"/>
            </w:pPr>
            <w:r>
              <w:rPr>
                <w:color w:val="000000"/>
                <w:sz w:val="24"/>
                <w:szCs w:val="24"/>
              </w:rPr>
              <w:t>80.0</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69"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6A" w14:textId="77777777" w:rsidR="004207D6" w:rsidRDefault="008E15B6">
            <w:pPr>
              <w:spacing w:after="60"/>
              <w:jc w:val="center"/>
            </w:pPr>
            <w:r>
              <w:rPr>
                <w:color w:val="000000"/>
                <w:sz w:val="24"/>
                <w:szCs w:val="24"/>
              </w:rPr>
              <w:t>70.0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6B" w14:textId="77777777" w:rsidR="004207D6" w:rsidRDefault="008E15B6">
            <w:pPr>
              <w:spacing w:after="60"/>
              <w:jc w:val="center"/>
            </w:pPr>
            <w:r>
              <w:rPr>
                <w:color w:val="000000"/>
                <w:sz w:val="24"/>
                <w:szCs w:val="24"/>
              </w:rPr>
              <w:t>14.2</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6C" w14:textId="77777777" w:rsidR="004207D6" w:rsidRDefault="008E15B6">
            <w:pPr>
              <w:spacing w:after="60"/>
              <w:jc w:val="center"/>
            </w:pPr>
            <w:r>
              <w:rPr>
                <w:color w:val="000000"/>
                <w:sz w:val="24"/>
                <w:szCs w:val="24"/>
              </w:rPr>
              <w:t>58.3</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6D" w14:textId="77777777" w:rsidR="004207D6" w:rsidRDefault="008E15B6">
            <w:pPr>
              <w:spacing w:after="60"/>
              <w:jc w:val="center"/>
            </w:pPr>
            <w:r>
              <w:rPr>
                <w:color w:val="000000"/>
                <w:sz w:val="24"/>
                <w:szCs w:val="24"/>
              </w:rPr>
              <w:t>9.38</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6E" w14:textId="77777777" w:rsidR="004207D6" w:rsidRDefault="008E15B6">
            <w:pPr>
              <w:spacing w:after="60"/>
              <w:jc w:val="center"/>
            </w:pPr>
            <w:r>
              <w:rPr>
                <w:color w:val="000000"/>
                <w:sz w:val="24"/>
                <w:szCs w:val="24"/>
              </w:rPr>
              <w:t>0.78</w:t>
            </w:r>
          </w:p>
        </w:tc>
      </w:tr>
      <w:tr w:rsidR="004207D6" w14:paraId="779ADD7B" w14:textId="77777777">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70" w14:textId="77777777" w:rsidR="004207D6" w:rsidRDefault="008E15B6">
            <w:pPr>
              <w:spacing w:after="60"/>
              <w:jc w:val="center"/>
            </w:pPr>
            <w:r>
              <w:rPr>
                <w:color w:val="000000"/>
                <w:sz w:val="24"/>
                <w:szCs w:val="24"/>
              </w:rPr>
              <w:t>Next</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71" w14:textId="77777777" w:rsidR="004207D6" w:rsidRDefault="008E15B6">
            <w:pPr>
              <w:spacing w:after="60"/>
              <w:jc w:val="center"/>
            </w:pPr>
            <w:r>
              <w:rPr>
                <w:color w:val="000000"/>
                <w:sz w:val="24"/>
                <w:szCs w:val="24"/>
              </w:rPr>
              <w:t>2020</w:t>
            </w:r>
          </w:p>
        </w:tc>
        <w:tc>
          <w:tcPr>
            <w:tcW w:w="600" w:type="dxa"/>
            <w:tcBorders>
              <w:top w:val="single" w:sz="4" w:space="0" w:color="999999"/>
              <w:left w:val="single" w:sz="4" w:space="0" w:color="999999"/>
              <w:bottom w:val="single" w:sz="4" w:space="0" w:color="999999"/>
              <w:right w:val="single" w:sz="4" w:space="0" w:color="999999"/>
            </w:tcBorders>
            <w:shd w:val="clear" w:color="auto" w:fill="F2F2F2"/>
          </w:tcPr>
          <w:p w14:paraId="779ADD72" w14:textId="77777777" w:rsidR="004207D6" w:rsidRDefault="008E15B6">
            <w:pPr>
              <w:spacing w:after="60"/>
              <w:jc w:val="center"/>
            </w:pPr>
            <w:r>
              <w:rPr>
                <w:color w:val="000000"/>
                <w:sz w:val="24"/>
                <w:szCs w:val="24"/>
              </w:rPr>
              <w:t>9</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73" w14:textId="77777777" w:rsidR="004207D6" w:rsidRDefault="008E15B6">
            <w:pPr>
              <w:spacing w:after="60"/>
              <w:jc w:val="center"/>
            </w:pPr>
            <w:r>
              <w:rPr>
                <w:color w:val="000000"/>
                <w:sz w:val="24"/>
                <w:szCs w:val="24"/>
              </w:rPr>
              <w:t>44.4</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74" w14:textId="77777777" w:rsidR="004207D6" w:rsidRDefault="008E15B6">
            <w:pPr>
              <w:spacing w:after="60"/>
              <w:jc w:val="center"/>
            </w:pPr>
            <w:r>
              <w:rPr>
                <w:color w:val="000000"/>
                <w:sz w:val="24"/>
                <w:szCs w:val="24"/>
              </w:rPr>
              <w:t>77.8</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75"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76" w14:textId="77777777" w:rsidR="004207D6" w:rsidRDefault="008E15B6">
            <w:pPr>
              <w:spacing w:after="60"/>
              <w:jc w:val="center"/>
            </w:pPr>
            <w:r>
              <w:rPr>
                <w:color w:val="000000"/>
                <w:sz w:val="24"/>
                <w:szCs w:val="24"/>
              </w:rPr>
              <w:t>66.7</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77" w14:textId="77777777" w:rsidR="004207D6" w:rsidRDefault="008E15B6">
            <w:pPr>
              <w:spacing w:after="60"/>
              <w:jc w:val="center"/>
            </w:pPr>
            <w:r>
              <w:rPr>
                <w:color w:val="000000"/>
                <w:sz w:val="24"/>
                <w:szCs w:val="24"/>
              </w:rPr>
              <w:t>12.8</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78" w14:textId="77777777" w:rsidR="004207D6" w:rsidRDefault="008E15B6">
            <w:pPr>
              <w:spacing w:after="60"/>
              <w:jc w:val="center"/>
            </w:pPr>
            <w:r>
              <w:rPr>
                <w:color w:val="000000"/>
                <w:sz w:val="24"/>
                <w:szCs w:val="24"/>
              </w:rPr>
              <w:t>52.1</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79" w14:textId="77777777" w:rsidR="004207D6" w:rsidRDefault="008E15B6">
            <w:pPr>
              <w:spacing w:after="60"/>
              <w:jc w:val="center"/>
            </w:pPr>
            <w:r>
              <w:rPr>
                <w:color w:val="000000"/>
                <w:sz w:val="24"/>
                <w:szCs w:val="24"/>
              </w:rPr>
              <w:t>9.35</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7A" w14:textId="77777777" w:rsidR="004207D6" w:rsidRDefault="008E15B6">
            <w:pPr>
              <w:spacing w:after="60"/>
              <w:jc w:val="center"/>
            </w:pPr>
            <w:r>
              <w:rPr>
                <w:color w:val="000000"/>
                <w:sz w:val="24"/>
                <w:szCs w:val="24"/>
              </w:rPr>
              <w:t>0.80</w:t>
            </w:r>
          </w:p>
        </w:tc>
      </w:tr>
      <w:tr w:rsidR="004207D6" w14:paraId="779ADD87" w14:textId="77777777">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7C" w14:textId="77777777" w:rsidR="004207D6" w:rsidRDefault="008E15B6">
            <w:pPr>
              <w:spacing w:after="60"/>
              <w:jc w:val="center"/>
            </w:pPr>
            <w:r>
              <w:rPr>
                <w:color w:val="000000"/>
                <w:sz w:val="24"/>
                <w:szCs w:val="24"/>
              </w:rPr>
              <w:t>Next</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7D" w14:textId="77777777" w:rsidR="004207D6" w:rsidRDefault="008E15B6">
            <w:pPr>
              <w:spacing w:after="60"/>
              <w:jc w:val="center"/>
            </w:pPr>
            <w:r>
              <w:rPr>
                <w:color w:val="000000"/>
                <w:sz w:val="24"/>
                <w:szCs w:val="24"/>
              </w:rPr>
              <w:t>2021</w:t>
            </w:r>
          </w:p>
        </w:tc>
        <w:tc>
          <w:tcPr>
            <w:tcW w:w="600" w:type="dxa"/>
            <w:tcBorders>
              <w:top w:val="single" w:sz="4" w:space="0" w:color="999999"/>
              <w:left w:val="single" w:sz="4" w:space="0" w:color="999999"/>
              <w:bottom w:val="single" w:sz="4" w:space="0" w:color="999999"/>
              <w:right w:val="single" w:sz="4" w:space="0" w:color="999999"/>
            </w:tcBorders>
            <w:shd w:val="clear" w:color="auto" w:fill="FFFFFF"/>
          </w:tcPr>
          <w:p w14:paraId="779ADD7E" w14:textId="77777777" w:rsidR="004207D6" w:rsidRDefault="008E15B6">
            <w:pPr>
              <w:spacing w:after="60"/>
              <w:jc w:val="center"/>
            </w:pPr>
            <w:r>
              <w:rPr>
                <w:color w:val="000000"/>
                <w:sz w:val="24"/>
                <w:szCs w:val="24"/>
              </w:rPr>
              <w:t>9</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7F" w14:textId="77777777" w:rsidR="004207D6" w:rsidRDefault="008E15B6">
            <w:pPr>
              <w:spacing w:after="60"/>
              <w:jc w:val="center"/>
            </w:pPr>
            <w:r>
              <w:rPr>
                <w:color w:val="000000"/>
                <w:sz w:val="24"/>
                <w:szCs w:val="24"/>
              </w:rPr>
              <w:t>44.4</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80" w14:textId="77777777" w:rsidR="004207D6" w:rsidRDefault="008E15B6">
            <w:pPr>
              <w:spacing w:after="60"/>
              <w:jc w:val="center"/>
            </w:pPr>
            <w:r>
              <w:rPr>
                <w:color w:val="000000"/>
                <w:sz w:val="24"/>
                <w:szCs w:val="24"/>
              </w:rPr>
              <w:t>77.8</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81"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82" w14:textId="77777777" w:rsidR="004207D6" w:rsidRDefault="008E15B6">
            <w:pPr>
              <w:spacing w:after="60"/>
              <w:jc w:val="center"/>
            </w:pPr>
            <w:r>
              <w:rPr>
                <w:color w:val="000000"/>
                <w:sz w:val="24"/>
                <w:szCs w:val="24"/>
              </w:rPr>
              <w:t>66.7</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83" w14:textId="77777777" w:rsidR="004207D6" w:rsidRDefault="008E15B6">
            <w:pPr>
              <w:spacing w:after="60"/>
              <w:jc w:val="center"/>
            </w:pPr>
            <w:r>
              <w:rPr>
                <w:color w:val="000000"/>
                <w:sz w:val="24"/>
                <w:szCs w:val="24"/>
              </w:rPr>
              <w:t>8.4</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84" w14:textId="77777777" w:rsidR="004207D6" w:rsidRDefault="008E15B6">
            <w:pPr>
              <w:spacing w:after="60"/>
              <w:jc w:val="center"/>
            </w:pPr>
            <w:r>
              <w:rPr>
                <w:color w:val="000000"/>
                <w:sz w:val="24"/>
                <w:szCs w:val="24"/>
              </w:rPr>
              <w:t>34.2</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85" w14:textId="77777777" w:rsidR="004207D6" w:rsidRDefault="008E15B6">
            <w:pPr>
              <w:spacing w:after="60"/>
              <w:jc w:val="center"/>
            </w:pPr>
            <w:r>
              <w:rPr>
                <w:color w:val="000000"/>
                <w:sz w:val="24"/>
                <w:szCs w:val="24"/>
              </w:rPr>
              <w:t>9.36</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86" w14:textId="77777777" w:rsidR="004207D6" w:rsidRDefault="008E15B6">
            <w:pPr>
              <w:spacing w:after="60"/>
              <w:jc w:val="center"/>
            </w:pPr>
            <w:r>
              <w:rPr>
                <w:color w:val="000000"/>
                <w:sz w:val="24"/>
                <w:szCs w:val="24"/>
              </w:rPr>
              <w:t>0.81</w:t>
            </w:r>
          </w:p>
        </w:tc>
      </w:tr>
      <w:tr w:rsidR="004207D6" w14:paraId="779ADD93" w14:textId="77777777">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88" w14:textId="77777777" w:rsidR="004207D6" w:rsidRDefault="008E15B6">
            <w:pPr>
              <w:spacing w:after="60"/>
              <w:jc w:val="center"/>
            </w:pPr>
            <w:r>
              <w:rPr>
                <w:color w:val="000000"/>
                <w:sz w:val="24"/>
                <w:szCs w:val="24"/>
              </w:rPr>
              <w:t>Next</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89" w14:textId="77777777" w:rsidR="004207D6" w:rsidRDefault="008E15B6">
            <w:pPr>
              <w:spacing w:after="60"/>
              <w:jc w:val="center"/>
            </w:pPr>
            <w:r>
              <w:rPr>
                <w:color w:val="000000"/>
                <w:sz w:val="24"/>
                <w:szCs w:val="24"/>
              </w:rPr>
              <w:t>2022</w:t>
            </w:r>
          </w:p>
        </w:tc>
        <w:tc>
          <w:tcPr>
            <w:tcW w:w="600" w:type="dxa"/>
            <w:tcBorders>
              <w:top w:val="single" w:sz="4" w:space="0" w:color="999999"/>
              <w:left w:val="single" w:sz="4" w:space="0" w:color="999999"/>
              <w:bottom w:val="single" w:sz="4" w:space="0" w:color="999999"/>
              <w:right w:val="single" w:sz="4" w:space="0" w:color="999999"/>
            </w:tcBorders>
            <w:shd w:val="clear" w:color="auto" w:fill="F2F2F2"/>
          </w:tcPr>
          <w:p w14:paraId="779ADD8A" w14:textId="77777777" w:rsidR="004207D6" w:rsidRDefault="008E15B6">
            <w:pPr>
              <w:spacing w:after="60"/>
              <w:jc w:val="center"/>
            </w:pPr>
            <w:r>
              <w:rPr>
                <w:color w:val="000000"/>
                <w:sz w:val="24"/>
                <w:szCs w:val="24"/>
              </w:rPr>
              <w:t>9</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8B" w14:textId="77777777" w:rsidR="004207D6" w:rsidRDefault="008E15B6">
            <w:pPr>
              <w:spacing w:after="60"/>
              <w:jc w:val="center"/>
            </w:pPr>
            <w:r>
              <w:rPr>
                <w:color w:val="000000"/>
                <w:sz w:val="24"/>
                <w:szCs w:val="24"/>
              </w:rPr>
              <w:t>44.4</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8C" w14:textId="77777777" w:rsidR="004207D6" w:rsidRDefault="008E15B6">
            <w:pPr>
              <w:spacing w:after="60"/>
              <w:jc w:val="center"/>
            </w:pPr>
            <w:r>
              <w:rPr>
                <w:color w:val="000000"/>
                <w:sz w:val="24"/>
                <w:szCs w:val="24"/>
              </w:rPr>
              <w:t>77.8</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8D"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8E" w14:textId="77777777" w:rsidR="004207D6" w:rsidRDefault="008E15B6">
            <w:pPr>
              <w:spacing w:after="60"/>
              <w:jc w:val="center"/>
            </w:pPr>
            <w:r>
              <w:rPr>
                <w:color w:val="000000"/>
                <w:sz w:val="24"/>
                <w:szCs w:val="24"/>
              </w:rPr>
              <w:t>66.7</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8F" w14:textId="77777777" w:rsidR="004207D6" w:rsidRDefault="008E15B6">
            <w:pPr>
              <w:spacing w:after="60"/>
              <w:jc w:val="center"/>
            </w:pPr>
            <w:r>
              <w:rPr>
                <w:color w:val="000000"/>
                <w:sz w:val="24"/>
                <w:szCs w:val="24"/>
              </w:rPr>
              <w:t>13.6</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90" w14:textId="77777777" w:rsidR="004207D6" w:rsidRDefault="008E15B6">
            <w:pPr>
              <w:spacing w:after="60"/>
              <w:jc w:val="center"/>
            </w:pPr>
            <w:r>
              <w:rPr>
                <w:color w:val="000000"/>
                <w:sz w:val="24"/>
                <w:szCs w:val="24"/>
              </w:rPr>
              <w:t>55.4</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91" w14:textId="77777777" w:rsidR="004207D6" w:rsidRDefault="008E15B6">
            <w:pPr>
              <w:spacing w:after="60"/>
              <w:jc w:val="center"/>
            </w:pPr>
            <w:r>
              <w:rPr>
                <w:color w:val="000000"/>
                <w:sz w:val="24"/>
                <w:szCs w:val="24"/>
              </w:rPr>
              <w:t>9.38</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92" w14:textId="77777777" w:rsidR="004207D6" w:rsidRDefault="008E15B6">
            <w:pPr>
              <w:spacing w:after="60"/>
              <w:jc w:val="center"/>
            </w:pPr>
            <w:r>
              <w:rPr>
                <w:color w:val="000000"/>
                <w:sz w:val="24"/>
                <w:szCs w:val="24"/>
              </w:rPr>
              <w:t>0.79</w:t>
            </w:r>
          </w:p>
        </w:tc>
      </w:tr>
      <w:tr w:rsidR="004207D6" w14:paraId="779ADD9F" w14:textId="77777777">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94" w14:textId="77777777" w:rsidR="004207D6" w:rsidRDefault="008E15B6">
            <w:pPr>
              <w:spacing w:after="60"/>
              <w:jc w:val="center"/>
            </w:pPr>
            <w:r>
              <w:rPr>
                <w:color w:val="000000"/>
                <w:sz w:val="24"/>
                <w:szCs w:val="24"/>
              </w:rPr>
              <w:t>Next</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95" w14:textId="77777777" w:rsidR="004207D6" w:rsidRDefault="008E15B6">
            <w:pPr>
              <w:spacing w:after="60"/>
              <w:jc w:val="center"/>
            </w:pPr>
            <w:r>
              <w:rPr>
                <w:color w:val="000000"/>
                <w:sz w:val="24"/>
                <w:szCs w:val="24"/>
              </w:rPr>
              <w:t>2023</w:t>
            </w:r>
          </w:p>
        </w:tc>
        <w:tc>
          <w:tcPr>
            <w:tcW w:w="600" w:type="dxa"/>
            <w:tcBorders>
              <w:top w:val="single" w:sz="4" w:space="0" w:color="999999"/>
              <w:left w:val="single" w:sz="4" w:space="0" w:color="999999"/>
              <w:bottom w:val="single" w:sz="4" w:space="0" w:color="999999"/>
              <w:right w:val="single" w:sz="4" w:space="0" w:color="999999"/>
            </w:tcBorders>
            <w:shd w:val="clear" w:color="auto" w:fill="FFFFFF"/>
          </w:tcPr>
          <w:p w14:paraId="779ADD96" w14:textId="77777777" w:rsidR="004207D6" w:rsidRDefault="008E15B6">
            <w:pPr>
              <w:spacing w:after="60"/>
              <w:jc w:val="center"/>
            </w:pPr>
            <w:r>
              <w:rPr>
                <w:color w:val="000000"/>
                <w:sz w:val="24"/>
                <w:szCs w:val="24"/>
              </w:rPr>
              <w:t>8</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97" w14:textId="77777777" w:rsidR="004207D6" w:rsidRDefault="008E15B6">
            <w:pPr>
              <w:spacing w:after="60"/>
              <w:jc w:val="center"/>
            </w:pPr>
            <w:r>
              <w:rPr>
                <w:color w:val="000000"/>
                <w:sz w:val="24"/>
                <w:szCs w:val="24"/>
              </w:rPr>
              <w:t>50.0</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98" w14:textId="77777777" w:rsidR="004207D6" w:rsidRDefault="008E15B6">
            <w:pPr>
              <w:spacing w:after="60"/>
              <w:jc w:val="center"/>
            </w:pPr>
            <w:r>
              <w:rPr>
                <w:color w:val="000000"/>
                <w:sz w:val="24"/>
                <w:szCs w:val="24"/>
              </w:rPr>
              <w:t>75.0</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99"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9A" w14:textId="77777777" w:rsidR="004207D6" w:rsidRDefault="008E15B6">
            <w:pPr>
              <w:spacing w:after="60"/>
              <w:jc w:val="center"/>
            </w:pPr>
            <w:r>
              <w:rPr>
                <w:color w:val="000000"/>
                <w:sz w:val="24"/>
                <w:szCs w:val="24"/>
              </w:rPr>
              <w:t>62.5</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9B" w14:textId="77777777" w:rsidR="004207D6" w:rsidRDefault="008E15B6">
            <w:pPr>
              <w:spacing w:after="60"/>
              <w:jc w:val="center"/>
            </w:pPr>
            <w:r>
              <w:rPr>
                <w:color w:val="000000"/>
                <w:sz w:val="24"/>
                <w:szCs w:val="24"/>
              </w:rPr>
              <w:t>15.1</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9C" w14:textId="77777777" w:rsidR="004207D6" w:rsidRDefault="008E15B6">
            <w:pPr>
              <w:spacing w:after="60"/>
              <w:jc w:val="center"/>
            </w:pPr>
            <w:r>
              <w:rPr>
                <w:color w:val="000000"/>
                <w:sz w:val="24"/>
                <w:szCs w:val="24"/>
              </w:rPr>
              <w:t>61.8</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9D" w14:textId="77777777" w:rsidR="004207D6" w:rsidRDefault="008E15B6">
            <w:pPr>
              <w:spacing w:after="60"/>
              <w:jc w:val="center"/>
            </w:pPr>
            <w:r>
              <w:rPr>
                <w:color w:val="000000"/>
                <w:sz w:val="24"/>
                <w:szCs w:val="24"/>
              </w:rPr>
              <w:t>9.40</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9E" w14:textId="77777777" w:rsidR="004207D6" w:rsidRDefault="008E15B6">
            <w:pPr>
              <w:spacing w:after="60"/>
              <w:jc w:val="center"/>
            </w:pPr>
            <w:r>
              <w:rPr>
                <w:color w:val="000000"/>
                <w:sz w:val="24"/>
                <w:szCs w:val="24"/>
              </w:rPr>
              <w:t>0.77</w:t>
            </w:r>
          </w:p>
        </w:tc>
      </w:tr>
      <w:tr w:rsidR="004207D6" w14:paraId="779ADDAB" w14:textId="77777777">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A0" w14:textId="77777777" w:rsidR="004207D6" w:rsidRDefault="008E15B6">
            <w:pPr>
              <w:spacing w:after="60"/>
              <w:jc w:val="center"/>
            </w:pPr>
            <w:r>
              <w:rPr>
                <w:color w:val="000000"/>
                <w:sz w:val="24"/>
                <w:szCs w:val="24"/>
              </w:rPr>
              <w:t>Dunelm</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A1" w14:textId="77777777" w:rsidR="004207D6" w:rsidRDefault="008E15B6">
            <w:pPr>
              <w:spacing w:after="60"/>
              <w:jc w:val="center"/>
            </w:pPr>
            <w:r>
              <w:rPr>
                <w:color w:val="000000"/>
                <w:sz w:val="24"/>
                <w:szCs w:val="24"/>
              </w:rPr>
              <w:t>2019</w:t>
            </w:r>
          </w:p>
        </w:tc>
        <w:tc>
          <w:tcPr>
            <w:tcW w:w="600" w:type="dxa"/>
            <w:tcBorders>
              <w:top w:val="single" w:sz="4" w:space="0" w:color="999999"/>
              <w:left w:val="single" w:sz="4" w:space="0" w:color="999999"/>
              <w:bottom w:val="single" w:sz="4" w:space="0" w:color="999999"/>
              <w:right w:val="single" w:sz="4" w:space="0" w:color="999999"/>
            </w:tcBorders>
            <w:shd w:val="clear" w:color="auto" w:fill="F2F2F2"/>
          </w:tcPr>
          <w:p w14:paraId="779ADDA2" w14:textId="77777777" w:rsidR="004207D6" w:rsidRDefault="008E15B6">
            <w:pPr>
              <w:spacing w:after="60"/>
              <w:jc w:val="center"/>
            </w:pPr>
            <w:r>
              <w:rPr>
                <w:color w:val="000000"/>
                <w:sz w:val="24"/>
                <w:szCs w:val="24"/>
              </w:rPr>
              <w:t>8</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A3" w14:textId="77777777" w:rsidR="004207D6" w:rsidRDefault="008E15B6">
            <w:pPr>
              <w:spacing w:after="60"/>
              <w:jc w:val="center"/>
            </w:pPr>
            <w:r>
              <w:rPr>
                <w:color w:val="000000"/>
                <w:sz w:val="24"/>
                <w:szCs w:val="24"/>
              </w:rPr>
              <w:t>37.5</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A4" w14:textId="77777777" w:rsidR="004207D6" w:rsidRDefault="008E15B6">
            <w:pPr>
              <w:spacing w:after="60"/>
              <w:jc w:val="center"/>
            </w:pPr>
            <w:r>
              <w:rPr>
                <w:color w:val="000000"/>
                <w:sz w:val="24"/>
                <w:szCs w:val="24"/>
              </w:rPr>
              <w:t>62.5</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A5"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A6" w14:textId="77777777" w:rsidR="004207D6" w:rsidRDefault="008E15B6">
            <w:pPr>
              <w:spacing w:after="60"/>
              <w:jc w:val="center"/>
            </w:pPr>
            <w:r>
              <w:rPr>
                <w:color w:val="000000"/>
                <w:sz w:val="24"/>
                <w:szCs w:val="24"/>
              </w:rPr>
              <w:t>62.5</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A7" w14:textId="77777777" w:rsidR="004207D6" w:rsidRDefault="008E15B6">
            <w:pPr>
              <w:spacing w:after="60"/>
              <w:jc w:val="center"/>
            </w:pPr>
            <w:r>
              <w:rPr>
                <w:color w:val="000000"/>
                <w:sz w:val="24"/>
                <w:szCs w:val="24"/>
              </w:rPr>
              <w:t>10.3</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A8" w14:textId="77777777" w:rsidR="004207D6" w:rsidRDefault="008E15B6">
            <w:pPr>
              <w:spacing w:after="60"/>
              <w:jc w:val="center"/>
            </w:pPr>
            <w:r>
              <w:rPr>
                <w:color w:val="000000"/>
                <w:sz w:val="24"/>
                <w:szCs w:val="24"/>
              </w:rPr>
              <w:t>28.7</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A9" w14:textId="77777777" w:rsidR="004207D6" w:rsidRDefault="008E15B6">
            <w:pPr>
              <w:spacing w:after="60"/>
              <w:jc w:val="center"/>
            </w:pPr>
            <w:r>
              <w:rPr>
                <w:color w:val="000000"/>
                <w:sz w:val="24"/>
                <w:szCs w:val="24"/>
              </w:rPr>
              <w:t>8.73</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AA" w14:textId="77777777" w:rsidR="004207D6" w:rsidRDefault="008E15B6">
            <w:pPr>
              <w:spacing w:after="60"/>
              <w:jc w:val="center"/>
            </w:pPr>
            <w:r>
              <w:rPr>
                <w:color w:val="000000"/>
                <w:sz w:val="24"/>
                <w:szCs w:val="24"/>
              </w:rPr>
              <w:t>0.42</w:t>
            </w:r>
          </w:p>
        </w:tc>
      </w:tr>
      <w:tr w:rsidR="004207D6" w14:paraId="779ADDB7" w14:textId="77777777">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AC" w14:textId="77777777" w:rsidR="004207D6" w:rsidRDefault="008E15B6">
            <w:pPr>
              <w:spacing w:after="60"/>
              <w:jc w:val="center"/>
            </w:pPr>
            <w:r>
              <w:rPr>
                <w:color w:val="000000"/>
                <w:sz w:val="24"/>
                <w:szCs w:val="24"/>
              </w:rPr>
              <w:t>Dunelm</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AD" w14:textId="77777777" w:rsidR="004207D6" w:rsidRDefault="008E15B6">
            <w:pPr>
              <w:spacing w:after="60"/>
              <w:jc w:val="center"/>
            </w:pPr>
            <w:r>
              <w:rPr>
                <w:color w:val="000000"/>
                <w:sz w:val="24"/>
                <w:szCs w:val="24"/>
              </w:rPr>
              <w:t>2020</w:t>
            </w:r>
          </w:p>
        </w:tc>
        <w:tc>
          <w:tcPr>
            <w:tcW w:w="600" w:type="dxa"/>
            <w:tcBorders>
              <w:top w:val="single" w:sz="4" w:space="0" w:color="999999"/>
              <w:left w:val="single" w:sz="4" w:space="0" w:color="999999"/>
              <w:bottom w:val="single" w:sz="4" w:space="0" w:color="999999"/>
              <w:right w:val="single" w:sz="4" w:space="0" w:color="999999"/>
            </w:tcBorders>
            <w:shd w:val="clear" w:color="auto" w:fill="FFFFFF"/>
          </w:tcPr>
          <w:p w14:paraId="779ADDAE" w14:textId="77777777" w:rsidR="004207D6" w:rsidRDefault="008E15B6">
            <w:pPr>
              <w:spacing w:after="60"/>
              <w:jc w:val="center"/>
            </w:pPr>
            <w:r>
              <w:rPr>
                <w:color w:val="000000"/>
                <w:sz w:val="24"/>
                <w:szCs w:val="24"/>
              </w:rPr>
              <w:t>8</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AF" w14:textId="77777777" w:rsidR="004207D6" w:rsidRDefault="008E15B6">
            <w:pPr>
              <w:spacing w:after="60"/>
              <w:jc w:val="center"/>
            </w:pPr>
            <w:r>
              <w:rPr>
                <w:color w:val="000000"/>
                <w:sz w:val="24"/>
                <w:szCs w:val="24"/>
              </w:rPr>
              <w:t>37.5</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B0" w14:textId="77777777" w:rsidR="004207D6" w:rsidRDefault="008E15B6">
            <w:pPr>
              <w:spacing w:after="60"/>
              <w:jc w:val="center"/>
            </w:pPr>
            <w:r>
              <w:rPr>
                <w:color w:val="000000"/>
                <w:sz w:val="24"/>
                <w:szCs w:val="24"/>
              </w:rPr>
              <w:t>62.5</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B1"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B2" w14:textId="77777777" w:rsidR="004207D6" w:rsidRDefault="008E15B6">
            <w:pPr>
              <w:spacing w:after="60"/>
              <w:jc w:val="center"/>
            </w:pPr>
            <w:r>
              <w:rPr>
                <w:color w:val="000000"/>
                <w:sz w:val="24"/>
                <w:szCs w:val="24"/>
              </w:rPr>
              <w:t>62.5</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B3" w14:textId="77777777" w:rsidR="004207D6" w:rsidRDefault="008E15B6">
            <w:pPr>
              <w:spacing w:after="60"/>
              <w:jc w:val="center"/>
            </w:pPr>
            <w:r>
              <w:rPr>
                <w:color w:val="000000"/>
                <w:sz w:val="24"/>
                <w:szCs w:val="24"/>
              </w:rPr>
              <w:t>8.6</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B4" w14:textId="77777777" w:rsidR="004207D6" w:rsidRDefault="008E15B6">
            <w:pPr>
              <w:spacing w:after="60"/>
              <w:jc w:val="center"/>
            </w:pPr>
            <w:r>
              <w:rPr>
                <w:color w:val="000000"/>
                <w:sz w:val="24"/>
                <w:szCs w:val="24"/>
              </w:rPr>
              <w:t>23.9</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B5" w14:textId="77777777" w:rsidR="004207D6" w:rsidRDefault="008E15B6">
            <w:pPr>
              <w:spacing w:after="60"/>
              <w:jc w:val="center"/>
            </w:pPr>
            <w:r>
              <w:rPr>
                <w:color w:val="000000"/>
                <w:sz w:val="24"/>
                <w:szCs w:val="24"/>
              </w:rPr>
              <w:t>8.71</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B6" w14:textId="77777777" w:rsidR="004207D6" w:rsidRDefault="008E15B6">
            <w:pPr>
              <w:spacing w:after="60"/>
              <w:jc w:val="center"/>
            </w:pPr>
            <w:r>
              <w:rPr>
                <w:color w:val="000000"/>
                <w:sz w:val="24"/>
                <w:szCs w:val="24"/>
              </w:rPr>
              <w:t>0.44</w:t>
            </w:r>
          </w:p>
        </w:tc>
      </w:tr>
      <w:tr w:rsidR="004207D6" w14:paraId="779ADDC3" w14:textId="77777777">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B8" w14:textId="77777777" w:rsidR="004207D6" w:rsidRDefault="008E15B6">
            <w:pPr>
              <w:spacing w:after="60"/>
              <w:jc w:val="center"/>
            </w:pPr>
            <w:r>
              <w:rPr>
                <w:color w:val="000000"/>
                <w:sz w:val="24"/>
                <w:szCs w:val="24"/>
              </w:rPr>
              <w:t>Dunelm</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B9" w14:textId="77777777" w:rsidR="004207D6" w:rsidRDefault="008E15B6">
            <w:pPr>
              <w:spacing w:after="60"/>
              <w:jc w:val="center"/>
            </w:pPr>
            <w:r>
              <w:rPr>
                <w:color w:val="000000"/>
                <w:sz w:val="24"/>
                <w:szCs w:val="24"/>
              </w:rPr>
              <w:t>2021</w:t>
            </w:r>
          </w:p>
        </w:tc>
        <w:tc>
          <w:tcPr>
            <w:tcW w:w="600" w:type="dxa"/>
            <w:tcBorders>
              <w:top w:val="single" w:sz="4" w:space="0" w:color="999999"/>
              <w:left w:val="single" w:sz="4" w:space="0" w:color="999999"/>
              <w:bottom w:val="single" w:sz="4" w:space="0" w:color="999999"/>
              <w:right w:val="single" w:sz="4" w:space="0" w:color="999999"/>
            </w:tcBorders>
            <w:shd w:val="clear" w:color="auto" w:fill="F2F2F2"/>
          </w:tcPr>
          <w:p w14:paraId="779ADDBA" w14:textId="77777777" w:rsidR="004207D6" w:rsidRDefault="008E15B6">
            <w:pPr>
              <w:spacing w:after="60"/>
              <w:jc w:val="center"/>
            </w:pPr>
            <w:r>
              <w:rPr>
                <w:color w:val="000000"/>
                <w:sz w:val="24"/>
                <w:szCs w:val="24"/>
              </w:rPr>
              <w:t>8</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BB" w14:textId="77777777" w:rsidR="004207D6" w:rsidRDefault="008E15B6">
            <w:pPr>
              <w:spacing w:after="60"/>
              <w:jc w:val="center"/>
            </w:pPr>
            <w:r>
              <w:rPr>
                <w:color w:val="000000"/>
                <w:sz w:val="24"/>
                <w:szCs w:val="24"/>
              </w:rPr>
              <w:t>37.5</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BC" w14:textId="77777777" w:rsidR="004207D6" w:rsidRDefault="008E15B6">
            <w:pPr>
              <w:spacing w:after="60"/>
              <w:jc w:val="center"/>
            </w:pPr>
            <w:r>
              <w:rPr>
                <w:color w:val="000000"/>
                <w:sz w:val="24"/>
                <w:szCs w:val="24"/>
              </w:rPr>
              <w:t>62.5</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BD"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BE" w14:textId="77777777" w:rsidR="004207D6" w:rsidRDefault="008E15B6">
            <w:pPr>
              <w:spacing w:after="60"/>
              <w:jc w:val="center"/>
            </w:pPr>
            <w:r>
              <w:rPr>
                <w:color w:val="000000"/>
                <w:sz w:val="24"/>
                <w:szCs w:val="24"/>
              </w:rPr>
              <w:t>62.5</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BF" w14:textId="77777777" w:rsidR="004207D6" w:rsidRDefault="008E15B6">
            <w:pPr>
              <w:spacing w:after="60"/>
              <w:jc w:val="center"/>
            </w:pPr>
            <w:r>
              <w:rPr>
                <w:color w:val="000000"/>
                <w:sz w:val="24"/>
                <w:szCs w:val="24"/>
              </w:rPr>
              <w:t>11.8</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C0" w14:textId="77777777" w:rsidR="004207D6" w:rsidRDefault="008E15B6">
            <w:pPr>
              <w:spacing w:after="60"/>
              <w:jc w:val="center"/>
            </w:pPr>
            <w:r>
              <w:rPr>
                <w:color w:val="000000"/>
                <w:sz w:val="24"/>
                <w:szCs w:val="24"/>
              </w:rPr>
              <w:t>32.8</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C1" w14:textId="77777777" w:rsidR="004207D6" w:rsidRDefault="008E15B6">
            <w:pPr>
              <w:spacing w:after="60"/>
              <w:jc w:val="center"/>
            </w:pPr>
            <w:r>
              <w:rPr>
                <w:color w:val="000000"/>
                <w:sz w:val="24"/>
                <w:szCs w:val="24"/>
              </w:rPr>
              <w:t>8.75</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C2" w14:textId="77777777" w:rsidR="004207D6" w:rsidRDefault="008E15B6">
            <w:pPr>
              <w:spacing w:after="60"/>
              <w:jc w:val="center"/>
            </w:pPr>
            <w:r>
              <w:rPr>
                <w:color w:val="000000"/>
                <w:sz w:val="24"/>
                <w:szCs w:val="24"/>
              </w:rPr>
              <w:t>0.41</w:t>
            </w:r>
          </w:p>
        </w:tc>
      </w:tr>
      <w:tr w:rsidR="004207D6" w14:paraId="779ADDCF" w14:textId="77777777">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C4" w14:textId="77777777" w:rsidR="004207D6" w:rsidRDefault="008E15B6">
            <w:pPr>
              <w:spacing w:after="60"/>
              <w:jc w:val="center"/>
            </w:pPr>
            <w:r>
              <w:rPr>
                <w:color w:val="000000"/>
                <w:sz w:val="24"/>
                <w:szCs w:val="24"/>
              </w:rPr>
              <w:t>Dunelm</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C5" w14:textId="77777777" w:rsidR="004207D6" w:rsidRDefault="008E15B6">
            <w:pPr>
              <w:spacing w:after="60"/>
              <w:jc w:val="center"/>
            </w:pPr>
            <w:r>
              <w:rPr>
                <w:color w:val="000000"/>
                <w:sz w:val="24"/>
                <w:szCs w:val="24"/>
              </w:rPr>
              <w:t>2022</w:t>
            </w:r>
          </w:p>
        </w:tc>
        <w:tc>
          <w:tcPr>
            <w:tcW w:w="600" w:type="dxa"/>
            <w:tcBorders>
              <w:top w:val="single" w:sz="4" w:space="0" w:color="999999"/>
              <w:left w:val="single" w:sz="4" w:space="0" w:color="999999"/>
              <w:bottom w:val="single" w:sz="4" w:space="0" w:color="999999"/>
              <w:right w:val="single" w:sz="4" w:space="0" w:color="999999"/>
            </w:tcBorders>
            <w:shd w:val="clear" w:color="auto" w:fill="FFFFFF"/>
          </w:tcPr>
          <w:p w14:paraId="779ADDC6" w14:textId="77777777" w:rsidR="004207D6" w:rsidRDefault="008E15B6">
            <w:pPr>
              <w:spacing w:after="60"/>
              <w:jc w:val="center"/>
            </w:pPr>
            <w:r>
              <w:rPr>
                <w:color w:val="000000"/>
                <w:sz w:val="24"/>
                <w:szCs w:val="24"/>
              </w:rPr>
              <w:t>8</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C7" w14:textId="77777777" w:rsidR="004207D6" w:rsidRDefault="008E15B6">
            <w:pPr>
              <w:spacing w:after="60"/>
              <w:jc w:val="center"/>
            </w:pPr>
            <w:r>
              <w:rPr>
                <w:color w:val="000000"/>
                <w:sz w:val="24"/>
                <w:szCs w:val="24"/>
              </w:rPr>
              <w:t>50.0</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C8" w14:textId="77777777" w:rsidR="004207D6" w:rsidRDefault="008E15B6">
            <w:pPr>
              <w:spacing w:after="60"/>
              <w:jc w:val="center"/>
            </w:pPr>
            <w:r>
              <w:rPr>
                <w:color w:val="000000"/>
                <w:sz w:val="24"/>
                <w:szCs w:val="24"/>
              </w:rPr>
              <w:t>62.5</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C9"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CA" w14:textId="77777777" w:rsidR="004207D6" w:rsidRDefault="008E15B6">
            <w:pPr>
              <w:spacing w:after="60"/>
              <w:jc w:val="center"/>
            </w:pPr>
            <w:r>
              <w:rPr>
                <w:color w:val="000000"/>
                <w:sz w:val="24"/>
                <w:szCs w:val="24"/>
              </w:rPr>
              <w:t>62.5</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CB" w14:textId="77777777" w:rsidR="004207D6" w:rsidRDefault="008E15B6">
            <w:pPr>
              <w:spacing w:after="60"/>
              <w:jc w:val="center"/>
            </w:pPr>
            <w:r>
              <w:rPr>
                <w:color w:val="000000"/>
                <w:sz w:val="24"/>
                <w:szCs w:val="24"/>
              </w:rPr>
              <w:t>13.2</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CC" w14:textId="77777777" w:rsidR="004207D6" w:rsidRDefault="008E15B6">
            <w:pPr>
              <w:spacing w:after="60"/>
              <w:jc w:val="center"/>
            </w:pPr>
            <w:r>
              <w:rPr>
                <w:color w:val="000000"/>
                <w:sz w:val="24"/>
                <w:szCs w:val="24"/>
              </w:rPr>
              <w:t>36.7</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CD" w14:textId="77777777" w:rsidR="004207D6" w:rsidRDefault="008E15B6">
            <w:pPr>
              <w:spacing w:after="60"/>
              <w:jc w:val="center"/>
            </w:pPr>
            <w:r>
              <w:rPr>
                <w:color w:val="000000"/>
                <w:sz w:val="24"/>
                <w:szCs w:val="24"/>
              </w:rPr>
              <w:t>8.77</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CE" w14:textId="77777777" w:rsidR="004207D6" w:rsidRDefault="008E15B6">
            <w:pPr>
              <w:spacing w:after="60"/>
              <w:jc w:val="center"/>
            </w:pPr>
            <w:r>
              <w:rPr>
                <w:color w:val="000000"/>
                <w:sz w:val="24"/>
                <w:szCs w:val="24"/>
              </w:rPr>
              <w:t>0.40</w:t>
            </w:r>
          </w:p>
        </w:tc>
      </w:tr>
      <w:tr w:rsidR="004207D6" w14:paraId="779ADDDB" w14:textId="77777777">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D0" w14:textId="77777777" w:rsidR="004207D6" w:rsidRDefault="008E15B6">
            <w:pPr>
              <w:spacing w:after="60"/>
              <w:jc w:val="center"/>
            </w:pPr>
            <w:r>
              <w:rPr>
                <w:color w:val="000000"/>
                <w:sz w:val="24"/>
                <w:szCs w:val="24"/>
              </w:rPr>
              <w:t>Dunelm</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D1" w14:textId="77777777" w:rsidR="004207D6" w:rsidRDefault="008E15B6">
            <w:pPr>
              <w:spacing w:after="60"/>
              <w:jc w:val="center"/>
            </w:pPr>
            <w:r>
              <w:rPr>
                <w:color w:val="000000"/>
                <w:sz w:val="24"/>
                <w:szCs w:val="24"/>
              </w:rPr>
              <w:t>2023</w:t>
            </w:r>
          </w:p>
        </w:tc>
        <w:tc>
          <w:tcPr>
            <w:tcW w:w="600" w:type="dxa"/>
            <w:tcBorders>
              <w:top w:val="single" w:sz="4" w:space="0" w:color="999999"/>
              <w:left w:val="single" w:sz="4" w:space="0" w:color="999999"/>
              <w:bottom w:val="single" w:sz="4" w:space="0" w:color="999999"/>
              <w:right w:val="single" w:sz="4" w:space="0" w:color="999999"/>
            </w:tcBorders>
            <w:shd w:val="clear" w:color="auto" w:fill="F2F2F2"/>
          </w:tcPr>
          <w:p w14:paraId="779ADDD2" w14:textId="77777777" w:rsidR="004207D6" w:rsidRDefault="008E15B6">
            <w:pPr>
              <w:spacing w:after="60"/>
              <w:jc w:val="center"/>
            </w:pPr>
            <w:r>
              <w:rPr>
                <w:color w:val="000000"/>
                <w:sz w:val="24"/>
                <w:szCs w:val="24"/>
              </w:rPr>
              <w:t>8</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D3" w14:textId="77777777" w:rsidR="004207D6" w:rsidRDefault="008E15B6">
            <w:pPr>
              <w:spacing w:after="60"/>
              <w:jc w:val="center"/>
            </w:pPr>
            <w:r>
              <w:rPr>
                <w:color w:val="000000"/>
                <w:sz w:val="24"/>
                <w:szCs w:val="24"/>
              </w:rPr>
              <w:t>50.0</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D4" w14:textId="77777777" w:rsidR="004207D6" w:rsidRDefault="008E15B6">
            <w:pPr>
              <w:spacing w:after="60"/>
              <w:jc w:val="center"/>
            </w:pPr>
            <w:r>
              <w:rPr>
                <w:color w:val="000000"/>
                <w:sz w:val="24"/>
                <w:szCs w:val="24"/>
              </w:rPr>
              <w:t>75.0</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D5"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D6" w14:textId="77777777" w:rsidR="004207D6" w:rsidRDefault="008E15B6">
            <w:pPr>
              <w:spacing w:after="60"/>
              <w:jc w:val="center"/>
            </w:pPr>
            <w:r>
              <w:rPr>
                <w:color w:val="000000"/>
                <w:sz w:val="24"/>
                <w:szCs w:val="24"/>
              </w:rPr>
              <w:t>62.5</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D7" w14:textId="77777777" w:rsidR="004207D6" w:rsidRDefault="008E15B6">
            <w:pPr>
              <w:spacing w:after="60"/>
              <w:jc w:val="center"/>
            </w:pPr>
            <w:r>
              <w:rPr>
                <w:color w:val="000000"/>
                <w:sz w:val="24"/>
                <w:szCs w:val="24"/>
              </w:rPr>
              <w:t>12.7</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D8" w14:textId="77777777" w:rsidR="004207D6" w:rsidRDefault="008E15B6">
            <w:pPr>
              <w:spacing w:after="60"/>
              <w:jc w:val="center"/>
            </w:pPr>
            <w:r>
              <w:rPr>
                <w:color w:val="000000"/>
                <w:sz w:val="24"/>
                <w:szCs w:val="24"/>
              </w:rPr>
              <w:t>35.3</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D9" w14:textId="77777777" w:rsidR="004207D6" w:rsidRDefault="008E15B6">
            <w:pPr>
              <w:spacing w:after="60"/>
              <w:jc w:val="center"/>
            </w:pPr>
            <w:r>
              <w:rPr>
                <w:color w:val="000000"/>
                <w:sz w:val="24"/>
                <w:szCs w:val="24"/>
              </w:rPr>
              <w:t>8.76</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DA" w14:textId="77777777" w:rsidR="004207D6" w:rsidRDefault="008E15B6">
            <w:pPr>
              <w:spacing w:after="60"/>
              <w:jc w:val="center"/>
            </w:pPr>
            <w:r>
              <w:rPr>
                <w:color w:val="000000"/>
                <w:sz w:val="24"/>
                <w:szCs w:val="24"/>
              </w:rPr>
              <w:t>0.41</w:t>
            </w:r>
          </w:p>
        </w:tc>
      </w:tr>
      <w:tr w:rsidR="004207D6" w14:paraId="779ADDE7" w14:textId="77777777">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DC" w14:textId="77777777" w:rsidR="004207D6" w:rsidRDefault="008E15B6">
            <w:pPr>
              <w:spacing w:after="60"/>
              <w:jc w:val="center"/>
            </w:pPr>
            <w:r>
              <w:rPr>
                <w:color w:val="000000"/>
                <w:sz w:val="24"/>
                <w:szCs w:val="24"/>
              </w:rPr>
              <w:t>B&amp;M</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DD" w14:textId="77777777" w:rsidR="004207D6" w:rsidRDefault="008E15B6">
            <w:pPr>
              <w:spacing w:after="60"/>
              <w:jc w:val="center"/>
            </w:pPr>
            <w:r>
              <w:rPr>
                <w:color w:val="000000"/>
                <w:sz w:val="24"/>
                <w:szCs w:val="24"/>
              </w:rPr>
              <w:t>2019</w:t>
            </w:r>
          </w:p>
        </w:tc>
        <w:tc>
          <w:tcPr>
            <w:tcW w:w="600" w:type="dxa"/>
            <w:tcBorders>
              <w:top w:val="single" w:sz="4" w:space="0" w:color="999999"/>
              <w:left w:val="single" w:sz="4" w:space="0" w:color="999999"/>
              <w:bottom w:val="single" w:sz="4" w:space="0" w:color="999999"/>
              <w:right w:val="single" w:sz="4" w:space="0" w:color="999999"/>
            </w:tcBorders>
            <w:shd w:val="clear" w:color="auto" w:fill="FFFFFF"/>
          </w:tcPr>
          <w:p w14:paraId="779ADDDE" w14:textId="77777777" w:rsidR="004207D6" w:rsidRDefault="008E15B6">
            <w:pPr>
              <w:spacing w:after="60"/>
              <w:jc w:val="center"/>
            </w:pPr>
            <w:r>
              <w:rPr>
                <w:color w:val="000000"/>
                <w:sz w:val="24"/>
                <w:szCs w:val="24"/>
              </w:rPr>
              <w:t>9</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DF" w14:textId="77777777" w:rsidR="004207D6" w:rsidRDefault="008E15B6">
            <w:pPr>
              <w:spacing w:after="60"/>
              <w:jc w:val="center"/>
            </w:pPr>
            <w:r>
              <w:rPr>
                <w:color w:val="000000"/>
                <w:sz w:val="24"/>
                <w:szCs w:val="24"/>
              </w:rPr>
              <w:t>22.2</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E0" w14:textId="77777777" w:rsidR="004207D6" w:rsidRDefault="008E15B6">
            <w:pPr>
              <w:spacing w:after="60"/>
              <w:jc w:val="center"/>
            </w:pPr>
            <w:r>
              <w:rPr>
                <w:color w:val="000000"/>
                <w:sz w:val="24"/>
                <w:szCs w:val="24"/>
              </w:rPr>
              <w:t>55.6</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E1"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E2" w14:textId="77777777" w:rsidR="004207D6" w:rsidRDefault="008E15B6">
            <w:pPr>
              <w:spacing w:after="60"/>
              <w:jc w:val="center"/>
            </w:pPr>
            <w:r>
              <w:rPr>
                <w:color w:val="000000"/>
                <w:sz w:val="24"/>
                <w:szCs w:val="24"/>
              </w:rPr>
              <w:t>66.7</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E3" w14:textId="77777777" w:rsidR="004207D6" w:rsidRDefault="008E15B6">
            <w:pPr>
              <w:spacing w:after="60"/>
              <w:jc w:val="center"/>
            </w:pPr>
            <w:r>
              <w:rPr>
                <w:color w:val="000000"/>
                <w:sz w:val="24"/>
                <w:szCs w:val="24"/>
              </w:rPr>
              <w:t>8.4</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E4" w14:textId="77777777" w:rsidR="004207D6" w:rsidRDefault="008E15B6">
            <w:pPr>
              <w:spacing w:after="60"/>
              <w:jc w:val="center"/>
            </w:pPr>
            <w:r>
              <w:rPr>
                <w:color w:val="000000"/>
                <w:sz w:val="24"/>
                <w:szCs w:val="24"/>
              </w:rPr>
              <w:t>22.3</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E5" w14:textId="77777777" w:rsidR="004207D6" w:rsidRDefault="008E15B6">
            <w:pPr>
              <w:spacing w:after="60"/>
              <w:jc w:val="center"/>
            </w:pPr>
            <w:r>
              <w:rPr>
                <w:color w:val="000000"/>
                <w:sz w:val="24"/>
                <w:szCs w:val="24"/>
              </w:rPr>
              <w:t>9.32</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E6" w14:textId="77777777" w:rsidR="004207D6" w:rsidRDefault="008E15B6">
            <w:pPr>
              <w:spacing w:after="60"/>
              <w:jc w:val="center"/>
            </w:pPr>
            <w:r>
              <w:rPr>
                <w:color w:val="000000"/>
                <w:sz w:val="24"/>
                <w:szCs w:val="24"/>
              </w:rPr>
              <w:t>0.58</w:t>
            </w:r>
          </w:p>
        </w:tc>
      </w:tr>
      <w:tr w:rsidR="004207D6" w14:paraId="779ADDF3" w14:textId="77777777">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E8" w14:textId="77777777" w:rsidR="004207D6" w:rsidRDefault="008E15B6">
            <w:pPr>
              <w:spacing w:after="60"/>
              <w:jc w:val="center"/>
            </w:pPr>
            <w:r>
              <w:rPr>
                <w:color w:val="000000"/>
                <w:sz w:val="24"/>
                <w:szCs w:val="24"/>
              </w:rPr>
              <w:t>B&amp;M</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E9" w14:textId="77777777" w:rsidR="004207D6" w:rsidRDefault="008E15B6">
            <w:pPr>
              <w:spacing w:after="60"/>
              <w:jc w:val="center"/>
            </w:pPr>
            <w:r>
              <w:rPr>
                <w:color w:val="000000"/>
                <w:sz w:val="24"/>
                <w:szCs w:val="24"/>
              </w:rPr>
              <w:t>2020</w:t>
            </w:r>
          </w:p>
        </w:tc>
        <w:tc>
          <w:tcPr>
            <w:tcW w:w="600" w:type="dxa"/>
            <w:tcBorders>
              <w:top w:val="single" w:sz="4" w:space="0" w:color="999999"/>
              <w:left w:val="single" w:sz="4" w:space="0" w:color="999999"/>
              <w:bottom w:val="single" w:sz="4" w:space="0" w:color="999999"/>
              <w:right w:val="single" w:sz="4" w:space="0" w:color="999999"/>
            </w:tcBorders>
            <w:shd w:val="clear" w:color="auto" w:fill="F2F2F2"/>
          </w:tcPr>
          <w:p w14:paraId="779ADDEA" w14:textId="77777777" w:rsidR="004207D6" w:rsidRDefault="008E15B6">
            <w:pPr>
              <w:spacing w:after="60"/>
              <w:jc w:val="center"/>
            </w:pPr>
            <w:r>
              <w:rPr>
                <w:color w:val="000000"/>
                <w:sz w:val="24"/>
                <w:szCs w:val="24"/>
              </w:rPr>
              <w:t>9</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EB" w14:textId="77777777" w:rsidR="004207D6" w:rsidRDefault="008E15B6">
            <w:pPr>
              <w:spacing w:after="60"/>
              <w:jc w:val="center"/>
            </w:pPr>
            <w:r>
              <w:rPr>
                <w:color w:val="000000"/>
                <w:sz w:val="24"/>
                <w:szCs w:val="24"/>
              </w:rPr>
              <w:t>22.2</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DEC" w14:textId="77777777" w:rsidR="004207D6" w:rsidRDefault="008E15B6">
            <w:pPr>
              <w:spacing w:after="60"/>
              <w:jc w:val="center"/>
            </w:pPr>
            <w:r>
              <w:rPr>
                <w:color w:val="000000"/>
                <w:sz w:val="24"/>
                <w:szCs w:val="24"/>
              </w:rPr>
              <w:t>55.6</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ED"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EE" w14:textId="77777777" w:rsidR="004207D6" w:rsidRDefault="008E15B6">
            <w:pPr>
              <w:spacing w:after="60"/>
              <w:jc w:val="center"/>
            </w:pPr>
            <w:r>
              <w:rPr>
                <w:color w:val="000000"/>
                <w:sz w:val="24"/>
                <w:szCs w:val="24"/>
              </w:rPr>
              <w:t>66.7</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EF" w14:textId="77777777" w:rsidR="004207D6" w:rsidRDefault="008E15B6">
            <w:pPr>
              <w:spacing w:after="60"/>
              <w:jc w:val="center"/>
            </w:pPr>
            <w:r>
              <w:rPr>
                <w:color w:val="000000"/>
                <w:sz w:val="24"/>
                <w:szCs w:val="24"/>
              </w:rPr>
              <w:t>10.1</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F0" w14:textId="77777777" w:rsidR="004207D6" w:rsidRDefault="008E15B6">
            <w:pPr>
              <w:spacing w:after="60"/>
              <w:jc w:val="center"/>
            </w:pPr>
            <w:r>
              <w:rPr>
                <w:color w:val="000000"/>
                <w:sz w:val="24"/>
                <w:szCs w:val="24"/>
              </w:rPr>
              <w:t>26.8</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DF1" w14:textId="77777777" w:rsidR="004207D6" w:rsidRDefault="008E15B6">
            <w:pPr>
              <w:spacing w:after="60"/>
              <w:jc w:val="center"/>
            </w:pPr>
            <w:r>
              <w:rPr>
                <w:color w:val="000000"/>
                <w:sz w:val="24"/>
                <w:szCs w:val="24"/>
              </w:rPr>
              <w:t>9.34</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DF2" w14:textId="77777777" w:rsidR="004207D6" w:rsidRDefault="008E15B6">
            <w:pPr>
              <w:spacing w:after="60"/>
              <w:jc w:val="center"/>
            </w:pPr>
            <w:r>
              <w:rPr>
                <w:color w:val="000000"/>
                <w:sz w:val="24"/>
                <w:szCs w:val="24"/>
              </w:rPr>
              <w:t>0.57</w:t>
            </w:r>
          </w:p>
        </w:tc>
      </w:tr>
      <w:tr w:rsidR="004207D6" w14:paraId="779ADDFF" w14:textId="77777777">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F4" w14:textId="77777777" w:rsidR="004207D6" w:rsidRDefault="008E15B6">
            <w:pPr>
              <w:spacing w:after="60"/>
              <w:jc w:val="center"/>
            </w:pPr>
            <w:r>
              <w:rPr>
                <w:color w:val="000000"/>
                <w:sz w:val="24"/>
                <w:szCs w:val="24"/>
              </w:rPr>
              <w:t>B&amp;M</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F5" w14:textId="77777777" w:rsidR="004207D6" w:rsidRDefault="008E15B6">
            <w:pPr>
              <w:spacing w:after="60"/>
              <w:jc w:val="center"/>
            </w:pPr>
            <w:r>
              <w:rPr>
                <w:color w:val="000000"/>
                <w:sz w:val="24"/>
                <w:szCs w:val="24"/>
              </w:rPr>
              <w:t>2021</w:t>
            </w:r>
          </w:p>
        </w:tc>
        <w:tc>
          <w:tcPr>
            <w:tcW w:w="600" w:type="dxa"/>
            <w:tcBorders>
              <w:top w:val="single" w:sz="4" w:space="0" w:color="999999"/>
              <w:left w:val="single" w:sz="4" w:space="0" w:color="999999"/>
              <w:bottom w:val="single" w:sz="4" w:space="0" w:color="999999"/>
              <w:right w:val="single" w:sz="4" w:space="0" w:color="999999"/>
            </w:tcBorders>
            <w:shd w:val="clear" w:color="auto" w:fill="FFFFFF"/>
          </w:tcPr>
          <w:p w14:paraId="779ADDF6" w14:textId="77777777" w:rsidR="004207D6" w:rsidRDefault="008E15B6">
            <w:pPr>
              <w:spacing w:after="60"/>
              <w:jc w:val="center"/>
            </w:pPr>
            <w:r>
              <w:rPr>
                <w:color w:val="000000"/>
                <w:sz w:val="24"/>
                <w:szCs w:val="24"/>
              </w:rPr>
              <w:t>8</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F7" w14:textId="77777777" w:rsidR="004207D6" w:rsidRDefault="008E15B6">
            <w:pPr>
              <w:spacing w:after="60"/>
              <w:jc w:val="center"/>
            </w:pPr>
            <w:r>
              <w:rPr>
                <w:color w:val="000000"/>
                <w:sz w:val="24"/>
                <w:szCs w:val="24"/>
              </w:rPr>
              <w:t>25.0</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DF8" w14:textId="77777777" w:rsidR="004207D6" w:rsidRDefault="008E15B6">
            <w:pPr>
              <w:spacing w:after="60"/>
              <w:jc w:val="center"/>
            </w:pPr>
            <w:r>
              <w:rPr>
                <w:color w:val="000000"/>
                <w:sz w:val="24"/>
                <w:szCs w:val="24"/>
              </w:rPr>
              <w:t>62.5</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F9"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FA" w14:textId="77777777" w:rsidR="004207D6" w:rsidRDefault="008E15B6">
            <w:pPr>
              <w:spacing w:after="60"/>
              <w:jc w:val="center"/>
            </w:pPr>
            <w:r>
              <w:rPr>
                <w:color w:val="000000"/>
                <w:sz w:val="24"/>
                <w:szCs w:val="24"/>
              </w:rPr>
              <w:t>62.5</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FB" w14:textId="77777777" w:rsidR="004207D6" w:rsidRDefault="008E15B6">
            <w:pPr>
              <w:spacing w:after="60"/>
              <w:jc w:val="center"/>
            </w:pPr>
            <w:r>
              <w:rPr>
                <w:color w:val="000000"/>
                <w:sz w:val="24"/>
                <w:szCs w:val="24"/>
              </w:rPr>
              <w:t>12.5</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FC" w14:textId="77777777" w:rsidR="004207D6" w:rsidRDefault="008E15B6">
            <w:pPr>
              <w:spacing w:after="60"/>
              <w:jc w:val="center"/>
            </w:pPr>
            <w:r>
              <w:rPr>
                <w:color w:val="000000"/>
                <w:sz w:val="24"/>
                <w:szCs w:val="24"/>
              </w:rPr>
              <w:t>33.1</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DFD" w14:textId="77777777" w:rsidR="004207D6" w:rsidRDefault="008E15B6">
            <w:pPr>
              <w:spacing w:after="60"/>
              <w:jc w:val="center"/>
            </w:pPr>
            <w:r>
              <w:rPr>
                <w:color w:val="000000"/>
                <w:sz w:val="24"/>
                <w:szCs w:val="24"/>
              </w:rPr>
              <w:t>9.37</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DFE" w14:textId="77777777" w:rsidR="004207D6" w:rsidRDefault="008E15B6">
            <w:pPr>
              <w:spacing w:after="60"/>
              <w:jc w:val="center"/>
            </w:pPr>
            <w:r>
              <w:rPr>
                <w:color w:val="000000"/>
                <w:sz w:val="24"/>
                <w:szCs w:val="24"/>
              </w:rPr>
              <w:t>0.55</w:t>
            </w:r>
          </w:p>
        </w:tc>
      </w:tr>
      <w:tr w:rsidR="004207D6" w14:paraId="779ADE0B" w14:textId="77777777">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00" w14:textId="77777777" w:rsidR="004207D6" w:rsidRDefault="008E15B6">
            <w:pPr>
              <w:spacing w:after="60"/>
              <w:jc w:val="center"/>
            </w:pPr>
            <w:r>
              <w:rPr>
                <w:color w:val="000000"/>
                <w:sz w:val="24"/>
                <w:szCs w:val="24"/>
              </w:rPr>
              <w:t>B&amp;M</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01" w14:textId="77777777" w:rsidR="004207D6" w:rsidRDefault="008E15B6">
            <w:pPr>
              <w:spacing w:after="60"/>
              <w:jc w:val="center"/>
            </w:pPr>
            <w:r>
              <w:rPr>
                <w:color w:val="000000"/>
                <w:sz w:val="24"/>
                <w:szCs w:val="24"/>
              </w:rPr>
              <w:t>2022</w:t>
            </w:r>
          </w:p>
        </w:tc>
        <w:tc>
          <w:tcPr>
            <w:tcW w:w="600" w:type="dxa"/>
            <w:tcBorders>
              <w:top w:val="single" w:sz="4" w:space="0" w:color="999999"/>
              <w:left w:val="single" w:sz="4" w:space="0" w:color="999999"/>
              <w:bottom w:val="single" w:sz="4" w:space="0" w:color="999999"/>
              <w:right w:val="single" w:sz="4" w:space="0" w:color="999999"/>
            </w:tcBorders>
            <w:shd w:val="clear" w:color="auto" w:fill="F2F2F2"/>
          </w:tcPr>
          <w:p w14:paraId="779ADE02" w14:textId="77777777" w:rsidR="004207D6" w:rsidRDefault="008E15B6">
            <w:pPr>
              <w:spacing w:after="60"/>
              <w:jc w:val="center"/>
            </w:pPr>
            <w:r>
              <w:rPr>
                <w:color w:val="000000"/>
                <w:sz w:val="24"/>
                <w:szCs w:val="24"/>
              </w:rPr>
              <w:t>8</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03" w14:textId="77777777" w:rsidR="004207D6" w:rsidRDefault="008E15B6">
            <w:pPr>
              <w:spacing w:after="60"/>
              <w:jc w:val="center"/>
            </w:pPr>
            <w:r>
              <w:rPr>
                <w:color w:val="000000"/>
                <w:sz w:val="24"/>
                <w:szCs w:val="24"/>
              </w:rPr>
              <w:t>25.0</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04" w14:textId="77777777" w:rsidR="004207D6" w:rsidRDefault="008E15B6">
            <w:pPr>
              <w:spacing w:after="60"/>
              <w:jc w:val="center"/>
            </w:pPr>
            <w:r>
              <w:rPr>
                <w:color w:val="000000"/>
                <w:sz w:val="24"/>
                <w:szCs w:val="24"/>
              </w:rPr>
              <w:t>62.5</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05"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06" w14:textId="77777777" w:rsidR="004207D6" w:rsidRDefault="008E15B6">
            <w:pPr>
              <w:spacing w:after="60"/>
              <w:jc w:val="center"/>
            </w:pPr>
            <w:r>
              <w:rPr>
                <w:color w:val="000000"/>
                <w:sz w:val="24"/>
                <w:szCs w:val="24"/>
              </w:rPr>
              <w:t>62.5</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07" w14:textId="77777777" w:rsidR="004207D6" w:rsidRDefault="008E15B6">
            <w:pPr>
              <w:spacing w:after="60"/>
              <w:jc w:val="center"/>
            </w:pPr>
            <w:r>
              <w:rPr>
                <w:color w:val="000000"/>
                <w:sz w:val="24"/>
                <w:szCs w:val="24"/>
              </w:rPr>
              <w:t>11.2</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08" w14:textId="77777777" w:rsidR="004207D6" w:rsidRDefault="008E15B6">
            <w:pPr>
              <w:spacing w:after="60"/>
              <w:jc w:val="center"/>
            </w:pPr>
            <w:r>
              <w:rPr>
                <w:color w:val="000000"/>
                <w:sz w:val="24"/>
                <w:szCs w:val="24"/>
              </w:rPr>
              <w:t>29.7</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09" w14:textId="77777777" w:rsidR="004207D6" w:rsidRDefault="008E15B6">
            <w:pPr>
              <w:spacing w:after="60"/>
              <w:jc w:val="center"/>
            </w:pPr>
            <w:r>
              <w:rPr>
                <w:color w:val="000000"/>
                <w:sz w:val="24"/>
                <w:szCs w:val="24"/>
              </w:rPr>
              <w:t>9.35</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0A" w14:textId="77777777" w:rsidR="004207D6" w:rsidRDefault="008E15B6">
            <w:pPr>
              <w:spacing w:after="60"/>
              <w:jc w:val="center"/>
            </w:pPr>
            <w:r>
              <w:rPr>
                <w:color w:val="000000"/>
                <w:sz w:val="24"/>
                <w:szCs w:val="24"/>
              </w:rPr>
              <w:t>0.56</w:t>
            </w:r>
          </w:p>
        </w:tc>
      </w:tr>
      <w:tr w:rsidR="004207D6" w14:paraId="779ADE17" w14:textId="77777777">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0C" w14:textId="77777777" w:rsidR="004207D6" w:rsidRDefault="008E15B6">
            <w:pPr>
              <w:spacing w:after="60"/>
              <w:jc w:val="center"/>
            </w:pPr>
            <w:r>
              <w:rPr>
                <w:color w:val="000000"/>
                <w:sz w:val="24"/>
                <w:szCs w:val="24"/>
              </w:rPr>
              <w:t>B&amp;M</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0D" w14:textId="77777777" w:rsidR="004207D6" w:rsidRDefault="008E15B6">
            <w:pPr>
              <w:spacing w:after="60"/>
              <w:jc w:val="center"/>
            </w:pPr>
            <w:r>
              <w:rPr>
                <w:color w:val="000000"/>
                <w:sz w:val="24"/>
                <w:szCs w:val="24"/>
              </w:rPr>
              <w:t>2023</w:t>
            </w:r>
          </w:p>
        </w:tc>
        <w:tc>
          <w:tcPr>
            <w:tcW w:w="600" w:type="dxa"/>
            <w:tcBorders>
              <w:top w:val="single" w:sz="4" w:space="0" w:color="999999"/>
              <w:left w:val="single" w:sz="4" w:space="0" w:color="999999"/>
              <w:bottom w:val="single" w:sz="4" w:space="0" w:color="999999"/>
              <w:right w:val="single" w:sz="4" w:space="0" w:color="999999"/>
            </w:tcBorders>
            <w:shd w:val="clear" w:color="auto" w:fill="FFFFFF"/>
          </w:tcPr>
          <w:p w14:paraId="779ADE0E" w14:textId="77777777" w:rsidR="004207D6" w:rsidRDefault="008E15B6">
            <w:pPr>
              <w:spacing w:after="60"/>
              <w:jc w:val="center"/>
            </w:pPr>
            <w:r>
              <w:rPr>
                <w:color w:val="000000"/>
                <w:sz w:val="24"/>
                <w:szCs w:val="24"/>
              </w:rPr>
              <w:t>8</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0F" w14:textId="77777777" w:rsidR="004207D6" w:rsidRDefault="008E15B6">
            <w:pPr>
              <w:spacing w:after="60"/>
              <w:jc w:val="center"/>
            </w:pPr>
            <w:r>
              <w:rPr>
                <w:color w:val="000000"/>
                <w:sz w:val="24"/>
                <w:szCs w:val="24"/>
              </w:rPr>
              <w:t>37.5</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10" w14:textId="77777777" w:rsidR="004207D6" w:rsidRDefault="008E15B6">
            <w:pPr>
              <w:spacing w:after="60"/>
              <w:jc w:val="center"/>
            </w:pPr>
            <w:r>
              <w:rPr>
                <w:color w:val="000000"/>
                <w:sz w:val="24"/>
                <w:szCs w:val="24"/>
              </w:rPr>
              <w:t>62.5</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11"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12" w14:textId="77777777" w:rsidR="004207D6" w:rsidRDefault="008E15B6">
            <w:pPr>
              <w:spacing w:after="60"/>
              <w:jc w:val="center"/>
            </w:pPr>
            <w:r>
              <w:rPr>
                <w:color w:val="000000"/>
                <w:sz w:val="24"/>
                <w:szCs w:val="24"/>
              </w:rPr>
              <w:t>62.5</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13" w14:textId="77777777" w:rsidR="004207D6" w:rsidRDefault="008E15B6">
            <w:pPr>
              <w:spacing w:after="60"/>
              <w:jc w:val="center"/>
            </w:pPr>
            <w:r>
              <w:rPr>
                <w:color w:val="000000"/>
                <w:sz w:val="24"/>
                <w:szCs w:val="24"/>
              </w:rPr>
              <w:t>10.8</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14" w14:textId="77777777" w:rsidR="004207D6" w:rsidRDefault="008E15B6">
            <w:pPr>
              <w:spacing w:after="60"/>
              <w:jc w:val="center"/>
            </w:pPr>
            <w:r>
              <w:rPr>
                <w:color w:val="000000"/>
                <w:sz w:val="24"/>
                <w:szCs w:val="24"/>
              </w:rPr>
              <w:t>28.6</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15" w14:textId="77777777" w:rsidR="004207D6" w:rsidRDefault="008E15B6">
            <w:pPr>
              <w:spacing w:after="60"/>
              <w:jc w:val="center"/>
            </w:pPr>
            <w:r>
              <w:rPr>
                <w:color w:val="000000"/>
                <w:sz w:val="24"/>
                <w:szCs w:val="24"/>
              </w:rPr>
              <w:t>9.36</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16" w14:textId="77777777" w:rsidR="004207D6" w:rsidRDefault="008E15B6">
            <w:pPr>
              <w:spacing w:after="60"/>
              <w:jc w:val="center"/>
            </w:pPr>
            <w:r>
              <w:rPr>
                <w:color w:val="000000"/>
                <w:sz w:val="24"/>
                <w:szCs w:val="24"/>
              </w:rPr>
              <w:t>0.57</w:t>
            </w:r>
          </w:p>
        </w:tc>
      </w:tr>
      <w:tr w:rsidR="004207D6" w14:paraId="779ADE23" w14:textId="77777777">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18" w14:textId="77777777" w:rsidR="004207D6" w:rsidRDefault="008E15B6">
            <w:pPr>
              <w:spacing w:after="60"/>
              <w:jc w:val="center"/>
            </w:pPr>
            <w:r>
              <w:rPr>
                <w:color w:val="000000"/>
                <w:sz w:val="24"/>
                <w:szCs w:val="24"/>
              </w:rPr>
              <w:t>Pets at Home</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19" w14:textId="77777777" w:rsidR="004207D6" w:rsidRDefault="008E15B6">
            <w:pPr>
              <w:spacing w:after="60"/>
              <w:jc w:val="center"/>
            </w:pPr>
            <w:r>
              <w:rPr>
                <w:color w:val="000000"/>
                <w:sz w:val="24"/>
                <w:szCs w:val="24"/>
              </w:rPr>
              <w:t>2019</w:t>
            </w:r>
          </w:p>
        </w:tc>
        <w:tc>
          <w:tcPr>
            <w:tcW w:w="600" w:type="dxa"/>
            <w:tcBorders>
              <w:top w:val="single" w:sz="4" w:space="0" w:color="999999"/>
              <w:left w:val="single" w:sz="4" w:space="0" w:color="999999"/>
              <w:bottom w:val="single" w:sz="4" w:space="0" w:color="999999"/>
              <w:right w:val="single" w:sz="4" w:space="0" w:color="999999"/>
            </w:tcBorders>
            <w:shd w:val="clear" w:color="auto" w:fill="F2F2F2"/>
          </w:tcPr>
          <w:p w14:paraId="779ADE1A" w14:textId="77777777" w:rsidR="004207D6" w:rsidRDefault="008E15B6">
            <w:pPr>
              <w:spacing w:after="60"/>
              <w:jc w:val="center"/>
            </w:pPr>
            <w:r>
              <w:rPr>
                <w:color w:val="000000"/>
                <w:sz w:val="24"/>
                <w:szCs w:val="24"/>
              </w:rPr>
              <w:t>8</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1B" w14:textId="77777777" w:rsidR="004207D6" w:rsidRDefault="008E15B6">
            <w:pPr>
              <w:spacing w:after="60"/>
              <w:jc w:val="center"/>
            </w:pPr>
            <w:r>
              <w:rPr>
                <w:color w:val="000000"/>
                <w:sz w:val="24"/>
                <w:szCs w:val="24"/>
              </w:rPr>
              <w:t>37.5</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1C" w14:textId="77777777" w:rsidR="004207D6" w:rsidRDefault="008E15B6">
            <w:pPr>
              <w:spacing w:after="60"/>
              <w:jc w:val="center"/>
            </w:pPr>
            <w:r>
              <w:rPr>
                <w:color w:val="000000"/>
                <w:sz w:val="24"/>
                <w:szCs w:val="24"/>
              </w:rPr>
              <w:t>75.0</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1D"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1E" w14:textId="77777777" w:rsidR="004207D6" w:rsidRDefault="008E15B6">
            <w:pPr>
              <w:spacing w:after="60"/>
              <w:jc w:val="center"/>
            </w:pPr>
            <w:r>
              <w:rPr>
                <w:color w:val="000000"/>
                <w:sz w:val="24"/>
                <w:szCs w:val="24"/>
              </w:rPr>
              <w:t>62.5</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1F" w14:textId="77777777" w:rsidR="004207D6" w:rsidRDefault="008E15B6">
            <w:pPr>
              <w:spacing w:after="60"/>
              <w:jc w:val="center"/>
            </w:pPr>
            <w:r>
              <w:rPr>
                <w:color w:val="000000"/>
                <w:sz w:val="24"/>
                <w:szCs w:val="24"/>
              </w:rPr>
              <w:t>5.2</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20" w14:textId="77777777" w:rsidR="004207D6" w:rsidRDefault="008E15B6">
            <w:pPr>
              <w:spacing w:after="60"/>
              <w:jc w:val="center"/>
            </w:pPr>
            <w:r>
              <w:rPr>
                <w:color w:val="000000"/>
                <w:sz w:val="24"/>
                <w:szCs w:val="24"/>
              </w:rPr>
              <w:t>12.1</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21" w14:textId="77777777" w:rsidR="004207D6" w:rsidRDefault="008E15B6">
            <w:pPr>
              <w:spacing w:after="60"/>
              <w:jc w:val="center"/>
            </w:pPr>
            <w:r>
              <w:rPr>
                <w:color w:val="000000"/>
                <w:sz w:val="24"/>
                <w:szCs w:val="24"/>
              </w:rPr>
              <w:t>8.84</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22" w14:textId="77777777" w:rsidR="004207D6" w:rsidRDefault="008E15B6">
            <w:pPr>
              <w:spacing w:after="60"/>
              <w:jc w:val="center"/>
            </w:pPr>
            <w:r>
              <w:rPr>
                <w:color w:val="000000"/>
                <w:sz w:val="24"/>
                <w:szCs w:val="24"/>
              </w:rPr>
              <w:t>0.48</w:t>
            </w:r>
          </w:p>
        </w:tc>
      </w:tr>
      <w:tr w:rsidR="004207D6" w14:paraId="779ADE2F" w14:textId="77777777">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24" w14:textId="77777777" w:rsidR="004207D6" w:rsidRDefault="008E15B6">
            <w:pPr>
              <w:spacing w:after="60"/>
              <w:jc w:val="center"/>
            </w:pPr>
            <w:r>
              <w:rPr>
                <w:color w:val="000000"/>
                <w:sz w:val="24"/>
                <w:szCs w:val="24"/>
              </w:rPr>
              <w:t>Pets at Home</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25" w14:textId="77777777" w:rsidR="004207D6" w:rsidRDefault="008E15B6">
            <w:pPr>
              <w:spacing w:after="60"/>
              <w:jc w:val="center"/>
            </w:pPr>
            <w:r>
              <w:rPr>
                <w:color w:val="000000"/>
                <w:sz w:val="24"/>
                <w:szCs w:val="24"/>
              </w:rPr>
              <w:t>2020</w:t>
            </w:r>
          </w:p>
        </w:tc>
        <w:tc>
          <w:tcPr>
            <w:tcW w:w="600" w:type="dxa"/>
            <w:tcBorders>
              <w:top w:val="single" w:sz="4" w:space="0" w:color="999999"/>
              <w:left w:val="single" w:sz="4" w:space="0" w:color="999999"/>
              <w:bottom w:val="single" w:sz="4" w:space="0" w:color="999999"/>
              <w:right w:val="single" w:sz="4" w:space="0" w:color="999999"/>
            </w:tcBorders>
            <w:shd w:val="clear" w:color="auto" w:fill="FFFFFF"/>
          </w:tcPr>
          <w:p w14:paraId="779ADE26" w14:textId="77777777" w:rsidR="004207D6" w:rsidRDefault="008E15B6">
            <w:pPr>
              <w:spacing w:after="60"/>
              <w:jc w:val="center"/>
            </w:pPr>
            <w:r>
              <w:rPr>
                <w:color w:val="000000"/>
                <w:sz w:val="24"/>
                <w:szCs w:val="24"/>
              </w:rPr>
              <w:t>8</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27" w14:textId="77777777" w:rsidR="004207D6" w:rsidRDefault="008E15B6">
            <w:pPr>
              <w:spacing w:after="60"/>
              <w:jc w:val="center"/>
            </w:pPr>
            <w:r>
              <w:rPr>
                <w:color w:val="000000"/>
                <w:sz w:val="24"/>
                <w:szCs w:val="24"/>
              </w:rPr>
              <w:t>37.5</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28" w14:textId="77777777" w:rsidR="004207D6" w:rsidRDefault="008E15B6">
            <w:pPr>
              <w:spacing w:after="60"/>
              <w:jc w:val="center"/>
            </w:pPr>
            <w:r>
              <w:rPr>
                <w:color w:val="000000"/>
                <w:sz w:val="24"/>
                <w:szCs w:val="24"/>
              </w:rPr>
              <w:t>75.0</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29"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2A" w14:textId="77777777" w:rsidR="004207D6" w:rsidRDefault="008E15B6">
            <w:pPr>
              <w:spacing w:after="60"/>
              <w:jc w:val="center"/>
            </w:pPr>
            <w:r>
              <w:rPr>
                <w:color w:val="000000"/>
                <w:sz w:val="24"/>
                <w:szCs w:val="24"/>
              </w:rPr>
              <w:t>62.5</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2B" w14:textId="77777777" w:rsidR="004207D6" w:rsidRDefault="008E15B6">
            <w:pPr>
              <w:spacing w:after="60"/>
              <w:jc w:val="center"/>
            </w:pPr>
            <w:r>
              <w:rPr>
                <w:color w:val="000000"/>
                <w:sz w:val="24"/>
                <w:szCs w:val="24"/>
              </w:rPr>
              <w:t>4.8</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2C" w14:textId="77777777" w:rsidR="004207D6" w:rsidRDefault="008E15B6">
            <w:pPr>
              <w:spacing w:after="60"/>
              <w:jc w:val="center"/>
            </w:pPr>
            <w:r>
              <w:rPr>
                <w:color w:val="000000"/>
                <w:sz w:val="24"/>
                <w:szCs w:val="24"/>
              </w:rPr>
              <w:t>11.2</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2D" w14:textId="77777777" w:rsidR="004207D6" w:rsidRDefault="008E15B6">
            <w:pPr>
              <w:spacing w:after="60"/>
              <w:jc w:val="center"/>
            </w:pPr>
            <w:r>
              <w:rPr>
                <w:color w:val="000000"/>
                <w:sz w:val="24"/>
                <w:szCs w:val="24"/>
              </w:rPr>
              <w:t>8.82</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2E" w14:textId="77777777" w:rsidR="004207D6" w:rsidRDefault="008E15B6">
            <w:pPr>
              <w:spacing w:after="60"/>
              <w:jc w:val="center"/>
            </w:pPr>
            <w:r>
              <w:rPr>
                <w:color w:val="000000"/>
                <w:sz w:val="24"/>
                <w:szCs w:val="24"/>
              </w:rPr>
              <w:t>0.50</w:t>
            </w:r>
          </w:p>
        </w:tc>
      </w:tr>
      <w:tr w:rsidR="004207D6" w14:paraId="779ADE3B" w14:textId="77777777">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30" w14:textId="77777777" w:rsidR="004207D6" w:rsidRDefault="008E15B6">
            <w:pPr>
              <w:spacing w:after="60"/>
              <w:jc w:val="center"/>
            </w:pPr>
            <w:r>
              <w:rPr>
                <w:color w:val="000000"/>
                <w:sz w:val="24"/>
                <w:szCs w:val="24"/>
              </w:rPr>
              <w:t>Pets at Home</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31" w14:textId="77777777" w:rsidR="004207D6" w:rsidRDefault="008E15B6">
            <w:pPr>
              <w:spacing w:after="60"/>
              <w:jc w:val="center"/>
            </w:pPr>
            <w:r>
              <w:rPr>
                <w:color w:val="000000"/>
                <w:sz w:val="24"/>
                <w:szCs w:val="24"/>
              </w:rPr>
              <w:t>2021</w:t>
            </w:r>
          </w:p>
        </w:tc>
        <w:tc>
          <w:tcPr>
            <w:tcW w:w="600" w:type="dxa"/>
            <w:tcBorders>
              <w:top w:val="single" w:sz="4" w:space="0" w:color="999999"/>
              <w:left w:val="single" w:sz="4" w:space="0" w:color="999999"/>
              <w:bottom w:val="single" w:sz="4" w:space="0" w:color="999999"/>
              <w:right w:val="single" w:sz="4" w:space="0" w:color="999999"/>
            </w:tcBorders>
            <w:shd w:val="clear" w:color="auto" w:fill="F2F2F2"/>
          </w:tcPr>
          <w:p w14:paraId="779ADE32" w14:textId="77777777" w:rsidR="004207D6" w:rsidRDefault="008E15B6">
            <w:pPr>
              <w:spacing w:after="60"/>
              <w:jc w:val="center"/>
            </w:pPr>
            <w:r>
              <w:rPr>
                <w:color w:val="000000"/>
                <w:sz w:val="24"/>
                <w:szCs w:val="24"/>
              </w:rPr>
              <w:t>8</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33" w14:textId="77777777" w:rsidR="004207D6" w:rsidRDefault="008E15B6">
            <w:pPr>
              <w:spacing w:after="60"/>
              <w:jc w:val="center"/>
            </w:pPr>
            <w:r>
              <w:rPr>
                <w:color w:val="000000"/>
                <w:sz w:val="24"/>
                <w:szCs w:val="24"/>
              </w:rPr>
              <w:t>50.0</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34" w14:textId="77777777" w:rsidR="004207D6" w:rsidRDefault="008E15B6">
            <w:pPr>
              <w:spacing w:after="60"/>
              <w:jc w:val="center"/>
            </w:pPr>
            <w:r>
              <w:rPr>
                <w:color w:val="000000"/>
                <w:sz w:val="24"/>
                <w:szCs w:val="24"/>
              </w:rPr>
              <w:t>75.0</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35"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36" w14:textId="77777777" w:rsidR="004207D6" w:rsidRDefault="008E15B6">
            <w:pPr>
              <w:spacing w:after="60"/>
              <w:jc w:val="center"/>
            </w:pPr>
            <w:r>
              <w:rPr>
                <w:color w:val="000000"/>
                <w:sz w:val="24"/>
                <w:szCs w:val="24"/>
              </w:rPr>
              <w:t>62.5</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37" w14:textId="77777777" w:rsidR="004207D6" w:rsidRDefault="008E15B6">
            <w:pPr>
              <w:spacing w:after="60"/>
              <w:jc w:val="center"/>
            </w:pPr>
            <w:r>
              <w:rPr>
                <w:color w:val="000000"/>
                <w:sz w:val="24"/>
                <w:szCs w:val="24"/>
              </w:rPr>
              <w:t>7.3</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38" w14:textId="77777777" w:rsidR="004207D6" w:rsidRDefault="008E15B6">
            <w:pPr>
              <w:spacing w:after="60"/>
              <w:jc w:val="center"/>
            </w:pPr>
            <w:r>
              <w:rPr>
                <w:color w:val="000000"/>
                <w:sz w:val="24"/>
                <w:szCs w:val="24"/>
              </w:rPr>
              <w:t>17.0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39" w14:textId="77777777" w:rsidR="004207D6" w:rsidRDefault="008E15B6">
            <w:pPr>
              <w:spacing w:after="60"/>
              <w:jc w:val="center"/>
            </w:pPr>
            <w:r>
              <w:rPr>
                <w:color w:val="000000"/>
                <w:sz w:val="24"/>
                <w:szCs w:val="24"/>
              </w:rPr>
              <w:t>8.86</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3A" w14:textId="77777777" w:rsidR="004207D6" w:rsidRDefault="008E15B6">
            <w:pPr>
              <w:spacing w:after="60"/>
              <w:jc w:val="center"/>
            </w:pPr>
            <w:r>
              <w:rPr>
                <w:color w:val="000000"/>
                <w:sz w:val="24"/>
                <w:szCs w:val="24"/>
              </w:rPr>
              <w:t>0.47</w:t>
            </w:r>
          </w:p>
        </w:tc>
      </w:tr>
      <w:tr w:rsidR="004207D6" w14:paraId="779ADE47" w14:textId="77777777">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3C" w14:textId="77777777" w:rsidR="004207D6" w:rsidRDefault="008E15B6">
            <w:pPr>
              <w:spacing w:after="60"/>
              <w:jc w:val="center"/>
            </w:pPr>
            <w:r>
              <w:rPr>
                <w:color w:val="000000"/>
                <w:sz w:val="24"/>
                <w:szCs w:val="24"/>
              </w:rPr>
              <w:t>Pets at Home</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3D" w14:textId="77777777" w:rsidR="004207D6" w:rsidRDefault="008E15B6">
            <w:pPr>
              <w:spacing w:after="60"/>
              <w:jc w:val="center"/>
            </w:pPr>
            <w:r>
              <w:rPr>
                <w:color w:val="000000"/>
                <w:sz w:val="24"/>
                <w:szCs w:val="24"/>
              </w:rPr>
              <w:t>2022</w:t>
            </w:r>
          </w:p>
        </w:tc>
        <w:tc>
          <w:tcPr>
            <w:tcW w:w="600" w:type="dxa"/>
            <w:tcBorders>
              <w:top w:val="single" w:sz="4" w:space="0" w:color="999999"/>
              <w:left w:val="single" w:sz="4" w:space="0" w:color="999999"/>
              <w:bottom w:val="single" w:sz="4" w:space="0" w:color="999999"/>
              <w:right w:val="single" w:sz="4" w:space="0" w:color="999999"/>
            </w:tcBorders>
            <w:shd w:val="clear" w:color="auto" w:fill="FFFFFF"/>
          </w:tcPr>
          <w:p w14:paraId="779ADE3E" w14:textId="77777777" w:rsidR="004207D6" w:rsidRDefault="008E15B6">
            <w:pPr>
              <w:spacing w:after="60"/>
              <w:jc w:val="center"/>
            </w:pPr>
            <w:r>
              <w:rPr>
                <w:color w:val="000000"/>
                <w:sz w:val="24"/>
                <w:szCs w:val="24"/>
              </w:rPr>
              <w:t>8</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3F" w14:textId="77777777" w:rsidR="004207D6" w:rsidRDefault="008E15B6">
            <w:pPr>
              <w:spacing w:after="60"/>
              <w:jc w:val="center"/>
            </w:pPr>
            <w:r>
              <w:rPr>
                <w:color w:val="000000"/>
                <w:sz w:val="24"/>
                <w:szCs w:val="24"/>
              </w:rPr>
              <w:t>50.0</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40" w14:textId="77777777" w:rsidR="004207D6" w:rsidRDefault="008E15B6">
            <w:pPr>
              <w:spacing w:after="60"/>
              <w:jc w:val="center"/>
            </w:pPr>
            <w:r>
              <w:rPr>
                <w:color w:val="000000"/>
                <w:sz w:val="24"/>
                <w:szCs w:val="24"/>
              </w:rPr>
              <w:t>75.0</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41"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42" w14:textId="77777777" w:rsidR="004207D6" w:rsidRDefault="008E15B6">
            <w:pPr>
              <w:spacing w:after="60"/>
              <w:jc w:val="center"/>
            </w:pPr>
            <w:r>
              <w:rPr>
                <w:color w:val="000000"/>
                <w:sz w:val="24"/>
                <w:szCs w:val="24"/>
              </w:rPr>
              <w:t>62.5</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43" w14:textId="77777777" w:rsidR="004207D6" w:rsidRDefault="008E15B6">
            <w:pPr>
              <w:spacing w:after="60"/>
              <w:jc w:val="center"/>
            </w:pPr>
            <w:r>
              <w:rPr>
                <w:color w:val="000000"/>
                <w:sz w:val="24"/>
                <w:szCs w:val="24"/>
              </w:rPr>
              <w:t>8.1</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44" w14:textId="77777777" w:rsidR="004207D6" w:rsidRDefault="008E15B6">
            <w:pPr>
              <w:spacing w:after="60"/>
              <w:jc w:val="center"/>
            </w:pPr>
            <w:r>
              <w:rPr>
                <w:color w:val="000000"/>
                <w:sz w:val="24"/>
                <w:szCs w:val="24"/>
              </w:rPr>
              <w:t>18.8</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45" w14:textId="77777777" w:rsidR="004207D6" w:rsidRDefault="008E15B6">
            <w:pPr>
              <w:spacing w:after="60"/>
              <w:jc w:val="center"/>
            </w:pPr>
            <w:r>
              <w:rPr>
                <w:color w:val="000000"/>
                <w:sz w:val="24"/>
                <w:szCs w:val="24"/>
              </w:rPr>
              <w:t>8.88</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46" w14:textId="77777777" w:rsidR="004207D6" w:rsidRDefault="008E15B6">
            <w:pPr>
              <w:spacing w:after="60"/>
              <w:jc w:val="center"/>
            </w:pPr>
            <w:r>
              <w:rPr>
                <w:color w:val="000000"/>
                <w:sz w:val="24"/>
                <w:szCs w:val="24"/>
              </w:rPr>
              <w:t>0.46</w:t>
            </w:r>
          </w:p>
        </w:tc>
      </w:tr>
      <w:tr w:rsidR="004207D6" w14:paraId="779ADE53" w14:textId="77777777">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48" w14:textId="77777777" w:rsidR="004207D6" w:rsidRDefault="008E15B6">
            <w:pPr>
              <w:spacing w:after="60"/>
              <w:jc w:val="center"/>
            </w:pPr>
            <w:r>
              <w:rPr>
                <w:color w:val="000000"/>
                <w:sz w:val="24"/>
                <w:szCs w:val="24"/>
              </w:rPr>
              <w:t>Pets at Home</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49" w14:textId="77777777" w:rsidR="004207D6" w:rsidRDefault="008E15B6">
            <w:pPr>
              <w:spacing w:after="60"/>
              <w:jc w:val="center"/>
            </w:pPr>
            <w:r>
              <w:rPr>
                <w:color w:val="000000"/>
                <w:sz w:val="24"/>
                <w:szCs w:val="24"/>
              </w:rPr>
              <w:t>2023</w:t>
            </w:r>
          </w:p>
        </w:tc>
        <w:tc>
          <w:tcPr>
            <w:tcW w:w="600" w:type="dxa"/>
            <w:tcBorders>
              <w:top w:val="single" w:sz="4" w:space="0" w:color="999999"/>
              <w:left w:val="single" w:sz="4" w:space="0" w:color="999999"/>
              <w:bottom w:val="single" w:sz="4" w:space="0" w:color="999999"/>
              <w:right w:val="single" w:sz="4" w:space="0" w:color="999999"/>
            </w:tcBorders>
            <w:shd w:val="clear" w:color="auto" w:fill="F2F2F2"/>
          </w:tcPr>
          <w:p w14:paraId="779ADE4A" w14:textId="77777777" w:rsidR="004207D6" w:rsidRDefault="008E15B6">
            <w:pPr>
              <w:spacing w:after="60"/>
              <w:jc w:val="center"/>
            </w:pPr>
            <w:r>
              <w:rPr>
                <w:color w:val="000000"/>
                <w:sz w:val="24"/>
                <w:szCs w:val="24"/>
              </w:rPr>
              <w:t>8</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4B" w14:textId="77777777" w:rsidR="004207D6" w:rsidRDefault="008E15B6">
            <w:pPr>
              <w:spacing w:after="60"/>
              <w:jc w:val="center"/>
            </w:pPr>
            <w:r>
              <w:rPr>
                <w:color w:val="000000"/>
                <w:sz w:val="24"/>
                <w:szCs w:val="24"/>
              </w:rPr>
              <w:t>50.0</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4C" w14:textId="77777777" w:rsidR="004207D6" w:rsidRDefault="008E15B6">
            <w:pPr>
              <w:spacing w:after="60"/>
              <w:jc w:val="center"/>
            </w:pPr>
            <w:r>
              <w:rPr>
                <w:color w:val="000000"/>
                <w:sz w:val="24"/>
                <w:szCs w:val="24"/>
              </w:rPr>
              <w:t>75.0</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4D"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4E" w14:textId="77777777" w:rsidR="004207D6" w:rsidRDefault="008E15B6">
            <w:pPr>
              <w:spacing w:after="60"/>
              <w:jc w:val="center"/>
            </w:pPr>
            <w:r>
              <w:rPr>
                <w:color w:val="000000"/>
                <w:sz w:val="24"/>
                <w:szCs w:val="24"/>
              </w:rPr>
              <w:t>62.5</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4F" w14:textId="77777777" w:rsidR="004207D6" w:rsidRDefault="008E15B6">
            <w:pPr>
              <w:spacing w:after="60"/>
              <w:jc w:val="center"/>
            </w:pPr>
            <w:r>
              <w:rPr>
                <w:color w:val="000000"/>
                <w:sz w:val="24"/>
                <w:szCs w:val="24"/>
              </w:rPr>
              <w:t>8.6</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50" w14:textId="77777777" w:rsidR="004207D6" w:rsidRDefault="008E15B6">
            <w:pPr>
              <w:spacing w:after="60"/>
              <w:jc w:val="center"/>
            </w:pPr>
            <w:r>
              <w:rPr>
                <w:color w:val="000000"/>
                <w:sz w:val="24"/>
                <w:szCs w:val="24"/>
              </w:rPr>
              <w:t>20.0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51" w14:textId="77777777" w:rsidR="004207D6" w:rsidRDefault="008E15B6">
            <w:pPr>
              <w:spacing w:after="60"/>
              <w:jc w:val="center"/>
            </w:pPr>
            <w:r>
              <w:rPr>
                <w:color w:val="000000"/>
                <w:sz w:val="24"/>
                <w:szCs w:val="24"/>
              </w:rPr>
              <w:t>8.89</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52" w14:textId="77777777" w:rsidR="004207D6" w:rsidRDefault="008E15B6">
            <w:pPr>
              <w:spacing w:after="60"/>
              <w:jc w:val="center"/>
            </w:pPr>
            <w:r>
              <w:rPr>
                <w:color w:val="000000"/>
                <w:sz w:val="24"/>
                <w:szCs w:val="24"/>
              </w:rPr>
              <w:t>0.45</w:t>
            </w:r>
          </w:p>
        </w:tc>
      </w:tr>
      <w:tr w:rsidR="004207D6" w14:paraId="779ADE5F" w14:textId="77777777">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54" w14:textId="77777777" w:rsidR="004207D6" w:rsidRDefault="008E15B6">
            <w:pPr>
              <w:spacing w:after="60"/>
              <w:jc w:val="center"/>
            </w:pPr>
            <w:r>
              <w:rPr>
                <w:color w:val="000000"/>
                <w:sz w:val="24"/>
                <w:szCs w:val="24"/>
              </w:rPr>
              <w:t>JD Sports</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55" w14:textId="77777777" w:rsidR="004207D6" w:rsidRDefault="008E15B6">
            <w:pPr>
              <w:spacing w:after="60"/>
              <w:jc w:val="center"/>
            </w:pPr>
            <w:r>
              <w:rPr>
                <w:color w:val="000000"/>
                <w:sz w:val="24"/>
                <w:szCs w:val="24"/>
              </w:rPr>
              <w:t>2019</w:t>
            </w:r>
          </w:p>
        </w:tc>
        <w:tc>
          <w:tcPr>
            <w:tcW w:w="600" w:type="dxa"/>
            <w:tcBorders>
              <w:top w:val="single" w:sz="4" w:space="0" w:color="999999"/>
              <w:left w:val="single" w:sz="4" w:space="0" w:color="999999"/>
              <w:bottom w:val="single" w:sz="4" w:space="0" w:color="999999"/>
              <w:right w:val="single" w:sz="4" w:space="0" w:color="999999"/>
            </w:tcBorders>
            <w:shd w:val="clear" w:color="auto" w:fill="FFFFFF"/>
          </w:tcPr>
          <w:p w14:paraId="779ADE56" w14:textId="77777777" w:rsidR="004207D6" w:rsidRDefault="008E15B6">
            <w:pPr>
              <w:spacing w:after="60"/>
              <w:jc w:val="center"/>
            </w:pPr>
            <w:r>
              <w:rPr>
                <w:color w:val="000000"/>
                <w:sz w:val="24"/>
                <w:szCs w:val="24"/>
              </w:rPr>
              <w:t>9</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57" w14:textId="77777777" w:rsidR="004207D6" w:rsidRDefault="008E15B6">
            <w:pPr>
              <w:spacing w:after="60"/>
              <w:jc w:val="center"/>
            </w:pPr>
            <w:r>
              <w:rPr>
                <w:color w:val="000000"/>
                <w:sz w:val="24"/>
                <w:szCs w:val="24"/>
              </w:rPr>
              <w:t>22.2</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58" w14:textId="77777777" w:rsidR="004207D6" w:rsidRDefault="008E15B6">
            <w:pPr>
              <w:spacing w:after="60"/>
              <w:jc w:val="center"/>
            </w:pPr>
            <w:r>
              <w:rPr>
                <w:color w:val="000000"/>
                <w:sz w:val="24"/>
                <w:szCs w:val="24"/>
              </w:rPr>
              <w:t>66.7</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59"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5A" w14:textId="77777777" w:rsidR="004207D6" w:rsidRDefault="008E15B6">
            <w:pPr>
              <w:spacing w:after="60"/>
              <w:jc w:val="center"/>
            </w:pPr>
            <w:r>
              <w:rPr>
                <w:color w:val="000000"/>
                <w:sz w:val="24"/>
                <w:szCs w:val="24"/>
              </w:rPr>
              <w:t>55.6</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5B" w14:textId="77777777" w:rsidR="004207D6" w:rsidRDefault="008E15B6">
            <w:pPr>
              <w:spacing w:after="60"/>
              <w:jc w:val="center"/>
            </w:pPr>
            <w:r>
              <w:rPr>
                <w:color w:val="000000"/>
                <w:sz w:val="24"/>
                <w:szCs w:val="24"/>
              </w:rPr>
              <w:t>6.8</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5C" w14:textId="77777777" w:rsidR="004207D6" w:rsidRDefault="008E15B6">
            <w:pPr>
              <w:spacing w:after="60"/>
              <w:jc w:val="center"/>
            </w:pPr>
            <w:r>
              <w:rPr>
                <w:color w:val="000000"/>
                <w:sz w:val="24"/>
                <w:szCs w:val="24"/>
              </w:rPr>
              <w:t>18.4</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5D" w14:textId="77777777" w:rsidR="004207D6" w:rsidRDefault="008E15B6">
            <w:pPr>
              <w:spacing w:after="60"/>
              <w:jc w:val="center"/>
            </w:pPr>
            <w:r>
              <w:rPr>
                <w:color w:val="000000"/>
                <w:sz w:val="24"/>
                <w:szCs w:val="24"/>
              </w:rPr>
              <w:t>9.61</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5E" w14:textId="77777777" w:rsidR="004207D6" w:rsidRDefault="008E15B6">
            <w:pPr>
              <w:spacing w:after="60"/>
              <w:jc w:val="center"/>
            </w:pPr>
            <w:r>
              <w:rPr>
                <w:color w:val="000000"/>
                <w:sz w:val="24"/>
                <w:szCs w:val="24"/>
              </w:rPr>
              <w:t>0.52</w:t>
            </w:r>
          </w:p>
        </w:tc>
      </w:tr>
      <w:tr w:rsidR="004207D6" w14:paraId="779ADE6B" w14:textId="77777777">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60" w14:textId="77777777" w:rsidR="004207D6" w:rsidRDefault="008E15B6">
            <w:pPr>
              <w:spacing w:after="60"/>
              <w:jc w:val="center"/>
            </w:pPr>
            <w:r>
              <w:rPr>
                <w:color w:val="000000"/>
                <w:sz w:val="24"/>
                <w:szCs w:val="24"/>
              </w:rPr>
              <w:t>JD Sports</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61" w14:textId="77777777" w:rsidR="004207D6" w:rsidRDefault="008E15B6">
            <w:pPr>
              <w:spacing w:after="60"/>
              <w:jc w:val="center"/>
            </w:pPr>
            <w:r>
              <w:rPr>
                <w:color w:val="000000"/>
                <w:sz w:val="24"/>
                <w:szCs w:val="24"/>
              </w:rPr>
              <w:t>2020</w:t>
            </w:r>
          </w:p>
        </w:tc>
        <w:tc>
          <w:tcPr>
            <w:tcW w:w="600" w:type="dxa"/>
            <w:tcBorders>
              <w:top w:val="single" w:sz="4" w:space="0" w:color="999999"/>
              <w:left w:val="single" w:sz="4" w:space="0" w:color="999999"/>
              <w:bottom w:val="single" w:sz="4" w:space="0" w:color="999999"/>
              <w:right w:val="single" w:sz="4" w:space="0" w:color="999999"/>
            </w:tcBorders>
            <w:shd w:val="clear" w:color="auto" w:fill="F2F2F2"/>
          </w:tcPr>
          <w:p w14:paraId="779ADE62" w14:textId="77777777" w:rsidR="004207D6" w:rsidRDefault="008E15B6">
            <w:pPr>
              <w:spacing w:after="60"/>
              <w:jc w:val="center"/>
            </w:pPr>
            <w:r>
              <w:rPr>
                <w:color w:val="000000"/>
                <w:sz w:val="24"/>
                <w:szCs w:val="24"/>
              </w:rPr>
              <w:t>9</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63" w14:textId="77777777" w:rsidR="004207D6" w:rsidRDefault="008E15B6">
            <w:pPr>
              <w:spacing w:after="60"/>
              <w:jc w:val="center"/>
            </w:pPr>
            <w:r>
              <w:rPr>
                <w:color w:val="000000"/>
                <w:sz w:val="24"/>
                <w:szCs w:val="24"/>
              </w:rPr>
              <w:t>22.2</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64" w14:textId="77777777" w:rsidR="004207D6" w:rsidRDefault="008E15B6">
            <w:pPr>
              <w:spacing w:after="60"/>
              <w:jc w:val="center"/>
            </w:pPr>
            <w:r>
              <w:rPr>
                <w:color w:val="000000"/>
                <w:sz w:val="24"/>
                <w:szCs w:val="24"/>
              </w:rPr>
              <w:t>66.7</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65"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66" w14:textId="77777777" w:rsidR="004207D6" w:rsidRDefault="008E15B6">
            <w:pPr>
              <w:spacing w:after="60"/>
              <w:jc w:val="center"/>
            </w:pPr>
            <w:r>
              <w:rPr>
                <w:color w:val="000000"/>
                <w:sz w:val="24"/>
                <w:szCs w:val="24"/>
              </w:rPr>
              <w:t>55.6</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67" w14:textId="77777777" w:rsidR="004207D6" w:rsidRDefault="008E15B6">
            <w:pPr>
              <w:spacing w:after="60"/>
              <w:jc w:val="center"/>
            </w:pPr>
            <w:r>
              <w:rPr>
                <w:color w:val="000000"/>
                <w:sz w:val="24"/>
                <w:szCs w:val="24"/>
              </w:rPr>
              <w:t>4.2</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68" w14:textId="77777777" w:rsidR="004207D6" w:rsidRDefault="008E15B6">
            <w:pPr>
              <w:spacing w:after="60"/>
              <w:jc w:val="center"/>
            </w:pPr>
            <w:r>
              <w:rPr>
                <w:color w:val="000000"/>
                <w:sz w:val="24"/>
                <w:szCs w:val="24"/>
              </w:rPr>
              <w:t>11.4</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69" w14:textId="77777777" w:rsidR="004207D6" w:rsidRDefault="008E15B6">
            <w:pPr>
              <w:spacing w:after="60"/>
              <w:jc w:val="center"/>
            </w:pPr>
            <w:r>
              <w:rPr>
                <w:color w:val="000000"/>
                <w:sz w:val="24"/>
                <w:szCs w:val="24"/>
              </w:rPr>
              <w:t>9.59</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6A" w14:textId="77777777" w:rsidR="004207D6" w:rsidRDefault="008E15B6">
            <w:pPr>
              <w:spacing w:after="60"/>
              <w:jc w:val="center"/>
            </w:pPr>
            <w:r>
              <w:rPr>
                <w:color w:val="000000"/>
                <w:sz w:val="24"/>
                <w:szCs w:val="24"/>
              </w:rPr>
              <w:t>0.54</w:t>
            </w:r>
          </w:p>
        </w:tc>
      </w:tr>
      <w:tr w:rsidR="004207D6" w14:paraId="779ADE77" w14:textId="77777777">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6C" w14:textId="77777777" w:rsidR="004207D6" w:rsidRDefault="008E15B6">
            <w:pPr>
              <w:spacing w:after="60"/>
              <w:jc w:val="center"/>
            </w:pPr>
            <w:r>
              <w:rPr>
                <w:color w:val="000000"/>
                <w:sz w:val="24"/>
                <w:szCs w:val="24"/>
              </w:rPr>
              <w:t>JD Sports</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6D" w14:textId="77777777" w:rsidR="004207D6" w:rsidRDefault="008E15B6">
            <w:pPr>
              <w:spacing w:after="60"/>
              <w:jc w:val="center"/>
            </w:pPr>
            <w:r>
              <w:rPr>
                <w:color w:val="000000"/>
                <w:sz w:val="24"/>
                <w:szCs w:val="24"/>
              </w:rPr>
              <w:t>2021</w:t>
            </w:r>
          </w:p>
        </w:tc>
        <w:tc>
          <w:tcPr>
            <w:tcW w:w="600" w:type="dxa"/>
            <w:tcBorders>
              <w:top w:val="single" w:sz="4" w:space="0" w:color="999999"/>
              <w:left w:val="single" w:sz="4" w:space="0" w:color="999999"/>
              <w:bottom w:val="single" w:sz="4" w:space="0" w:color="999999"/>
              <w:right w:val="single" w:sz="4" w:space="0" w:color="999999"/>
            </w:tcBorders>
            <w:shd w:val="clear" w:color="auto" w:fill="FFFFFF"/>
          </w:tcPr>
          <w:p w14:paraId="779ADE6E" w14:textId="77777777" w:rsidR="004207D6" w:rsidRDefault="008E15B6">
            <w:pPr>
              <w:spacing w:after="60"/>
              <w:jc w:val="center"/>
            </w:pPr>
            <w:r>
              <w:rPr>
                <w:color w:val="000000"/>
                <w:sz w:val="24"/>
                <w:szCs w:val="24"/>
              </w:rPr>
              <w:t>8</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6F" w14:textId="77777777" w:rsidR="004207D6" w:rsidRDefault="008E15B6">
            <w:pPr>
              <w:spacing w:after="60"/>
              <w:jc w:val="center"/>
            </w:pPr>
            <w:r>
              <w:rPr>
                <w:color w:val="000000"/>
                <w:sz w:val="24"/>
                <w:szCs w:val="24"/>
              </w:rPr>
              <w:t>25.0</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70" w14:textId="77777777" w:rsidR="004207D6" w:rsidRDefault="008E15B6">
            <w:pPr>
              <w:spacing w:after="60"/>
              <w:jc w:val="center"/>
            </w:pPr>
            <w:r>
              <w:rPr>
                <w:color w:val="000000"/>
                <w:sz w:val="24"/>
                <w:szCs w:val="24"/>
              </w:rPr>
              <w:t>62.5</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71"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72" w14:textId="77777777" w:rsidR="004207D6" w:rsidRDefault="008E15B6">
            <w:pPr>
              <w:spacing w:after="60"/>
              <w:jc w:val="center"/>
            </w:pPr>
            <w:r>
              <w:rPr>
                <w:color w:val="000000"/>
                <w:sz w:val="24"/>
                <w:szCs w:val="24"/>
              </w:rPr>
              <w:t>62.5</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73" w14:textId="77777777" w:rsidR="004207D6" w:rsidRDefault="008E15B6">
            <w:pPr>
              <w:spacing w:after="60"/>
              <w:jc w:val="center"/>
            </w:pPr>
            <w:r>
              <w:rPr>
                <w:color w:val="000000"/>
                <w:sz w:val="24"/>
                <w:szCs w:val="24"/>
              </w:rPr>
              <w:t>9.3</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74" w14:textId="77777777" w:rsidR="004207D6" w:rsidRDefault="008E15B6">
            <w:pPr>
              <w:spacing w:after="60"/>
              <w:jc w:val="center"/>
            </w:pPr>
            <w:r>
              <w:rPr>
                <w:color w:val="000000"/>
                <w:sz w:val="24"/>
                <w:szCs w:val="24"/>
              </w:rPr>
              <w:t>25.2</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75" w14:textId="77777777" w:rsidR="004207D6" w:rsidRDefault="008E15B6">
            <w:pPr>
              <w:spacing w:after="60"/>
              <w:jc w:val="center"/>
            </w:pPr>
            <w:r>
              <w:rPr>
                <w:color w:val="000000"/>
                <w:sz w:val="24"/>
                <w:szCs w:val="24"/>
              </w:rPr>
              <w:t>9.63</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76" w14:textId="77777777" w:rsidR="004207D6" w:rsidRDefault="008E15B6">
            <w:pPr>
              <w:spacing w:after="60"/>
              <w:jc w:val="center"/>
            </w:pPr>
            <w:r>
              <w:rPr>
                <w:color w:val="000000"/>
                <w:sz w:val="24"/>
                <w:szCs w:val="24"/>
              </w:rPr>
              <w:t>0.51</w:t>
            </w:r>
          </w:p>
        </w:tc>
      </w:tr>
      <w:tr w:rsidR="004207D6" w14:paraId="779ADE83" w14:textId="77777777">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78" w14:textId="77777777" w:rsidR="004207D6" w:rsidRDefault="008E15B6">
            <w:pPr>
              <w:spacing w:after="60"/>
              <w:jc w:val="center"/>
            </w:pPr>
            <w:r>
              <w:rPr>
                <w:color w:val="000000"/>
                <w:sz w:val="24"/>
                <w:szCs w:val="24"/>
              </w:rPr>
              <w:t>JD Sports</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79" w14:textId="77777777" w:rsidR="004207D6" w:rsidRDefault="008E15B6">
            <w:pPr>
              <w:spacing w:after="60"/>
              <w:jc w:val="center"/>
            </w:pPr>
            <w:r>
              <w:rPr>
                <w:color w:val="000000"/>
                <w:sz w:val="24"/>
                <w:szCs w:val="24"/>
              </w:rPr>
              <w:t>2022</w:t>
            </w:r>
          </w:p>
        </w:tc>
        <w:tc>
          <w:tcPr>
            <w:tcW w:w="600" w:type="dxa"/>
            <w:tcBorders>
              <w:top w:val="single" w:sz="4" w:space="0" w:color="999999"/>
              <w:left w:val="single" w:sz="4" w:space="0" w:color="999999"/>
              <w:bottom w:val="single" w:sz="4" w:space="0" w:color="999999"/>
              <w:right w:val="single" w:sz="4" w:space="0" w:color="999999"/>
            </w:tcBorders>
            <w:shd w:val="clear" w:color="auto" w:fill="F2F2F2"/>
          </w:tcPr>
          <w:p w14:paraId="779ADE7A" w14:textId="77777777" w:rsidR="004207D6" w:rsidRDefault="008E15B6">
            <w:pPr>
              <w:spacing w:after="60"/>
              <w:jc w:val="center"/>
            </w:pPr>
            <w:r>
              <w:rPr>
                <w:color w:val="000000"/>
                <w:sz w:val="24"/>
                <w:szCs w:val="24"/>
              </w:rPr>
              <w:t>8</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7B" w14:textId="77777777" w:rsidR="004207D6" w:rsidRDefault="008E15B6">
            <w:pPr>
              <w:spacing w:after="60"/>
              <w:jc w:val="center"/>
            </w:pPr>
            <w:r>
              <w:rPr>
                <w:color w:val="000000"/>
                <w:sz w:val="24"/>
                <w:szCs w:val="24"/>
              </w:rPr>
              <w:t>37.5</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7C" w14:textId="77777777" w:rsidR="004207D6" w:rsidRDefault="008E15B6">
            <w:pPr>
              <w:spacing w:after="60"/>
              <w:jc w:val="center"/>
            </w:pPr>
            <w:r>
              <w:rPr>
                <w:color w:val="000000"/>
                <w:sz w:val="24"/>
                <w:szCs w:val="24"/>
              </w:rPr>
              <w:t>62.5</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7D"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7E" w14:textId="77777777" w:rsidR="004207D6" w:rsidRDefault="008E15B6">
            <w:pPr>
              <w:spacing w:after="60"/>
              <w:jc w:val="center"/>
            </w:pPr>
            <w:r>
              <w:rPr>
                <w:color w:val="000000"/>
                <w:sz w:val="24"/>
                <w:szCs w:val="24"/>
              </w:rPr>
              <w:t>62.5</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7F" w14:textId="77777777" w:rsidR="004207D6" w:rsidRDefault="008E15B6">
            <w:pPr>
              <w:spacing w:after="60"/>
              <w:jc w:val="center"/>
            </w:pPr>
            <w:r>
              <w:rPr>
                <w:color w:val="000000"/>
                <w:sz w:val="24"/>
                <w:szCs w:val="24"/>
              </w:rPr>
              <w:t>7.6</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80" w14:textId="77777777" w:rsidR="004207D6" w:rsidRDefault="008E15B6">
            <w:pPr>
              <w:spacing w:after="60"/>
              <w:jc w:val="center"/>
            </w:pPr>
            <w:r>
              <w:rPr>
                <w:color w:val="000000"/>
                <w:sz w:val="24"/>
                <w:szCs w:val="24"/>
              </w:rPr>
              <w:t>20.6</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81" w14:textId="77777777" w:rsidR="004207D6" w:rsidRDefault="008E15B6">
            <w:pPr>
              <w:spacing w:after="60"/>
              <w:jc w:val="center"/>
            </w:pPr>
            <w:r>
              <w:rPr>
                <w:color w:val="000000"/>
                <w:sz w:val="24"/>
                <w:szCs w:val="24"/>
              </w:rPr>
              <w:t>9.64</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82" w14:textId="77777777" w:rsidR="004207D6" w:rsidRDefault="008E15B6">
            <w:pPr>
              <w:spacing w:after="60"/>
              <w:jc w:val="center"/>
            </w:pPr>
            <w:r>
              <w:rPr>
                <w:color w:val="000000"/>
                <w:sz w:val="24"/>
                <w:szCs w:val="24"/>
              </w:rPr>
              <w:t>0.52</w:t>
            </w:r>
          </w:p>
        </w:tc>
      </w:tr>
      <w:tr w:rsidR="004207D6" w14:paraId="779ADE8F" w14:textId="77777777">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84" w14:textId="77777777" w:rsidR="004207D6" w:rsidRDefault="008E15B6">
            <w:pPr>
              <w:spacing w:after="60"/>
              <w:jc w:val="center"/>
            </w:pPr>
            <w:r>
              <w:rPr>
                <w:color w:val="000000"/>
                <w:sz w:val="24"/>
                <w:szCs w:val="24"/>
              </w:rPr>
              <w:t>JD Sports</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85" w14:textId="77777777" w:rsidR="004207D6" w:rsidRDefault="008E15B6">
            <w:pPr>
              <w:spacing w:after="60"/>
              <w:jc w:val="center"/>
            </w:pPr>
            <w:r>
              <w:rPr>
                <w:color w:val="000000"/>
                <w:sz w:val="24"/>
                <w:szCs w:val="24"/>
              </w:rPr>
              <w:t>2023</w:t>
            </w:r>
          </w:p>
        </w:tc>
        <w:tc>
          <w:tcPr>
            <w:tcW w:w="600" w:type="dxa"/>
            <w:tcBorders>
              <w:top w:val="single" w:sz="4" w:space="0" w:color="999999"/>
              <w:left w:val="single" w:sz="4" w:space="0" w:color="999999"/>
              <w:bottom w:val="single" w:sz="4" w:space="0" w:color="999999"/>
              <w:right w:val="single" w:sz="4" w:space="0" w:color="999999"/>
            </w:tcBorders>
            <w:shd w:val="clear" w:color="auto" w:fill="FFFFFF"/>
          </w:tcPr>
          <w:p w14:paraId="779ADE86" w14:textId="77777777" w:rsidR="004207D6" w:rsidRDefault="008E15B6">
            <w:pPr>
              <w:spacing w:after="60"/>
              <w:jc w:val="center"/>
            </w:pPr>
            <w:r>
              <w:rPr>
                <w:color w:val="000000"/>
                <w:sz w:val="24"/>
                <w:szCs w:val="24"/>
              </w:rPr>
              <w:t>8</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87" w14:textId="77777777" w:rsidR="004207D6" w:rsidRDefault="008E15B6">
            <w:pPr>
              <w:spacing w:after="60"/>
              <w:jc w:val="center"/>
            </w:pPr>
            <w:r>
              <w:rPr>
                <w:color w:val="000000"/>
                <w:sz w:val="24"/>
                <w:szCs w:val="24"/>
              </w:rPr>
              <w:t>37.5</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88" w14:textId="77777777" w:rsidR="004207D6" w:rsidRDefault="008E15B6">
            <w:pPr>
              <w:spacing w:after="60"/>
              <w:jc w:val="center"/>
            </w:pPr>
            <w:r>
              <w:rPr>
                <w:color w:val="000000"/>
                <w:sz w:val="24"/>
                <w:szCs w:val="24"/>
              </w:rPr>
              <w:t>62.5</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89"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8A" w14:textId="77777777" w:rsidR="004207D6" w:rsidRDefault="008E15B6">
            <w:pPr>
              <w:spacing w:after="60"/>
              <w:jc w:val="center"/>
            </w:pPr>
            <w:r>
              <w:rPr>
                <w:color w:val="000000"/>
                <w:sz w:val="24"/>
                <w:szCs w:val="24"/>
              </w:rPr>
              <w:t>62.5</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8B" w14:textId="77777777" w:rsidR="004207D6" w:rsidRDefault="008E15B6">
            <w:pPr>
              <w:spacing w:after="60"/>
              <w:jc w:val="center"/>
            </w:pPr>
            <w:r>
              <w:rPr>
                <w:color w:val="000000"/>
                <w:sz w:val="24"/>
                <w:szCs w:val="24"/>
              </w:rPr>
              <w:t>8.2</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8C" w14:textId="77777777" w:rsidR="004207D6" w:rsidRDefault="008E15B6">
            <w:pPr>
              <w:spacing w:after="60"/>
              <w:jc w:val="center"/>
            </w:pPr>
            <w:r>
              <w:rPr>
                <w:color w:val="000000"/>
                <w:sz w:val="24"/>
                <w:szCs w:val="24"/>
              </w:rPr>
              <w:t>22.2</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8D" w14:textId="77777777" w:rsidR="004207D6" w:rsidRDefault="008E15B6">
            <w:pPr>
              <w:spacing w:after="60"/>
              <w:jc w:val="center"/>
            </w:pPr>
            <w:r>
              <w:rPr>
                <w:color w:val="000000"/>
                <w:sz w:val="24"/>
                <w:szCs w:val="24"/>
              </w:rPr>
              <w:t>9.65</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8E" w14:textId="77777777" w:rsidR="004207D6" w:rsidRDefault="008E15B6">
            <w:pPr>
              <w:spacing w:after="60"/>
              <w:jc w:val="center"/>
            </w:pPr>
            <w:r>
              <w:rPr>
                <w:color w:val="000000"/>
                <w:sz w:val="24"/>
                <w:szCs w:val="24"/>
              </w:rPr>
              <w:t>0.51</w:t>
            </w:r>
          </w:p>
        </w:tc>
      </w:tr>
      <w:tr w:rsidR="004207D6" w14:paraId="779ADE9B" w14:textId="77777777">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90" w14:textId="77777777" w:rsidR="004207D6" w:rsidRDefault="008E15B6">
            <w:pPr>
              <w:spacing w:after="60"/>
              <w:jc w:val="center"/>
            </w:pPr>
            <w:r>
              <w:rPr>
                <w:color w:val="000000"/>
                <w:sz w:val="24"/>
                <w:szCs w:val="24"/>
              </w:rPr>
              <w:t>Halfords</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91" w14:textId="77777777" w:rsidR="004207D6" w:rsidRDefault="008E15B6">
            <w:pPr>
              <w:spacing w:after="60"/>
              <w:jc w:val="center"/>
            </w:pPr>
            <w:r>
              <w:rPr>
                <w:color w:val="000000"/>
                <w:sz w:val="24"/>
                <w:szCs w:val="24"/>
              </w:rPr>
              <w:t>2019</w:t>
            </w:r>
          </w:p>
        </w:tc>
        <w:tc>
          <w:tcPr>
            <w:tcW w:w="600" w:type="dxa"/>
            <w:tcBorders>
              <w:top w:val="single" w:sz="4" w:space="0" w:color="999999"/>
              <w:left w:val="single" w:sz="4" w:space="0" w:color="999999"/>
              <w:bottom w:val="single" w:sz="4" w:space="0" w:color="999999"/>
              <w:right w:val="single" w:sz="4" w:space="0" w:color="999999"/>
            </w:tcBorders>
            <w:shd w:val="clear" w:color="auto" w:fill="F2F2F2"/>
          </w:tcPr>
          <w:p w14:paraId="779ADE92" w14:textId="77777777" w:rsidR="004207D6" w:rsidRDefault="008E15B6">
            <w:pPr>
              <w:spacing w:after="60"/>
              <w:jc w:val="center"/>
            </w:pPr>
            <w:r>
              <w:rPr>
                <w:color w:val="000000"/>
                <w:sz w:val="24"/>
                <w:szCs w:val="24"/>
              </w:rPr>
              <w:t>9</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93" w14:textId="77777777" w:rsidR="004207D6" w:rsidRDefault="008E15B6">
            <w:pPr>
              <w:spacing w:after="60"/>
              <w:jc w:val="center"/>
            </w:pPr>
            <w:r>
              <w:rPr>
                <w:color w:val="000000"/>
                <w:sz w:val="24"/>
                <w:szCs w:val="24"/>
              </w:rPr>
              <w:t>33.3</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94" w14:textId="77777777" w:rsidR="004207D6" w:rsidRDefault="008E15B6">
            <w:pPr>
              <w:spacing w:after="60"/>
              <w:jc w:val="center"/>
            </w:pPr>
            <w:r>
              <w:rPr>
                <w:color w:val="000000"/>
                <w:sz w:val="24"/>
                <w:szCs w:val="24"/>
              </w:rPr>
              <w:t>66.7</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95"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96" w14:textId="77777777" w:rsidR="004207D6" w:rsidRDefault="008E15B6">
            <w:pPr>
              <w:spacing w:after="60"/>
              <w:jc w:val="center"/>
            </w:pPr>
            <w:r>
              <w:rPr>
                <w:color w:val="000000"/>
                <w:sz w:val="24"/>
                <w:szCs w:val="24"/>
              </w:rPr>
              <w:t>66.7</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97" w14:textId="77777777" w:rsidR="004207D6" w:rsidRDefault="008E15B6">
            <w:pPr>
              <w:spacing w:after="60"/>
              <w:jc w:val="center"/>
            </w:pPr>
            <w:r>
              <w:rPr>
                <w:color w:val="000000"/>
                <w:sz w:val="24"/>
                <w:szCs w:val="24"/>
              </w:rPr>
              <w:t>4.3</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98" w14:textId="77777777" w:rsidR="004207D6" w:rsidRDefault="008E15B6">
            <w:pPr>
              <w:spacing w:after="60"/>
              <w:jc w:val="center"/>
            </w:pPr>
            <w:r>
              <w:rPr>
                <w:color w:val="000000"/>
                <w:sz w:val="24"/>
                <w:szCs w:val="24"/>
              </w:rPr>
              <w:t>11.5</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99" w14:textId="77777777" w:rsidR="004207D6" w:rsidRDefault="008E15B6">
            <w:pPr>
              <w:spacing w:after="60"/>
              <w:jc w:val="center"/>
            </w:pPr>
            <w:r>
              <w:rPr>
                <w:color w:val="000000"/>
                <w:sz w:val="24"/>
                <w:szCs w:val="24"/>
              </w:rPr>
              <w:t>8.91</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9A" w14:textId="77777777" w:rsidR="004207D6" w:rsidRDefault="008E15B6">
            <w:pPr>
              <w:spacing w:after="60"/>
              <w:jc w:val="center"/>
            </w:pPr>
            <w:r>
              <w:rPr>
                <w:color w:val="000000"/>
                <w:sz w:val="24"/>
                <w:szCs w:val="24"/>
              </w:rPr>
              <w:t>0.53</w:t>
            </w:r>
          </w:p>
        </w:tc>
      </w:tr>
      <w:tr w:rsidR="004207D6" w14:paraId="779ADEA7" w14:textId="77777777">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9C" w14:textId="77777777" w:rsidR="004207D6" w:rsidRDefault="008E15B6">
            <w:pPr>
              <w:spacing w:after="60"/>
              <w:jc w:val="center"/>
            </w:pPr>
            <w:r>
              <w:rPr>
                <w:color w:val="000000"/>
                <w:sz w:val="24"/>
                <w:szCs w:val="24"/>
              </w:rPr>
              <w:t>Halfords</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9D" w14:textId="77777777" w:rsidR="004207D6" w:rsidRDefault="008E15B6">
            <w:pPr>
              <w:spacing w:after="60"/>
              <w:jc w:val="center"/>
            </w:pPr>
            <w:r>
              <w:rPr>
                <w:color w:val="000000"/>
                <w:sz w:val="24"/>
                <w:szCs w:val="24"/>
              </w:rPr>
              <w:t>2020</w:t>
            </w:r>
          </w:p>
        </w:tc>
        <w:tc>
          <w:tcPr>
            <w:tcW w:w="600" w:type="dxa"/>
            <w:tcBorders>
              <w:top w:val="single" w:sz="4" w:space="0" w:color="999999"/>
              <w:left w:val="single" w:sz="4" w:space="0" w:color="999999"/>
              <w:bottom w:val="single" w:sz="4" w:space="0" w:color="999999"/>
              <w:right w:val="single" w:sz="4" w:space="0" w:color="999999"/>
            </w:tcBorders>
            <w:shd w:val="clear" w:color="auto" w:fill="FFFFFF"/>
          </w:tcPr>
          <w:p w14:paraId="779ADE9E" w14:textId="77777777" w:rsidR="004207D6" w:rsidRDefault="008E15B6">
            <w:pPr>
              <w:spacing w:after="60"/>
              <w:jc w:val="center"/>
            </w:pPr>
            <w:r>
              <w:rPr>
                <w:color w:val="000000"/>
                <w:sz w:val="24"/>
                <w:szCs w:val="24"/>
              </w:rPr>
              <w:t>9</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9F" w14:textId="77777777" w:rsidR="004207D6" w:rsidRDefault="008E15B6">
            <w:pPr>
              <w:spacing w:after="60"/>
              <w:jc w:val="center"/>
            </w:pPr>
            <w:r>
              <w:rPr>
                <w:color w:val="000000"/>
                <w:sz w:val="24"/>
                <w:szCs w:val="24"/>
              </w:rPr>
              <w:t>33.3</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A0" w14:textId="77777777" w:rsidR="004207D6" w:rsidRDefault="008E15B6">
            <w:pPr>
              <w:spacing w:after="60"/>
              <w:jc w:val="center"/>
            </w:pPr>
            <w:r>
              <w:rPr>
                <w:color w:val="000000"/>
                <w:sz w:val="24"/>
                <w:szCs w:val="24"/>
              </w:rPr>
              <w:t>66.7</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A1"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A2" w14:textId="77777777" w:rsidR="004207D6" w:rsidRDefault="008E15B6">
            <w:pPr>
              <w:spacing w:after="60"/>
              <w:jc w:val="center"/>
            </w:pPr>
            <w:r>
              <w:rPr>
                <w:color w:val="000000"/>
                <w:sz w:val="24"/>
                <w:szCs w:val="24"/>
              </w:rPr>
              <w:t>66.7</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A3" w14:textId="77777777" w:rsidR="004207D6" w:rsidRDefault="008E15B6">
            <w:pPr>
              <w:spacing w:after="60"/>
              <w:jc w:val="center"/>
            </w:pPr>
            <w:r>
              <w:rPr>
                <w:color w:val="000000"/>
                <w:sz w:val="24"/>
                <w:szCs w:val="24"/>
              </w:rPr>
              <w:t>3.1</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A4" w14:textId="77777777" w:rsidR="004207D6" w:rsidRDefault="008E15B6">
            <w:pPr>
              <w:spacing w:after="60"/>
              <w:jc w:val="center"/>
            </w:pPr>
            <w:r>
              <w:rPr>
                <w:color w:val="000000"/>
                <w:sz w:val="24"/>
                <w:szCs w:val="24"/>
              </w:rPr>
              <w:t>8.3</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A5" w14:textId="77777777" w:rsidR="004207D6" w:rsidRDefault="008E15B6">
            <w:pPr>
              <w:spacing w:after="60"/>
              <w:jc w:val="center"/>
            </w:pPr>
            <w:r>
              <w:rPr>
                <w:color w:val="000000"/>
                <w:sz w:val="24"/>
                <w:szCs w:val="24"/>
              </w:rPr>
              <w:t>8.89</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A6" w14:textId="77777777" w:rsidR="004207D6" w:rsidRDefault="008E15B6">
            <w:pPr>
              <w:spacing w:after="60"/>
              <w:jc w:val="center"/>
            </w:pPr>
            <w:r>
              <w:rPr>
                <w:color w:val="000000"/>
                <w:sz w:val="24"/>
                <w:szCs w:val="24"/>
              </w:rPr>
              <w:t>0.55</w:t>
            </w:r>
          </w:p>
        </w:tc>
      </w:tr>
      <w:tr w:rsidR="004207D6" w14:paraId="779ADEB3" w14:textId="77777777">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A8" w14:textId="77777777" w:rsidR="004207D6" w:rsidRDefault="008E15B6">
            <w:pPr>
              <w:spacing w:after="60"/>
              <w:jc w:val="center"/>
            </w:pPr>
            <w:r>
              <w:rPr>
                <w:color w:val="000000"/>
                <w:sz w:val="24"/>
                <w:szCs w:val="24"/>
              </w:rPr>
              <w:t>Halfords</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A9" w14:textId="77777777" w:rsidR="004207D6" w:rsidRDefault="008E15B6">
            <w:pPr>
              <w:spacing w:after="60"/>
              <w:jc w:val="center"/>
            </w:pPr>
            <w:r>
              <w:rPr>
                <w:color w:val="000000"/>
                <w:sz w:val="24"/>
                <w:szCs w:val="24"/>
              </w:rPr>
              <w:t>2021</w:t>
            </w:r>
          </w:p>
        </w:tc>
        <w:tc>
          <w:tcPr>
            <w:tcW w:w="600" w:type="dxa"/>
            <w:tcBorders>
              <w:top w:val="single" w:sz="4" w:space="0" w:color="999999"/>
              <w:left w:val="single" w:sz="4" w:space="0" w:color="999999"/>
              <w:bottom w:val="single" w:sz="4" w:space="0" w:color="999999"/>
              <w:right w:val="single" w:sz="4" w:space="0" w:color="999999"/>
            </w:tcBorders>
            <w:shd w:val="clear" w:color="auto" w:fill="F2F2F2"/>
          </w:tcPr>
          <w:p w14:paraId="779ADEAA" w14:textId="77777777" w:rsidR="004207D6" w:rsidRDefault="008E15B6">
            <w:pPr>
              <w:spacing w:after="60"/>
              <w:jc w:val="center"/>
            </w:pPr>
            <w:r>
              <w:rPr>
                <w:color w:val="000000"/>
                <w:sz w:val="24"/>
                <w:szCs w:val="24"/>
              </w:rPr>
              <w:t>9</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AB" w14:textId="77777777" w:rsidR="004207D6" w:rsidRDefault="008E15B6">
            <w:pPr>
              <w:spacing w:after="60"/>
              <w:jc w:val="center"/>
            </w:pPr>
            <w:r>
              <w:rPr>
                <w:color w:val="000000"/>
                <w:sz w:val="24"/>
                <w:szCs w:val="24"/>
              </w:rPr>
              <w:t>44.4</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AC" w14:textId="77777777" w:rsidR="004207D6" w:rsidRDefault="008E15B6">
            <w:pPr>
              <w:spacing w:after="60"/>
              <w:jc w:val="center"/>
            </w:pPr>
            <w:r>
              <w:rPr>
                <w:color w:val="000000"/>
                <w:sz w:val="24"/>
                <w:szCs w:val="24"/>
              </w:rPr>
              <w:t>66.7</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AD"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AE" w14:textId="77777777" w:rsidR="004207D6" w:rsidRDefault="008E15B6">
            <w:pPr>
              <w:spacing w:after="60"/>
              <w:jc w:val="center"/>
            </w:pPr>
            <w:r>
              <w:rPr>
                <w:color w:val="000000"/>
                <w:sz w:val="24"/>
                <w:szCs w:val="24"/>
              </w:rPr>
              <w:t>66.7</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AF" w14:textId="77777777" w:rsidR="004207D6" w:rsidRDefault="008E15B6">
            <w:pPr>
              <w:spacing w:after="60"/>
              <w:jc w:val="center"/>
            </w:pPr>
            <w:r>
              <w:rPr>
                <w:color w:val="000000"/>
                <w:sz w:val="24"/>
                <w:szCs w:val="24"/>
              </w:rPr>
              <w:t>6.2</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B0" w14:textId="77777777" w:rsidR="004207D6" w:rsidRDefault="008E15B6">
            <w:pPr>
              <w:spacing w:after="60"/>
              <w:jc w:val="center"/>
            </w:pPr>
            <w:r>
              <w:rPr>
                <w:color w:val="000000"/>
                <w:sz w:val="24"/>
                <w:szCs w:val="24"/>
              </w:rPr>
              <w:t>16.6</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B1" w14:textId="77777777" w:rsidR="004207D6" w:rsidRDefault="008E15B6">
            <w:pPr>
              <w:spacing w:after="60"/>
              <w:jc w:val="center"/>
            </w:pPr>
            <w:r>
              <w:rPr>
                <w:color w:val="000000"/>
                <w:sz w:val="24"/>
                <w:szCs w:val="24"/>
              </w:rPr>
              <w:t>8.93</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B2" w14:textId="77777777" w:rsidR="004207D6" w:rsidRDefault="008E15B6">
            <w:pPr>
              <w:spacing w:after="60"/>
              <w:jc w:val="center"/>
            </w:pPr>
            <w:r>
              <w:rPr>
                <w:color w:val="000000"/>
                <w:sz w:val="24"/>
                <w:szCs w:val="24"/>
              </w:rPr>
              <w:t>0.52</w:t>
            </w:r>
          </w:p>
        </w:tc>
      </w:tr>
      <w:tr w:rsidR="004207D6" w14:paraId="779ADEBF" w14:textId="77777777">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B4" w14:textId="77777777" w:rsidR="004207D6" w:rsidRDefault="008E15B6">
            <w:pPr>
              <w:spacing w:after="60"/>
              <w:jc w:val="center"/>
            </w:pPr>
            <w:r>
              <w:rPr>
                <w:color w:val="000000"/>
                <w:sz w:val="24"/>
                <w:szCs w:val="24"/>
              </w:rPr>
              <w:lastRenderedPageBreak/>
              <w:t>Halfords</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B5" w14:textId="77777777" w:rsidR="004207D6" w:rsidRDefault="008E15B6">
            <w:pPr>
              <w:spacing w:after="60"/>
              <w:jc w:val="center"/>
            </w:pPr>
            <w:r>
              <w:rPr>
                <w:color w:val="000000"/>
                <w:sz w:val="24"/>
                <w:szCs w:val="24"/>
              </w:rPr>
              <w:t>2022</w:t>
            </w:r>
          </w:p>
        </w:tc>
        <w:tc>
          <w:tcPr>
            <w:tcW w:w="600" w:type="dxa"/>
            <w:tcBorders>
              <w:top w:val="single" w:sz="4" w:space="0" w:color="999999"/>
              <w:left w:val="single" w:sz="4" w:space="0" w:color="999999"/>
              <w:bottom w:val="single" w:sz="4" w:space="0" w:color="999999"/>
              <w:right w:val="single" w:sz="4" w:space="0" w:color="999999"/>
            </w:tcBorders>
            <w:shd w:val="clear" w:color="auto" w:fill="FFFFFF"/>
          </w:tcPr>
          <w:p w14:paraId="779ADEB6" w14:textId="77777777" w:rsidR="004207D6" w:rsidRDefault="008E15B6">
            <w:pPr>
              <w:spacing w:after="60"/>
              <w:jc w:val="center"/>
            </w:pPr>
            <w:r>
              <w:rPr>
                <w:color w:val="000000"/>
                <w:sz w:val="24"/>
                <w:szCs w:val="24"/>
              </w:rPr>
              <w:t>8</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B7" w14:textId="77777777" w:rsidR="004207D6" w:rsidRDefault="008E15B6">
            <w:pPr>
              <w:spacing w:after="60"/>
              <w:jc w:val="center"/>
            </w:pPr>
            <w:r>
              <w:rPr>
                <w:color w:val="000000"/>
                <w:sz w:val="24"/>
                <w:szCs w:val="24"/>
              </w:rPr>
              <w:t>50.0</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B8" w14:textId="77777777" w:rsidR="004207D6" w:rsidRDefault="008E15B6">
            <w:pPr>
              <w:spacing w:after="60"/>
              <w:jc w:val="center"/>
            </w:pPr>
            <w:r>
              <w:rPr>
                <w:color w:val="000000"/>
                <w:sz w:val="24"/>
                <w:szCs w:val="24"/>
              </w:rPr>
              <w:t>75.0</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B9"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BA" w14:textId="77777777" w:rsidR="004207D6" w:rsidRDefault="008E15B6">
            <w:pPr>
              <w:spacing w:after="60"/>
              <w:jc w:val="center"/>
            </w:pPr>
            <w:r>
              <w:rPr>
                <w:color w:val="000000"/>
                <w:sz w:val="24"/>
                <w:szCs w:val="24"/>
              </w:rPr>
              <w:t>62.5</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BB" w14:textId="77777777" w:rsidR="004207D6" w:rsidRDefault="008E15B6">
            <w:pPr>
              <w:spacing w:after="60"/>
              <w:jc w:val="center"/>
            </w:pPr>
            <w:r>
              <w:rPr>
                <w:color w:val="000000"/>
                <w:sz w:val="24"/>
                <w:szCs w:val="24"/>
              </w:rPr>
              <w:t>5.4</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BC" w14:textId="77777777" w:rsidR="004207D6" w:rsidRDefault="008E15B6">
            <w:pPr>
              <w:spacing w:after="60"/>
              <w:jc w:val="center"/>
            </w:pPr>
            <w:r>
              <w:rPr>
                <w:color w:val="000000"/>
                <w:sz w:val="24"/>
                <w:szCs w:val="24"/>
              </w:rPr>
              <w:t>14.4</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BD" w14:textId="77777777" w:rsidR="004207D6" w:rsidRDefault="008E15B6">
            <w:pPr>
              <w:spacing w:after="60"/>
              <w:jc w:val="center"/>
            </w:pPr>
            <w:r>
              <w:rPr>
                <w:color w:val="000000"/>
                <w:sz w:val="24"/>
                <w:szCs w:val="24"/>
              </w:rPr>
              <w:t>8.91</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BE" w14:textId="77777777" w:rsidR="004207D6" w:rsidRDefault="008E15B6">
            <w:pPr>
              <w:spacing w:after="60"/>
              <w:jc w:val="center"/>
            </w:pPr>
            <w:r>
              <w:rPr>
                <w:color w:val="000000"/>
                <w:sz w:val="24"/>
                <w:szCs w:val="24"/>
              </w:rPr>
              <w:t>0.53</w:t>
            </w:r>
          </w:p>
        </w:tc>
      </w:tr>
      <w:tr w:rsidR="004207D6" w14:paraId="779ADECB" w14:textId="77777777">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C0" w14:textId="77777777" w:rsidR="004207D6" w:rsidRDefault="008E15B6">
            <w:pPr>
              <w:spacing w:after="60"/>
              <w:jc w:val="center"/>
            </w:pPr>
            <w:r>
              <w:rPr>
                <w:color w:val="000000"/>
                <w:sz w:val="24"/>
                <w:szCs w:val="24"/>
              </w:rPr>
              <w:t>Halfords</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C1" w14:textId="77777777" w:rsidR="004207D6" w:rsidRDefault="008E15B6">
            <w:pPr>
              <w:spacing w:after="60"/>
              <w:jc w:val="center"/>
            </w:pPr>
            <w:r>
              <w:rPr>
                <w:color w:val="000000"/>
                <w:sz w:val="24"/>
                <w:szCs w:val="24"/>
              </w:rPr>
              <w:t>2023</w:t>
            </w:r>
          </w:p>
        </w:tc>
        <w:tc>
          <w:tcPr>
            <w:tcW w:w="600" w:type="dxa"/>
            <w:tcBorders>
              <w:top w:val="single" w:sz="4" w:space="0" w:color="999999"/>
              <w:left w:val="single" w:sz="4" w:space="0" w:color="999999"/>
              <w:bottom w:val="single" w:sz="4" w:space="0" w:color="999999"/>
              <w:right w:val="single" w:sz="4" w:space="0" w:color="999999"/>
            </w:tcBorders>
            <w:shd w:val="clear" w:color="auto" w:fill="F2F2F2"/>
          </w:tcPr>
          <w:p w14:paraId="779ADEC2" w14:textId="77777777" w:rsidR="004207D6" w:rsidRDefault="008E15B6">
            <w:pPr>
              <w:spacing w:after="60"/>
              <w:jc w:val="center"/>
            </w:pPr>
            <w:r>
              <w:rPr>
                <w:color w:val="000000"/>
                <w:sz w:val="24"/>
                <w:szCs w:val="24"/>
              </w:rPr>
              <w:t>8</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C3" w14:textId="77777777" w:rsidR="004207D6" w:rsidRDefault="008E15B6">
            <w:pPr>
              <w:spacing w:after="60"/>
              <w:jc w:val="center"/>
            </w:pPr>
            <w:r>
              <w:rPr>
                <w:color w:val="000000"/>
                <w:sz w:val="24"/>
                <w:szCs w:val="24"/>
              </w:rPr>
              <w:t>50.0</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C4" w14:textId="77777777" w:rsidR="004207D6" w:rsidRDefault="008E15B6">
            <w:pPr>
              <w:spacing w:after="60"/>
              <w:jc w:val="center"/>
            </w:pPr>
            <w:r>
              <w:rPr>
                <w:color w:val="000000"/>
                <w:sz w:val="24"/>
                <w:szCs w:val="24"/>
              </w:rPr>
              <w:t>75.0</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C5"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C6" w14:textId="77777777" w:rsidR="004207D6" w:rsidRDefault="008E15B6">
            <w:pPr>
              <w:spacing w:after="60"/>
              <w:jc w:val="center"/>
            </w:pPr>
            <w:r>
              <w:rPr>
                <w:color w:val="000000"/>
                <w:sz w:val="24"/>
                <w:szCs w:val="24"/>
              </w:rPr>
              <w:t>62.5</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C7" w14:textId="77777777" w:rsidR="004207D6" w:rsidRDefault="008E15B6">
            <w:pPr>
              <w:spacing w:after="60"/>
              <w:jc w:val="center"/>
            </w:pPr>
            <w:r>
              <w:rPr>
                <w:color w:val="000000"/>
                <w:sz w:val="24"/>
                <w:szCs w:val="24"/>
              </w:rPr>
              <w:t>3.8</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C8" w14:textId="77777777" w:rsidR="004207D6" w:rsidRDefault="008E15B6">
            <w:pPr>
              <w:spacing w:after="60"/>
              <w:jc w:val="center"/>
            </w:pPr>
            <w:r>
              <w:rPr>
                <w:color w:val="000000"/>
                <w:sz w:val="24"/>
                <w:szCs w:val="24"/>
              </w:rPr>
              <w:t>10.2</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C9" w14:textId="77777777" w:rsidR="004207D6" w:rsidRDefault="008E15B6">
            <w:pPr>
              <w:spacing w:after="60"/>
              <w:jc w:val="center"/>
            </w:pPr>
            <w:r>
              <w:rPr>
                <w:color w:val="000000"/>
                <w:sz w:val="24"/>
                <w:szCs w:val="24"/>
              </w:rPr>
              <w:t>8.90</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CA" w14:textId="77777777" w:rsidR="004207D6" w:rsidRDefault="008E15B6">
            <w:pPr>
              <w:spacing w:after="60"/>
              <w:jc w:val="center"/>
            </w:pPr>
            <w:r>
              <w:rPr>
                <w:color w:val="000000"/>
                <w:sz w:val="24"/>
                <w:szCs w:val="24"/>
              </w:rPr>
              <w:t>0.54</w:t>
            </w:r>
          </w:p>
        </w:tc>
      </w:tr>
      <w:tr w:rsidR="004207D6" w14:paraId="779ADED7" w14:textId="77777777">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CC" w14:textId="77777777" w:rsidR="004207D6" w:rsidRDefault="008E15B6">
            <w:pPr>
              <w:spacing w:after="60"/>
              <w:jc w:val="center"/>
            </w:pPr>
            <w:r>
              <w:rPr>
                <w:color w:val="000000"/>
                <w:sz w:val="24"/>
                <w:szCs w:val="24"/>
              </w:rPr>
              <w:t>Greggs</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CD" w14:textId="77777777" w:rsidR="004207D6" w:rsidRDefault="008E15B6">
            <w:pPr>
              <w:spacing w:after="60"/>
              <w:jc w:val="center"/>
            </w:pPr>
            <w:r>
              <w:rPr>
                <w:color w:val="000000"/>
                <w:sz w:val="24"/>
                <w:szCs w:val="24"/>
              </w:rPr>
              <w:t>2019</w:t>
            </w:r>
          </w:p>
        </w:tc>
        <w:tc>
          <w:tcPr>
            <w:tcW w:w="600" w:type="dxa"/>
            <w:tcBorders>
              <w:top w:val="single" w:sz="4" w:space="0" w:color="999999"/>
              <w:left w:val="single" w:sz="4" w:space="0" w:color="999999"/>
              <w:bottom w:val="single" w:sz="4" w:space="0" w:color="999999"/>
              <w:right w:val="single" w:sz="4" w:space="0" w:color="999999"/>
            </w:tcBorders>
            <w:shd w:val="clear" w:color="auto" w:fill="FFFFFF"/>
          </w:tcPr>
          <w:p w14:paraId="779ADECE" w14:textId="77777777" w:rsidR="004207D6" w:rsidRDefault="008E15B6">
            <w:pPr>
              <w:spacing w:after="60"/>
              <w:jc w:val="center"/>
            </w:pPr>
            <w:r>
              <w:rPr>
                <w:color w:val="000000"/>
                <w:sz w:val="24"/>
                <w:szCs w:val="24"/>
              </w:rPr>
              <w:t>8</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CF" w14:textId="77777777" w:rsidR="004207D6" w:rsidRDefault="008E15B6">
            <w:pPr>
              <w:spacing w:after="60"/>
              <w:jc w:val="center"/>
            </w:pPr>
            <w:r>
              <w:rPr>
                <w:color w:val="000000"/>
                <w:sz w:val="24"/>
                <w:szCs w:val="24"/>
              </w:rPr>
              <w:t>37.5</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D0" w14:textId="77777777" w:rsidR="004207D6" w:rsidRDefault="008E15B6">
            <w:pPr>
              <w:spacing w:after="60"/>
              <w:jc w:val="center"/>
            </w:pPr>
            <w:r>
              <w:rPr>
                <w:color w:val="000000"/>
                <w:sz w:val="24"/>
                <w:szCs w:val="24"/>
              </w:rPr>
              <w:t>75.0</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D1"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D2" w14:textId="77777777" w:rsidR="004207D6" w:rsidRDefault="008E15B6">
            <w:pPr>
              <w:spacing w:after="60"/>
              <w:jc w:val="center"/>
            </w:pPr>
            <w:r>
              <w:rPr>
                <w:color w:val="000000"/>
                <w:sz w:val="24"/>
                <w:szCs w:val="24"/>
              </w:rPr>
              <w:t>62.5</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D3" w14:textId="77777777" w:rsidR="004207D6" w:rsidRDefault="008E15B6">
            <w:pPr>
              <w:spacing w:after="60"/>
              <w:jc w:val="center"/>
            </w:pPr>
            <w:r>
              <w:rPr>
                <w:color w:val="000000"/>
                <w:sz w:val="24"/>
                <w:szCs w:val="24"/>
              </w:rPr>
              <w:t>12.4</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D4" w14:textId="77777777" w:rsidR="004207D6" w:rsidRDefault="008E15B6">
            <w:pPr>
              <w:spacing w:after="60"/>
              <w:jc w:val="center"/>
            </w:pPr>
            <w:r>
              <w:rPr>
                <w:color w:val="000000"/>
                <w:sz w:val="24"/>
                <w:szCs w:val="24"/>
              </w:rPr>
              <w:t>32.6</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D5" w14:textId="77777777" w:rsidR="004207D6" w:rsidRDefault="008E15B6">
            <w:pPr>
              <w:spacing w:after="60"/>
              <w:jc w:val="center"/>
            </w:pPr>
            <w:r>
              <w:rPr>
                <w:color w:val="000000"/>
                <w:sz w:val="24"/>
                <w:szCs w:val="24"/>
              </w:rPr>
              <w:t>8.39</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D6" w14:textId="77777777" w:rsidR="004207D6" w:rsidRDefault="008E15B6">
            <w:pPr>
              <w:spacing w:after="60"/>
              <w:jc w:val="center"/>
            </w:pPr>
            <w:r>
              <w:rPr>
                <w:color w:val="000000"/>
                <w:sz w:val="24"/>
                <w:szCs w:val="24"/>
              </w:rPr>
              <w:t>0.38</w:t>
            </w:r>
          </w:p>
        </w:tc>
      </w:tr>
      <w:tr w:rsidR="004207D6" w14:paraId="779ADEE3" w14:textId="77777777">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D8" w14:textId="77777777" w:rsidR="004207D6" w:rsidRDefault="008E15B6">
            <w:pPr>
              <w:spacing w:after="60"/>
              <w:jc w:val="center"/>
            </w:pPr>
            <w:r>
              <w:rPr>
                <w:color w:val="000000"/>
                <w:sz w:val="24"/>
                <w:szCs w:val="24"/>
              </w:rPr>
              <w:t>Greggs</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D9" w14:textId="77777777" w:rsidR="004207D6" w:rsidRDefault="008E15B6">
            <w:pPr>
              <w:spacing w:after="60"/>
              <w:jc w:val="center"/>
            </w:pPr>
            <w:r>
              <w:rPr>
                <w:color w:val="000000"/>
                <w:sz w:val="24"/>
                <w:szCs w:val="24"/>
              </w:rPr>
              <w:t>2020</w:t>
            </w:r>
          </w:p>
        </w:tc>
        <w:tc>
          <w:tcPr>
            <w:tcW w:w="600" w:type="dxa"/>
            <w:tcBorders>
              <w:top w:val="single" w:sz="4" w:space="0" w:color="999999"/>
              <w:left w:val="single" w:sz="4" w:space="0" w:color="999999"/>
              <w:bottom w:val="single" w:sz="4" w:space="0" w:color="999999"/>
              <w:right w:val="single" w:sz="4" w:space="0" w:color="999999"/>
            </w:tcBorders>
            <w:shd w:val="clear" w:color="auto" w:fill="F2F2F2"/>
          </w:tcPr>
          <w:p w14:paraId="779ADEDA" w14:textId="77777777" w:rsidR="004207D6" w:rsidRDefault="008E15B6">
            <w:pPr>
              <w:spacing w:after="60"/>
              <w:jc w:val="center"/>
            </w:pPr>
            <w:r>
              <w:rPr>
                <w:color w:val="000000"/>
                <w:sz w:val="24"/>
                <w:szCs w:val="24"/>
              </w:rPr>
              <w:t>8</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DB" w14:textId="77777777" w:rsidR="004207D6" w:rsidRDefault="008E15B6">
            <w:pPr>
              <w:spacing w:after="60"/>
              <w:jc w:val="center"/>
            </w:pPr>
            <w:r>
              <w:rPr>
                <w:color w:val="000000"/>
                <w:sz w:val="24"/>
                <w:szCs w:val="24"/>
              </w:rPr>
              <w:t>37.5</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DC" w14:textId="77777777" w:rsidR="004207D6" w:rsidRDefault="008E15B6">
            <w:pPr>
              <w:spacing w:after="60"/>
              <w:jc w:val="center"/>
            </w:pPr>
            <w:r>
              <w:rPr>
                <w:color w:val="000000"/>
                <w:sz w:val="24"/>
                <w:szCs w:val="24"/>
              </w:rPr>
              <w:t>75.0</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DD"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DE" w14:textId="77777777" w:rsidR="004207D6" w:rsidRDefault="008E15B6">
            <w:pPr>
              <w:spacing w:after="60"/>
              <w:jc w:val="center"/>
            </w:pPr>
            <w:r>
              <w:rPr>
                <w:color w:val="000000"/>
                <w:sz w:val="24"/>
                <w:szCs w:val="24"/>
              </w:rPr>
              <w:t>62.5</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DF" w14:textId="77777777" w:rsidR="004207D6" w:rsidRDefault="008E15B6">
            <w:pPr>
              <w:spacing w:after="60"/>
              <w:jc w:val="center"/>
            </w:pPr>
            <w:r>
              <w:rPr>
                <w:color w:val="000000"/>
                <w:sz w:val="24"/>
                <w:szCs w:val="24"/>
              </w:rPr>
              <w:t>-1.3</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E0" w14:textId="77777777" w:rsidR="004207D6" w:rsidRDefault="008E15B6">
            <w:pPr>
              <w:spacing w:after="60"/>
              <w:jc w:val="center"/>
            </w:pPr>
            <w:r>
              <w:rPr>
                <w:color w:val="000000"/>
                <w:sz w:val="24"/>
                <w:szCs w:val="24"/>
              </w:rPr>
              <w:t>-3.4</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E1" w14:textId="77777777" w:rsidR="004207D6" w:rsidRDefault="008E15B6">
            <w:pPr>
              <w:spacing w:after="60"/>
              <w:jc w:val="center"/>
            </w:pPr>
            <w:r>
              <w:rPr>
                <w:color w:val="000000"/>
                <w:sz w:val="24"/>
                <w:szCs w:val="24"/>
              </w:rPr>
              <w:t>8.37</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E2" w14:textId="77777777" w:rsidR="004207D6" w:rsidRDefault="008E15B6">
            <w:pPr>
              <w:spacing w:after="60"/>
              <w:jc w:val="center"/>
            </w:pPr>
            <w:r>
              <w:rPr>
                <w:color w:val="000000"/>
                <w:sz w:val="24"/>
                <w:szCs w:val="24"/>
              </w:rPr>
              <w:t>0.40</w:t>
            </w:r>
          </w:p>
        </w:tc>
      </w:tr>
      <w:tr w:rsidR="004207D6" w14:paraId="779ADEEF" w14:textId="77777777">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E4" w14:textId="77777777" w:rsidR="004207D6" w:rsidRDefault="008E15B6">
            <w:pPr>
              <w:spacing w:after="60"/>
              <w:jc w:val="center"/>
            </w:pPr>
            <w:r>
              <w:rPr>
                <w:color w:val="000000"/>
                <w:sz w:val="24"/>
                <w:szCs w:val="24"/>
              </w:rPr>
              <w:t>Greggs</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E5" w14:textId="77777777" w:rsidR="004207D6" w:rsidRDefault="008E15B6">
            <w:pPr>
              <w:spacing w:after="60"/>
              <w:jc w:val="center"/>
            </w:pPr>
            <w:r>
              <w:rPr>
                <w:color w:val="000000"/>
                <w:sz w:val="24"/>
                <w:szCs w:val="24"/>
              </w:rPr>
              <w:t>2021</w:t>
            </w:r>
          </w:p>
        </w:tc>
        <w:tc>
          <w:tcPr>
            <w:tcW w:w="600" w:type="dxa"/>
            <w:tcBorders>
              <w:top w:val="single" w:sz="4" w:space="0" w:color="999999"/>
              <w:left w:val="single" w:sz="4" w:space="0" w:color="999999"/>
              <w:bottom w:val="single" w:sz="4" w:space="0" w:color="999999"/>
              <w:right w:val="single" w:sz="4" w:space="0" w:color="999999"/>
            </w:tcBorders>
            <w:shd w:val="clear" w:color="auto" w:fill="FFFFFF"/>
          </w:tcPr>
          <w:p w14:paraId="779ADEE6" w14:textId="77777777" w:rsidR="004207D6" w:rsidRDefault="008E15B6">
            <w:pPr>
              <w:spacing w:after="60"/>
              <w:jc w:val="center"/>
            </w:pPr>
            <w:r>
              <w:rPr>
                <w:color w:val="000000"/>
                <w:sz w:val="24"/>
                <w:szCs w:val="24"/>
              </w:rPr>
              <w:t>8</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E7" w14:textId="77777777" w:rsidR="004207D6" w:rsidRDefault="008E15B6">
            <w:pPr>
              <w:spacing w:after="60"/>
              <w:jc w:val="center"/>
            </w:pPr>
            <w:r>
              <w:rPr>
                <w:color w:val="000000"/>
                <w:sz w:val="24"/>
                <w:szCs w:val="24"/>
              </w:rPr>
              <w:t>37.5</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E8" w14:textId="77777777" w:rsidR="004207D6" w:rsidRDefault="008E15B6">
            <w:pPr>
              <w:spacing w:after="60"/>
              <w:jc w:val="center"/>
            </w:pPr>
            <w:r>
              <w:rPr>
                <w:color w:val="000000"/>
                <w:sz w:val="24"/>
                <w:szCs w:val="24"/>
              </w:rPr>
              <w:t>75.0</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E9"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EA" w14:textId="77777777" w:rsidR="004207D6" w:rsidRDefault="008E15B6">
            <w:pPr>
              <w:spacing w:after="60"/>
              <w:jc w:val="center"/>
            </w:pPr>
            <w:r>
              <w:rPr>
                <w:color w:val="000000"/>
                <w:sz w:val="24"/>
                <w:szCs w:val="24"/>
              </w:rPr>
              <w:t>62.5</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EB" w14:textId="77777777" w:rsidR="004207D6" w:rsidRDefault="008E15B6">
            <w:pPr>
              <w:spacing w:after="60"/>
              <w:jc w:val="center"/>
            </w:pPr>
            <w:r>
              <w:rPr>
                <w:color w:val="000000"/>
                <w:sz w:val="24"/>
                <w:szCs w:val="24"/>
              </w:rPr>
              <w:t>8.7</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EC" w14:textId="77777777" w:rsidR="004207D6" w:rsidRDefault="008E15B6">
            <w:pPr>
              <w:spacing w:after="60"/>
              <w:jc w:val="center"/>
            </w:pPr>
            <w:r>
              <w:rPr>
                <w:color w:val="000000"/>
                <w:sz w:val="24"/>
                <w:szCs w:val="24"/>
              </w:rPr>
              <w:t>22.9</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EED" w14:textId="77777777" w:rsidR="004207D6" w:rsidRDefault="008E15B6">
            <w:pPr>
              <w:spacing w:after="60"/>
              <w:jc w:val="center"/>
            </w:pPr>
            <w:r>
              <w:rPr>
                <w:color w:val="000000"/>
                <w:sz w:val="24"/>
                <w:szCs w:val="24"/>
              </w:rPr>
              <w:t>8.41</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EE" w14:textId="77777777" w:rsidR="004207D6" w:rsidRDefault="008E15B6">
            <w:pPr>
              <w:spacing w:after="60"/>
              <w:jc w:val="center"/>
            </w:pPr>
            <w:r>
              <w:rPr>
                <w:color w:val="000000"/>
                <w:sz w:val="24"/>
                <w:szCs w:val="24"/>
              </w:rPr>
              <w:t>0.37</w:t>
            </w:r>
          </w:p>
        </w:tc>
      </w:tr>
      <w:tr w:rsidR="004207D6" w14:paraId="779ADEFB" w14:textId="77777777">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F0" w14:textId="77777777" w:rsidR="004207D6" w:rsidRDefault="008E15B6">
            <w:pPr>
              <w:spacing w:after="60"/>
              <w:jc w:val="center"/>
            </w:pPr>
            <w:r>
              <w:rPr>
                <w:color w:val="000000"/>
                <w:sz w:val="24"/>
                <w:szCs w:val="24"/>
              </w:rPr>
              <w:t>Greggs</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F1" w14:textId="77777777" w:rsidR="004207D6" w:rsidRDefault="008E15B6">
            <w:pPr>
              <w:spacing w:after="60"/>
              <w:jc w:val="center"/>
            </w:pPr>
            <w:r>
              <w:rPr>
                <w:color w:val="000000"/>
                <w:sz w:val="24"/>
                <w:szCs w:val="24"/>
              </w:rPr>
              <w:t>2022</w:t>
            </w:r>
          </w:p>
        </w:tc>
        <w:tc>
          <w:tcPr>
            <w:tcW w:w="600" w:type="dxa"/>
            <w:tcBorders>
              <w:top w:val="single" w:sz="4" w:space="0" w:color="999999"/>
              <w:left w:val="single" w:sz="4" w:space="0" w:color="999999"/>
              <w:bottom w:val="single" w:sz="4" w:space="0" w:color="999999"/>
              <w:right w:val="single" w:sz="4" w:space="0" w:color="999999"/>
            </w:tcBorders>
            <w:shd w:val="clear" w:color="auto" w:fill="F2F2F2"/>
          </w:tcPr>
          <w:p w14:paraId="779ADEF2" w14:textId="77777777" w:rsidR="004207D6" w:rsidRDefault="008E15B6">
            <w:pPr>
              <w:spacing w:after="60"/>
              <w:jc w:val="center"/>
            </w:pPr>
            <w:r>
              <w:rPr>
                <w:color w:val="000000"/>
                <w:sz w:val="24"/>
                <w:szCs w:val="24"/>
              </w:rPr>
              <w:t>8</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F3" w14:textId="77777777" w:rsidR="004207D6" w:rsidRDefault="008E15B6">
            <w:pPr>
              <w:spacing w:after="60"/>
              <w:jc w:val="center"/>
            </w:pPr>
            <w:r>
              <w:rPr>
                <w:color w:val="000000"/>
                <w:sz w:val="24"/>
                <w:szCs w:val="24"/>
              </w:rPr>
              <w:t>50.0</w:t>
            </w:r>
          </w:p>
        </w:tc>
        <w:tc>
          <w:tcPr>
            <w:tcW w:w="800" w:type="dxa"/>
            <w:tcBorders>
              <w:top w:val="single" w:sz="4" w:space="0" w:color="999999"/>
              <w:left w:val="single" w:sz="4" w:space="0" w:color="999999"/>
              <w:bottom w:val="single" w:sz="4" w:space="0" w:color="999999"/>
              <w:right w:val="single" w:sz="4" w:space="0" w:color="999999"/>
            </w:tcBorders>
            <w:shd w:val="clear" w:color="auto" w:fill="F2F2F2"/>
          </w:tcPr>
          <w:p w14:paraId="779ADEF4" w14:textId="77777777" w:rsidR="004207D6" w:rsidRDefault="008E15B6">
            <w:pPr>
              <w:spacing w:after="60"/>
              <w:jc w:val="center"/>
            </w:pPr>
            <w:r>
              <w:rPr>
                <w:color w:val="000000"/>
                <w:sz w:val="24"/>
                <w:szCs w:val="24"/>
              </w:rPr>
              <w:t>75.0</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F5"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F6" w14:textId="77777777" w:rsidR="004207D6" w:rsidRDefault="008E15B6">
            <w:pPr>
              <w:spacing w:after="60"/>
              <w:jc w:val="center"/>
            </w:pPr>
            <w:r>
              <w:rPr>
                <w:color w:val="000000"/>
                <w:sz w:val="24"/>
                <w:szCs w:val="24"/>
              </w:rPr>
              <w:t>62.5</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F7" w14:textId="77777777" w:rsidR="004207D6" w:rsidRDefault="008E15B6">
            <w:pPr>
              <w:spacing w:after="60"/>
              <w:jc w:val="center"/>
            </w:pPr>
            <w:r>
              <w:rPr>
                <w:color w:val="000000"/>
                <w:sz w:val="24"/>
                <w:szCs w:val="24"/>
              </w:rPr>
              <w:t>10.2</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F8" w14:textId="77777777" w:rsidR="004207D6" w:rsidRDefault="008E15B6">
            <w:pPr>
              <w:spacing w:after="60"/>
              <w:jc w:val="center"/>
            </w:pPr>
            <w:r>
              <w:rPr>
                <w:color w:val="000000"/>
                <w:sz w:val="24"/>
                <w:szCs w:val="24"/>
              </w:rPr>
              <w:t>26.8</w:t>
            </w:r>
          </w:p>
        </w:tc>
        <w:tc>
          <w:tcPr>
            <w:tcW w:w="700" w:type="dxa"/>
            <w:tcBorders>
              <w:top w:val="single" w:sz="4" w:space="0" w:color="999999"/>
              <w:left w:val="single" w:sz="4" w:space="0" w:color="999999"/>
              <w:bottom w:val="single" w:sz="4" w:space="0" w:color="999999"/>
              <w:right w:val="single" w:sz="4" w:space="0" w:color="999999"/>
            </w:tcBorders>
            <w:shd w:val="clear" w:color="auto" w:fill="F2F2F2"/>
          </w:tcPr>
          <w:p w14:paraId="779ADEF9" w14:textId="77777777" w:rsidR="004207D6" w:rsidRDefault="008E15B6">
            <w:pPr>
              <w:spacing w:after="60"/>
              <w:jc w:val="center"/>
            </w:pPr>
            <w:r>
              <w:rPr>
                <w:color w:val="000000"/>
                <w:sz w:val="24"/>
                <w:szCs w:val="24"/>
              </w:rPr>
              <w:t>8.43</w:t>
            </w:r>
          </w:p>
        </w:tc>
        <w:tc>
          <w:tcPr>
            <w:tcW w:w="500" w:type="dxa"/>
            <w:tcBorders>
              <w:top w:val="single" w:sz="4" w:space="0" w:color="999999"/>
              <w:left w:val="single" w:sz="4" w:space="0" w:color="999999"/>
              <w:bottom w:val="single" w:sz="4" w:space="0" w:color="999999"/>
              <w:right w:val="single" w:sz="4" w:space="0" w:color="999999"/>
            </w:tcBorders>
            <w:shd w:val="clear" w:color="auto" w:fill="F2F2F2"/>
          </w:tcPr>
          <w:p w14:paraId="779ADEFA" w14:textId="77777777" w:rsidR="004207D6" w:rsidRDefault="008E15B6">
            <w:pPr>
              <w:spacing w:after="60"/>
              <w:jc w:val="center"/>
            </w:pPr>
            <w:r>
              <w:rPr>
                <w:color w:val="000000"/>
                <w:sz w:val="24"/>
                <w:szCs w:val="24"/>
              </w:rPr>
              <w:t>0.36</w:t>
            </w:r>
          </w:p>
        </w:tc>
      </w:tr>
      <w:tr w:rsidR="004207D6" w14:paraId="779ADF07" w14:textId="77777777">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FC" w14:textId="77777777" w:rsidR="004207D6" w:rsidRDefault="008E15B6">
            <w:pPr>
              <w:spacing w:after="60"/>
              <w:jc w:val="center"/>
            </w:pPr>
            <w:r>
              <w:rPr>
                <w:color w:val="000000"/>
                <w:sz w:val="24"/>
                <w:szCs w:val="24"/>
              </w:rPr>
              <w:t>Greggs</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EFD" w14:textId="77777777" w:rsidR="004207D6" w:rsidRDefault="008E15B6">
            <w:pPr>
              <w:spacing w:after="60"/>
              <w:jc w:val="center"/>
            </w:pPr>
            <w:r>
              <w:rPr>
                <w:color w:val="000000"/>
                <w:sz w:val="24"/>
                <w:szCs w:val="24"/>
              </w:rPr>
              <w:t>2023</w:t>
            </w:r>
          </w:p>
        </w:tc>
        <w:tc>
          <w:tcPr>
            <w:tcW w:w="600" w:type="dxa"/>
            <w:tcBorders>
              <w:top w:val="single" w:sz="4" w:space="0" w:color="999999"/>
              <w:left w:val="single" w:sz="4" w:space="0" w:color="999999"/>
              <w:bottom w:val="single" w:sz="4" w:space="0" w:color="999999"/>
              <w:right w:val="single" w:sz="4" w:space="0" w:color="999999"/>
            </w:tcBorders>
            <w:shd w:val="clear" w:color="auto" w:fill="FFFFFF"/>
          </w:tcPr>
          <w:p w14:paraId="779ADEFE" w14:textId="77777777" w:rsidR="004207D6" w:rsidRDefault="008E15B6">
            <w:pPr>
              <w:spacing w:after="60"/>
              <w:jc w:val="center"/>
            </w:pPr>
            <w:r>
              <w:rPr>
                <w:color w:val="000000"/>
                <w:sz w:val="24"/>
                <w:szCs w:val="24"/>
              </w:rPr>
              <w:t>8</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EFF" w14:textId="77777777" w:rsidR="004207D6" w:rsidRDefault="008E15B6">
            <w:pPr>
              <w:spacing w:after="60"/>
              <w:jc w:val="center"/>
            </w:pPr>
            <w:r>
              <w:rPr>
                <w:color w:val="000000"/>
                <w:sz w:val="24"/>
                <w:szCs w:val="24"/>
              </w:rPr>
              <w:t>50.0</w:t>
            </w:r>
          </w:p>
        </w:tc>
        <w:tc>
          <w:tcPr>
            <w:tcW w:w="800" w:type="dxa"/>
            <w:tcBorders>
              <w:top w:val="single" w:sz="4" w:space="0" w:color="999999"/>
              <w:left w:val="single" w:sz="4" w:space="0" w:color="999999"/>
              <w:bottom w:val="single" w:sz="4" w:space="0" w:color="999999"/>
              <w:right w:val="single" w:sz="4" w:space="0" w:color="999999"/>
            </w:tcBorders>
            <w:shd w:val="clear" w:color="auto" w:fill="FFFFFF"/>
          </w:tcPr>
          <w:p w14:paraId="779ADF00" w14:textId="77777777" w:rsidR="004207D6" w:rsidRDefault="008E15B6">
            <w:pPr>
              <w:spacing w:after="60"/>
              <w:jc w:val="center"/>
            </w:pPr>
            <w:r>
              <w:rPr>
                <w:color w:val="000000"/>
                <w:sz w:val="24"/>
                <w:szCs w:val="24"/>
              </w:rPr>
              <w:t>87.5</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F01" w14:textId="77777777" w:rsidR="004207D6" w:rsidRDefault="008E15B6">
            <w:pPr>
              <w:spacing w:after="60"/>
              <w:jc w:val="center"/>
            </w:pPr>
            <w:r>
              <w:rPr>
                <w:color w:val="000000"/>
                <w:sz w:val="24"/>
                <w:szCs w:val="24"/>
              </w:rPr>
              <w:t>0</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F02" w14:textId="77777777" w:rsidR="004207D6" w:rsidRDefault="008E15B6">
            <w:pPr>
              <w:spacing w:after="60"/>
              <w:jc w:val="center"/>
            </w:pPr>
            <w:r>
              <w:rPr>
                <w:color w:val="000000"/>
                <w:sz w:val="24"/>
                <w:szCs w:val="24"/>
              </w:rPr>
              <w:t>62.5</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F03" w14:textId="77777777" w:rsidR="004207D6" w:rsidRDefault="008E15B6">
            <w:pPr>
              <w:spacing w:after="60"/>
              <w:jc w:val="center"/>
            </w:pPr>
            <w:r>
              <w:rPr>
                <w:color w:val="000000"/>
                <w:sz w:val="24"/>
                <w:szCs w:val="24"/>
              </w:rPr>
              <w:t>11.6</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F04" w14:textId="77777777" w:rsidR="004207D6" w:rsidRDefault="008E15B6">
            <w:pPr>
              <w:spacing w:after="60"/>
              <w:jc w:val="center"/>
            </w:pPr>
            <w:r>
              <w:rPr>
                <w:color w:val="000000"/>
                <w:sz w:val="24"/>
                <w:szCs w:val="24"/>
              </w:rPr>
              <w:t>30.5</w:t>
            </w:r>
          </w:p>
        </w:tc>
        <w:tc>
          <w:tcPr>
            <w:tcW w:w="700" w:type="dxa"/>
            <w:tcBorders>
              <w:top w:val="single" w:sz="4" w:space="0" w:color="999999"/>
              <w:left w:val="single" w:sz="4" w:space="0" w:color="999999"/>
              <w:bottom w:val="single" w:sz="4" w:space="0" w:color="999999"/>
              <w:right w:val="single" w:sz="4" w:space="0" w:color="999999"/>
            </w:tcBorders>
            <w:shd w:val="clear" w:color="auto" w:fill="FFFFFF"/>
          </w:tcPr>
          <w:p w14:paraId="779ADF05" w14:textId="77777777" w:rsidR="004207D6" w:rsidRDefault="008E15B6">
            <w:pPr>
              <w:spacing w:after="60"/>
              <w:jc w:val="center"/>
            </w:pPr>
            <w:r>
              <w:rPr>
                <w:color w:val="000000"/>
                <w:sz w:val="24"/>
                <w:szCs w:val="24"/>
              </w:rPr>
              <w:t>8.45</w:t>
            </w:r>
          </w:p>
        </w:tc>
        <w:tc>
          <w:tcPr>
            <w:tcW w:w="500" w:type="dxa"/>
            <w:tcBorders>
              <w:top w:val="single" w:sz="4" w:space="0" w:color="999999"/>
              <w:left w:val="single" w:sz="4" w:space="0" w:color="999999"/>
              <w:bottom w:val="single" w:sz="4" w:space="0" w:color="999999"/>
              <w:right w:val="single" w:sz="4" w:space="0" w:color="999999"/>
            </w:tcBorders>
            <w:shd w:val="clear" w:color="auto" w:fill="FFFFFF"/>
          </w:tcPr>
          <w:p w14:paraId="779ADF06" w14:textId="77777777" w:rsidR="004207D6" w:rsidRDefault="008E15B6">
            <w:pPr>
              <w:spacing w:after="60"/>
              <w:jc w:val="center"/>
            </w:pPr>
            <w:r>
              <w:rPr>
                <w:color w:val="000000"/>
                <w:sz w:val="24"/>
                <w:szCs w:val="24"/>
              </w:rPr>
              <w:t>0.35</w:t>
            </w:r>
          </w:p>
        </w:tc>
      </w:tr>
    </w:tbl>
    <w:p w14:paraId="779ADF08" w14:textId="77777777" w:rsidR="00E85D09" w:rsidRDefault="00E85D09"/>
    <w:sectPr w:rsidR="00E85D09">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704AF"/>
    <w:multiLevelType w:val="hybridMultilevel"/>
    <w:tmpl w:val="D16E1CD6"/>
    <w:lvl w:ilvl="0" w:tplc="B686CD98">
      <w:start w:val="1"/>
      <w:numFmt w:val="bullet"/>
      <w:lvlText w:val="●"/>
      <w:lvlJc w:val="left"/>
      <w:pPr>
        <w:ind w:left="720" w:hanging="360"/>
      </w:pPr>
    </w:lvl>
    <w:lvl w:ilvl="1" w:tplc="F10E4462">
      <w:start w:val="1"/>
      <w:numFmt w:val="bullet"/>
      <w:lvlText w:val="○"/>
      <w:lvlJc w:val="left"/>
      <w:pPr>
        <w:ind w:left="1440" w:hanging="360"/>
      </w:pPr>
    </w:lvl>
    <w:lvl w:ilvl="2" w:tplc="FA2ABA6E">
      <w:start w:val="1"/>
      <w:numFmt w:val="bullet"/>
      <w:lvlText w:val="■"/>
      <w:lvlJc w:val="left"/>
      <w:pPr>
        <w:ind w:left="2160" w:hanging="360"/>
      </w:pPr>
    </w:lvl>
    <w:lvl w:ilvl="3" w:tplc="B1C4191C">
      <w:start w:val="1"/>
      <w:numFmt w:val="bullet"/>
      <w:lvlText w:val="●"/>
      <w:lvlJc w:val="left"/>
      <w:pPr>
        <w:ind w:left="2880" w:hanging="360"/>
      </w:pPr>
    </w:lvl>
    <w:lvl w:ilvl="4" w:tplc="A014A992">
      <w:start w:val="1"/>
      <w:numFmt w:val="bullet"/>
      <w:lvlText w:val="○"/>
      <w:lvlJc w:val="left"/>
      <w:pPr>
        <w:ind w:left="3600" w:hanging="360"/>
      </w:pPr>
    </w:lvl>
    <w:lvl w:ilvl="5" w:tplc="FB70BB74">
      <w:start w:val="1"/>
      <w:numFmt w:val="bullet"/>
      <w:lvlText w:val="■"/>
      <w:lvlJc w:val="left"/>
      <w:pPr>
        <w:ind w:left="4320" w:hanging="360"/>
      </w:pPr>
    </w:lvl>
    <w:lvl w:ilvl="6" w:tplc="D86E7218">
      <w:start w:val="1"/>
      <w:numFmt w:val="bullet"/>
      <w:lvlText w:val="●"/>
      <w:lvlJc w:val="left"/>
      <w:pPr>
        <w:ind w:left="5040" w:hanging="360"/>
      </w:pPr>
    </w:lvl>
    <w:lvl w:ilvl="7" w:tplc="81A07A74">
      <w:start w:val="1"/>
      <w:numFmt w:val="bullet"/>
      <w:lvlText w:val="●"/>
      <w:lvlJc w:val="left"/>
      <w:pPr>
        <w:ind w:left="5760" w:hanging="360"/>
      </w:pPr>
    </w:lvl>
    <w:lvl w:ilvl="8" w:tplc="18AE5210">
      <w:start w:val="1"/>
      <w:numFmt w:val="bullet"/>
      <w:lvlText w:val="●"/>
      <w:lvlJc w:val="left"/>
      <w:pPr>
        <w:ind w:left="6480" w:hanging="360"/>
      </w:pPr>
    </w:lvl>
  </w:abstractNum>
  <w:abstractNum w:abstractNumId="1" w15:restartNumberingAfterBreak="0">
    <w:nsid w:val="458E2CF6"/>
    <w:multiLevelType w:val="hybridMultilevel"/>
    <w:tmpl w:val="D6224D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58A1F69"/>
    <w:multiLevelType w:val="hybridMultilevel"/>
    <w:tmpl w:val="B75A97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55294534">
    <w:abstractNumId w:val="0"/>
    <w:lvlOverride w:ilvl="0">
      <w:startOverride w:val="1"/>
    </w:lvlOverride>
  </w:num>
  <w:num w:numId="2" w16cid:durableId="1296064590">
    <w:abstractNumId w:val="1"/>
  </w:num>
  <w:num w:numId="3" w16cid:durableId="10185780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07D6"/>
    <w:rsid w:val="0004369A"/>
    <w:rsid w:val="00076A25"/>
    <w:rsid w:val="0015626B"/>
    <w:rsid w:val="001A1EEE"/>
    <w:rsid w:val="001D4F9F"/>
    <w:rsid w:val="002F3198"/>
    <w:rsid w:val="004207D6"/>
    <w:rsid w:val="0044726B"/>
    <w:rsid w:val="00512114"/>
    <w:rsid w:val="00613F9D"/>
    <w:rsid w:val="00700BF6"/>
    <w:rsid w:val="00757C72"/>
    <w:rsid w:val="007943A9"/>
    <w:rsid w:val="00A411A2"/>
    <w:rsid w:val="00A97A15"/>
    <w:rsid w:val="00BD4F78"/>
    <w:rsid w:val="00CF7B18"/>
    <w:rsid w:val="00E85D09"/>
    <w:rsid w:val="00F12E1D"/>
    <w:rsid w:val="00F23F43"/>
    <w:rsid w:val="00F83A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ADB2E"/>
  <w15:docId w15:val="{46D24789-2678-428D-8372-911190ACF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customStyle="1" w:styleId="Heading1Char">
    <w:name w:val="Heading 1 Char"/>
    <w:basedOn w:val="DefaultParagraphFont"/>
    <w:link w:val="Heading1"/>
    <w:uiPriority w:val="9"/>
    <w:rsid w:val="00A97A15"/>
    <w:rPr>
      <w:color w:val="2E74B5"/>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31</Pages>
  <Words>8842</Words>
  <Characters>50404</Characters>
  <Application>Microsoft Office Word</Application>
  <DocSecurity>0</DocSecurity>
  <Lines>420</Lines>
  <Paragraphs>118</Paragraphs>
  <ScaleCrop>false</ScaleCrop>
  <Company/>
  <LinksUpToDate>false</LinksUpToDate>
  <CharactersWithSpaces>59128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Monaf Hossain Fuad (2524463)</cp:lastModifiedBy>
  <cp:revision>18</cp:revision>
  <dcterms:created xsi:type="dcterms:W3CDTF">2026-10-19T11:43:00Z</dcterms:created>
  <dcterms:modified xsi:type="dcterms:W3CDTF">2026-10-19T12:06:00Z</dcterms:modified>
</cp:coreProperties>
</file>