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pStyle w:val="Title"/>
        <w:spacing w:line="360" w:lineRule="auto"/>
        <w:jc w:val="center"/>
        <w:rPr>
          <w:rFonts w:ascii="Times New Roman" w:cs="Times New Roman" w:eastAsia="Times New Roman" w:hAnsi="Times New Roman"/>
          <w:sz w:val="42"/>
          <w:szCs w:val="42"/>
        </w:rPr>
      </w:pPr>
      <w:bookmarkStart w:colFirst="0" w:colLast="0" w:name="_heading=h.35b75k3zm3qq" w:id="0"/>
      <w:bookmarkEnd w:id="0"/>
      <w:r w:rsidDel="00000000" w:rsidR="00000000" w:rsidRPr="00000000">
        <w:rPr>
          <w:rFonts w:ascii="Times New Roman" w:cs="Times New Roman" w:eastAsia="Times New Roman" w:hAnsi="Times New Roman"/>
          <w:sz w:val="42"/>
          <w:szCs w:val="42"/>
          <w:rtl w:val="0"/>
        </w:rPr>
        <w:t xml:space="preserve">The Duty of Care Imposed by Court to Emergency Services</w:t>
      </w:r>
    </w:p>
    <w:p w:rsidR="00000000" w:rsidDel="00000000" w:rsidP="00000000" w:rsidRDefault="00000000" w:rsidRPr="00000000" w14:paraId="00000006">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w:t>
      </w:r>
    </w:p>
    <w:p w:rsidR="00000000" w:rsidDel="00000000" w:rsidP="00000000" w:rsidRDefault="00000000" w:rsidRPr="00000000" w14:paraId="00000008">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Mihaela Gavrila</w:t>
      </w:r>
    </w:p>
    <w:p w:rsidR="00000000" w:rsidDel="00000000" w:rsidP="00000000" w:rsidRDefault="00000000" w:rsidRPr="00000000" w14:paraId="00000009">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Lecturer</w:t>
      </w:r>
    </w:p>
    <w:p w:rsidR="00000000" w:rsidDel="00000000" w:rsidP="00000000" w:rsidRDefault="00000000" w:rsidRPr="00000000" w14:paraId="0000000B">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Zita Draper</w:t>
      </w:r>
    </w:p>
    <w:p w:rsidR="00000000" w:rsidDel="00000000" w:rsidP="00000000" w:rsidRDefault="00000000" w:rsidRPr="00000000" w14:paraId="0000000C">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Institute</w:t>
      </w:r>
    </w:p>
    <w:p w:rsidR="00000000" w:rsidDel="00000000" w:rsidP="00000000" w:rsidRDefault="00000000" w:rsidRPr="00000000" w14:paraId="0000000E">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University of Wales Trinity Saint David</w:t>
      </w:r>
    </w:p>
    <w:p w:rsidR="00000000" w:rsidDel="00000000" w:rsidP="00000000" w:rsidRDefault="00000000" w:rsidRPr="00000000" w14:paraId="0000000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body of law that functions in relation to civil wrongs that do not arise out of contractual relations and also to address such civil wrongs and provides remedies in relation to them is called as tort law.</w:t>
      </w:r>
      <w:r w:rsidDel="00000000" w:rsidR="00000000" w:rsidRPr="00000000">
        <w:rPr>
          <w:rFonts w:ascii="Times New Roman" w:cs="Times New Roman" w:eastAsia="Times New Roman" w:hAnsi="Times New Roman"/>
          <w:sz w:val="24"/>
          <w:szCs w:val="24"/>
          <w:rtl w:val="0"/>
        </w:rPr>
        <w:t xml:space="preserve"> The application of tort law exists in all types of civil circumstances, for example, in the relations of the citizens and also citizens with the public bodies. The legal notion upon which tort law depends the most is the ‘duty of care’. The notion of duty of care encompasses the three most important elements of any civil wrong that can be addressed in tort law, and these elements include, first of all, the existence of a duty of care, and then; in relation to this duty of care, it is examined by the courts whether the duty has been breached or not and the third element is of causation, which looks into the situation to ascertain the liability on a defendant. Historically, Donoghue v Stevenson was the first case in which the principle of duty of care was established and hence, the modern tort law of negligence has highly been impacted by this case. Before the establishment of a duty of care, the courts only recognised the civil liabilities that arise out of contractual relations, for example, the case of Winterbottom v Wright. The merits of duty of care for different persons and different bodies are distinct in nature; for example, for the civil wrong of emergency services, the merits of duty of care are different as compared to the civil wrong of the nuisance. </w:t>
      </w:r>
    </w:p>
    <w:p w:rsidR="00000000" w:rsidDel="00000000" w:rsidP="00000000" w:rsidRDefault="00000000" w:rsidRPr="00000000" w14:paraId="0000001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Considering emergency services, it is important here to define what emergency services are. Services with respect to an emergency medical condition (ambulance) and rescue (firefighters or police) are included in the sphere of emergency services. In relation to the duty of care regarding the emergency services, the presumption of law is that no duty of care will be imposed on public bodies, but in many circumstances, common law has found a duty of care on public bodies, for example, Kent v Griffiths where a duty of care was imposed on ambulance services for not arriving at the time. It is certain that a duty of care can be imposed on emergency services providers, and therefore, the essay aims to focus on the extent to which the courts are prepared to impose a duty of care on emergency services providers. </w:t>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considering the duty of care in relation to medical emergency services, the case of Kent v Griffiths is of particular importance. The facts of this case involve a plaintiff who was a patient with asthma, and she had an attack, and the services of an ambulance were requested by her attendant. The ambulance did not arrive on time, due to which some grave consequences were faced by the patient. The court faced two legal questions in this case; the first question was whether a duty of care could be imposed on ambulance services, and secondly, the question that will it be consistent with public policy. In relation to the first question, it was stated by the court that the ambulance services are like any other emergency service, and hence, they owe a duty of care to the patients, and such duty in normal circumstances does not exist to the public at large but exist in relation to a patient for whom the ambulance has been called. The court upheld the duty of care because it found no reasonable circumstances which could have justified the delay, and applying the Caparo test, the court found it reasonable and foreseeable that certain harm would occur to the patient for the delay of an ambulance without any reasonable cause. Lord Woolf regarded it as an unequivocal failure of the ambulance service. It can also be regarded in the sphere of public policy, and the court also held that public policy does not preclude the constitution of duty of care on emergency services. It can be argued here that the duty of care has a significant contribution to the regulation of public bodies and to providing a certain amount of protection to the citizens. It can also be argued here, in the light of this case, that courts are prepared to impose a duty of care if it does not go against public policy. </w:t>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a question arises whether a duty of care can also be imposed on the fire brigade. To answer this question, the case of Capital and Counties Plc v Hampshire CC is of particular importance because, in this case, the court was faced with a number of legal questions; for example, the first question the court addressed was whether a duty of care exists on fire brigade for not answering the call for help? This question was dealt with in accordance with the case Stovin v Wise, and it was decided by the court the fire brigade has statutory powers under the umbrella of the Fire Services Act 1947 and common law duty, for example, to call for help cannot take precedent over the statutory powers. It is presumably the right approach because of the fact that courts must give precedents and interpret the statutory law in its true form, and the courts must not take a legislative role. Therefore, it can also be argued here that the courts are prepared to impose a duty of care to the extent that might not infringe statutory powers. </w:t>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constituting the duty of care, courts refer it to the Caparo test, which is based on three tiers, and one of them includes the proximity test. The court in Capital and Counties Plc v Hampshire v CC was also faced with the question of whether, in the absence of proximity between the fire brigade and the plaintiff, whether a duty of care can be constituted or not. In order to address this question, the court held that without sufficient proximity, no duty of care could be imposed, which means courts give sufficient immunity to the fire brigade emergency services too and merely attending the scene will not constitute a duty of care. The next question that the court addressed, in this case, was whether a negligence claim could not be brought against the fire brigade. In relation to this question, it was stated by the court that a claim for negligence could be brought against the fire brigade, but it must be based on conclusive evidence that they were negligent in their action. It can be argued here that there is a huge difference in injuries to persons from failure to extinguish the fire and injuries that occurred from negligence. Fire brigade and any other emergency services cannot guarantee to successful rescue, and therefore, the courts are not prepared to impose a duty to the extent of their failure, but courts do impose a duty of care to the extent of negligence in carrying out their duties. </w:t>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police are one another public body which gives emergency services, for example, rescuing or protecting individuals from any harm. The question here is whether common law imposes a duty of care on police or not? In order to address this question, the case of Hill v Chief Constable of West Yorkshire is of particular importance here. Several legal questions were addressed by the court in this case; for example, a duty of care can be imposed on the police for apprehending an unknown criminal. In response to this question, it was held by the court that in relation to apprehending an unknown criminal, no duty of care could be imposed on police. In response to this question, it can be argued here that the approach of common law in relation to an unknown criminal is rightly placed because of the fact that imposing a duty of care on the police for the apprehension of an unknown criminal will disturb their functionality and it is such task which cannot logically be performed. However, the second question that the court answered, in this case, is of particular importance. The second question is about the duty of care owed to the general public by police, and it in response to this question, it was held by the court that a duty of care could be imposed on police if someone has suffered injuries due to the direct acts and omissions of police, but no duty of care exists to the public at large which suffers injuries due to the risks of criminal activities. The proximity test of Caparo was in question here, and it created a problem for imposing a duty of care on police, and therefore, an exception was given by the court to the above-stated rule, and it was held by the court that a duty of care would be imposed in situations where additional risks have been created by police by failure to apprehend the criminals.</w:t>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response to the above-stated rules, it can be argued here that by setting such a precedent where the proximity test cannot possibly be satisfied, the court, in this case, has given sufficient immunity to the police from the imposition of the duty of care because it gives such a rule that police cannot be sued in failure of their duties. However, in the case named Robinson v Chief Constable of West Yorkshire, this loophole in the common law has been addressed by the court by narrowing down the Caparo test. It was held by the court in this case that in situations where injury to a third party was foreseeable and it occurred due to the negligence of a police officer, then a claim for negligence in tort law can be brought against the police. The case has significant importance because it has removed the loophole of the common law where the third stage of the Caparo test in most circumstances failed while imposing a duty of care on the police, and now the imposition of the duty of care on police in the result of this precedent is in line with the Human Rights Act 1998. It is because of the fact that the Human Rights Act of 1998 gives the right to property, the right to life and the right to liberty. According to section 6(1) of the Act, it is unlawful for acting against the convention rights</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rtl w:val="0"/>
        </w:rPr>
        <w:t xml:space="preserve">and in section 6(3), all the public bodies are taken in the sphere whose acts will be deemed unlawful if found against infringing the rights of the convention. Therefore, if a right to liberty or right to life or right to property or any other right has been infringed due to the negligence of the police, which leads to a personal injury of any kind to a person, then it will be deemed first unlawful, and hence, courts will impose a duty of care on police. </w:t>
      </w:r>
    </w:p>
    <w:p w:rsidR="00000000" w:rsidDel="00000000" w:rsidP="00000000" w:rsidRDefault="00000000" w:rsidRPr="00000000" w14:paraId="0000001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understand the above argument in relation to human rights, the case Swinney v Chief Constable of Northumbria Police Force is of particular importance. In this case, an appeal was brought by Mr &amp; Mrs Swinney for psychiatric injuries due to the negligence of the police for losing their information being an informant in one investigation. The court held that police owed a duty of care in this situation because Mr &amp; Mrs Swinney were informants and to provide protection to them was the duty of the police. Here, in this case, no direct implication of human rights are involved, but it was a clear-cut case of negligence without involving the immunity police had earlier, and it can be argued here that if direct actions of the police infringe the human rights, then the courts will uphold the duty of care. Similarly, in the case named as Rigby v CC of Northamptonshire, the court imposed a duty of care on the police for firing a gas canister that led to injuries and damage to property. Therefore, it can be argued that tort law also protects the human rights which have been given in the Human Rights Act 1998. However, it is also important to note here that the courts do not impose a duty of care on police to the extent of financial loss, which was beyond the protection of the police. An Informer v A Chief Constable is a leading case in such a situation, where it has been held by the court that the court must consider the standard of care required and the complexity of the situation before constituting a duty of care on police.</w:t>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it can also be argued here that the court imposes the duty of care on employers for not providing emergency equipment to their employees and Pape v Cumbria County Council is one of the important cases where it was held by the court that a duty of care exists on the defendant for not providing instruction for not providing a safe and proper system of working. The case was decided in the light of Wilsons &amp; Clyde Coal Co Ltd v English, where providing emergency equipment and a safe and proper system of working to the employees was made necessary by the court. One another important case in this regard is Clifford v Charles H Challen &amp; Son Ltd, where the employer had provided the employee protective equipment but was discouraged from using them, and it was held by the court that the employer had a duty of care to encourage the employee to use the protective gear.</w:t>
      </w:r>
    </w:p>
    <w:p w:rsidR="00000000" w:rsidDel="00000000" w:rsidP="00000000" w:rsidRDefault="00000000" w:rsidRPr="00000000" w14:paraId="0000001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above discussion, it can be concluded here the courts are prepared to impose a duty of care on emergency services, for example, police, ambulance, and fire brigade, to the extent that it does not violate public policy, the working of the specific institution or service, and if it does not oppose the statutory law. The law of tort and duty of care has gone through a series of ethos and has evolved significantly. Furthermore, it can be stated here that the law of torts also upholds human rights by protecting individuals from unlawful activities of public bodies. </w:t>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C">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 List </w:t>
      </w:r>
    </w:p>
    <w:p w:rsidR="00000000" w:rsidDel="00000000" w:rsidP="00000000" w:rsidRDefault="00000000" w:rsidRPr="00000000" w14:paraId="0000002D">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Statutes </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Human Rights Act 1998.</w:t>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Fire Services Act 1947.</w:t>
      </w:r>
    </w:p>
    <w:p w:rsidR="00000000" w:rsidDel="00000000" w:rsidP="00000000" w:rsidRDefault="00000000" w:rsidRPr="00000000" w14:paraId="00000030">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Cases</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Informer v Chief Constable [2012] EWCA Civ 197.</w:t>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Capital &amp; Counties Plc v Hampshire CC [1997] Q.B. 1004.</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Caparo Industries PLC v Dickman [1990] UKHL 2.</w:t>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Clifford v Charles H Challen &amp; Son Ltd [1951] 1 KB 495.</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Donoghue v Stevenson [1932] UKHL 100.  </w:t>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Hill v Chief Constable of West Yorkshire [1987] UKHL 12, [1989] AC 53.</w:t>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Kent v Griffiths [2000] 2 All ER 474.</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Pape v Cumbria County Council [1992] 2 All ER 211.</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Robinson v Chief Constable of West Yorkshire Police [2018] UKSC 4.</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Rigby v Chief Constable of Northamptonshire [1985] 1 WLR 1242.</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Stovin v Wise [1996] UKHL 15.</w:t>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Swinney v Chief Constable of Northumbria Police [1997] QB 464.</w:t>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Wilsons and Clyde Coal Ltd v English [1937] UKHL 2.</w:t>
      </w:r>
    </w:p>
    <w:p w:rsidR="00000000" w:rsidDel="00000000" w:rsidP="00000000" w:rsidRDefault="00000000" w:rsidRPr="00000000" w14:paraId="0000003E">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Books</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720" w:right="0" w:hanging="72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Deakin S and Markesinis B, </w:t>
      </w:r>
      <w:r w:rsidDel="00000000" w:rsidR="00000000" w:rsidRPr="00000000">
        <w:rPr>
          <w:rFonts w:ascii="Times New Roman" w:cs="Times New Roman" w:eastAsia="Times New Roman" w:hAnsi="Times New Roman"/>
          <w:i w:val="1"/>
          <w:smallCaps w:val="0"/>
          <w:strike w:val="0"/>
          <w:color w:val="000000"/>
          <w:sz w:val="24"/>
          <w:szCs w:val="24"/>
          <w:u w:val="none"/>
          <w:shd w:fill="auto" w:val="clear"/>
          <w:vertAlign w:val="baseline"/>
          <w:rtl w:val="0"/>
        </w:rPr>
        <w:t xml:space="preserve">Markesinis and Deakin’s Tort Law</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(Oxford University Press 2019)</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720" w:right="0" w:hanging="72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‘Principles of Tort Law - Rachael Mulheron - Google Books’ &lt;https://books.google.com.pk/books?hl=en&amp;lr=&amp;id=o8jxDAAAQBAJ&amp;oi=fnd&amp;pg=PR24&amp;dq=+tort+law&amp;ots=19zO3yH0Og&amp;sig=MuajyfJj4M2e85J9IkRomgcIj0w&amp;redir_esc=y#v=onepage&amp;q=tort%20law&amp;f=false&gt; accessed 7 November 2022</w:t>
      </w:r>
    </w:p>
    <w:p w:rsidR="00000000" w:rsidDel="00000000" w:rsidP="00000000" w:rsidRDefault="00000000" w:rsidRPr="00000000" w14:paraId="0000004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Website</w:t>
      </w:r>
    </w:p>
    <w:p w:rsidR="00000000" w:rsidDel="00000000" w:rsidP="00000000" w:rsidRDefault="00000000" w:rsidRPr="00000000" w14:paraId="00000042">
      <w:pPr>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‘Emergency Services Definition: 2k Samples’ (</w:t>
      </w:r>
      <w:r w:rsidDel="00000000" w:rsidR="00000000" w:rsidRPr="00000000">
        <w:rPr>
          <w:rFonts w:ascii="Times New Roman" w:cs="Times New Roman" w:eastAsia="Times New Roman" w:hAnsi="Times New Roman"/>
          <w:i w:val="1"/>
          <w:sz w:val="24"/>
          <w:szCs w:val="24"/>
          <w:rtl w:val="0"/>
        </w:rPr>
        <w:t xml:space="preserve">Law Insider</w:t>
      </w:r>
      <w:r w:rsidDel="00000000" w:rsidR="00000000" w:rsidRPr="00000000">
        <w:rPr>
          <w:rFonts w:ascii="Times New Roman" w:cs="Times New Roman" w:eastAsia="Times New Roman" w:hAnsi="Times New Roman"/>
          <w:sz w:val="24"/>
          <w:szCs w:val="24"/>
          <w:rtl w:val="0"/>
        </w:rPr>
        <w:t xml:space="preserve">) &lt;https://www.lawinsider.com/dictionary/emergency-services&gt; accessed 7 November 2022</w:t>
      </w:r>
    </w:p>
    <w:p w:rsidR="00000000" w:rsidDel="00000000" w:rsidP="00000000" w:rsidRDefault="00000000" w:rsidRPr="00000000" w14:paraId="0000004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tl w:val="0"/>
        </w:rPr>
      </w:r>
    </w:p>
    <w:sectPr>
      <w:headerReference r:id="rId7" w:type="default"/>
      <w:footerReference r:id="rId8" w:type="default"/>
      <w:pgSz w:h="16838" w:w="11906" w:orient="portrait"/>
      <w:pgMar w:bottom="1440" w:top="1440" w:left="1440" w:right="1440" w:header="708.6614173228347" w:footer="708.661417322834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7">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FootnoteText">
    <w:name w:val="footnote text"/>
    <w:basedOn w:val="Normal"/>
    <w:link w:val="FootnoteTextChar"/>
    <w:uiPriority w:val="99"/>
    <w:semiHidden w:val="1"/>
    <w:unhideWhenUsed w:val="1"/>
    <w:rsid w:val="00150F55"/>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150F55"/>
    <w:rPr>
      <w:sz w:val="20"/>
      <w:szCs w:val="20"/>
    </w:rPr>
  </w:style>
  <w:style w:type="character" w:styleId="FootnoteReference">
    <w:name w:val="footnote reference"/>
    <w:basedOn w:val="DefaultParagraphFont"/>
    <w:uiPriority w:val="99"/>
    <w:semiHidden w:val="1"/>
    <w:unhideWhenUsed w:val="1"/>
    <w:rsid w:val="00150F55"/>
    <w:rPr>
      <w:vertAlign w:val="superscript"/>
    </w:rPr>
  </w:style>
  <w:style w:type="paragraph" w:styleId="Bibliography">
    <w:name w:val="Bibliography"/>
    <w:basedOn w:val="Normal"/>
    <w:next w:val="Normal"/>
    <w:uiPriority w:val="37"/>
    <w:unhideWhenUsed w:val="1"/>
    <w:rsid w:val="00BB640B"/>
    <w:pPr>
      <w:spacing w:after="240" w:line="240" w:lineRule="auto"/>
    </w:pPr>
  </w:style>
  <w:style w:type="paragraph" w:styleId="Header">
    <w:name w:val="header"/>
    <w:basedOn w:val="Normal"/>
    <w:link w:val="HeaderChar"/>
    <w:uiPriority w:val="99"/>
    <w:unhideWhenUsed w:val="1"/>
    <w:rsid w:val="00AD2C85"/>
    <w:pPr>
      <w:tabs>
        <w:tab w:val="center" w:pos="4513"/>
        <w:tab w:val="right" w:pos="9026"/>
      </w:tabs>
      <w:spacing w:after="0" w:line="240" w:lineRule="auto"/>
    </w:pPr>
  </w:style>
  <w:style w:type="character" w:styleId="HeaderChar" w:customStyle="1">
    <w:name w:val="Header Char"/>
    <w:basedOn w:val="DefaultParagraphFont"/>
    <w:link w:val="Header"/>
    <w:uiPriority w:val="99"/>
    <w:rsid w:val="00AD2C85"/>
  </w:style>
  <w:style w:type="paragraph" w:styleId="Footer">
    <w:name w:val="footer"/>
    <w:basedOn w:val="Normal"/>
    <w:link w:val="FooterChar"/>
    <w:uiPriority w:val="99"/>
    <w:unhideWhenUsed w:val="1"/>
    <w:rsid w:val="00AD2C85"/>
    <w:pPr>
      <w:tabs>
        <w:tab w:val="center" w:pos="4513"/>
        <w:tab w:val="right" w:pos="9026"/>
      </w:tabs>
      <w:spacing w:after="0" w:line="240" w:lineRule="auto"/>
    </w:pPr>
  </w:style>
  <w:style w:type="character" w:styleId="FooterChar" w:customStyle="1">
    <w:name w:val="Footer Char"/>
    <w:basedOn w:val="DefaultParagraphFont"/>
    <w:link w:val="Footer"/>
    <w:uiPriority w:val="99"/>
    <w:rsid w:val="00AD2C85"/>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7C4138ZBYxLjXLqjabF8Du4Tpg==">AMUW2mVWXOiOkKDi4SOF8VZMaXHjGTOmIrSftFZ9jHZ9Tc0iCPuHGBsF0RJzicoKARH8HJnwY1l6xlWIbWttFXhfokln8FwvE7NPd6vd8KzCLETI6402HvKH49WTE2nJCnkzmGd7B1mo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2022-11-07T07:56:00Z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zotero-version="6.0.16"&gt;&lt;session id="2E1Vp0uc"/&gt;&lt;style id="http://www.zotero.org/styles/oscola" hasBibliography="1" bibliographyStyleHasBeenSet="1"/&gt;&lt;prefs&gt;&lt;pref name="fieldType" value="Field"/&gt;&lt;pref name="automaticJournalAbbreviati</vt:lpwstr>
  </property>
  <property fmtid="{D5CDD505-2E9C-101B-9397-08002B2CF9AE}" pid="3" name="ZOTERO_PREF_2">
    <vt:lpwstr>ons" value="true"/&gt;&lt;pref name="noteType" value="1"/&gt;&lt;/prefs&gt;&lt;/data&gt;</vt:lpwstr>
  </property>
</Properties>
</file>