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4F9" w:rsidRPr="002A54F9" w:rsidRDefault="002A54F9" w:rsidP="0042613A">
      <w:pPr>
        <w:shd w:val="clear" w:color="auto" w:fill="F2F2F2"/>
        <w:spacing w:after="0" w:line="240" w:lineRule="auto"/>
        <w:ind w:left="-258"/>
        <w:jc w:val="both"/>
        <w:outlineLvl w:val="1"/>
        <w:rPr>
          <w:rFonts w:eastAsia="Times New Roman" w:cs="Times New Roman"/>
          <w:color w:val="333333"/>
          <w:spacing w:val="2"/>
          <w:sz w:val="36"/>
          <w:szCs w:val="36"/>
          <w:lang w:eastAsia="en-GB"/>
        </w:rPr>
      </w:pPr>
      <w:r w:rsidRPr="002A54F9">
        <w:rPr>
          <w:rFonts w:eastAsia="Times New Roman" w:cs="Times New Roman"/>
          <w:color w:val="333333"/>
          <w:spacing w:val="2"/>
          <w:sz w:val="36"/>
          <w:szCs w:val="36"/>
          <w:lang w:eastAsia="en-GB"/>
        </w:rPr>
        <w:t>Abstract</w:t>
      </w:r>
    </w:p>
    <w:p w:rsidR="006F385A" w:rsidRDefault="002A54F9" w:rsidP="0042613A">
      <w:pPr>
        <w:spacing w:before="240" w:after="288" w:line="240" w:lineRule="auto"/>
        <w:jc w:val="both"/>
        <w:rPr>
          <w:rFonts w:eastAsia="Times New Roman" w:cs="Times New Roman"/>
          <w:sz w:val="24"/>
          <w:szCs w:val="24"/>
          <w:lang w:eastAsia="en-GB"/>
        </w:rPr>
      </w:pPr>
      <w:r w:rsidRPr="002A54F9">
        <w:rPr>
          <w:rFonts w:eastAsia="Times New Roman" w:cs="Times New Roman"/>
          <w:sz w:val="24"/>
          <w:szCs w:val="24"/>
          <w:lang w:eastAsia="en-GB"/>
        </w:rPr>
        <w:t xml:space="preserve">The argument presented in this chapter begins with the suggestion that reflective practice involves epistemological challenges that have not been adequately addressed in the context of traditional assumptions about the design and conduct of teacher education programs. </w:t>
      </w:r>
    </w:p>
    <w:p w:rsidR="002A54F9" w:rsidRPr="002A54F9" w:rsidRDefault="002A54F9" w:rsidP="0042613A">
      <w:pPr>
        <w:spacing w:before="240" w:after="288" w:line="240" w:lineRule="auto"/>
        <w:jc w:val="both"/>
        <w:rPr>
          <w:rFonts w:eastAsia="Times New Roman" w:cs="Times New Roman"/>
          <w:sz w:val="24"/>
          <w:szCs w:val="24"/>
          <w:lang w:eastAsia="en-GB"/>
        </w:rPr>
      </w:pPr>
      <w:r w:rsidRPr="002A54F9">
        <w:rPr>
          <w:rFonts w:eastAsia="Times New Roman" w:cs="Times New Roman"/>
          <w:sz w:val="24"/>
          <w:szCs w:val="24"/>
          <w:lang w:eastAsia="en-GB"/>
        </w:rPr>
        <w:t>An analysis of literature about technical rationality, reflection-in-action, and the central issues of reflective practice is followed by a discussion of the significance of mindfulness. We propose that one way to address the neglected epistemological challenges involves a new epistemology for professional practice generally and for teaching and teacher education specifically. We pose a series of significant questions arising from the argument, and we suggest various points of entry for teacher educators willing to accept the complex epistemological challenge that we have identified. Relevant concepts include mindfulness, habits of mind, teaching artistry, explicit instruction, listening, authorizing voice, reflective teaching, tacit knowledge, critical reflection, and mastery. Because teacher educators possess teaching experience that their students do not, it falls to teacher educators to introduce and model an epistemology of practice for those learning to teach.</w:t>
      </w:r>
    </w:p>
    <w:p w:rsidR="002A54F9" w:rsidRPr="002A54F9" w:rsidRDefault="002A54F9" w:rsidP="0042613A">
      <w:pPr>
        <w:shd w:val="clear" w:color="auto" w:fill="FFFFFF"/>
        <w:spacing w:before="120" w:after="120" w:line="240" w:lineRule="auto"/>
        <w:jc w:val="both"/>
        <w:outlineLvl w:val="1"/>
        <w:rPr>
          <w:rFonts w:eastAsia="Times New Roman" w:cs="Times New Roman"/>
          <w:color w:val="333333"/>
          <w:spacing w:val="2"/>
          <w:sz w:val="36"/>
          <w:szCs w:val="36"/>
          <w:lang w:val="en" w:eastAsia="en-GB"/>
        </w:rPr>
      </w:pPr>
      <w:r w:rsidRPr="002A54F9">
        <w:rPr>
          <w:rFonts w:eastAsia="Times New Roman" w:cs="Times New Roman"/>
          <w:color w:val="333333"/>
          <w:spacing w:val="2"/>
          <w:sz w:val="36"/>
          <w:szCs w:val="36"/>
          <w:lang w:val="en" w:eastAsia="en-GB"/>
        </w:rPr>
        <w:t>Keywords</w:t>
      </w:r>
    </w:p>
    <w:p w:rsidR="001A171B" w:rsidRDefault="002A54F9" w:rsidP="0042613A">
      <w:pPr>
        <w:shd w:val="clear" w:color="auto" w:fill="FFFFFF"/>
        <w:spacing w:line="240" w:lineRule="auto"/>
        <w:jc w:val="both"/>
        <w:rPr>
          <w:rFonts w:eastAsia="Times New Roman" w:cs="Times New Roman"/>
          <w:color w:val="333333"/>
          <w:spacing w:val="2"/>
          <w:sz w:val="26"/>
          <w:szCs w:val="26"/>
          <w:shd w:val="clear" w:color="auto" w:fill="F2F2F2"/>
          <w:lang w:val="en" w:eastAsia="en-GB"/>
        </w:rPr>
      </w:pPr>
      <w:r w:rsidRPr="002A54F9">
        <w:rPr>
          <w:rFonts w:eastAsia="Times New Roman" w:cs="Times New Roman"/>
          <w:color w:val="333333"/>
          <w:spacing w:val="2"/>
          <w:sz w:val="26"/>
          <w:szCs w:val="26"/>
          <w:shd w:val="clear" w:color="auto" w:fill="F2F2F2"/>
          <w:lang w:val="en" w:eastAsia="en-GB"/>
        </w:rPr>
        <w:t>Teacher</w:t>
      </w:r>
      <w:r w:rsidR="001A171B">
        <w:rPr>
          <w:rFonts w:eastAsia="Times New Roman" w:cs="Times New Roman"/>
          <w:color w:val="333333"/>
          <w:spacing w:val="2"/>
          <w:sz w:val="26"/>
          <w:szCs w:val="26"/>
          <w:shd w:val="clear" w:color="auto" w:fill="F2F2F2"/>
          <w:lang w:val="en" w:eastAsia="en-GB"/>
        </w:rPr>
        <w:t xml:space="preserve"> </w:t>
      </w:r>
      <w:r w:rsidRPr="002A54F9">
        <w:rPr>
          <w:rFonts w:eastAsia="Times New Roman" w:cs="Times New Roman"/>
          <w:color w:val="333333"/>
          <w:spacing w:val="2"/>
          <w:sz w:val="26"/>
          <w:szCs w:val="26"/>
          <w:shd w:val="clear" w:color="auto" w:fill="F2F2F2"/>
          <w:lang w:val="en" w:eastAsia="en-GB"/>
        </w:rPr>
        <w:t>Education </w:t>
      </w:r>
      <w:r w:rsidR="001A171B">
        <w:rPr>
          <w:rFonts w:eastAsia="Times New Roman" w:cs="Times New Roman"/>
          <w:color w:val="333333"/>
          <w:spacing w:val="2"/>
          <w:sz w:val="26"/>
          <w:szCs w:val="26"/>
          <w:shd w:val="clear" w:color="auto" w:fill="F2F2F2"/>
          <w:lang w:val="en" w:eastAsia="en-GB"/>
        </w:rPr>
        <w:t xml:space="preserve"> </w:t>
      </w:r>
    </w:p>
    <w:p w:rsidR="001A171B" w:rsidRDefault="002A54F9" w:rsidP="0042613A">
      <w:pPr>
        <w:shd w:val="clear" w:color="auto" w:fill="FFFFFF"/>
        <w:spacing w:line="240" w:lineRule="auto"/>
        <w:jc w:val="both"/>
        <w:rPr>
          <w:rFonts w:eastAsia="Times New Roman" w:cs="Times New Roman"/>
          <w:color w:val="333333"/>
          <w:spacing w:val="2"/>
          <w:sz w:val="26"/>
          <w:szCs w:val="26"/>
          <w:shd w:val="clear" w:color="auto" w:fill="F2F2F2"/>
          <w:lang w:val="en" w:eastAsia="en-GB"/>
        </w:rPr>
      </w:pPr>
      <w:r w:rsidRPr="002A54F9">
        <w:rPr>
          <w:rFonts w:eastAsia="Times New Roman" w:cs="Times New Roman"/>
          <w:color w:val="333333"/>
          <w:spacing w:val="2"/>
          <w:sz w:val="26"/>
          <w:szCs w:val="26"/>
          <w:shd w:val="clear" w:color="auto" w:fill="F2F2F2"/>
          <w:lang w:val="en" w:eastAsia="en-GB"/>
        </w:rPr>
        <w:t>Preservice</w:t>
      </w:r>
      <w:r w:rsidR="001A171B">
        <w:rPr>
          <w:rFonts w:eastAsia="Times New Roman" w:cs="Times New Roman"/>
          <w:color w:val="333333"/>
          <w:spacing w:val="2"/>
          <w:sz w:val="26"/>
          <w:szCs w:val="26"/>
          <w:shd w:val="clear" w:color="auto" w:fill="F2F2F2"/>
          <w:lang w:val="en" w:eastAsia="en-GB"/>
        </w:rPr>
        <w:t xml:space="preserve"> </w:t>
      </w:r>
      <w:r w:rsidRPr="002A54F9">
        <w:rPr>
          <w:rFonts w:eastAsia="Times New Roman" w:cs="Times New Roman"/>
          <w:color w:val="333333"/>
          <w:spacing w:val="2"/>
          <w:sz w:val="26"/>
          <w:szCs w:val="26"/>
          <w:shd w:val="clear" w:color="auto" w:fill="F2F2F2"/>
          <w:lang w:val="en" w:eastAsia="en-GB"/>
        </w:rPr>
        <w:t>Teacher </w:t>
      </w:r>
      <w:r w:rsidR="001A171B">
        <w:rPr>
          <w:rFonts w:eastAsia="Times New Roman" w:cs="Times New Roman"/>
          <w:color w:val="333333"/>
          <w:spacing w:val="2"/>
          <w:sz w:val="26"/>
          <w:szCs w:val="26"/>
          <w:shd w:val="clear" w:color="auto" w:fill="F2F2F2"/>
          <w:lang w:val="en" w:eastAsia="en-GB"/>
        </w:rPr>
        <w:t xml:space="preserve"> </w:t>
      </w:r>
    </w:p>
    <w:p w:rsidR="001A171B" w:rsidRDefault="001A171B" w:rsidP="0042613A">
      <w:pPr>
        <w:shd w:val="clear" w:color="auto" w:fill="FFFFFF"/>
        <w:spacing w:line="240" w:lineRule="auto"/>
        <w:jc w:val="both"/>
        <w:rPr>
          <w:rFonts w:eastAsia="Times New Roman" w:cs="Times New Roman"/>
          <w:color w:val="333333"/>
          <w:spacing w:val="2"/>
          <w:sz w:val="26"/>
          <w:szCs w:val="26"/>
          <w:shd w:val="clear" w:color="auto" w:fill="F2F2F2"/>
          <w:lang w:val="en" w:eastAsia="en-GB"/>
        </w:rPr>
      </w:pPr>
      <w:r>
        <w:rPr>
          <w:rFonts w:eastAsia="Times New Roman" w:cs="Times New Roman"/>
          <w:color w:val="333333"/>
          <w:spacing w:val="2"/>
          <w:sz w:val="26"/>
          <w:szCs w:val="26"/>
          <w:shd w:val="clear" w:color="auto" w:fill="F2F2F2"/>
          <w:lang w:val="en" w:eastAsia="en-GB"/>
        </w:rPr>
        <w:t xml:space="preserve">Teacher </w:t>
      </w:r>
      <w:r w:rsidR="002A54F9" w:rsidRPr="002A54F9">
        <w:rPr>
          <w:rFonts w:eastAsia="Times New Roman" w:cs="Times New Roman"/>
          <w:color w:val="333333"/>
          <w:spacing w:val="2"/>
          <w:sz w:val="26"/>
          <w:szCs w:val="26"/>
          <w:shd w:val="clear" w:color="auto" w:fill="F2F2F2"/>
          <w:lang w:val="en" w:eastAsia="en-GB"/>
        </w:rPr>
        <w:t>Education Program </w:t>
      </w:r>
    </w:p>
    <w:p w:rsidR="001A171B" w:rsidRDefault="002A54F9" w:rsidP="0042613A">
      <w:pPr>
        <w:shd w:val="clear" w:color="auto" w:fill="FFFFFF"/>
        <w:spacing w:line="240" w:lineRule="auto"/>
        <w:jc w:val="both"/>
        <w:rPr>
          <w:rFonts w:eastAsia="Times New Roman" w:cs="Times New Roman"/>
          <w:color w:val="333333"/>
          <w:spacing w:val="2"/>
          <w:sz w:val="26"/>
          <w:szCs w:val="26"/>
          <w:shd w:val="clear" w:color="auto" w:fill="F2F2F2"/>
          <w:lang w:val="en" w:eastAsia="en-GB"/>
        </w:rPr>
      </w:pPr>
      <w:r w:rsidRPr="002A54F9">
        <w:rPr>
          <w:rFonts w:eastAsia="Times New Roman" w:cs="Times New Roman"/>
          <w:color w:val="333333"/>
          <w:spacing w:val="2"/>
          <w:sz w:val="26"/>
          <w:szCs w:val="26"/>
          <w:shd w:val="clear" w:color="auto" w:fill="F2F2F2"/>
          <w:lang w:val="en" w:eastAsia="en-GB"/>
        </w:rPr>
        <w:t>Professional Learning </w:t>
      </w:r>
    </w:p>
    <w:p w:rsidR="002A54F9" w:rsidRDefault="002A54F9" w:rsidP="0042613A">
      <w:pPr>
        <w:shd w:val="clear" w:color="auto" w:fill="FFFFFF"/>
        <w:spacing w:line="240" w:lineRule="auto"/>
        <w:jc w:val="both"/>
        <w:rPr>
          <w:rFonts w:eastAsia="Times New Roman" w:cs="Times New Roman"/>
          <w:color w:val="333333"/>
          <w:spacing w:val="2"/>
          <w:sz w:val="26"/>
          <w:szCs w:val="26"/>
          <w:shd w:val="clear" w:color="auto" w:fill="F2F2F2"/>
          <w:lang w:val="en" w:eastAsia="en-GB"/>
        </w:rPr>
      </w:pPr>
      <w:r w:rsidRPr="002A54F9">
        <w:rPr>
          <w:rFonts w:eastAsia="Times New Roman" w:cs="Times New Roman"/>
          <w:color w:val="333333"/>
          <w:spacing w:val="2"/>
          <w:sz w:val="26"/>
          <w:szCs w:val="26"/>
          <w:shd w:val="clear" w:color="auto" w:fill="F2F2F2"/>
          <w:lang w:val="en" w:eastAsia="en-GB"/>
        </w:rPr>
        <w:t>Reflective Practice </w:t>
      </w:r>
    </w:p>
    <w:p w:rsidR="00886157" w:rsidRDefault="00886157" w:rsidP="0042613A">
      <w:pPr>
        <w:shd w:val="clear" w:color="auto" w:fill="FFFFFF"/>
        <w:spacing w:line="240" w:lineRule="auto"/>
        <w:jc w:val="both"/>
        <w:rPr>
          <w:rFonts w:eastAsia="Times New Roman" w:cs="Times New Roman"/>
          <w:color w:val="333333"/>
          <w:spacing w:val="2"/>
          <w:sz w:val="26"/>
          <w:szCs w:val="26"/>
          <w:shd w:val="clear" w:color="auto" w:fill="F2F2F2"/>
          <w:lang w:val="en" w:eastAsia="en-GB"/>
        </w:rPr>
      </w:pPr>
    </w:p>
    <w:p w:rsidR="00886157" w:rsidRPr="00886157" w:rsidRDefault="00886157" w:rsidP="00886157">
      <w:pPr>
        <w:shd w:val="clear" w:color="auto" w:fill="F2F2F2"/>
        <w:spacing w:after="0" w:line="240" w:lineRule="auto"/>
        <w:ind w:left="-258"/>
        <w:outlineLvl w:val="1"/>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References</w:t>
      </w:r>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Argyris</w:t>
      </w:r>
      <w:proofErr w:type="spellEnd"/>
      <w:r w:rsidRPr="00886157">
        <w:rPr>
          <w:rFonts w:eastAsia="Times New Roman" w:cs="Times New Roman"/>
          <w:color w:val="333333"/>
          <w:spacing w:val="2"/>
          <w:sz w:val="20"/>
          <w:szCs w:val="20"/>
          <w:lang w:eastAsia="en-GB"/>
        </w:rPr>
        <w:t xml:space="preserve">, C., &amp; </w:t>
      </w:r>
      <w:proofErr w:type="spellStart"/>
      <w:r w:rsidRPr="00886157">
        <w:rPr>
          <w:rFonts w:eastAsia="Times New Roman" w:cs="Times New Roman"/>
          <w:color w:val="333333"/>
          <w:spacing w:val="2"/>
          <w:sz w:val="20"/>
          <w:szCs w:val="20"/>
          <w:lang w:eastAsia="en-GB"/>
        </w:rPr>
        <w:t>Schön</w:t>
      </w:r>
      <w:proofErr w:type="spellEnd"/>
      <w:r w:rsidRPr="00886157">
        <w:rPr>
          <w:rFonts w:eastAsia="Times New Roman" w:cs="Times New Roman"/>
          <w:color w:val="333333"/>
          <w:spacing w:val="2"/>
          <w:sz w:val="20"/>
          <w:szCs w:val="20"/>
          <w:lang w:eastAsia="en-GB"/>
        </w:rPr>
        <w:t>, D. A. (1974). </w:t>
      </w:r>
      <w:r w:rsidRPr="00886157">
        <w:rPr>
          <w:rFonts w:eastAsia="Times New Roman" w:cs="Times New Roman"/>
          <w:i/>
          <w:iCs/>
          <w:color w:val="333333"/>
          <w:spacing w:val="2"/>
          <w:sz w:val="20"/>
          <w:szCs w:val="20"/>
          <w:lang w:eastAsia="en-GB"/>
        </w:rPr>
        <w:t>Theory in practice: Increasing professional effectiveness</w:t>
      </w:r>
      <w:r w:rsidRPr="00886157">
        <w:rPr>
          <w:rFonts w:eastAsia="Times New Roman" w:cs="Times New Roman"/>
          <w:color w:val="333333"/>
          <w:spacing w:val="2"/>
          <w:sz w:val="20"/>
          <w:szCs w:val="20"/>
          <w:lang w:eastAsia="en-GB"/>
        </w:rPr>
        <w:t xml:space="preserve">. San Francisco: </w:t>
      </w:r>
      <w:proofErr w:type="spellStart"/>
      <w:r w:rsidRPr="00886157">
        <w:rPr>
          <w:rFonts w:eastAsia="Times New Roman" w:cs="Times New Roman"/>
          <w:color w:val="333333"/>
          <w:spacing w:val="2"/>
          <w:sz w:val="20"/>
          <w:szCs w:val="20"/>
          <w:lang w:eastAsia="en-GB"/>
        </w:rPr>
        <w:t>Jossey-Bass.</w:t>
      </w:r>
      <w:hyperlink r:id="rId5"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Barnes, D. (1976). </w:t>
      </w:r>
      <w:r w:rsidRPr="00886157">
        <w:rPr>
          <w:rFonts w:eastAsia="Times New Roman" w:cs="Times New Roman"/>
          <w:i/>
          <w:iCs/>
          <w:color w:val="333333"/>
          <w:spacing w:val="2"/>
          <w:sz w:val="20"/>
          <w:szCs w:val="20"/>
          <w:lang w:eastAsia="en-GB"/>
        </w:rPr>
        <w:t>From communication to curriculum</w:t>
      </w:r>
      <w:r w:rsidRPr="00886157">
        <w:rPr>
          <w:rFonts w:eastAsia="Times New Roman" w:cs="Times New Roman"/>
          <w:color w:val="333333"/>
          <w:spacing w:val="2"/>
          <w:sz w:val="20"/>
          <w:szCs w:val="20"/>
          <w:lang w:eastAsia="en-GB"/>
        </w:rPr>
        <w:t xml:space="preserve">. </w:t>
      </w:r>
      <w:proofErr w:type="spellStart"/>
      <w:r w:rsidRPr="00886157">
        <w:rPr>
          <w:rFonts w:eastAsia="Times New Roman" w:cs="Times New Roman"/>
          <w:color w:val="333333"/>
          <w:spacing w:val="2"/>
          <w:sz w:val="20"/>
          <w:szCs w:val="20"/>
          <w:lang w:eastAsia="en-GB"/>
        </w:rPr>
        <w:t>Harmondsworth</w:t>
      </w:r>
      <w:proofErr w:type="spellEnd"/>
      <w:r w:rsidRPr="00886157">
        <w:rPr>
          <w:rFonts w:eastAsia="Times New Roman" w:cs="Times New Roman"/>
          <w:color w:val="333333"/>
          <w:spacing w:val="2"/>
          <w:sz w:val="20"/>
          <w:szCs w:val="20"/>
          <w:lang w:eastAsia="en-GB"/>
        </w:rPr>
        <w:t xml:space="preserve">: </w:t>
      </w:r>
      <w:proofErr w:type="spellStart"/>
      <w:r w:rsidRPr="00886157">
        <w:rPr>
          <w:rFonts w:eastAsia="Times New Roman" w:cs="Times New Roman"/>
          <w:color w:val="333333"/>
          <w:spacing w:val="2"/>
          <w:sz w:val="20"/>
          <w:szCs w:val="20"/>
          <w:lang w:eastAsia="en-GB"/>
        </w:rPr>
        <w:t>Penguin.</w:t>
      </w:r>
      <w:hyperlink r:id="rId6"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 xml:space="preserve">Bowers, K. S., </w:t>
      </w:r>
      <w:proofErr w:type="spellStart"/>
      <w:r w:rsidRPr="00886157">
        <w:rPr>
          <w:rFonts w:eastAsia="Times New Roman" w:cs="Times New Roman"/>
          <w:color w:val="333333"/>
          <w:spacing w:val="2"/>
          <w:sz w:val="20"/>
          <w:szCs w:val="20"/>
          <w:lang w:eastAsia="en-GB"/>
        </w:rPr>
        <w:t>Regehr</w:t>
      </w:r>
      <w:proofErr w:type="spellEnd"/>
      <w:r w:rsidRPr="00886157">
        <w:rPr>
          <w:rFonts w:eastAsia="Times New Roman" w:cs="Times New Roman"/>
          <w:color w:val="333333"/>
          <w:spacing w:val="2"/>
          <w:sz w:val="20"/>
          <w:szCs w:val="20"/>
          <w:lang w:eastAsia="en-GB"/>
        </w:rPr>
        <w:t xml:space="preserve">, G., </w:t>
      </w:r>
      <w:proofErr w:type="spellStart"/>
      <w:r w:rsidRPr="00886157">
        <w:rPr>
          <w:rFonts w:eastAsia="Times New Roman" w:cs="Times New Roman"/>
          <w:color w:val="333333"/>
          <w:spacing w:val="2"/>
          <w:sz w:val="20"/>
          <w:szCs w:val="20"/>
          <w:lang w:eastAsia="en-GB"/>
        </w:rPr>
        <w:t>Balthazard</w:t>
      </w:r>
      <w:proofErr w:type="spellEnd"/>
      <w:r w:rsidRPr="00886157">
        <w:rPr>
          <w:rFonts w:eastAsia="Times New Roman" w:cs="Times New Roman"/>
          <w:color w:val="333333"/>
          <w:spacing w:val="2"/>
          <w:sz w:val="20"/>
          <w:szCs w:val="20"/>
          <w:lang w:eastAsia="en-GB"/>
        </w:rPr>
        <w:t>, C., &amp; Parker, K. (1990). Intuition in the context of discovery. </w:t>
      </w:r>
      <w:r w:rsidRPr="00886157">
        <w:rPr>
          <w:rFonts w:eastAsia="Times New Roman" w:cs="Times New Roman"/>
          <w:i/>
          <w:iCs/>
          <w:color w:val="333333"/>
          <w:spacing w:val="2"/>
          <w:sz w:val="20"/>
          <w:szCs w:val="20"/>
          <w:lang w:eastAsia="en-GB"/>
        </w:rPr>
        <w:t>Cognitive Psychology, 22</w:t>
      </w:r>
      <w:r w:rsidRPr="00886157">
        <w:rPr>
          <w:rFonts w:eastAsia="Times New Roman" w:cs="Times New Roman"/>
          <w:color w:val="333333"/>
          <w:spacing w:val="2"/>
          <w:sz w:val="20"/>
          <w:szCs w:val="20"/>
          <w:lang w:eastAsia="en-GB"/>
        </w:rPr>
        <w:t>(1), 72–110.</w:t>
      </w:r>
      <w:hyperlink r:id="rId7" w:tgtFrame="_blank" w:history="1">
        <w:r w:rsidRPr="00886157">
          <w:rPr>
            <w:rFonts w:eastAsia="Times New Roman" w:cs="Times New Roman"/>
            <w:color w:val="4500A7"/>
            <w:spacing w:val="2"/>
            <w:sz w:val="20"/>
            <w:szCs w:val="20"/>
            <w:u w:val="single"/>
            <w:lang w:eastAsia="en-GB"/>
          </w:rPr>
          <w:t>CrossRef</w:t>
        </w:r>
      </w:hyperlink>
      <w:hyperlink r:id="rId8"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Calderhead, J. (1989). Reflective teaching and teacher education. </w:t>
      </w:r>
      <w:r w:rsidRPr="00886157">
        <w:rPr>
          <w:rFonts w:eastAsia="Times New Roman" w:cs="Times New Roman"/>
          <w:i/>
          <w:iCs/>
          <w:color w:val="333333"/>
          <w:spacing w:val="2"/>
          <w:sz w:val="20"/>
          <w:szCs w:val="20"/>
          <w:lang w:eastAsia="en-GB"/>
        </w:rPr>
        <w:t>Teaching and Teacher Education, 5</w:t>
      </w:r>
      <w:r w:rsidRPr="00886157">
        <w:rPr>
          <w:rFonts w:eastAsia="Times New Roman" w:cs="Times New Roman"/>
          <w:color w:val="333333"/>
          <w:spacing w:val="2"/>
          <w:sz w:val="20"/>
          <w:szCs w:val="20"/>
          <w:lang w:eastAsia="en-GB"/>
        </w:rPr>
        <w:t>(1), 43–51.</w:t>
      </w:r>
      <w:hyperlink r:id="rId9" w:tgtFrame="_blank" w:history="1">
        <w:r w:rsidRPr="00886157">
          <w:rPr>
            <w:rFonts w:eastAsia="Times New Roman" w:cs="Times New Roman"/>
            <w:color w:val="4500A7"/>
            <w:spacing w:val="2"/>
            <w:sz w:val="20"/>
            <w:szCs w:val="20"/>
            <w:u w:val="single"/>
            <w:lang w:eastAsia="en-GB"/>
          </w:rPr>
          <w:t>CrossRef</w:t>
        </w:r>
      </w:hyperlink>
      <w:hyperlink r:id="rId10"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 xml:space="preserve">Calderhead, J. (1992). The role of reflection in learning to teach. In L. </w:t>
      </w:r>
      <w:proofErr w:type="spellStart"/>
      <w:r w:rsidRPr="00886157">
        <w:rPr>
          <w:rFonts w:eastAsia="Times New Roman" w:cs="Times New Roman"/>
          <w:color w:val="333333"/>
          <w:spacing w:val="2"/>
          <w:sz w:val="20"/>
          <w:szCs w:val="20"/>
          <w:lang w:eastAsia="en-GB"/>
        </w:rPr>
        <w:t>Valli</w:t>
      </w:r>
      <w:proofErr w:type="spellEnd"/>
      <w:r w:rsidRPr="00886157">
        <w:rPr>
          <w:rFonts w:eastAsia="Times New Roman" w:cs="Times New Roman"/>
          <w:color w:val="333333"/>
          <w:spacing w:val="2"/>
          <w:sz w:val="20"/>
          <w:szCs w:val="20"/>
          <w:lang w:eastAsia="en-GB"/>
        </w:rPr>
        <w:t xml:space="preserve"> (Ed.), </w:t>
      </w:r>
      <w:r w:rsidRPr="00886157">
        <w:rPr>
          <w:rFonts w:eastAsia="Times New Roman" w:cs="Times New Roman"/>
          <w:i/>
          <w:iCs/>
          <w:color w:val="333333"/>
          <w:spacing w:val="2"/>
          <w:sz w:val="20"/>
          <w:szCs w:val="20"/>
          <w:lang w:eastAsia="en-GB"/>
        </w:rPr>
        <w:t>Reflective teacher education: Cases and critiques</w:t>
      </w:r>
      <w:r w:rsidRPr="00886157">
        <w:rPr>
          <w:rFonts w:eastAsia="Times New Roman" w:cs="Times New Roman"/>
          <w:color w:val="333333"/>
          <w:spacing w:val="2"/>
          <w:sz w:val="20"/>
          <w:szCs w:val="20"/>
          <w:lang w:eastAsia="en-GB"/>
        </w:rPr>
        <w:t xml:space="preserve"> (pp. 139–146). Albany: State University of New York </w:t>
      </w:r>
      <w:proofErr w:type="spellStart"/>
      <w:r w:rsidRPr="00886157">
        <w:rPr>
          <w:rFonts w:eastAsia="Times New Roman" w:cs="Times New Roman"/>
          <w:color w:val="333333"/>
          <w:spacing w:val="2"/>
          <w:sz w:val="20"/>
          <w:szCs w:val="20"/>
          <w:lang w:eastAsia="en-GB"/>
        </w:rPr>
        <w:t>Press.</w:t>
      </w:r>
      <w:hyperlink r:id="rId11"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Cook-Sather, A. (2002). Authorizing students’ perspectives: Toward trust, dialogue, and change in education. </w:t>
      </w:r>
      <w:r w:rsidRPr="00886157">
        <w:rPr>
          <w:rFonts w:eastAsia="Times New Roman" w:cs="Times New Roman"/>
          <w:i/>
          <w:iCs/>
          <w:color w:val="333333"/>
          <w:spacing w:val="2"/>
          <w:sz w:val="20"/>
          <w:szCs w:val="20"/>
          <w:lang w:eastAsia="en-GB"/>
        </w:rPr>
        <w:t>Educational Researcher, 31</w:t>
      </w:r>
      <w:r w:rsidRPr="00886157">
        <w:rPr>
          <w:rFonts w:eastAsia="Times New Roman" w:cs="Times New Roman"/>
          <w:color w:val="333333"/>
          <w:spacing w:val="2"/>
          <w:sz w:val="20"/>
          <w:szCs w:val="20"/>
          <w:lang w:eastAsia="en-GB"/>
        </w:rPr>
        <w:t>(4), 3–14.</w:t>
      </w:r>
      <w:hyperlink r:id="rId12" w:tgtFrame="_blank" w:history="1">
        <w:r w:rsidRPr="00886157">
          <w:rPr>
            <w:rFonts w:eastAsia="Times New Roman" w:cs="Times New Roman"/>
            <w:color w:val="4500A7"/>
            <w:spacing w:val="2"/>
            <w:sz w:val="20"/>
            <w:szCs w:val="20"/>
            <w:u w:val="single"/>
            <w:lang w:eastAsia="en-GB"/>
          </w:rPr>
          <w:t>CrossRef</w:t>
        </w:r>
      </w:hyperlink>
      <w:hyperlink r:id="rId13"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lastRenderedPageBreak/>
        <w:t>Edwards, G., &amp; Thomas, G. (2010). Can reflective practice be taught? </w:t>
      </w:r>
      <w:r w:rsidRPr="00886157">
        <w:rPr>
          <w:rFonts w:eastAsia="Times New Roman" w:cs="Times New Roman"/>
          <w:i/>
          <w:iCs/>
          <w:color w:val="333333"/>
          <w:spacing w:val="2"/>
          <w:sz w:val="20"/>
          <w:szCs w:val="20"/>
          <w:lang w:eastAsia="en-GB"/>
        </w:rPr>
        <w:t>Educational Studies, 36</w:t>
      </w:r>
      <w:r w:rsidRPr="00886157">
        <w:rPr>
          <w:rFonts w:eastAsia="Times New Roman" w:cs="Times New Roman"/>
          <w:color w:val="333333"/>
          <w:spacing w:val="2"/>
          <w:sz w:val="20"/>
          <w:szCs w:val="20"/>
          <w:lang w:eastAsia="en-GB"/>
        </w:rPr>
        <w:t>(4), 403–414.</w:t>
      </w:r>
      <w:hyperlink r:id="rId14" w:tgtFrame="_blank" w:history="1">
        <w:r w:rsidRPr="00886157">
          <w:rPr>
            <w:rFonts w:eastAsia="Times New Roman" w:cs="Times New Roman"/>
            <w:color w:val="4500A7"/>
            <w:spacing w:val="2"/>
            <w:sz w:val="20"/>
            <w:szCs w:val="20"/>
            <w:u w:val="single"/>
            <w:lang w:eastAsia="en-GB"/>
          </w:rPr>
          <w:t>CrossRef</w:t>
        </w:r>
      </w:hyperlink>
      <w:hyperlink r:id="rId15"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Fendler</w:t>
      </w:r>
      <w:proofErr w:type="spellEnd"/>
      <w:r w:rsidRPr="00886157">
        <w:rPr>
          <w:rFonts w:eastAsia="Times New Roman" w:cs="Times New Roman"/>
          <w:color w:val="333333"/>
          <w:spacing w:val="2"/>
          <w:sz w:val="20"/>
          <w:szCs w:val="20"/>
          <w:lang w:eastAsia="en-GB"/>
        </w:rPr>
        <w:t>, L. (2005). Teacher reflection in a hall of mirrors: Historical influences and political reverberations. </w:t>
      </w:r>
      <w:r w:rsidRPr="00886157">
        <w:rPr>
          <w:rFonts w:eastAsia="Times New Roman" w:cs="Times New Roman"/>
          <w:i/>
          <w:iCs/>
          <w:color w:val="333333"/>
          <w:spacing w:val="2"/>
          <w:sz w:val="20"/>
          <w:szCs w:val="20"/>
          <w:lang w:eastAsia="en-GB"/>
        </w:rPr>
        <w:t>Educational Researcher, 32</w:t>
      </w:r>
      <w:r w:rsidRPr="00886157">
        <w:rPr>
          <w:rFonts w:eastAsia="Times New Roman" w:cs="Times New Roman"/>
          <w:color w:val="333333"/>
          <w:spacing w:val="2"/>
          <w:sz w:val="20"/>
          <w:szCs w:val="20"/>
          <w:lang w:eastAsia="en-GB"/>
        </w:rPr>
        <w:t>(3), 16–25.</w:t>
      </w:r>
      <w:hyperlink r:id="rId16" w:tgtFrame="_blank" w:history="1">
        <w:r w:rsidRPr="00886157">
          <w:rPr>
            <w:rFonts w:eastAsia="Times New Roman" w:cs="Times New Roman"/>
            <w:color w:val="4500A7"/>
            <w:spacing w:val="2"/>
            <w:sz w:val="20"/>
            <w:szCs w:val="20"/>
            <w:u w:val="single"/>
            <w:lang w:eastAsia="en-GB"/>
          </w:rPr>
          <w:t>CrossRef</w:t>
        </w:r>
      </w:hyperlink>
      <w:hyperlink r:id="rId17"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Hattie, J. A. C. (2009). </w:t>
      </w:r>
      <w:r w:rsidRPr="00886157">
        <w:rPr>
          <w:rFonts w:eastAsia="Times New Roman" w:cs="Times New Roman"/>
          <w:i/>
          <w:iCs/>
          <w:color w:val="333333"/>
          <w:spacing w:val="2"/>
          <w:sz w:val="20"/>
          <w:szCs w:val="20"/>
          <w:lang w:eastAsia="en-GB"/>
        </w:rPr>
        <w:t>Visible learning: A synthesis of over 800 meta-analyses relating to achievement</w:t>
      </w:r>
      <w:r w:rsidRPr="00886157">
        <w:rPr>
          <w:rFonts w:eastAsia="Times New Roman" w:cs="Times New Roman"/>
          <w:color w:val="333333"/>
          <w:spacing w:val="2"/>
          <w:sz w:val="20"/>
          <w:szCs w:val="20"/>
          <w:lang w:eastAsia="en-GB"/>
        </w:rPr>
        <w:t xml:space="preserve">. London: </w:t>
      </w:r>
      <w:proofErr w:type="spellStart"/>
      <w:r w:rsidRPr="00886157">
        <w:rPr>
          <w:rFonts w:eastAsia="Times New Roman" w:cs="Times New Roman"/>
          <w:color w:val="333333"/>
          <w:spacing w:val="2"/>
          <w:sz w:val="20"/>
          <w:szCs w:val="20"/>
          <w:lang w:eastAsia="en-GB"/>
        </w:rPr>
        <w:t>Routledge.</w:t>
      </w:r>
      <w:hyperlink r:id="rId18"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Hatton, N., &amp; Smith, D. (1995). Reflection in teacher education: Towards definition and implementation. </w:t>
      </w:r>
      <w:r w:rsidRPr="00886157">
        <w:rPr>
          <w:rFonts w:eastAsia="Times New Roman" w:cs="Times New Roman"/>
          <w:i/>
          <w:iCs/>
          <w:color w:val="333333"/>
          <w:spacing w:val="2"/>
          <w:sz w:val="20"/>
          <w:szCs w:val="20"/>
          <w:lang w:eastAsia="en-GB"/>
        </w:rPr>
        <w:t>Teaching and Teacher Education, 11</w:t>
      </w:r>
      <w:r w:rsidRPr="00886157">
        <w:rPr>
          <w:rFonts w:eastAsia="Times New Roman" w:cs="Times New Roman"/>
          <w:color w:val="333333"/>
          <w:spacing w:val="2"/>
          <w:sz w:val="20"/>
          <w:szCs w:val="20"/>
          <w:lang w:eastAsia="en-GB"/>
        </w:rPr>
        <w:t>, 33–49.</w:t>
      </w:r>
      <w:hyperlink r:id="rId19" w:tgtFrame="_blank" w:history="1">
        <w:r w:rsidRPr="00886157">
          <w:rPr>
            <w:rFonts w:eastAsia="Times New Roman" w:cs="Times New Roman"/>
            <w:color w:val="4500A7"/>
            <w:spacing w:val="2"/>
            <w:sz w:val="20"/>
            <w:szCs w:val="20"/>
            <w:u w:val="single"/>
            <w:lang w:eastAsia="en-GB"/>
          </w:rPr>
          <w:t>CrossRef</w:t>
        </w:r>
      </w:hyperlink>
      <w:hyperlink r:id="rId20"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Jay, J. K., &amp; Johnson, K. L. (2002). Capturing complexity: A typology of reflective practice for teacher education. </w:t>
      </w:r>
      <w:r w:rsidRPr="00886157">
        <w:rPr>
          <w:rFonts w:eastAsia="Times New Roman" w:cs="Times New Roman"/>
          <w:i/>
          <w:iCs/>
          <w:color w:val="333333"/>
          <w:spacing w:val="2"/>
          <w:sz w:val="20"/>
          <w:szCs w:val="20"/>
          <w:lang w:eastAsia="en-GB"/>
        </w:rPr>
        <w:t>Teaching and Teacher Education, 18</w:t>
      </w:r>
      <w:r w:rsidRPr="00886157">
        <w:rPr>
          <w:rFonts w:eastAsia="Times New Roman" w:cs="Times New Roman"/>
          <w:color w:val="333333"/>
          <w:spacing w:val="2"/>
          <w:sz w:val="20"/>
          <w:szCs w:val="20"/>
          <w:lang w:eastAsia="en-GB"/>
        </w:rPr>
        <w:t xml:space="preserve">(1), 73–85. </w:t>
      </w:r>
      <w:proofErr w:type="spellStart"/>
      <w:proofErr w:type="gramStart"/>
      <w:r w:rsidRPr="00886157">
        <w:rPr>
          <w:rFonts w:eastAsia="Times New Roman" w:cs="Times New Roman"/>
          <w:color w:val="333333"/>
          <w:spacing w:val="2"/>
          <w:sz w:val="20"/>
          <w:szCs w:val="20"/>
          <w:lang w:eastAsia="en-GB"/>
        </w:rPr>
        <w:t>doi</w:t>
      </w:r>
      <w:proofErr w:type="spellEnd"/>
      <w:proofErr w:type="gramEnd"/>
      <w:r w:rsidRPr="00886157">
        <w:rPr>
          <w:rFonts w:eastAsia="Times New Roman" w:cs="Times New Roman"/>
          <w:color w:val="333333"/>
          <w:spacing w:val="2"/>
          <w:sz w:val="20"/>
          <w:szCs w:val="20"/>
          <w:lang w:eastAsia="en-GB"/>
        </w:rPr>
        <w:t>: </w:t>
      </w:r>
      <w:hyperlink r:id="rId21" w:tgtFrame="_blank" w:history="1">
        <w:r w:rsidRPr="00886157">
          <w:rPr>
            <w:rFonts w:eastAsia="Times New Roman" w:cs="Times New Roman"/>
            <w:color w:val="4500A7"/>
            <w:spacing w:val="2"/>
            <w:sz w:val="20"/>
            <w:szCs w:val="20"/>
            <w:u w:val="single"/>
            <w:lang w:eastAsia="en-GB"/>
          </w:rPr>
          <w:t>10.1016/S0742-051X(01)00051-8</w:t>
        </w:r>
      </w:hyperlink>
      <w:r w:rsidRPr="00886157">
        <w:rPr>
          <w:rFonts w:eastAsia="Times New Roman" w:cs="Times New Roman"/>
          <w:color w:val="333333"/>
          <w:spacing w:val="2"/>
          <w:sz w:val="20"/>
          <w:szCs w:val="20"/>
          <w:lang w:eastAsia="en-GB"/>
        </w:rPr>
        <w:t>.</w:t>
      </w:r>
      <w:hyperlink r:id="rId22" w:tgtFrame="_blank" w:history="1">
        <w:r w:rsidRPr="00886157">
          <w:rPr>
            <w:rFonts w:eastAsia="Times New Roman" w:cs="Times New Roman"/>
            <w:color w:val="4500A7"/>
            <w:spacing w:val="2"/>
            <w:sz w:val="20"/>
            <w:szCs w:val="20"/>
            <w:u w:val="single"/>
            <w:lang w:eastAsia="en-GB"/>
          </w:rPr>
          <w:t>CrossRef</w:t>
        </w:r>
      </w:hyperlink>
      <w:hyperlink r:id="rId23"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Kennedy, M. (2015). Parsing the practice of teaching. </w:t>
      </w:r>
      <w:r w:rsidRPr="00886157">
        <w:rPr>
          <w:rFonts w:eastAsia="Times New Roman" w:cs="Times New Roman"/>
          <w:i/>
          <w:iCs/>
          <w:color w:val="333333"/>
          <w:spacing w:val="2"/>
          <w:sz w:val="20"/>
          <w:szCs w:val="20"/>
          <w:lang w:eastAsia="en-GB"/>
        </w:rPr>
        <w:t xml:space="preserve">Journal of Teacher </w:t>
      </w:r>
      <w:proofErr w:type="spellStart"/>
      <w:r w:rsidRPr="00886157">
        <w:rPr>
          <w:rFonts w:eastAsia="Times New Roman" w:cs="Times New Roman"/>
          <w:i/>
          <w:iCs/>
          <w:color w:val="333333"/>
          <w:spacing w:val="2"/>
          <w:sz w:val="20"/>
          <w:szCs w:val="20"/>
          <w:lang w:eastAsia="en-GB"/>
        </w:rPr>
        <w:t>Education</w:t>
      </w:r>
      <w:proofErr w:type="gramStart"/>
      <w:r w:rsidRPr="00886157">
        <w:rPr>
          <w:rFonts w:eastAsia="Times New Roman" w:cs="Times New Roman"/>
          <w:i/>
          <w:iCs/>
          <w:color w:val="333333"/>
          <w:spacing w:val="2"/>
          <w:sz w:val="20"/>
          <w:szCs w:val="20"/>
          <w:lang w:eastAsia="en-GB"/>
        </w:rPr>
        <w:t>,</w:t>
      </w:r>
      <w:r w:rsidRPr="00886157">
        <w:rPr>
          <w:rFonts w:eastAsia="Times New Roman" w:cs="Times New Roman"/>
          <w:color w:val="333333"/>
          <w:spacing w:val="2"/>
          <w:sz w:val="20"/>
          <w:szCs w:val="20"/>
          <w:lang w:eastAsia="en-GB"/>
        </w:rPr>
        <w:t>online</w:t>
      </w:r>
      <w:proofErr w:type="spellEnd"/>
      <w:proofErr w:type="gramEnd"/>
      <w:r w:rsidRPr="00886157">
        <w:rPr>
          <w:rFonts w:eastAsia="Times New Roman" w:cs="Times New Roman"/>
          <w:color w:val="333333"/>
          <w:spacing w:val="2"/>
          <w:sz w:val="20"/>
          <w:szCs w:val="20"/>
          <w:lang w:eastAsia="en-GB"/>
        </w:rPr>
        <w:t xml:space="preserve">, 1–12. </w:t>
      </w:r>
      <w:proofErr w:type="spellStart"/>
      <w:proofErr w:type="gramStart"/>
      <w:r w:rsidRPr="00886157">
        <w:rPr>
          <w:rFonts w:eastAsia="Times New Roman" w:cs="Times New Roman"/>
          <w:color w:val="333333"/>
          <w:spacing w:val="2"/>
          <w:sz w:val="20"/>
          <w:szCs w:val="20"/>
          <w:lang w:eastAsia="en-GB"/>
        </w:rPr>
        <w:t>doi</w:t>
      </w:r>
      <w:proofErr w:type="spellEnd"/>
      <w:proofErr w:type="gramEnd"/>
      <w:r w:rsidRPr="00886157">
        <w:rPr>
          <w:rFonts w:eastAsia="Times New Roman" w:cs="Times New Roman"/>
          <w:color w:val="333333"/>
          <w:spacing w:val="2"/>
          <w:sz w:val="20"/>
          <w:szCs w:val="20"/>
          <w:lang w:eastAsia="en-GB"/>
        </w:rPr>
        <w:t>: </w:t>
      </w:r>
      <w:hyperlink r:id="rId24" w:tgtFrame="_blank" w:history="1">
        <w:r w:rsidRPr="00886157">
          <w:rPr>
            <w:rFonts w:eastAsia="Times New Roman" w:cs="Times New Roman"/>
            <w:color w:val="4500A7"/>
            <w:spacing w:val="2"/>
            <w:sz w:val="20"/>
            <w:szCs w:val="20"/>
            <w:u w:val="single"/>
            <w:lang w:eastAsia="en-GB"/>
          </w:rPr>
          <w:t>10.1177/0022487115614617</w:t>
        </w:r>
      </w:hyperlink>
      <w:r w:rsidRPr="00886157">
        <w:rPr>
          <w:rFonts w:eastAsia="Times New Roman" w:cs="Times New Roman"/>
          <w:color w:val="333333"/>
          <w:spacing w:val="2"/>
          <w:sz w:val="20"/>
          <w:szCs w:val="20"/>
          <w:lang w:eastAsia="en-GB"/>
        </w:rPr>
        <w:t>.</w:t>
      </w:r>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Langer, E. J. (1997). </w:t>
      </w:r>
      <w:r w:rsidRPr="00886157">
        <w:rPr>
          <w:rFonts w:eastAsia="Times New Roman" w:cs="Times New Roman"/>
          <w:i/>
          <w:iCs/>
          <w:color w:val="333333"/>
          <w:spacing w:val="2"/>
          <w:sz w:val="20"/>
          <w:szCs w:val="20"/>
          <w:lang w:eastAsia="en-GB"/>
        </w:rPr>
        <w:t>The power of mindful learning</w:t>
      </w:r>
      <w:r w:rsidRPr="00886157">
        <w:rPr>
          <w:rFonts w:eastAsia="Times New Roman" w:cs="Times New Roman"/>
          <w:color w:val="333333"/>
          <w:spacing w:val="2"/>
          <w:sz w:val="20"/>
          <w:szCs w:val="20"/>
          <w:lang w:eastAsia="en-GB"/>
        </w:rPr>
        <w:t>. Reading: Addison-</w:t>
      </w:r>
      <w:proofErr w:type="spellStart"/>
      <w:r w:rsidRPr="00886157">
        <w:rPr>
          <w:rFonts w:eastAsia="Times New Roman" w:cs="Times New Roman"/>
          <w:color w:val="333333"/>
          <w:spacing w:val="2"/>
          <w:sz w:val="20"/>
          <w:szCs w:val="20"/>
          <w:lang w:eastAsia="en-GB"/>
        </w:rPr>
        <w:t>Wesley.</w:t>
      </w:r>
      <w:hyperlink r:id="rId25"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Larrivee</w:t>
      </w:r>
      <w:proofErr w:type="spellEnd"/>
      <w:r w:rsidRPr="00886157">
        <w:rPr>
          <w:rFonts w:eastAsia="Times New Roman" w:cs="Times New Roman"/>
          <w:color w:val="333333"/>
          <w:spacing w:val="2"/>
          <w:sz w:val="20"/>
          <w:szCs w:val="20"/>
          <w:lang w:eastAsia="en-GB"/>
        </w:rPr>
        <w:t>, B. (2000). Transforming teaching practice: Becoming the critically reflective teacher. </w:t>
      </w:r>
      <w:r w:rsidRPr="00886157">
        <w:rPr>
          <w:rFonts w:eastAsia="Times New Roman" w:cs="Times New Roman"/>
          <w:i/>
          <w:iCs/>
          <w:color w:val="333333"/>
          <w:spacing w:val="2"/>
          <w:sz w:val="20"/>
          <w:szCs w:val="20"/>
          <w:lang w:eastAsia="en-GB"/>
        </w:rPr>
        <w:t>Reflective Practice, 1</w:t>
      </w:r>
      <w:r w:rsidRPr="00886157">
        <w:rPr>
          <w:rFonts w:eastAsia="Times New Roman" w:cs="Times New Roman"/>
          <w:color w:val="333333"/>
          <w:spacing w:val="2"/>
          <w:sz w:val="20"/>
          <w:szCs w:val="20"/>
          <w:lang w:eastAsia="en-GB"/>
        </w:rPr>
        <w:t>, 293–307.</w:t>
      </w:r>
      <w:hyperlink r:id="rId26" w:tgtFrame="_blank" w:history="1">
        <w:r w:rsidRPr="00886157">
          <w:rPr>
            <w:rFonts w:eastAsia="Times New Roman" w:cs="Times New Roman"/>
            <w:color w:val="4500A7"/>
            <w:spacing w:val="2"/>
            <w:sz w:val="20"/>
            <w:szCs w:val="20"/>
            <w:u w:val="single"/>
            <w:lang w:eastAsia="en-GB"/>
          </w:rPr>
          <w:t>CrossRef</w:t>
        </w:r>
      </w:hyperlink>
      <w:hyperlink r:id="rId27"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Loughran</w:t>
      </w:r>
      <w:proofErr w:type="spellEnd"/>
      <w:r w:rsidRPr="00886157">
        <w:rPr>
          <w:rFonts w:eastAsia="Times New Roman" w:cs="Times New Roman"/>
          <w:color w:val="333333"/>
          <w:spacing w:val="2"/>
          <w:sz w:val="20"/>
          <w:szCs w:val="20"/>
          <w:lang w:eastAsia="en-GB"/>
        </w:rPr>
        <w:t xml:space="preserve">, J. J., Hamilton, M. L., </w:t>
      </w:r>
      <w:proofErr w:type="spellStart"/>
      <w:r w:rsidRPr="00886157">
        <w:rPr>
          <w:rFonts w:eastAsia="Times New Roman" w:cs="Times New Roman"/>
          <w:color w:val="333333"/>
          <w:spacing w:val="2"/>
          <w:sz w:val="20"/>
          <w:szCs w:val="20"/>
          <w:lang w:eastAsia="en-GB"/>
        </w:rPr>
        <w:t>LaBoskey</w:t>
      </w:r>
      <w:proofErr w:type="spellEnd"/>
      <w:r w:rsidRPr="00886157">
        <w:rPr>
          <w:rFonts w:eastAsia="Times New Roman" w:cs="Times New Roman"/>
          <w:color w:val="333333"/>
          <w:spacing w:val="2"/>
          <w:sz w:val="20"/>
          <w:szCs w:val="20"/>
          <w:lang w:eastAsia="en-GB"/>
        </w:rPr>
        <w:t>, V. K., &amp; Russell, T. (Eds.). (2004). </w:t>
      </w:r>
      <w:r w:rsidRPr="00886157">
        <w:rPr>
          <w:rFonts w:eastAsia="Times New Roman" w:cs="Times New Roman"/>
          <w:i/>
          <w:iCs/>
          <w:color w:val="333333"/>
          <w:spacing w:val="2"/>
          <w:sz w:val="20"/>
          <w:szCs w:val="20"/>
          <w:lang w:eastAsia="en-GB"/>
        </w:rPr>
        <w:t>International handbook of self-study of teaching and teacher education practices</w:t>
      </w:r>
      <w:r w:rsidRPr="00886157">
        <w:rPr>
          <w:rFonts w:eastAsia="Times New Roman" w:cs="Times New Roman"/>
          <w:color w:val="333333"/>
          <w:spacing w:val="2"/>
          <w:sz w:val="20"/>
          <w:szCs w:val="20"/>
          <w:lang w:eastAsia="en-GB"/>
        </w:rPr>
        <w:t xml:space="preserve">. Dordrecht: </w:t>
      </w:r>
      <w:proofErr w:type="spellStart"/>
      <w:r w:rsidRPr="00886157">
        <w:rPr>
          <w:rFonts w:eastAsia="Times New Roman" w:cs="Times New Roman"/>
          <w:color w:val="333333"/>
          <w:spacing w:val="2"/>
          <w:sz w:val="20"/>
          <w:szCs w:val="20"/>
          <w:lang w:eastAsia="en-GB"/>
        </w:rPr>
        <w:t>Kluwer.</w:t>
      </w:r>
      <w:hyperlink r:id="rId28"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Lyons, N. (2010). Reflection and reflective inquiry: Critical issues, evolving conceptualizations, contemporary claims and future possibilities. In N. Lyons (Ed.), </w:t>
      </w:r>
      <w:r w:rsidRPr="00886157">
        <w:rPr>
          <w:rFonts w:eastAsia="Times New Roman" w:cs="Times New Roman"/>
          <w:i/>
          <w:iCs/>
          <w:color w:val="333333"/>
          <w:spacing w:val="2"/>
          <w:sz w:val="20"/>
          <w:szCs w:val="20"/>
          <w:lang w:eastAsia="en-GB"/>
        </w:rPr>
        <w:t>Handbook of reflection and reflective inquiry: Mapping a way of knowing for professional reflective inquiry</w:t>
      </w:r>
      <w:r w:rsidRPr="00886157">
        <w:rPr>
          <w:rFonts w:eastAsia="Times New Roman" w:cs="Times New Roman"/>
          <w:color w:val="333333"/>
          <w:spacing w:val="2"/>
          <w:sz w:val="20"/>
          <w:szCs w:val="20"/>
          <w:lang w:eastAsia="en-GB"/>
        </w:rPr>
        <w:t xml:space="preserve"> (pp. 3–22). Dordrecht: Springer. </w:t>
      </w:r>
      <w:proofErr w:type="spellStart"/>
      <w:proofErr w:type="gramStart"/>
      <w:r w:rsidRPr="00886157">
        <w:rPr>
          <w:rFonts w:eastAsia="Times New Roman" w:cs="Times New Roman"/>
          <w:color w:val="333333"/>
          <w:spacing w:val="2"/>
          <w:sz w:val="20"/>
          <w:szCs w:val="20"/>
          <w:lang w:eastAsia="en-GB"/>
        </w:rPr>
        <w:t>doi</w:t>
      </w:r>
      <w:proofErr w:type="spellEnd"/>
      <w:proofErr w:type="gramEnd"/>
      <w:r w:rsidRPr="00886157">
        <w:rPr>
          <w:rFonts w:eastAsia="Times New Roman" w:cs="Times New Roman"/>
          <w:color w:val="333333"/>
          <w:spacing w:val="2"/>
          <w:sz w:val="20"/>
          <w:szCs w:val="20"/>
          <w:lang w:eastAsia="en-GB"/>
        </w:rPr>
        <w:t>: </w:t>
      </w:r>
      <w:hyperlink r:id="rId29" w:tgtFrame="_blank" w:history="1">
        <w:r w:rsidRPr="00886157">
          <w:rPr>
            <w:rFonts w:eastAsia="Times New Roman" w:cs="Times New Roman"/>
            <w:color w:val="4500A7"/>
            <w:spacing w:val="2"/>
            <w:sz w:val="20"/>
            <w:szCs w:val="20"/>
            <w:u w:val="single"/>
            <w:lang w:eastAsia="en-GB"/>
          </w:rPr>
          <w:t>10.1007/978-0-387-85744-2_4</w:t>
        </w:r>
      </w:hyperlink>
      <w:r w:rsidRPr="00886157">
        <w:rPr>
          <w:rFonts w:eastAsia="Times New Roman" w:cs="Times New Roman"/>
          <w:color w:val="333333"/>
          <w:spacing w:val="2"/>
          <w:sz w:val="20"/>
          <w:szCs w:val="20"/>
          <w:lang w:eastAsia="en-GB"/>
        </w:rPr>
        <w:t>.</w:t>
      </w:r>
      <w:hyperlink r:id="rId30" w:tgtFrame="_blank" w:history="1">
        <w:r w:rsidRPr="00886157">
          <w:rPr>
            <w:rFonts w:eastAsia="Times New Roman" w:cs="Times New Roman"/>
            <w:color w:val="4500A7"/>
            <w:spacing w:val="2"/>
            <w:sz w:val="20"/>
            <w:szCs w:val="20"/>
            <w:u w:val="single"/>
            <w:lang w:eastAsia="en-GB"/>
          </w:rPr>
          <w:t>CrossRef</w:t>
        </w:r>
      </w:hyperlink>
      <w:hyperlink r:id="rId31"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Munby, H., &amp; Russell, T. (1994). The authority of experience in learning to teach: Messages from a physics methods class. </w:t>
      </w:r>
      <w:r w:rsidRPr="00886157">
        <w:rPr>
          <w:rFonts w:eastAsia="Times New Roman" w:cs="Times New Roman"/>
          <w:i/>
          <w:iCs/>
          <w:color w:val="333333"/>
          <w:spacing w:val="2"/>
          <w:sz w:val="20"/>
          <w:szCs w:val="20"/>
          <w:lang w:eastAsia="en-GB"/>
        </w:rPr>
        <w:t>Journal of Teacher Education, 45</w:t>
      </w:r>
      <w:r w:rsidRPr="00886157">
        <w:rPr>
          <w:rFonts w:eastAsia="Times New Roman" w:cs="Times New Roman"/>
          <w:color w:val="333333"/>
          <w:spacing w:val="2"/>
          <w:sz w:val="20"/>
          <w:szCs w:val="20"/>
          <w:lang w:eastAsia="en-GB"/>
        </w:rPr>
        <w:t>, 86–95.</w:t>
      </w:r>
      <w:hyperlink r:id="rId32" w:tgtFrame="_blank" w:history="1">
        <w:r w:rsidRPr="00886157">
          <w:rPr>
            <w:rFonts w:eastAsia="Times New Roman" w:cs="Times New Roman"/>
            <w:color w:val="4500A7"/>
            <w:spacing w:val="2"/>
            <w:sz w:val="20"/>
            <w:szCs w:val="20"/>
            <w:u w:val="single"/>
            <w:lang w:eastAsia="en-GB"/>
          </w:rPr>
          <w:t>CrossRef</w:t>
        </w:r>
      </w:hyperlink>
      <w:hyperlink r:id="rId33"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Munby, H., Russell, T., &amp; Martin, A. K. (2001). Teachers’ knowledge and how it develops. In V. Richardson (Ed.), </w:t>
      </w:r>
      <w:r w:rsidRPr="00886157">
        <w:rPr>
          <w:rFonts w:eastAsia="Times New Roman" w:cs="Times New Roman"/>
          <w:i/>
          <w:iCs/>
          <w:color w:val="333333"/>
          <w:spacing w:val="2"/>
          <w:sz w:val="20"/>
          <w:szCs w:val="20"/>
          <w:lang w:eastAsia="en-GB"/>
        </w:rPr>
        <w:t>Handbook of research on teaching</w:t>
      </w:r>
      <w:r w:rsidRPr="00886157">
        <w:rPr>
          <w:rFonts w:eastAsia="Times New Roman" w:cs="Times New Roman"/>
          <w:color w:val="333333"/>
          <w:spacing w:val="2"/>
          <w:sz w:val="20"/>
          <w:szCs w:val="20"/>
          <w:lang w:eastAsia="en-GB"/>
        </w:rPr>
        <w:t xml:space="preserve"> (4th ed., pp. 877–904). Washington, DC: American Educational Research </w:t>
      </w:r>
      <w:proofErr w:type="spellStart"/>
      <w:r w:rsidRPr="00886157">
        <w:rPr>
          <w:rFonts w:eastAsia="Times New Roman" w:cs="Times New Roman"/>
          <w:color w:val="333333"/>
          <w:spacing w:val="2"/>
          <w:sz w:val="20"/>
          <w:szCs w:val="20"/>
          <w:lang w:eastAsia="en-GB"/>
        </w:rPr>
        <w:t>Association.</w:t>
      </w:r>
      <w:hyperlink r:id="rId34"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Raelin</w:t>
      </w:r>
      <w:proofErr w:type="spellEnd"/>
      <w:r w:rsidRPr="00886157">
        <w:rPr>
          <w:rFonts w:eastAsia="Times New Roman" w:cs="Times New Roman"/>
          <w:color w:val="333333"/>
          <w:spacing w:val="2"/>
          <w:sz w:val="20"/>
          <w:szCs w:val="20"/>
          <w:lang w:eastAsia="en-GB"/>
        </w:rPr>
        <w:t>, J. A. (2007). Toward an epistemology of practice. </w:t>
      </w:r>
      <w:r w:rsidRPr="00886157">
        <w:rPr>
          <w:rFonts w:eastAsia="Times New Roman" w:cs="Times New Roman"/>
          <w:i/>
          <w:iCs/>
          <w:color w:val="333333"/>
          <w:spacing w:val="2"/>
          <w:sz w:val="20"/>
          <w:szCs w:val="20"/>
          <w:lang w:eastAsia="en-GB"/>
        </w:rPr>
        <w:t>Academy of Management Learning and Education, 6</w:t>
      </w:r>
      <w:r w:rsidRPr="00886157">
        <w:rPr>
          <w:rFonts w:eastAsia="Times New Roman" w:cs="Times New Roman"/>
          <w:color w:val="333333"/>
          <w:spacing w:val="2"/>
          <w:sz w:val="20"/>
          <w:szCs w:val="20"/>
          <w:lang w:eastAsia="en-GB"/>
        </w:rPr>
        <w:t>(4), 495–519.</w:t>
      </w:r>
      <w:hyperlink r:id="rId35" w:tgtFrame="_blank" w:history="1">
        <w:r w:rsidRPr="00886157">
          <w:rPr>
            <w:rFonts w:eastAsia="Times New Roman" w:cs="Times New Roman"/>
            <w:color w:val="4500A7"/>
            <w:spacing w:val="2"/>
            <w:sz w:val="20"/>
            <w:szCs w:val="20"/>
            <w:u w:val="single"/>
            <w:lang w:eastAsia="en-GB"/>
          </w:rPr>
          <w:t>CrossRef</w:t>
        </w:r>
      </w:hyperlink>
      <w:hyperlink r:id="rId36"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 xml:space="preserve">Richardson, V. (1990). The evolution of reflective teaching and teacher education. In R. T. Clift, W. R. Houston, &amp; M. C. </w:t>
      </w:r>
      <w:proofErr w:type="spellStart"/>
      <w:r w:rsidRPr="00886157">
        <w:rPr>
          <w:rFonts w:eastAsia="Times New Roman" w:cs="Times New Roman"/>
          <w:color w:val="333333"/>
          <w:spacing w:val="2"/>
          <w:sz w:val="20"/>
          <w:szCs w:val="20"/>
          <w:lang w:eastAsia="en-GB"/>
        </w:rPr>
        <w:t>Pugach</w:t>
      </w:r>
      <w:proofErr w:type="spellEnd"/>
      <w:r w:rsidRPr="00886157">
        <w:rPr>
          <w:rFonts w:eastAsia="Times New Roman" w:cs="Times New Roman"/>
          <w:color w:val="333333"/>
          <w:spacing w:val="2"/>
          <w:sz w:val="20"/>
          <w:szCs w:val="20"/>
          <w:lang w:eastAsia="en-GB"/>
        </w:rPr>
        <w:t xml:space="preserve"> (Eds.), </w:t>
      </w:r>
      <w:r w:rsidRPr="00886157">
        <w:rPr>
          <w:rFonts w:eastAsia="Times New Roman" w:cs="Times New Roman"/>
          <w:i/>
          <w:iCs/>
          <w:color w:val="333333"/>
          <w:spacing w:val="2"/>
          <w:sz w:val="20"/>
          <w:szCs w:val="20"/>
          <w:lang w:eastAsia="en-GB"/>
        </w:rPr>
        <w:t>Encouraging reflection practice in education: An analysis of issues and programs</w:t>
      </w:r>
      <w:r w:rsidRPr="00886157">
        <w:rPr>
          <w:rFonts w:eastAsia="Times New Roman" w:cs="Times New Roman"/>
          <w:color w:val="333333"/>
          <w:spacing w:val="2"/>
          <w:sz w:val="20"/>
          <w:szCs w:val="20"/>
          <w:lang w:eastAsia="en-GB"/>
        </w:rPr>
        <w:t xml:space="preserve"> (pp. 3–19). New York: Teachers College </w:t>
      </w:r>
      <w:proofErr w:type="spellStart"/>
      <w:r w:rsidRPr="00886157">
        <w:rPr>
          <w:rFonts w:eastAsia="Times New Roman" w:cs="Times New Roman"/>
          <w:color w:val="333333"/>
          <w:spacing w:val="2"/>
          <w:sz w:val="20"/>
          <w:szCs w:val="20"/>
          <w:lang w:eastAsia="en-GB"/>
        </w:rPr>
        <w:t>Press.</w:t>
      </w:r>
      <w:hyperlink r:id="rId37"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Rodgers, C. (2002). Defining reflection: Another look at John Dewey and reflective thinking. </w:t>
      </w:r>
      <w:r w:rsidRPr="00886157">
        <w:rPr>
          <w:rFonts w:eastAsia="Times New Roman" w:cs="Times New Roman"/>
          <w:i/>
          <w:iCs/>
          <w:color w:val="333333"/>
          <w:spacing w:val="2"/>
          <w:sz w:val="20"/>
          <w:szCs w:val="20"/>
          <w:lang w:eastAsia="en-GB"/>
        </w:rPr>
        <w:t>Teachers College Record, 104</w:t>
      </w:r>
      <w:r w:rsidRPr="00886157">
        <w:rPr>
          <w:rFonts w:eastAsia="Times New Roman" w:cs="Times New Roman"/>
          <w:color w:val="333333"/>
          <w:spacing w:val="2"/>
          <w:sz w:val="20"/>
          <w:szCs w:val="20"/>
          <w:lang w:eastAsia="en-GB"/>
        </w:rPr>
        <w:t>, 842–866.</w:t>
      </w:r>
      <w:hyperlink r:id="rId38" w:tgtFrame="_blank" w:history="1">
        <w:r w:rsidRPr="00886157">
          <w:rPr>
            <w:rFonts w:eastAsia="Times New Roman" w:cs="Times New Roman"/>
            <w:color w:val="4500A7"/>
            <w:spacing w:val="2"/>
            <w:sz w:val="20"/>
            <w:szCs w:val="20"/>
            <w:u w:val="single"/>
            <w:lang w:eastAsia="en-GB"/>
          </w:rPr>
          <w:t>CrossRef</w:t>
        </w:r>
      </w:hyperlink>
      <w:hyperlink r:id="rId39"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Russell, T. (2014a). One teacher educator’s career-long development of a pedagogy of reflection. In C. J. Craig &amp; L. Orland-Barak (Eds.), </w:t>
      </w:r>
      <w:r w:rsidRPr="00886157">
        <w:rPr>
          <w:rFonts w:eastAsia="Times New Roman" w:cs="Times New Roman"/>
          <w:i/>
          <w:iCs/>
          <w:color w:val="333333"/>
          <w:spacing w:val="2"/>
          <w:sz w:val="20"/>
          <w:szCs w:val="20"/>
          <w:lang w:eastAsia="en-GB"/>
        </w:rPr>
        <w:t>International teacher education: Promising pedagogies (Part A)</w:t>
      </w:r>
      <w:r w:rsidRPr="00886157">
        <w:rPr>
          <w:rFonts w:eastAsia="Times New Roman" w:cs="Times New Roman"/>
          <w:color w:val="333333"/>
          <w:spacing w:val="2"/>
          <w:sz w:val="20"/>
          <w:szCs w:val="20"/>
          <w:lang w:eastAsia="en-GB"/>
        </w:rPr>
        <w:t xml:space="preserve"> (pp. 55–72). Bingley: </w:t>
      </w:r>
      <w:proofErr w:type="spellStart"/>
      <w:r w:rsidRPr="00886157">
        <w:rPr>
          <w:rFonts w:eastAsia="Times New Roman" w:cs="Times New Roman"/>
          <w:color w:val="333333"/>
          <w:spacing w:val="2"/>
          <w:sz w:val="20"/>
          <w:szCs w:val="20"/>
          <w:lang w:eastAsia="en-GB"/>
        </w:rPr>
        <w:t>Emerald.</w:t>
      </w:r>
      <w:hyperlink r:id="rId40" w:tgtFrame="_blank" w:history="1">
        <w:r w:rsidRPr="00886157">
          <w:rPr>
            <w:rFonts w:eastAsia="Times New Roman" w:cs="Times New Roman"/>
            <w:color w:val="4500A7"/>
            <w:spacing w:val="2"/>
            <w:sz w:val="20"/>
            <w:szCs w:val="20"/>
            <w:u w:val="single"/>
            <w:lang w:eastAsia="en-GB"/>
          </w:rPr>
          <w:t>CrossRef</w:t>
        </w:r>
      </w:hyperlink>
      <w:hyperlink r:id="rId41"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Russell, T. (2014b). Paradigmatic changes in teacher education: The perils, pitfalls and unrealized promise of the reflective practitioner. In R. Bruno-</w:t>
      </w:r>
      <w:proofErr w:type="spellStart"/>
      <w:r w:rsidRPr="00886157">
        <w:rPr>
          <w:rFonts w:eastAsia="Times New Roman" w:cs="Times New Roman"/>
          <w:color w:val="333333"/>
          <w:spacing w:val="2"/>
          <w:sz w:val="20"/>
          <w:szCs w:val="20"/>
          <w:lang w:eastAsia="en-GB"/>
        </w:rPr>
        <w:t>Jofré</w:t>
      </w:r>
      <w:proofErr w:type="spellEnd"/>
      <w:r w:rsidRPr="00886157">
        <w:rPr>
          <w:rFonts w:eastAsia="Times New Roman" w:cs="Times New Roman"/>
          <w:color w:val="333333"/>
          <w:spacing w:val="2"/>
          <w:sz w:val="20"/>
          <w:szCs w:val="20"/>
          <w:lang w:eastAsia="en-GB"/>
        </w:rPr>
        <w:t xml:space="preserve"> &amp; J. S. Johnston (Eds.), </w:t>
      </w:r>
      <w:r w:rsidRPr="00886157">
        <w:rPr>
          <w:rFonts w:eastAsia="Times New Roman" w:cs="Times New Roman"/>
          <w:i/>
          <w:iCs/>
          <w:color w:val="333333"/>
          <w:spacing w:val="2"/>
          <w:sz w:val="20"/>
          <w:szCs w:val="20"/>
          <w:lang w:eastAsia="en-GB"/>
        </w:rPr>
        <w:t>Teacher education in a transnational world</w:t>
      </w:r>
      <w:r w:rsidRPr="00886157">
        <w:rPr>
          <w:rFonts w:eastAsia="Times New Roman" w:cs="Times New Roman"/>
          <w:color w:val="333333"/>
          <w:spacing w:val="2"/>
          <w:sz w:val="20"/>
          <w:szCs w:val="20"/>
          <w:lang w:eastAsia="en-GB"/>
        </w:rPr>
        <w:t xml:space="preserve"> (pp. 158–176). Toronto: University of Toronto </w:t>
      </w:r>
      <w:proofErr w:type="spellStart"/>
      <w:r w:rsidRPr="00886157">
        <w:rPr>
          <w:rFonts w:eastAsia="Times New Roman" w:cs="Times New Roman"/>
          <w:color w:val="333333"/>
          <w:spacing w:val="2"/>
          <w:sz w:val="20"/>
          <w:szCs w:val="20"/>
          <w:lang w:eastAsia="en-GB"/>
        </w:rPr>
        <w:t>Press.</w:t>
      </w:r>
      <w:hyperlink r:id="rId42"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lastRenderedPageBreak/>
        <w:t>Schön</w:t>
      </w:r>
      <w:proofErr w:type="spellEnd"/>
      <w:r w:rsidRPr="00886157">
        <w:rPr>
          <w:rFonts w:eastAsia="Times New Roman" w:cs="Times New Roman"/>
          <w:color w:val="333333"/>
          <w:spacing w:val="2"/>
          <w:sz w:val="20"/>
          <w:szCs w:val="20"/>
          <w:lang w:eastAsia="en-GB"/>
        </w:rPr>
        <w:t>, D. A. (1983). </w:t>
      </w:r>
      <w:r w:rsidRPr="00886157">
        <w:rPr>
          <w:rFonts w:eastAsia="Times New Roman" w:cs="Times New Roman"/>
          <w:i/>
          <w:iCs/>
          <w:color w:val="333333"/>
          <w:spacing w:val="2"/>
          <w:sz w:val="20"/>
          <w:szCs w:val="20"/>
          <w:lang w:eastAsia="en-GB"/>
        </w:rPr>
        <w:t>The reflective practitioner: How professionals think in action</w:t>
      </w:r>
      <w:r w:rsidRPr="00886157">
        <w:rPr>
          <w:rFonts w:eastAsia="Times New Roman" w:cs="Times New Roman"/>
          <w:color w:val="333333"/>
          <w:spacing w:val="2"/>
          <w:sz w:val="20"/>
          <w:szCs w:val="20"/>
          <w:lang w:eastAsia="en-GB"/>
        </w:rPr>
        <w:t xml:space="preserve">. New York: Basic </w:t>
      </w:r>
      <w:proofErr w:type="spellStart"/>
      <w:r w:rsidRPr="00886157">
        <w:rPr>
          <w:rFonts w:eastAsia="Times New Roman" w:cs="Times New Roman"/>
          <w:color w:val="333333"/>
          <w:spacing w:val="2"/>
          <w:sz w:val="20"/>
          <w:szCs w:val="20"/>
          <w:lang w:eastAsia="en-GB"/>
        </w:rPr>
        <w:t>Books.</w:t>
      </w:r>
      <w:hyperlink r:id="rId43"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Schön</w:t>
      </w:r>
      <w:proofErr w:type="spellEnd"/>
      <w:r w:rsidRPr="00886157">
        <w:rPr>
          <w:rFonts w:eastAsia="Times New Roman" w:cs="Times New Roman"/>
          <w:color w:val="333333"/>
          <w:spacing w:val="2"/>
          <w:sz w:val="20"/>
          <w:szCs w:val="20"/>
          <w:lang w:eastAsia="en-GB"/>
        </w:rPr>
        <w:t>, D. A. (1987a). </w:t>
      </w:r>
      <w:r w:rsidRPr="00886157">
        <w:rPr>
          <w:rFonts w:eastAsia="Times New Roman" w:cs="Times New Roman"/>
          <w:i/>
          <w:iCs/>
          <w:color w:val="333333"/>
          <w:spacing w:val="2"/>
          <w:sz w:val="20"/>
          <w:szCs w:val="20"/>
          <w:lang w:eastAsia="en-GB"/>
        </w:rPr>
        <w:t>Educating the reflective practitioner: Toward a new design for teaching and learning in the professions</w:t>
      </w:r>
      <w:r w:rsidRPr="00886157">
        <w:rPr>
          <w:rFonts w:eastAsia="Times New Roman" w:cs="Times New Roman"/>
          <w:color w:val="333333"/>
          <w:spacing w:val="2"/>
          <w:sz w:val="20"/>
          <w:szCs w:val="20"/>
          <w:lang w:eastAsia="en-GB"/>
        </w:rPr>
        <w:t xml:space="preserve">. San Francisco: </w:t>
      </w:r>
      <w:proofErr w:type="spellStart"/>
      <w:r w:rsidRPr="00886157">
        <w:rPr>
          <w:rFonts w:eastAsia="Times New Roman" w:cs="Times New Roman"/>
          <w:color w:val="333333"/>
          <w:spacing w:val="2"/>
          <w:sz w:val="20"/>
          <w:szCs w:val="20"/>
          <w:lang w:eastAsia="en-GB"/>
        </w:rPr>
        <w:t>Jossey-Bass.</w:t>
      </w:r>
      <w:hyperlink r:id="rId44"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Schön</w:t>
      </w:r>
      <w:proofErr w:type="spellEnd"/>
      <w:r w:rsidRPr="00886157">
        <w:rPr>
          <w:rFonts w:eastAsia="Times New Roman" w:cs="Times New Roman"/>
          <w:color w:val="333333"/>
          <w:spacing w:val="2"/>
          <w:sz w:val="20"/>
          <w:szCs w:val="20"/>
          <w:lang w:eastAsia="en-GB"/>
        </w:rPr>
        <w:t>, D. A. (1987b, April). </w:t>
      </w:r>
      <w:r w:rsidRPr="00886157">
        <w:rPr>
          <w:rFonts w:eastAsia="Times New Roman" w:cs="Times New Roman"/>
          <w:i/>
          <w:iCs/>
          <w:color w:val="333333"/>
          <w:spacing w:val="2"/>
          <w:sz w:val="20"/>
          <w:szCs w:val="20"/>
          <w:lang w:eastAsia="en-GB"/>
        </w:rPr>
        <w:t>Educating the reflective practitioner.</w:t>
      </w:r>
      <w:r w:rsidRPr="00886157">
        <w:rPr>
          <w:rFonts w:eastAsia="Times New Roman" w:cs="Times New Roman"/>
          <w:color w:val="333333"/>
          <w:spacing w:val="2"/>
          <w:sz w:val="20"/>
          <w:szCs w:val="20"/>
          <w:lang w:eastAsia="en-GB"/>
        </w:rPr>
        <w:t> Transcription of presentation to the John Dewey Society at the meeting of the American Educational Research Association, Washington, DC. Retrieved from </w:t>
      </w:r>
      <w:hyperlink r:id="rId45" w:tgtFrame="_blank" w:history="1">
        <w:r w:rsidRPr="00886157">
          <w:rPr>
            <w:rFonts w:eastAsia="Times New Roman" w:cs="Times New Roman"/>
            <w:color w:val="4500A7"/>
            <w:spacing w:val="2"/>
            <w:sz w:val="20"/>
            <w:szCs w:val="20"/>
            <w:u w:val="single"/>
            <w:lang w:eastAsia="en-GB"/>
          </w:rPr>
          <w:t>http://resources.educ.queensu.ca/ar/schon87.htm</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Schön</w:t>
      </w:r>
      <w:proofErr w:type="spellEnd"/>
      <w:r w:rsidRPr="00886157">
        <w:rPr>
          <w:rFonts w:eastAsia="Times New Roman" w:cs="Times New Roman"/>
          <w:color w:val="333333"/>
          <w:spacing w:val="2"/>
          <w:sz w:val="20"/>
          <w:szCs w:val="20"/>
          <w:lang w:eastAsia="en-GB"/>
        </w:rPr>
        <w:t>, D. A. (Ed.). (1991). </w:t>
      </w:r>
      <w:proofErr w:type="gramStart"/>
      <w:r w:rsidRPr="00886157">
        <w:rPr>
          <w:rFonts w:eastAsia="Times New Roman" w:cs="Times New Roman"/>
          <w:i/>
          <w:iCs/>
          <w:color w:val="333333"/>
          <w:spacing w:val="2"/>
          <w:sz w:val="20"/>
          <w:szCs w:val="20"/>
          <w:lang w:eastAsia="en-GB"/>
        </w:rPr>
        <w:t>The</w:t>
      </w:r>
      <w:proofErr w:type="gramEnd"/>
      <w:r w:rsidRPr="00886157">
        <w:rPr>
          <w:rFonts w:eastAsia="Times New Roman" w:cs="Times New Roman"/>
          <w:i/>
          <w:iCs/>
          <w:color w:val="333333"/>
          <w:spacing w:val="2"/>
          <w:sz w:val="20"/>
          <w:szCs w:val="20"/>
          <w:lang w:eastAsia="en-GB"/>
        </w:rPr>
        <w:t xml:space="preserve"> reflective turn: Case studies in and on educational practice</w:t>
      </w:r>
      <w:r w:rsidRPr="00886157">
        <w:rPr>
          <w:rFonts w:eastAsia="Times New Roman" w:cs="Times New Roman"/>
          <w:color w:val="333333"/>
          <w:spacing w:val="2"/>
          <w:sz w:val="20"/>
          <w:szCs w:val="20"/>
          <w:lang w:eastAsia="en-GB"/>
        </w:rPr>
        <w:t xml:space="preserve">. New York: Teachers College </w:t>
      </w:r>
      <w:proofErr w:type="spellStart"/>
      <w:r w:rsidRPr="00886157">
        <w:rPr>
          <w:rFonts w:eastAsia="Times New Roman" w:cs="Times New Roman"/>
          <w:color w:val="333333"/>
          <w:spacing w:val="2"/>
          <w:sz w:val="20"/>
          <w:szCs w:val="20"/>
          <w:lang w:eastAsia="en-GB"/>
        </w:rPr>
        <w:t>Press.</w:t>
      </w:r>
      <w:hyperlink r:id="rId46"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Schön</w:t>
      </w:r>
      <w:proofErr w:type="spellEnd"/>
      <w:r w:rsidRPr="00886157">
        <w:rPr>
          <w:rFonts w:eastAsia="Times New Roman" w:cs="Times New Roman"/>
          <w:color w:val="333333"/>
          <w:spacing w:val="2"/>
          <w:sz w:val="20"/>
          <w:szCs w:val="20"/>
          <w:lang w:eastAsia="en-GB"/>
        </w:rPr>
        <w:t>, D. A. (1995). The new scholarship requires a new epistemology. </w:t>
      </w:r>
      <w:r w:rsidRPr="00886157">
        <w:rPr>
          <w:rFonts w:eastAsia="Times New Roman" w:cs="Times New Roman"/>
          <w:i/>
          <w:iCs/>
          <w:color w:val="333333"/>
          <w:spacing w:val="2"/>
          <w:sz w:val="20"/>
          <w:szCs w:val="20"/>
          <w:lang w:eastAsia="en-GB"/>
        </w:rPr>
        <w:t>Change, 27</w:t>
      </w:r>
      <w:r w:rsidRPr="00886157">
        <w:rPr>
          <w:rFonts w:eastAsia="Times New Roman" w:cs="Times New Roman"/>
          <w:color w:val="333333"/>
          <w:spacing w:val="2"/>
          <w:sz w:val="20"/>
          <w:szCs w:val="20"/>
          <w:lang w:eastAsia="en-GB"/>
        </w:rPr>
        <w:t>(6), 26–34.</w:t>
      </w:r>
      <w:hyperlink r:id="rId47" w:tgtFrame="_blank" w:history="1">
        <w:r w:rsidRPr="00886157">
          <w:rPr>
            <w:rFonts w:eastAsia="Times New Roman" w:cs="Times New Roman"/>
            <w:color w:val="4500A7"/>
            <w:spacing w:val="2"/>
            <w:sz w:val="20"/>
            <w:szCs w:val="20"/>
            <w:u w:val="single"/>
            <w:lang w:eastAsia="en-GB"/>
          </w:rPr>
          <w:t>CrossRef</w:t>
        </w:r>
      </w:hyperlink>
      <w:hyperlink r:id="rId48"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r w:rsidRPr="00886157">
        <w:rPr>
          <w:rFonts w:eastAsia="Times New Roman" w:cs="Times New Roman"/>
          <w:color w:val="333333"/>
          <w:spacing w:val="2"/>
          <w:sz w:val="20"/>
          <w:szCs w:val="20"/>
          <w:lang w:eastAsia="en-GB"/>
        </w:rPr>
        <w:t>Shulman, L. (2004). </w:t>
      </w:r>
      <w:r w:rsidRPr="00886157">
        <w:rPr>
          <w:rFonts w:eastAsia="Times New Roman" w:cs="Times New Roman"/>
          <w:i/>
          <w:iCs/>
          <w:color w:val="333333"/>
          <w:spacing w:val="2"/>
          <w:sz w:val="20"/>
          <w:szCs w:val="20"/>
          <w:lang w:eastAsia="en-GB"/>
        </w:rPr>
        <w:t>Teaching as community property: Essays on higher education</w:t>
      </w:r>
      <w:r w:rsidRPr="00886157">
        <w:rPr>
          <w:rFonts w:eastAsia="Times New Roman" w:cs="Times New Roman"/>
          <w:color w:val="333333"/>
          <w:spacing w:val="2"/>
          <w:sz w:val="20"/>
          <w:szCs w:val="20"/>
          <w:lang w:eastAsia="en-GB"/>
        </w:rPr>
        <w:t xml:space="preserve">. San Francisco: </w:t>
      </w:r>
      <w:proofErr w:type="spellStart"/>
      <w:r w:rsidRPr="00886157">
        <w:rPr>
          <w:rFonts w:eastAsia="Times New Roman" w:cs="Times New Roman"/>
          <w:color w:val="333333"/>
          <w:spacing w:val="2"/>
          <w:sz w:val="20"/>
          <w:szCs w:val="20"/>
          <w:lang w:eastAsia="en-GB"/>
        </w:rPr>
        <w:t>Jossey-Bass.</w:t>
      </w:r>
      <w:hyperlink r:id="rId49"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Tremmel</w:t>
      </w:r>
      <w:proofErr w:type="spellEnd"/>
      <w:r w:rsidRPr="00886157">
        <w:rPr>
          <w:rFonts w:eastAsia="Times New Roman" w:cs="Times New Roman"/>
          <w:color w:val="333333"/>
          <w:spacing w:val="2"/>
          <w:sz w:val="20"/>
          <w:szCs w:val="20"/>
          <w:lang w:eastAsia="en-GB"/>
        </w:rPr>
        <w:t>, R. (1993). Zen and the art of reflective practice in teacher education. </w:t>
      </w:r>
      <w:r w:rsidRPr="00886157">
        <w:rPr>
          <w:rFonts w:eastAsia="Times New Roman" w:cs="Times New Roman"/>
          <w:i/>
          <w:iCs/>
          <w:color w:val="333333"/>
          <w:spacing w:val="2"/>
          <w:sz w:val="20"/>
          <w:szCs w:val="20"/>
          <w:lang w:eastAsia="en-GB"/>
        </w:rPr>
        <w:t>Harvard Educational Review, 63</w:t>
      </w:r>
      <w:r w:rsidRPr="00886157">
        <w:rPr>
          <w:rFonts w:eastAsia="Times New Roman" w:cs="Times New Roman"/>
          <w:color w:val="333333"/>
          <w:spacing w:val="2"/>
          <w:sz w:val="20"/>
          <w:szCs w:val="20"/>
          <w:lang w:eastAsia="en-GB"/>
        </w:rPr>
        <w:t>(4), 434–458.</w:t>
      </w:r>
      <w:hyperlink r:id="rId50" w:tgtFrame="_blank" w:history="1">
        <w:r w:rsidRPr="00886157">
          <w:rPr>
            <w:rFonts w:eastAsia="Times New Roman" w:cs="Times New Roman"/>
            <w:color w:val="4500A7"/>
            <w:spacing w:val="2"/>
            <w:sz w:val="20"/>
            <w:szCs w:val="20"/>
            <w:u w:val="single"/>
            <w:lang w:eastAsia="en-GB"/>
          </w:rPr>
          <w:t>CrossRef</w:t>
        </w:r>
      </w:hyperlink>
      <w:hyperlink r:id="rId51"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Valli</w:t>
      </w:r>
      <w:proofErr w:type="spellEnd"/>
      <w:r w:rsidRPr="00886157">
        <w:rPr>
          <w:rFonts w:eastAsia="Times New Roman" w:cs="Times New Roman"/>
          <w:color w:val="333333"/>
          <w:spacing w:val="2"/>
          <w:sz w:val="20"/>
          <w:szCs w:val="20"/>
          <w:lang w:eastAsia="en-GB"/>
        </w:rPr>
        <w:t>, L. (Ed.). (1992). </w:t>
      </w:r>
      <w:r w:rsidRPr="00886157">
        <w:rPr>
          <w:rFonts w:eastAsia="Times New Roman" w:cs="Times New Roman"/>
          <w:i/>
          <w:iCs/>
          <w:color w:val="333333"/>
          <w:spacing w:val="2"/>
          <w:sz w:val="20"/>
          <w:szCs w:val="20"/>
          <w:lang w:eastAsia="en-GB"/>
        </w:rPr>
        <w:t>Reflective teacher education: Cases and critiques</w:t>
      </w:r>
      <w:r w:rsidRPr="00886157">
        <w:rPr>
          <w:rFonts w:eastAsia="Times New Roman" w:cs="Times New Roman"/>
          <w:color w:val="333333"/>
          <w:spacing w:val="2"/>
          <w:sz w:val="20"/>
          <w:szCs w:val="20"/>
          <w:lang w:eastAsia="en-GB"/>
        </w:rPr>
        <w:t xml:space="preserve">. Albany: State University of New York </w:t>
      </w:r>
      <w:proofErr w:type="spellStart"/>
      <w:r w:rsidRPr="00886157">
        <w:rPr>
          <w:rFonts w:eastAsia="Times New Roman" w:cs="Times New Roman"/>
          <w:color w:val="333333"/>
          <w:spacing w:val="2"/>
          <w:sz w:val="20"/>
          <w:szCs w:val="20"/>
          <w:lang w:eastAsia="en-GB"/>
        </w:rPr>
        <w:t>Press.</w:t>
      </w:r>
      <w:hyperlink r:id="rId52"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Valli</w:t>
      </w:r>
      <w:proofErr w:type="spellEnd"/>
      <w:r w:rsidRPr="00886157">
        <w:rPr>
          <w:rFonts w:eastAsia="Times New Roman" w:cs="Times New Roman"/>
          <w:color w:val="333333"/>
          <w:spacing w:val="2"/>
          <w:sz w:val="20"/>
          <w:szCs w:val="20"/>
          <w:lang w:eastAsia="en-GB"/>
        </w:rPr>
        <w:t>, L. (1997). Listening to other voices: A description of teacher reflection in the United States. </w:t>
      </w:r>
      <w:r w:rsidRPr="00886157">
        <w:rPr>
          <w:rFonts w:eastAsia="Times New Roman" w:cs="Times New Roman"/>
          <w:i/>
          <w:iCs/>
          <w:color w:val="333333"/>
          <w:spacing w:val="2"/>
          <w:sz w:val="20"/>
          <w:szCs w:val="20"/>
          <w:lang w:eastAsia="en-GB"/>
        </w:rPr>
        <w:t>Peabody Journal of Education, 72</w:t>
      </w:r>
      <w:r w:rsidRPr="00886157">
        <w:rPr>
          <w:rFonts w:eastAsia="Times New Roman" w:cs="Times New Roman"/>
          <w:color w:val="333333"/>
          <w:spacing w:val="2"/>
          <w:sz w:val="20"/>
          <w:szCs w:val="20"/>
          <w:lang w:eastAsia="en-GB"/>
        </w:rPr>
        <w:t>(1), 67–88.</w:t>
      </w:r>
      <w:hyperlink r:id="rId53" w:tgtFrame="_blank" w:history="1">
        <w:r w:rsidRPr="00886157">
          <w:rPr>
            <w:rFonts w:eastAsia="Times New Roman" w:cs="Times New Roman"/>
            <w:color w:val="4500A7"/>
            <w:spacing w:val="2"/>
            <w:sz w:val="20"/>
            <w:szCs w:val="20"/>
            <w:u w:val="single"/>
            <w:lang w:eastAsia="en-GB"/>
          </w:rPr>
          <w:t>CrossRef</w:t>
        </w:r>
      </w:hyperlink>
      <w:hyperlink r:id="rId54"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gramStart"/>
      <w:r w:rsidRPr="00886157">
        <w:rPr>
          <w:rFonts w:eastAsia="Times New Roman" w:cs="Times New Roman"/>
          <w:color w:val="333333"/>
          <w:spacing w:val="2"/>
          <w:sz w:val="20"/>
          <w:szCs w:val="20"/>
          <w:lang w:eastAsia="en-GB"/>
        </w:rPr>
        <w:t>van</w:t>
      </w:r>
      <w:proofErr w:type="gramEnd"/>
      <w:r w:rsidRPr="00886157">
        <w:rPr>
          <w:rFonts w:eastAsia="Times New Roman" w:cs="Times New Roman"/>
          <w:color w:val="333333"/>
          <w:spacing w:val="2"/>
          <w:sz w:val="20"/>
          <w:szCs w:val="20"/>
          <w:lang w:eastAsia="en-GB"/>
        </w:rPr>
        <w:t xml:space="preserve"> </w:t>
      </w:r>
      <w:proofErr w:type="spellStart"/>
      <w:r w:rsidRPr="00886157">
        <w:rPr>
          <w:rFonts w:eastAsia="Times New Roman" w:cs="Times New Roman"/>
          <w:color w:val="333333"/>
          <w:spacing w:val="2"/>
          <w:sz w:val="20"/>
          <w:szCs w:val="20"/>
          <w:lang w:eastAsia="en-GB"/>
        </w:rPr>
        <w:t>Manen</w:t>
      </w:r>
      <w:proofErr w:type="spellEnd"/>
      <w:r w:rsidRPr="00886157">
        <w:rPr>
          <w:rFonts w:eastAsia="Times New Roman" w:cs="Times New Roman"/>
          <w:color w:val="333333"/>
          <w:spacing w:val="2"/>
          <w:sz w:val="20"/>
          <w:szCs w:val="20"/>
          <w:lang w:eastAsia="en-GB"/>
        </w:rPr>
        <w:t>, M. (1995). On the epistemology of reflective practice. </w:t>
      </w:r>
      <w:r w:rsidRPr="00886157">
        <w:rPr>
          <w:rFonts w:eastAsia="Times New Roman" w:cs="Times New Roman"/>
          <w:i/>
          <w:iCs/>
          <w:color w:val="333333"/>
          <w:spacing w:val="2"/>
          <w:sz w:val="20"/>
          <w:szCs w:val="20"/>
          <w:lang w:eastAsia="en-GB"/>
        </w:rPr>
        <w:t>Teachers and Teaching: Theory and Practice, 1</w:t>
      </w:r>
      <w:r w:rsidRPr="00886157">
        <w:rPr>
          <w:rFonts w:eastAsia="Times New Roman" w:cs="Times New Roman"/>
          <w:color w:val="333333"/>
          <w:spacing w:val="2"/>
          <w:sz w:val="20"/>
          <w:szCs w:val="20"/>
          <w:lang w:eastAsia="en-GB"/>
        </w:rPr>
        <w:t xml:space="preserve">(1), 33–50. </w:t>
      </w:r>
      <w:proofErr w:type="spellStart"/>
      <w:proofErr w:type="gramStart"/>
      <w:r w:rsidRPr="00886157">
        <w:rPr>
          <w:rFonts w:eastAsia="Times New Roman" w:cs="Times New Roman"/>
          <w:color w:val="333333"/>
          <w:spacing w:val="2"/>
          <w:sz w:val="20"/>
          <w:szCs w:val="20"/>
          <w:lang w:eastAsia="en-GB"/>
        </w:rPr>
        <w:t>doi</w:t>
      </w:r>
      <w:proofErr w:type="spellEnd"/>
      <w:proofErr w:type="gramEnd"/>
      <w:r w:rsidRPr="00886157">
        <w:rPr>
          <w:rFonts w:eastAsia="Times New Roman" w:cs="Times New Roman"/>
          <w:color w:val="333333"/>
          <w:spacing w:val="2"/>
          <w:sz w:val="20"/>
          <w:szCs w:val="20"/>
          <w:lang w:eastAsia="en-GB"/>
        </w:rPr>
        <w:t>: </w:t>
      </w:r>
      <w:hyperlink r:id="rId55" w:tgtFrame="_blank" w:history="1">
        <w:r w:rsidRPr="00886157">
          <w:rPr>
            <w:rFonts w:eastAsia="Times New Roman" w:cs="Times New Roman"/>
            <w:color w:val="4500A7"/>
            <w:spacing w:val="2"/>
            <w:sz w:val="20"/>
            <w:szCs w:val="20"/>
            <w:u w:val="single"/>
            <w:lang w:eastAsia="en-GB"/>
          </w:rPr>
          <w:t>10.1080/1354060950010104</w:t>
        </w:r>
      </w:hyperlink>
      <w:r w:rsidRPr="00886157">
        <w:rPr>
          <w:rFonts w:eastAsia="Times New Roman" w:cs="Times New Roman"/>
          <w:color w:val="333333"/>
          <w:spacing w:val="2"/>
          <w:sz w:val="20"/>
          <w:szCs w:val="20"/>
          <w:lang w:eastAsia="en-GB"/>
        </w:rPr>
        <w:t>.</w:t>
      </w:r>
      <w:hyperlink r:id="rId56" w:tgtFrame="_blank" w:history="1">
        <w:r w:rsidRPr="00886157">
          <w:rPr>
            <w:rFonts w:eastAsia="Times New Roman" w:cs="Times New Roman"/>
            <w:color w:val="4500A7"/>
            <w:spacing w:val="2"/>
            <w:sz w:val="20"/>
            <w:szCs w:val="20"/>
            <w:u w:val="single"/>
            <w:lang w:eastAsia="en-GB"/>
          </w:rPr>
          <w:t>CrossRef</w:t>
        </w:r>
      </w:hyperlink>
      <w:hyperlink r:id="rId57" w:tgtFrame="_blank" w:history="1">
        <w:r w:rsidRPr="00886157">
          <w:rPr>
            <w:rFonts w:eastAsia="Times New Roman" w:cs="Times New Roman"/>
            <w:color w:val="4500A7"/>
            <w:spacing w:val="2"/>
            <w:sz w:val="20"/>
            <w:szCs w:val="20"/>
            <w:u w:val="single"/>
            <w:lang w:eastAsia="en-GB"/>
          </w:rPr>
          <w:t>Google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Zeichner</w:t>
      </w:r>
      <w:proofErr w:type="spellEnd"/>
      <w:r w:rsidRPr="00886157">
        <w:rPr>
          <w:rFonts w:eastAsia="Times New Roman" w:cs="Times New Roman"/>
          <w:color w:val="333333"/>
          <w:spacing w:val="2"/>
          <w:sz w:val="20"/>
          <w:szCs w:val="20"/>
          <w:lang w:eastAsia="en-GB"/>
        </w:rPr>
        <w:t xml:space="preserve">, K. (1996). Teachers as reflective practitioners and the democratization of schools reform. In K. </w:t>
      </w:r>
      <w:proofErr w:type="spellStart"/>
      <w:r w:rsidRPr="00886157">
        <w:rPr>
          <w:rFonts w:eastAsia="Times New Roman" w:cs="Times New Roman"/>
          <w:color w:val="333333"/>
          <w:spacing w:val="2"/>
          <w:sz w:val="20"/>
          <w:szCs w:val="20"/>
          <w:lang w:eastAsia="en-GB"/>
        </w:rPr>
        <w:t>Zeichner</w:t>
      </w:r>
      <w:proofErr w:type="spellEnd"/>
      <w:r w:rsidRPr="00886157">
        <w:rPr>
          <w:rFonts w:eastAsia="Times New Roman" w:cs="Times New Roman"/>
          <w:color w:val="333333"/>
          <w:spacing w:val="2"/>
          <w:sz w:val="20"/>
          <w:szCs w:val="20"/>
          <w:lang w:eastAsia="en-GB"/>
        </w:rPr>
        <w:t xml:space="preserve">, S. </w:t>
      </w:r>
      <w:proofErr w:type="spellStart"/>
      <w:r w:rsidRPr="00886157">
        <w:rPr>
          <w:rFonts w:eastAsia="Times New Roman" w:cs="Times New Roman"/>
          <w:color w:val="333333"/>
          <w:spacing w:val="2"/>
          <w:sz w:val="20"/>
          <w:szCs w:val="20"/>
          <w:lang w:eastAsia="en-GB"/>
        </w:rPr>
        <w:t>Melnick</w:t>
      </w:r>
      <w:proofErr w:type="spellEnd"/>
      <w:r w:rsidRPr="00886157">
        <w:rPr>
          <w:rFonts w:eastAsia="Times New Roman" w:cs="Times New Roman"/>
          <w:color w:val="333333"/>
          <w:spacing w:val="2"/>
          <w:sz w:val="20"/>
          <w:szCs w:val="20"/>
          <w:lang w:eastAsia="en-GB"/>
        </w:rPr>
        <w:t>, &amp; M. L. Gomez (Eds.), </w:t>
      </w:r>
      <w:r w:rsidRPr="00886157">
        <w:rPr>
          <w:rFonts w:eastAsia="Times New Roman" w:cs="Times New Roman"/>
          <w:i/>
          <w:iCs/>
          <w:color w:val="333333"/>
          <w:spacing w:val="2"/>
          <w:sz w:val="20"/>
          <w:szCs w:val="20"/>
          <w:lang w:eastAsia="en-GB"/>
        </w:rPr>
        <w:t>Currents of reform in preservice teacher education</w:t>
      </w:r>
      <w:r w:rsidRPr="00886157">
        <w:rPr>
          <w:rFonts w:eastAsia="Times New Roman" w:cs="Times New Roman"/>
          <w:color w:val="333333"/>
          <w:spacing w:val="2"/>
          <w:sz w:val="20"/>
          <w:szCs w:val="20"/>
          <w:lang w:eastAsia="en-GB"/>
        </w:rPr>
        <w:t xml:space="preserve"> (pp. 199–214). New York: Teachers College </w:t>
      </w:r>
      <w:proofErr w:type="spellStart"/>
      <w:r w:rsidRPr="00886157">
        <w:rPr>
          <w:rFonts w:eastAsia="Times New Roman" w:cs="Times New Roman"/>
          <w:color w:val="333333"/>
          <w:spacing w:val="2"/>
          <w:sz w:val="20"/>
          <w:szCs w:val="20"/>
          <w:lang w:eastAsia="en-GB"/>
        </w:rPr>
        <w:t>Press.</w:t>
      </w:r>
      <w:hyperlink r:id="rId58"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886157" w:rsidRP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Zeichner</w:t>
      </w:r>
      <w:proofErr w:type="spellEnd"/>
      <w:r w:rsidRPr="00886157">
        <w:rPr>
          <w:rFonts w:eastAsia="Times New Roman" w:cs="Times New Roman"/>
          <w:color w:val="333333"/>
          <w:spacing w:val="2"/>
          <w:sz w:val="20"/>
          <w:szCs w:val="20"/>
          <w:lang w:eastAsia="en-GB"/>
        </w:rPr>
        <w:t>, K. (2007). Accumulating knowledge across self-studies in teacher education. </w:t>
      </w:r>
      <w:r w:rsidRPr="00886157">
        <w:rPr>
          <w:rFonts w:eastAsia="Times New Roman" w:cs="Times New Roman"/>
          <w:i/>
          <w:iCs/>
          <w:color w:val="333333"/>
          <w:spacing w:val="2"/>
          <w:sz w:val="20"/>
          <w:szCs w:val="20"/>
          <w:lang w:eastAsia="en-GB"/>
        </w:rPr>
        <w:t>Journal of Teacher Education, 58</w:t>
      </w:r>
      <w:r w:rsidRPr="00886157">
        <w:rPr>
          <w:rFonts w:eastAsia="Times New Roman" w:cs="Times New Roman"/>
          <w:color w:val="333333"/>
          <w:spacing w:val="2"/>
          <w:sz w:val="20"/>
          <w:szCs w:val="20"/>
          <w:lang w:eastAsia="en-GB"/>
        </w:rPr>
        <w:t>(1), 36–46.</w:t>
      </w:r>
      <w:hyperlink r:id="rId59" w:tgtFrame="_blank" w:history="1">
        <w:r w:rsidRPr="00886157">
          <w:rPr>
            <w:rFonts w:eastAsia="Times New Roman" w:cs="Times New Roman"/>
            <w:color w:val="4500A7"/>
            <w:spacing w:val="2"/>
            <w:sz w:val="20"/>
            <w:szCs w:val="20"/>
            <w:u w:val="single"/>
            <w:lang w:eastAsia="en-GB"/>
          </w:rPr>
          <w:t>CrossRef</w:t>
        </w:r>
      </w:hyperlink>
      <w:hyperlink r:id="rId60" w:tgtFrame="_blank" w:history="1">
        <w:r w:rsidRPr="00886157">
          <w:rPr>
            <w:rFonts w:eastAsia="Times New Roman" w:cs="Times New Roman"/>
            <w:color w:val="4500A7"/>
            <w:spacing w:val="2"/>
            <w:sz w:val="20"/>
            <w:szCs w:val="20"/>
            <w:u w:val="single"/>
            <w:lang w:eastAsia="en-GB"/>
          </w:rPr>
          <w:t>Google Scholar</w:t>
        </w:r>
      </w:hyperlink>
    </w:p>
    <w:p w:rsidR="00886157" w:rsidRDefault="00886157" w:rsidP="00886157">
      <w:pPr>
        <w:numPr>
          <w:ilvl w:val="0"/>
          <w:numId w:val="1"/>
        </w:numPr>
        <w:shd w:val="clear" w:color="auto" w:fill="FFFFFF"/>
        <w:spacing w:before="240" w:after="240" w:line="240" w:lineRule="auto"/>
        <w:ind w:left="480"/>
        <w:rPr>
          <w:rFonts w:eastAsia="Times New Roman" w:cs="Times New Roman"/>
          <w:color w:val="333333"/>
          <w:spacing w:val="2"/>
          <w:sz w:val="20"/>
          <w:szCs w:val="20"/>
          <w:lang w:eastAsia="en-GB"/>
        </w:rPr>
      </w:pPr>
      <w:proofErr w:type="spellStart"/>
      <w:r w:rsidRPr="00886157">
        <w:rPr>
          <w:rFonts w:eastAsia="Times New Roman" w:cs="Times New Roman"/>
          <w:color w:val="333333"/>
          <w:spacing w:val="2"/>
          <w:sz w:val="20"/>
          <w:szCs w:val="20"/>
          <w:lang w:eastAsia="en-GB"/>
        </w:rPr>
        <w:t>Zeichner</w:t>
      </w:r>
      <w:proofErr w:type="spellEnd"/>
      <w:r w:rsidRPr="00886157">
        <w:rPr>
          <w:rFonts w:eastAsia="Times New Roman" w:cs="Times New Roman"/>
          <w:color w:val="333333"/>
          <w:spacing w:val="2"/>
          <w:sz w:val="20"/>
          <w:szCs w:val="20"/>
          <w:lang w:eastAsia="en-GB"/>
        </w:rPr>
        <w:t>, K., &amp; Liu, K. Y. (2010). A critical analysis of reflection as a goal for teacher education. In N. Lyons (Ed.), </w:t>
      </w:r>
      <w:r w:rsidRPr="00886157">
        <w:rPr>
          <w:rFonts w:eastAsia="Times New Roman" w:cs="Times New Roman"/>
          <w:i/>
          <w:iCs/>
          <w:color w:val="333333"/>
          <w:spacing w:val="2"/>
          <w:sz w:val="20"/>
          <w:szCs w:val="20"/>
          <w:lang w:eastAsia="en-GB"/>
        </w:rPr>
        <w:t>Handbook of reflection and reflective inquiry: Mapping a way of knowing for professional reflective inquiry</w:t>
      </w:r>
      <w:r w:rsidRPr="00886157">
        <w:rPr>
          <w:rFonts w:eastAsia="Times New Roman" w:cs="Times New Roman"/>
          <w:color w:val="333333"/>
          <w:spacing w:val="2"/>
          <w:sz w:val="20"/>
          <w:szCs w:val="20"/>
          <w:lang w:eastAsia="en-GB"/>
        </w:rPr>
        <w:t xml:space="preserve"> (pp. 67–84). Dordrecht: </w:t>
      </w:r>
      <w:proofErr w:type="spellStart"/>
      <w:r w:rsidRPr="00886157">
        <w:rPr>
          <w:rFonts w:eastAsia="Times New Roman" w:cs="Times New Roman"/>
          <w:color w:val="333333"/>
          <w:spacing w:val="2"/>
          <w:sz w:val="20"/>
          <w:szCs w:val="20"/>
          <w:lang w:eastAsia="en-GB"/>
        </w:rPr>
        <w:t>Springer.</w:t>
      </w:r>
      <w:hyperlink r:id="rId61" w:tgtFrame="_blank" w:history="1">
        <w:r w:rsidRPr="00886157">
          <w:rPr>
            <w:rFonts w:eastAsia="Times New Roman" w:cs="Times New Roman"/>
            <w:color w:val="4500A7"/>
            <w:spacing w:val="2"/>
            <w:sz w:val="20"/>
            <w:szCs w:val="20"/>
            <w:u w:val="single"/>
            <w:lang w:eastAsia="en-GB"/>
          </w:rPr>
          <w:t>CrossRef</w:t>
        </w:r>
      </w:hyperlink>
      <w:hyperlink r:id="rId62" w:tgtFrame="_blank" w:history="1">
        <w:r w:rsidRPr="00886157">
          <w:rPr>
            <w:rFonts w:eastAsia="Times New Roman" w:cs="Times New Roman"/>
            <w:color w:val="4500A7"/>
            <w:spacing w:val="2"/>
            <w:sz w:val="20"/>
            <w:szCs w:val="20"/>
            <w:u w:val="single"/>
            <w:lang w:eastAsia="en-GB"/>
          </w:rPr>
          <w:t>Google</w:t>
        </w:r>
        <w:proofErr w:type="spellEnd"/>
        <w:r w:rsidRPr="00886157">
          <w:rPr>
            <w:rFonts w:eastAsia="Times New Roman" w:cs="Times New Roman"/>
            <w:color w:val="4500A7"/>
            <w:spacing w:val="2"/>
            <w:sz w:val="20"/>
            <w:szCs w:val="20"/>
            <w:u w:val="single"/>
            <w:lang w:eastAsia="en-GB"/>
          </w:rPr>
          <w:t xml:space="preserve"> Scholar</w:t>
        </w:r>
      </w:hyperlink>
    </w:p>
    <w:p w:rsidR="006F385A" w:rsidRDefault="006F385A" w:rsidP="006F385A">
      <w:pPr>
        <w:shd w:val="clear" w:color="auto" w:fill="FFFFFF"/>
        <w:spacing w:before="240" w:after="240" w:line="240" w:lineRule="auto"/>
        <w:rPr>
          <w:rFonts w:eastAsia="Times New Roman" w:cs="Times New Roman"/>
          <w:color w:val="333333"/>
          <w:spacing w:val="2"/>
          <w:sz w:val="20"/>
          <w:szCs w:val="20"/>
          <w:lang w:eastAsia="en-GB"/>
        </w:rPr>
      </w:pPr>
    </w:p>
    <w:p w:rsidR="006F385A" w:rsidRDefault="006F385A" w:rsidP="006F385A">
      <w:pPr>
        <w:shd w:val="clear" w:color="auto" w:fill="FFFFFF"/>
        <w:spacing w:before="240" w:after="240" w:line="240" w:lineRule="auto"/>
        <w:rPr>
          <w:rFonts w:eastAsia="Times New Roman" w:cs="Times New Roman"/>
          <w:color w:val="333333"/>
          <w:spacing w:val="2"/>
          <w:sz w:val="20"/>
          <w:szCs w:val="20"/>
          <w:lang w:eastAsia="en-GB"/>
        </w:rPr>
      </w:pPr>
    </w:p>
    <w:p w:rsidR="006F385A" w:rsidRDefault="006F385A" w:rsidP="006F385A">
      <w:pPr>
        <w:shd w:val="clear" w:color="auto" w:fill="FFFFFF"/>
        <w:spacing w:before="240" w:after="240" w:line="240" w:lineRule="auto"/>
        <w:rPr>
          <w:rFonts w:eastAsia="Times New Roman" w:cs="Times New Roman"/>
          <w:color w:val="333333"/>
          <w:spacing w:val="2"/>
          <w:sz w:val="20"/>
          <w:szCs w:val="20"/>
          <w:lang w:eastAsia="en-GB"/>
        </w:rPr>
      </w:pPr>
    </w:p>
    <w:p w:rsidR="006F385A" w:rsidRDefault="006F385A" w:rsidP="006F385A">
      <w:pPr>
        <w:shd w:val="clear" w:color="auto" w:fill="FFFFFF"/>
        <w:spacing w:before="240" w:after="240" w:line="240" w:lineRule="auto"/>
        <w:rPr>
          <w:rFonts w:eastAsia="Times New Roman" w:cs="Times New Roman"/>
          <w:color w:val="333333"/>
          <w:spacing w:val="2"/>
          <w:sz w:val="20"/>
          <w:szCs w:val="20"/>
          <w:lang w:eastAsia="en-GB"/>
        </w:rPr>
      </w:pPr>
    </w:p>
    <w:p w:rsidR="006F385A" w:rsidRDefault="006F385A" w:rsidP="006F385A">
      <w:pPr>
        <w:shd w:val="clear" w:color="auto" w:fill="FFFFFF"/>
        <w:spacing w:before="240" w:after="240" w:line="240" w:lineRule="auto"/>
        <w:rPr>
          <w:rFonts w:eastAsia="Times New Roman" w:cs="Times New Roman"/>
          <w:color w:val="333333"/>
          <w:spacing w:val="2"/>
          <w:sz w:val="20"/>
          <w:szCs w:val="20"/>
          <w:lang w:eastAsia="en-GB"/>
        </w:rPr>
      </w:pPr>
    </w:p>
    <w:p w:rsidR="00224539" w:rsidRDefault="00224539" w:rsidP="006F385A">
      <w:pPr>
        <w:shd w:val="clear" w:color="auto" w:fill="FFFFFF"/>
        <w:spacing w:before="240" w:after="240" w:line="240" w:lineRule="auto"/>
        <w:rPr>
          <w:rFonts w:eastAsia="Times New Roman" w:cs="Times New Roman"/>
          <w:color w:val="333333"/>
          <w:spacing w:val="2"/>
          <w:sz w:val="20"/>
          <w:szCs w:val="20"/>
          <w:lang w:eastAsia="en-GB"/>
        </w:rPr>
      </w:pPr>
    </w:p>
    <w:p w:rsidR="00224539" w:rsidRDefault="00224539" w:rsidP="006F385A">
      <w:pPr>
        <w:shd w:val="clear" w:color="auto" w:fill="FFFFFF"/>
        <w:spacing w:before="240" w:after="240" w:line="240" w:lineRule="auto"/>
        <w:rPr>
          <w:rFonts w:eastAsia="Times New Roman" w:cs="Times New Roman"/>
          <w:color w:val="333333"/>
          <w:spacing w:val="2"/>
          <w:sz w:val="20"/>
          <w:szCs w:val="20"/>
          <w:lang w:eastAsia="en-GB"/>
        </w:rPr>
      </w:pPr>
    </w:p>
    <w:p w:rsidR="00224539" w:rsidRDefault="00224539" w:rsidP="006F385A">
      <w:pPr>
        <w:shd w:val="clear" w:color="auto" w:fill="FFFFFF"/>
        <w:spacing w:before="240" w:after="240" w:line="240" w:lineRule="auto"/>
        <w:rPr>
          <w:rFonts w:eastAsia="Times New Roman" w:cs="Times New Roman"/>
          <w:color w:val="333333"/>
          <w:spacing w:val="2"/>
          <w:sz w:val="20"/>
          <w:szCs w:val="20"/>
          <w:lang w:eastAsia="en-GB"/>
        </w:rPr>
      </w:pPr>
    </w:p>
    <w:p w:rsidR="00224539" w:rsidRDefault="00224539" w:rsidP="006F385A">
      <w:pPr>
        <w:shd w:val="clear" w:color="auto" w:fill="FFFFFF"/>
        <w:spacing w:before="240" w:after="240" w:line="240" w:lineRule="auto"/>
        <w:rPr>
          <w:rFonts w:eastAsia="Times New Roman" w:cs="Times New Roman"/>
          <w:color w:val="333333"/>
          <w:spacing w:val="2"/>
          <w:sz w:val="20"/>
          <w:szCs w:val="20"/>
          <w:lang w:eastAsia="en-GB"/>
        </w:rPr>
      </w:pPr>
    </w:p>
    <w:p w:rsidR="00224539" w:rsidRDefault="00224539" w:rsidP="006F385A">
      <w:pPr>
        <w:shd w:val="clear" w:color="auto" w:fill="FFFFFF"/>
        <w:spacing w:before="240" w:after="240" w:line="240" w:lineRule="auto"/>
        <w:rPr>
          <w:rFonts w:eastAsia="Times New Roman" w:cs="Times New Roman"/>
          <w:color w:val="333333"/>
          <w:spacing w:val="2"/>
          <w:sz w:val="20"/>
          <w:szCs w:val="20"/>
          <w:lang w:eastAsia="en-GB"/>
        </w:rPr>
      </w:pPr>
    </w:p>
    <w:p w:rsidR="00224539" w:rsidRDefault="00224539" w:rsidP="006F385A">
      <w:pPr>
        <w:shd w:val="clear" w:color="auto" w:fill="FFFFFF"/>
        <w:spacing w:before="240" w:after="240" w:line="240" w:lineRule="auto"/>
        <w:rPr>
          <w:rFonts w:eastAsia="Times New Roman" w:cs="Times New Roman"/>
          <w:color w:val="333333"/>
          <w:spacing w:val="2"/>
          <w:sz w:val="20"/>
          <w:szCs w:val="20"/>
          <w:lang w:eastAsia="en-GB"/>
        </w:rPr>
      </w:pPr>
    </w:p>
    <w:p w:rsidR="0042545A" w:rsidRDefault="00224539" w:rsidP="006F385A">
      <w:pPr>
        <w:shd w:val="clear" w:color="auto" w:fill="FFFFFF"/>
        <w:spacing w:before="240" w:after="240" w:line="240" w:lineRule="auto"/>
      </w:pPr>
      <w:r>
        <w:t xml:space="preserve">Audience </w:t>
      </w:r>
      <w:r w:rsidR="0042545A">
        <w:t xml:space="preserve">- </w:t>
      </w:r>
      <w:r>
        <w:t xml:space="preserve">Educational practitioners working with learners from ages 3 to 19, including teachers, support staff, leaders and further education lecturers. </w:t>
      </w:r>
    </w:p>
    <w:p w:rsidR="0042545A" w:rsidRDefault="00224539" w:rsidP="006F385A">
      <w:pPr>
        <w:shd w:val="clear" w:color="auto" w:fill="FFFFFF"/>
        <w:spacing w:before="240" w:after="240" w:line="240" w:lineRule="auto"/>
      </w:pPr>
      <w:r>
        <w:t xml:space="preserve">Overview </w:t>
      </w:r>
      <w:r w:rsidR="0042545A">
        <w:t xml:space="preserve">- </w:t>
      </w:r>
      <w:r>
        <w:t xml:space="preserve">This booklet defines and outlines the key features of reflective practice. It explores a variety of different approaches and describes how they can improve learner outcomes and contribute to whole-school improvement. The booklet provides examples and case studies of the practical implementation of a variety of reflective practice approaches in an education setting, and supports practitioners to assess their own abilities in and identify the next steps in developing their own reflective practice skills. </w:t>
      </w:r>
    </w:p>
    <w:p w:rsidR="0042545A" w:rsidRDefault="00224539" w:rsidP="006F385A">
      <w:pPr>
        <w:shd w:val="clear" w:color="auto" w:fill="FFFFFF"/>
        <w:spacing w:before="240" w:after="240" w:line="240" w:lineRule="auto"/>
      </w:pPr>
      <w:r>
        <w:t xml:space="preserve">Action required </w:t>
      </w:r>
      <w:proofErr w:type="gramStart"/>
      <w:r>
        <w:t>None</w:t>
      </w:r>
      <w:proofErr w:type="gramEnd"/>
      <w:r>
        <w:t xml:space="preserve"> – for information only. Further information Enquires about this document should be directed to: Teaching and Learning Improvement Branch Practitioner Standards and Professional Development Division Department for Education and Skills Welsh Government Cathays Park Cardiff CF10 3NQ </w:t>
      </w:r>
    </w:p>
    <w:p w:rsidR="0042545A" w:rsidRPr="0042545A" w:rsidRDefault="00224539" w:rsidP="006F385A">
      <w:pPr>
        <w:shd w:val="clear" w:color="auto" w:fill="FFFFFF"/>
        <w:spacing w:before="240" w:after="240" w:line="240" w:lineRule="auto"/>
        <w:rPr>
          <w:b/>
          <w:color w:val="FF0000"/>
          <w:sz w:val="32"/>
          <w:szCs w:val="32"/>
        </w:rPr>
      </w:pPr>
      <w:r w:rsidRPr="0042545A">
        <w:rPr>
          <w:b/>
          <w:color w:val="FF0000"/>
          <w:sz w:val="32"/>
          <w:szCs w:val="32"/>
        </w:rPr>
        <w:t xml:space="preserve">Contents </w:t>
      </w:r>
    </w:p>
    <w:p w:rsidR="0042545A" w:rsidRDefault="00224539" w:rsidP="006F385A">
      <w:pPr>
        <w:shd w:val="clear" w:color="auto" w:fill="FFFFFF"/>
        <w:spacing w:before="240" w:after="240" w:line="240" w:lineRule="auto"/>
      </w:pPr>
      <w:r>
        <w:t xml:space="preserve">1. Introduction </w:t>
      </w:r>
    </w:p>
    <w:p w:rsidR="0042545A" w:rsidRDefault="00224539" w:rsidP="006F385A">
      <w:pPr>
        <w:shd w:val="clear" w:color="auto" w:fill="FFFFFF"/>
        <w:spacing w:before="240" w:after="240" w:line="240" w:lineRule="auto"/>
      </w:pPr>
      <w:r>
        <w:t xml:space="preserve">2 2. What is reflective practice? </w:t>
      </w:r>
    </w:p>
    <w:p w:rsidR="0042545A" w:rsidRDefault="00224539" w:rsidP="006F385A">
      <w:pPr>
        <w:shd w:val="clear" w:color="auto" w:fill="FFFFFF"/>
        <w:spacing w:before="240" w:after="240" w:line="240" w:lineRule="auto"/>
      </w:pPr>
      <w:r>
        <w:t xml:space="preserve">3 3. Where does reflective practice originate? </w:t>
      </w:r>
    </w:p>
    <w:p w:rsidR="0042545A" w:rsidRDefault="00224539" w:rsidP="006F385A">
      <w:pPr>
        <w:shd w:val="clear" w:color="auto" w:fill="FFFFFF"/>
        <w:spacing w:before="240" w:after="240" w:line="240" w:lineRule="auto"/>
      </w:pPr>
      <w:r>
        <w:t xml:space="preserve">6 4. What are the different models of reflective practice? </w:t>
      </w:r>
    </w:p>
    <w:p w:rsidR="0042545A" w:rsidRDefault="00224539" w:rsidP="006F385A">
      <w:pPr>
        <w:shd w:val="clear" w:color="auto" w:fill="FFFFFF"/>
        <w:spacing w:before="240" w:after="240" w:line="240" w:lineRule="auto"/>
      </w:pPr>
      <w:r>
        <w:t xml:space="preserve">8 5. How are you doing in terms of reflective practice? </w:t>
      </w:r>
    </w:p>
    <w:p w:rsidR="0042545A" w:rsidRDefault="00224539" w:rsidP="006F385A">
      <w:pPr>
        <w:shd w:val="clear" w:color="auto" w:fill="FFFFFF"/>
        <w:spacing w:before="240" w:after="240" w:line="240" w:lineRule="auto"/>
      </w:pPr>
      <w:r>
        <w:t xml:space="preserve">12 6. Why is reflective practice considered important? </w:t>
      </w:r>
    </w:p>
    <w:p w:rsidR="0042545A" w:rsidRDefault="00224539" w:rsidP="006F385A">
      <w:pPr>
        <w:shd w:val="clear" w:color="auto" w:fill="FFFFFF"/>
        <w:spacing w:before="240" w:after="240" w:line="240" w:lineRule="auto"/>
      </w:pPr>
      <w:r>
        <w:t xml:space="preserve">14 7. How do I develop as a reflective practitioner? </w:t>
      </w:r>
    </w:p>
    <w:p w:rsidR="0042545A" w:rsidRDefault="00224539" w:rsidP="006F385A">
      <w:pPr>
        <w:shd w:val="clear" w:color="auto" w:fill="FFFFFF"/>
        <w:spacing w:before="240" w:after="240" w:line="240" w:lineRule="auto"/>
      </w:pPr>
      <w:r>
        <w:t xml:space="preserve">16 8. How do I know I am becoming more reflective? </w:t>
      </w:r>
    </w:p>
    <w:p w:rsidR="0042545A" w:rsidRDefault="00224539" w:rsidP="006F385A">
      <w:pPr>
        <w:shd w:val="clear" w:color="auto" w:fill="FFFFFF"/>
        <w:spacing w:before="240" w:after="240" w:line="240" w:lineRule="auto"/>
      </w:pPr>
      <w:r>
        <w:t xml:space="preserve">21 9. Summary </w:t>
      </w:r>
    </w:p>
    <w:p w:rsidR="0042545A" w:rsidRDefault="00224539" w:rsidP="006F385A">
      <w:pPr>
        <w:shd w:val="clear" w:color="auto" w:fill="FFFFFF"/>
        <w:spacing w:before="240" w:after="240" w:line="240" w:lineRule="auto"/>
      </w:pPr>
      <w:r>
        <w:t xml:space="preserve">23 10. Where can I find out more? </w:t>
      </w:r>
    </w:p>
    <w:p w:rsidR="0042545A" w:rsidRDefault="00224539" w:rsidP="006F385A">
      <w:pPr>
        <w:shd w:val="clear" w:color="auto" w:fill="FFFFFF"/>
        <w:spacing w:before="240" w:after="240" w:line="240" w:lineRule="auto"/>
      </w:pPr>
      <w:r>
        <w:t xml:space="preserve">24 2 Reflective practice </w:t>
      </w:r>
    </w:p>
    <w:p w:rsidR="00015C30" w:rsidRDefault="00015C30" w:rsidP="006F385A">
      <w:pPr>
        <w:shd w:val="clear" w:color="auto" w:fill="FFFFFF"/>
        <w:spacing w:before="240" w:after="240" w:line="240" w:lineRule="auto"/>
      </w:pPr>
    </w:p>
    <w:p w:rsidR="00015C30" w:rsidRDefault="00015C30" w:rsidP="006F385A">
      <w:pPr>
        <w:shd w:val="clear" w:color="auto" w:fill="FFFFFF"/>
        <w:spacing w:before="240" w:after="240" w:line="240" w:lineRule="auto"/>
      </w:pPr>
    </w:p>
    <w:p w:rsidR="00015C30" w:rsidRDefault="00015C30" w:rsidP="006F385A">
      <w:pPr>
        <w:shd w:val="clear" w:color="auto" w:fill="FFFFFF"/>
        <w:spacing w:before="240" w:after="240" w:line="240" w:lineRule="auto"/>
      </w:pPr>
    </w:p>
    <w:p w:rsidR="00015C30" w:rsidRDefault="00015C30" w:rsidP="006F385A">
      <w:pPr>
        <w:shd w:val="clear" w:color="auto" w:fill="FFFFFF"/>
        <w:spacing w:before="240" w:after="240" w:line="240" w:lineRule="auto"/>
      </w:pPr>
    </w:p>
    <w:p w:rsidR="00015C30" w:rsidRDefault="00015C30" w:rsidP="006F385A">
      <w:pPr>
        <w:shd w:val="clear" w:color="auto" w:fill="FFFFFF"/>
        <w:spacing w:before="240" w:after="240" w:line="240" w:lineRule="auto"/>
      </w:pPr>
    </w:p>
    <w:p w:rsidR="00015C30" w:rsidRDefault="00015C30" w:rsidP="006F385A">
      <w:pPr>
        <w:shd w:val="clear" w:color="auto" w:fill="FFFFFF"/>
        <w:spacing w:before="240" w:after="240" w:line="240" w:lineRule="auto"/>
      </w:pPr>
    </w:p>
    <w:p w:rsidR="00635683" w:rsidRPr="00015C30" w:rsidRDefault="00224539" w:rsidP="006F385A">
      <w:pPr>
        <w:shd w:val="clear" w:color="auto" w:fill="FFFFFF"/>
        <w:spacing w:before="240" w:after="240" w:line="240" w:lineRule="auto"/>
        <w:rPr>
          <w:b/>
          <w:color w:val="FF0000"/>
        </w:rPr>
      </w:pPr>
      <w:r w:rsidRPr="00015C30">
        <w:rPr>
          <w:b/>
          <w:color w:val="FF0000"/>
        </w:rPr>
        <w:t xml:space="preserve">1. Introduction </w:t>
      </w:r>
    </w:p>
    <w:p w:rsidR="00180ED5" w:rsidRDefault="00224539" w:rsidP="00635683">
      <w:pPr>
        <w:shd w:val="clear" w:color="auto" w:fill="FFFFFF"/>
        <w:spacing w:before="240" w:after="240" w:line="240" w:lineRule="auto"/>
        <w:jc w:val="both"/>
      </w:pPr>
      <w:r>
        <w:t xml:space="preserve">This booklet forms part of a set of resources to support the Welsh Government’s ‘New Deal’ for the education workforce, and its professional learning model (PLM) for educational practitioners in Wales. This key initiative emphasises the need for practitioners to learn and develop throughout their careers so that they can do the very best for their learners. It is linked to other education improvement developments including Qualified for life and schools development plans. </w:t>
      </w:r>
    </w:p>
    <w:p w:rsidR="00180ED5" w:rsidRDefault="00224539" w:rsidP="00635683">
      <w:pPr>
        <w:shd w:val="clear" w:color="auto" w:fill="FFFFFF"/>
        <w:spacing w:before="240" w:after="240" w:line="240" w:lineRule="auto"/>
        <w:jc w:val="both"/>
      </w:pPr>
      <w:r>
        <w:t xml:space="preserve">This resource focuses on the contribution of reflective practice to professional development and is a key component of the PLM, as indicated in Figure 1. It will provide you with information about reflective practice from a variety of sources, discusses its merits and limitations and offers practical guidance on how to develop as a reflective practitioner. </w:t>
      </w:r>
    </w:p>
    <w:p w:rsidR="00180ED5" w:rsidRDefault="00224539" w:rsidP="00635683">
      <w:pPr>
        <w:shd w:val="clear" w:color="auto" w:fill="FFFFFF"/>
        <w:spacing w:before="240" w:after="240" w:line="240" w:lineRule="auto"/>
        <w:jc w:val="both"/>
      </w:pPr>
      <w:r>
        <w:t xml:space="preserve">All studies, reports and other evidence mentioned in this booklet, are listed in Section 10 (page 24) so that you can read more about them if you wish. You can explore PLM topics further within the module on professional learning on the Learning Wales website. </w:t>
      </w:r>
      <w:r w:rsidR="00180ED5">
        <w:t>E</w:t>
      </w:r>
      <w:r>
        <w:t xml:space="preserve">ffective collaboration reflective practice coaching and mentoring effective use of data and research evidence Figure 1: Diagram summarising the key components of the PLM Reflective practice 3 2. What is reflective practice? Much has been written about ‘reflective practice’: one search engine returns more than 900,000 results! It has a prominent position among educators in the world’s leading educational systems, such as Singapore, Canada and Hong Kong. </w:t>
      </w:r>
    </w:p>
    <w:p w:rsidR="00180ED5" w:rsidRDefault="00224539" w:rsidP="00635683">
      <w:pPr>
        <w:shd w:val="clear" w:color="auto" w:fill="FFFFFF"/>
        <w:spacing w:before="240" w:after="240" w:line="240" w:lineRule="auto"/>
        <w:jc w:val="both"/>
      </w:pPr>
      <w:r>
        <w:t xml:space="preserve">The Organisation for Economic Co-operation and Development (OECD) highlights skills for reflective practice and on-the-job research as key strengths of the most successful teacher education and professional development models around the world (Schleisser, 2012). Essentially, reflective practice is a process of thinking through professional issues, problems or dilemmas, which do not have an obvious solution. We don’t usually reflect on relatively straightforward matters such as collecting lunch money or taking the register. Moon (2004) suggests that a common-sense view sees reflection leading to some learning or a change of behaviour. We often reflect to consider things in more detail and usually for a purpose. However, there are times when we find ourselves being reflective and ideas seem to ‘pop up’ unexpectedly. Ideas around reflective practice are commonly advocated in teaching and other professions, such as law, social care and medicine. </w:t>
      </w:r>
    </w:p>
    <w:p w:rsidR="00695257" w:rsidRDefault="00224539" w:rsidP="00635683">
      <w:pPr>
        <w:shd w:val="clear" w:color="auto" w:fill="FFFFFF"/>
        <w:spacing w:before="240" w:after="240" w:line="240" w:lineRule="auto"/>
        <w:jc w:val="both"/>
      </w:pPr>
      <w:r>
        <w:t>The following figure gives examples of definitions from different fields. Figure 2: Definitions of reflective practice Field Definition Source Physiotherapy Reflective practice is a process by which you: stop and think about your practice, consciously analyse your decision making and draw on theory and relate it to what you do in practice. Chartered Society of Physiotherapy website www.csp.org.uk Nursing Reflection is the examination of personal thoughts and actions. Somerville and Keeling (2004) Dentistry</w:t>
      </w:r>
      <w:r w:rsidR="00180ED5">
        <w:t>.</w:t>
      </w:r>
      <w:r>
        <w:t xml:space="preserve"> The reflective dentist is one who engages their team in a process of discussion regarding a variety of clinical situations, and who learns from both positive and negative clinical experience. Simpson and Freeman (2004) Education A bottom-up self-directed process of learning which can be formal or informal in its approach and individual or collaborative in nature. </w:t>
      </w:r>
    </w:p>
    <w:p w:rsidR="00695257" w:rsidRDefault="00224539" w:rsidP="00635683">
      <w:pPr>
        <w:shd w:val="clear" w:color="auto" w:fill="FFFFFF"/>
        <w:spacing w:before="240" w:after="240" w:line="240" w:lineRule="auto"/>
        <w:jc w:val="both"/>
      </w:pPr>
      <w:r>
        <w:t xml:space="preserve">Melbourne Department of Education and Early Childhood Development www.education.vic.gov.au 4 Reflective practice </w:t>
      </w:r>
      <w:proofErr w:type="gramStart"/>
      <w:r>
        <w:t>The</w:t>
      </w:r>
      <w:proofErr w:type="gramEnd"/>
      <w:r>
        <w:t xml:space="preserve"> lack of a commonly shared definition of reflective practice has led some critics to claim: It has no meaning other than be worried about what you do, and talk about it or write it down. (Hayes et al., 2007, p.170). However, reflective practice is designed to help you improve what you do and to respond positively to change (Figure 3). Typically, reflective practitioners regularly question both what they do and why, with a view to learning from their experience. They evaluate </w:t>
      </w:r>
      <w:r>
        <w:lastRenderedPageBreak/>
        <w:t>their practice, drawing out strengths and areas for development. Figure 3: What reflective practice is and is not (</w:t>
      </w:r>
      <w:proofErr w:type="spellStart"/>
      <w:r>
        <w:t>Grigg</w:t>
      </w:r>
      <w:proofErr w:type="spellEnd"/>
      <w:r>
        <w:t xml:space="preserve"> et al., in press) </w:t>
      </w:r>
    </w:p>
    <w:p w:rsidR="00695257" w:rsidRDefault="00224539" w:rsidP="00635683">
      <w:pPr>
        <w:shd w:val="clear" w:color="auto" w:fill="FFFFFF"/>
        <w:spacing w:before="240" w:after="240" w:line="240" w:lineRule="auto"/>
        <w:jc w:val="both"/>
      </w:pPr>
      <w:r>
        <w:t xml:space="preserve">Reflective practice is </w:t>
      </w:r>
      <w:r w:rsidR="00695257">
        <w:t>a</w:t>
      </w:r>
      <w:r>
        <w:t xml:space="preserve">bout improving what you do For all practitioners Ongoing through your career Challenging Reflective practice isn’t Personal criticism Limited to trainee and newly qualified teachers A ‘one-off’ event A soft option Often the terms ‘reflection’, ‘reflective practice’ and ‘critical reflection’ are used interchangeably and while they are related, they are not quite the same. Reflection involves recalling, describing and explaining what happened, as well as thinking about the consequences of what you do. Critical reflection takes this to a higher level. It involves evaluating practice and making the case for change based on solid evidence. This includes being self-critical, questioning the assumptions on which personal beliefs and values have developed, and critiquing the work of others. Critical reflection is a component of reflective practice, which focuses on challenges faced within a professional context. When new insight leads to change or improvement, reflection becomes reflective practice (see Figure 4). Reflective practice 5 Figure 4: Opportunities for reflection to become reflective practice Opportunity for reflection Reflective practice Thinking about a challenging experience such as teaching a poor lesson. Discussing the lesson with a colleague, drawing up an action plan and monitoring the impact of any change. Completing an evaluation of a training event such as a course or conference. Using the evaluation to reflect on how you might apply new knowledge or skills in specific contexts. Answering questions during a staff appraisal or review. Reviewing the previous year, establishing objectives and success criteria for the year ahead. Submitting lesson plans for review. Responding to feedback comments to improve planning. Surveying the views of parents/carers. Using parental responses to strengthen communication between home and school. Observing a colleague teach. Noting strategies that could be adapted in your own practice. Source: </w:t>
      </w:r>
      <w:proofErr w:type="spellStart"/>
      <w:r>
        <w:t>Grigg</w:t>
      </w:r>
      <w:proofErr w:type="spellEnd"/>
      <w:r>
        <w:t xml:space="preserve"> (in press). </w:t>
      </w:r>
    </w:p>
    <w:p w:rsidR="00056062" w:rsidRDefault="00224539" w:rsidP="00635683">
      <w:pPr>
        <w:shd w:val="clear" w:color="auto" w:fill="FFFFFF"/>
        <w:spacing w:before="240" w:after="240" w:line="240" w:lineRule="auto"/>
        <w:jc w:val="both"/>
      </w:pPr>
      <w:r>
        <w:t xml:space="preserve">Most of the literature on reflective practice agrees that it is about moving practitioners out of ‘autopilot’. This is achieved when practitioners focus on the consequences of their teaching, question what they routinely do, engage in professional dialogue with colleagues and consider how this and wider evidence can support improvement. </w:t>
      </w:r>
    </w:p>
    <w:p w:rsidR="00056062" w:rsidRPr="00056062" w:rsidRDefault="00224539" w:rsidP="00635683">
      <w:pPr>
        <w:shd w:val="clear" w:color="auto" w:fill="FFFFFF"/>
        <w:spacing w:before="240" w:after="240" w:line="240" w:lineRule="auto"/>
        <w:jc w:val="both"/>
        <w:rPr>
          <w:b/>
          <w:color w:val="FF0000"/>
        </w:rPr>
      </w:pPr>
      <w:r w:rsidRPr="00056062">
        <w:rPr>
          <w:b/>
          <w:color w:val="FF0000"/>
        </w:rPr>
        <w:t xml:space="preserve">Points for reflection </w:t>
      </w:r>
    </w:p>
    <w:p w:rsidR="00056062" w:rsidRDefault="00224539" w:rsidP="00635683">
      <w:pPr>
        <w:shd w:val="clear" w:color="auto" w:fill="FFFFFF"/>
        <w:spacing w:before="240" w:after="240" w:line="240" w:lineRule="auto"/>
        <w:jc w:val="both"/>
      </w:pPr>
      <w:r>
        <w:t xml:space="preserve">• Is reflective practice simply another way of encouraging you ‘to think about what you’re doing’? </w:t>
      </w:r>
    </w:p>
    <w:p w:rsidR="00056062" w:rsidRDefault="00224539" w:rsidP="00635683">
      <w:pPr>
        <w:shd w:val="clear" w:color="auto" w:fill="FFFFFF"/>
        <w:spacing w:before="240" w:after="240" w:line="240" w:lineRule="auto"/>
        <w:jc w:val="both"/>
      </w:pPr>
      <w:r>
        <w:t xml:space="preserve">• How do you think reflective practice is similar or different to chatting with colleagues, friends and family? </w:t>
      </w:r>
    </w:p>
    <w:p w:rsidR="00056062" w:rsidRDefault="00224539" w:rsidP="00635683">
      <w:pPr>
        <w:shd w:val="clear" w:color="auto" w:fill="FFFFFF"/>
        <w:spacing w:before="240" w:after="240" w:line="240" w:lineRule="auto"/>
        <w:jc w:val="both"/>
      </w:pPr>
      <w:r>
        <w:t xml:space="preserve">• Reread Figure 4. Select something from your own experience that might become a focus for reflective practice. 6 Reflective practice 3. Where does reflective practice originate? </w:t>
      </w:r>
    </w:p>
    <w:p w:rsidR="00492B1D" w:rsidRDefault="00224539" w:rsidP="00635683">
      <w:pPr>
        <w:shd w:val="clear" w:color="auto" w:fill="FFFFFF"/>
        <w:spacing w:before="240" w:after="240" w:line="240" w:lineRule="auto"/>
        <w:jc w:val="both"/>
      </w:pPr>
      <w:r>
        <w:t xml:space="preserve">The importance of reflection has been advocated for a very long time. Ancient philosophers such as Socrates more than 2,500 years ago questioned what people knew, their assumptions and why they did things. But the modern history of reflection begins with two American philosophers. </w:t>
      </w:r>
      <w:r w:rsidRPr="0095329C">
        <w:rPr>
          <w:b/>
          <w:color w:val="FF0000"/>
          <w:u w:val="single"/>
        </w:rPr>
        <w:t>John Dewey</w:t>
      </w:r>
      <w:r w:rsidRPr="0095329C">
        <w:rPr>
          <w:color w:val="FF0000"/>
        </w:rPr>
        <w:t xml:space="preserve"> </w:t>
      </w:r>
      <w:r>
        <w:t xml:space="preserve">(1859–1952) distinguished between the routine actions of teachers, when they based their decisions on custom, tradition and authority, and reflective action, where they questioned taken-for-granted knowledge. All practitioners and schools have their particular routines – demonstrated, for example, in the way children are expected to line up, respond to questions, their conduct during registration time or the manner by which classroom order is maintained. </w:t>
      </w:r>
      <w:r w:rsidRPr="009B1DDC">
        <w:rPr>
          <w:b/>
          <w:color w:val="FF0000"/>
          <w:u w:val="single"/>
        </w:rPr>
        <w:t>Dewey</w:t>
      </w:r>
      <w:r>
        <w:t xml:space="preserve"> argued that reflective thinking is needed when teachers face doubts, problems or dilemmas. He defined reflection as ‘a kind of thinking that consists in turning a subject over in the mind and giving it serious and consecutive considerations’ </w:t>
      </w:r>
      <w:r w:rsidRPr="009B1DDC">
        <w:rPr>
          <w:b/>
          <w:color w:val="FF0000"/>
          <w:u w:val="single"/>
        </w:rPr>
        <w:t>(Dewey,</w:t>
      </w:r>
      <w:r>
        <w:t xml:space="preserve"> 1933, p.3). </w:t>
      </w:r>
    </w:p>
    <w:p w:rsidR="00492B1D" w:rsidRDefault="00492B1D" w:rsidP="00635683">
      <w:pPr>
        <w:shd w:val="clear" w:color="auto" w:fill="FFFFFF"/>
        <w:spacing w:before="240" w:after="240" w:line="240" w:lineRule="auto"/>
        <w:jc w:val="both"/>
      </w:pPr>
    </w:p>
    <w:p w:rsidR="00492B1D" w:rsidRDefault="00224539" w:rsidP="00635683">
      <w:pPr>
        <w:shd w:val="clear" w:color="auto" w:fill="FFFFFF"/>
        <w:spacing w:before="240" w:after="240" w:line="240" w:lineRule="auto"/>
        <w:jc w:val="both"/>
      </w:pPr>
      <w:r>
        <w:t>The thinking teacher looks carefully at what underpins a particular problem and then researches possible solutions, demonstrating the following three characteristics:</w:t>
      </w:r>
    </w:p>
    <w:p w:rsidR="00492B1D" w:rsidRDefault="00224539" w:rsidP="00635683">
      <w:pPr>
        <w:shd w:val="clear" w:color="auto" w:fill="FFFFFF"/>
        <w:spacing w:before="240" w:after="240" w:line="240" w:lineRule="auto"/>
        <w:jc w:val="both"/>
      </w:pPr>
      <w:r>
        <w:t xml:space="preserve">• </w:t>
      </w:r>
      <w:proofErr w:type="gramStart"/>
      <w:r>
        <w:t>open-mindedness</w:t>
      </w:r>
      <w:proofErr w:type="gramEnd"/>
      <w:r>
        <w:t xml:space="preserve"> – to new ideas and thoughts </w:t>
      </w:r>
    </w:p>
    <w:p w:rsidR="00492B1D" w:rsidRDefault="00224539" w:rsidP="00635683">
      <w:pPr>
        <w:shd w:val="clear" w:color="auto" w:fill="FFFFFF"/>
        <w:spacing w:before="240" w:after="240" w:line="240" w:lineRule="auto"/>
        <w:jc w:val="both"/>
      </w:pPr>
      <w:r>
        <w:t xml:space="preserve">• </w:t>
      </w:r>
      <w:proofErr w:type="gramStart"/>
      <w:r>
        <w:t>wholeheartedness</w:t>
      </w:r>
      <w:proofErr w:type="gramEnd"/>
      <w:r>
        <w:t xml:space="preserve"> – willing to seek out fresh approaches </w:t>
      </w:r>
    </w:p>
    <w:p w:rsidR="00492B1D" w:rsidRDefault="00224539" w:rsidP="00635683">
      <w:pPr>
        <w:shd w:val="clear" w:color="auto" w:fill="FFFFFF"/>
        <w:spacing w:before="240" w:after="240" w:line="240" w:lineRule="auto"/>
        <w:jc w:val="both"/>
      </w:pPr>
      <w:r>
        <w:t xml:space="preserve">• </w:t>
      </w:r>
      <w:proofErr w:type="gramStart"/>
      <w:r>
        <w:t>responsibility</w:t>
      </w:r>
      <w:proofErr w:type="gramEnd"/>
      <w:r>
        <w:t xml:space="preserve"> – an awareness of the consequences of the action taken. </w:t>
      </w:r>
    </w:p>
    <w:p w:rsidR="006E38DA" w:rsidRDefault="00224539" w:rsidP="00635683">
      <w:pPr>
        <w:shd w:val="clear" w:color="auto" w:fill="FFFFFF"/>
        <w:spacing w:before="240" w:after="240" w:line="240" w:lineRule="auto"/>
        <w:jc w:val="both"/>
      </w:pPr>
      <w:r>
        <w:t xml:space="preserve">For </w:t>
      </w:r>
      <w:r w:rsidRPr="000255F8">
        <w:rPr>
          <w:b/>
          <w:color w:val="FF0000"/>
          <w:u w:val="single"/>
        </w:rPr>
        <w:t>Dewey</w:t>
      </w:r>
      <w:r>
        <w:t>, reflective action mattered because it was the means by which these characteristics were developed. He valued reflection because it ‘enables us to direct our actions with foresight … it enables us to know what we are about when we act’ (</w:t>
      </w:r>
      <w:r w:rsidRPr="00141C34">
        <w:rPr>
          <w:b/>
          <w:color w:val="FF0000"/>
          <w:u w:val="single"/>
        </w:rPr>
        <w:t>Dewey</w:t>
      </w:r>
      <w:r>
        <w:t xml:space="preserve">, 1933, p.17). </w:t>
      </w:r>
      <w:r w:rsidRPr="0095329C">
        <w:rPr>
          <w:b/>
          <w:color w:val="FF0000"/>
          <w:u w:val="single"/>
        </w:rPr>
        <w:t xml:space="preserve">Donald </w:t>
      </w:r>
      <w:proofErr w:type="spellStart"/>
      <w:r w:rsidRPr="0095329C">
        <w:rPr>
          <w:b/>
          <w:color w:val="FF0000"/>
          <w:u w:val="single"/>
        </w:rPr>
        <w:t>Schön</w:t>
      </w:r>
      <w:proofErr w:type="spellEnd"/>
      <w:r w:rsidRPr="0095329C">
        <w:rPr>
          <w:color w:val="FF0000"/>
        </w:rPr>
        <w:t xml:space="preserve"> </w:t>
      </w:r>
      <w:r>
        <w:t xml:space="preserve">(1930–1987) developed </w:t>
      </w:r>
      <w:r w:rsidRPr="000255F8">
        <w:rPr>
          <w:b/>
          <w:color w:val="FF0000"/>
          <w:u w:val="single"/>
        </w:rPr>
        <w:t>Dewey’s</w:t>
      </w:r>
      <w:r>
        <w:t xml:space="preserve"> ideas and first introduced the term ‘reflective practitioner’. He claimed that teachers did not develop expertise by ‘delivering’ the curriculum, lesson plans, or following procedures – what he called ‘technical rationality’. Rather, they became experts through ‘professional artistry’ acquired through reflecting upon experience. </w:t>
      </w:r>
    </w:p>
    <w:p w:rsidR="006E38DA" w:rsidRDefault="00224539" w:rsidP="00635683">
      <w:pPr>
        <w:shd w:val="clear" w:color="auto" w:fill="FFFFFF"/>
        <w:spacing w:before="240" w:after="240" w:line="240" w:lineRule="auto"/>
        <w:jc w:val="both"/>
      </w:pPr>
      <w:r>
        <w:t xml:space="preserve">As teachers interact with the class, they exhibit what </w:t>
      </w:r>
      <w:proofErr w:type="spellStart"/>
      <w:r w:rsidRPr="0095329C">
        <w:rPr>
          <w:b/>
          <w:color w:val="FF0000"/>
          <w:u w:val="single"/>
        </w:rPr>
        <w:t>Schön</w:t>
      </w:r>
      <w:proofErr w:type="spellEnd"/>
      <w:r w:rsidRPr="0095329C">
        <w:rPr>
          <w:b/>
          <w:color w:val="FF0000"/>
          <w:u w:val="single"/>
        </w:rPr>
        <w:t xml:space="preserve"> </w:t>
      </w:r>
      <w:r>
        <w:t xml:space="preserve">called ‘knowing-in-action’, much of which is tacit or unstated and difficult for others to imitate. Such knowing might include interpreting body language, reading emotions, knowing when to use humour and intuitive thinking – the ‘gut feeling’ or ability to understand what is going on around you. Knowing-in-action involves instantaneous and unconscious decisions. A feature of expert teaching is how well implicit knowledge is used to make these intuitive calls, which may not be the same in every situation. For example, two children may disrupt the class in the same way, but the teacher responds differently, perhaps taking into account individual backgrounds or temperaments. </w:t>
      </w:r>
    </w:p>
    <w:p w:rsidR="0095329C" w:rsidRDefault="00224539" w:rsidP="00635683">
      <w:pPr>
        <w:shd w:val="clear" w:color="auto" w:fill="FFFFFF"/>
        <w:spacing w:before="240" w:after="240" w:line="240" w:lineRule="auto"/>
        <w:jc w:val="both"/>
      </w:pPr>
      <w:r>
        <w:t xml:space="preserve">Reflective practice 7 </w:t>
      </w:r>
      <w:proofErr w:type="gramStart"/>
      <w:r>
        <w:t>If</w:t>
      </w:r>
      <w:proofErr w:type="gramEnd"/>
      <w:r>
        <w:t xml:space="preserve"> you observe an excellent teacher you should see such knowledge in action. It might involve how the teacher responds (sometimes very creatively) to unexpected events, such as the breakdown of technology or a sudden outburst from a child. These are often split-second ‘thinking on your feet’ decisions, based on prior knowledge and an immediate review of the situation – or what </w:t>
      </w:r>
      <w:proofErr w:type="spellStart"/>
      <w:r w:rsidRPr="009B1DDC">
        <w:rPr>
          <w:b/>
          <w:color w:val="FF0000"/>
          <w:u w:val="single"/>
        </w:rPr>
        <w:t>Schön</w:t>
      </w:r>
      <w:proofErr w:type="spellEnd"/>
      <w:r>
        <w:t xml:space="preserve"> called ‘reflection-in-action’. This can involve ‘reframing’ how you see what is happening around you. </w:t>
      </w:r>
      <w:proofErr w:type="spellStart"/>
      <w:r w:rsidRPr="009B1DDC">
        <w:rPr>
          <w:b/>
          <w:color w:val="FF0000"/>
          <w:u w:val="single"/>
        </w:rPr>
        <w:t>Schön</w:t>
      </w:r>
      <w:proofErr w:type="spellEnd"/>
      <w:r>
        <w:t xml:space="preserve"> also introduced the notion of ‘reflection-on-action’, which occurs after a lesson when teachers rerun in their minds what happened, what they have learned and what they might do differently next time. </w:t>
      </w:r>
      <w:proofErr w:type="spellStart"/>
      <w:r w:rsidRPr="009B1DDC">
        <w:rPr>
          <w:b/>
          <w:color w:val="FF0000"/>
          <w:u w:val="single"/>
        </w:rPr>
        <w:t>Schön’s</w:t>
      </w:r>
      <w:proofErr w:type="spellEnd"/>
      <w:r>
        <w:t xml:space="preserve"> ‘reflection-for-action’ describes reflecting for the purpose of forward planning. </w:t>
      </w: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6E38DA" w:rsidRDefault="006E38DA" w:rsidP="00635683">
      <w:pPr>
        <w:shd w:val="clear" w:color="auto" w:fill="FFFFFF"/>
        <w:spacing w:before="240" w:after="240" w:line="240" w:lineRule="auto"/>
        <w:jc w:val="both"/>
      </w:pPr>
    </w:p>
    <w:p w:rsidR="0095329C" w:rsidRDefault="00224539" w:rsidP="00635683">
      <w:pPr>
        <w:shd w:val="clear" w:color="auto" w:fill="FFFFFF"/>
        <w:spacing w:before="240" w:after="240" w:line="240" w:lineRule="auto"/>
        <w:jc w:val="both"/>
      </w:pPr>
      <w:r>
        <w:t xml:space="preserve">Points for reflection </w:t>
      </w:r>
    </w:p>
    <w:p w:rsidR="0095329C" w:rsidRDefault="00224539" w:rsidP="00635683">
      <w:pPr>
        <w:shd w:val="clear" w:color="auto" w:fill="FFFFFF"/>
        <w:spacing w:before="240" w:after="240" w:line="240" w:lineRule="auto"/>
        <w:jc w:val="both"/>
      </w:pPr>
      <w:r>
        <w:t xml:space="preserve">• In case study 1, how might Fiona have responded differently during the lesson? </w:t>
      </w:r>
    </w:p>
    <w:p w:rsidR="0095329C" w:rsidRDefault="00224539" w:rsidP="00635683">
      <w:pPr>
        <w:shd w:val="clear" w:color="auto" w:fill="FFFFFF"/>
        <w:spacing w:before="240" w:after="240" w:line="240" w:lineRule="auto"/>
        <w:jc w:val="both"/>
      </w:pPr>
      <w:r>
        <w:t xml:space="preserve">• How might she have ‘reframed’ the situation? </w:t>
      </w:r>
    </w:p>
    <w:p w:rsidR="0095329C" w:rsidRDefault="00224539" w:rsidP="00635683">
      <w:pPr>
        <w:shd w:val="clear" w:color="auto" w:fill="FFFFFF"/>
        <w:spacing w:before="240" w:after="240" w:line="240" w:lineRule="auto"/>
        <w:jc w:val="both"/>
      </w:pPr>
      <w:r>
        <w:t xml:space="preserve">• If you were discussing the lesson with her afterwards, what would you want her to reflect upon to move forward? </w:t>
      </w:r>
    </w:p>
    <w:p w:rsidR="00224539" w:rsidRDefault="00224539" w:rsidP="00CE7B91">
      <w:pPr>
        <w:pStyle w:val="NoSpacing"/>
        <w:jc w:val="both"/>
        <w:rPr>
          <w:rFonts w:eastAsia="Times New Roman" w:cs="Times New Roman"/>
          <w:color w:val="333333"/>
          <w:spacing w:val="2"/>
          <w:sz w:val="20"/>
          <w:szCs w:val="20"/>
          <w:lang w:eastAsia="en-GB"/>
        </w:rPr>
      </w:pPr>
      <w:r>
        <w:t xml:space="preserve">Case study 1 During a Year 2 lesson Fiona noticed that the level of class noise was rising. She asked the class to keep the noise down and referred to the rule about working quietly. For a few minutes this seemed to work but the noise escalated towards the end of the lesson. Fiona looked up from working with one group and gave one boy at the back of the class a firm stare. He ignored this. In frustration, Fiona shouted out generally at the class and told them that they would be kept in for five minutes as a punishment during break time to which several children complained this was unfair. 8 Reflective practice 4. </w:t>
      </w:r>
    </w:p>
    <w:p w:rsidR="00224539" w:rsidRDefault="006D6CA1" w:rsidP="00635683">
      <w:pPr>
        <w:shd w:val="clear" w:color="auto" w:fill="FFFFFF"/>
        <w:spacing w:before="240" w:after="240" w:line="240" w:lineRule="auto"/>
        <w:jc w:val="both"/>
        <w:rPr>
          <w:rFonts w:eastAsia="Times New Roman" w:cs="Times New Roman"/>
          <w:color w:val="333333"/>
          <w:spacing w:val="2"/>
          <w:sz w:val="20"/>
          <w:szCs w:val="20"/>
          <w:lang w:eastAsia="en-GB"/>
        </w:rPr>
      </w:pPr>
      <w:r>
        <w:rPr>
          <w:rFonts w:eastAsia="Times New Roman" w:cs="Times New Roman"/>
          <w:color w:val="333333"/>
          <w:spacing w:val="2"/>
          <w:sz w:val="20"/>
          <w:szCs w:val="20"/>
          <w:lang w:eastAsia="en-GB"/>
        </w:rPr>
        <w:t>----------------------------------------------------------------------------------------------------------------------------------------------</w:t>
      </w:r>
    </w:p>
    <w:p w:rsidR="00224539" w:rsidRPr="00886157" w:rsidRDefault="00224539" w:rsidP="00635683">
      <w:pPr>
        <w:shd w:val="clear" w:color="auto" w:fill="FFFFFF"/>
        <w:spacing w:before="240" w:after="240" w:line="240" w:lineRule="auto"/>
        <w:jc w:val="both"/>
        <w:rPr>
          <w:rFonts w:eastAsia="Times New Roman" w:cs="Times New Roman"/>
          <w:color w:val="333333"/>
          <w:spacing w:val="2"/>
          <w:sz w:val="20"/>
          <w:szCs w:val="20"/>
          <w:lang w:eastAsia="en-GB"/>
        </w:rPr>
      </w:pPr>
    </w:p>
    <w:p w:rsidR="006D6CA1" w:rsidRPr="006D6CA1" w:rsidRDefault="006D6CA1" w:rsidP="00CE7B91">
      <w:pPr>
        <w:shd w:val="clear" w:color="auto" w:fill="FFFFFF"/>
        <w:spacing w:after="0" w:line="240" w:lineRule="atLeast"/>
        <w:jc w:val="both"/>
        <w:textAlignment w:val="baseline"/>
        <w:outlineLvl w:val="0"/>
        <w:rPr>
          <w:rFonts w:eastAsia="Times New Roman" w:cs="Arial"/>
          <w:b/>
          <w:bCs/>
          <w:color w:val="555555"/>
          <w:sz w:val="28"/>
          <w:szCs w:val="28"/>
          <w:lang w:eastAsia="en-GB"/>
        </w:rPr>
      </w:pPr>
      <w:r w:rsidRPr="006D6CA1">
        <w:rPr>
          <w:rFonts w:eastAsia="Times New Roman" w:cs="Arial"/>
          <w:b/>
          <w:bCs/>
          <w:color w:val="555555"/>
          <w:spacing w:val="-15"/>
          <w:kern w:val="36"/>
          <w:sz w:val="28"/>
          <w:szCs w:val="28"/>
          <w:lang w:eastAsia="en-GB"/>
        </w:rPr>
        <w:t>VISIBLE LEARNING</w:t>
      </w:r>
      <w:r w:rsidR="00CE7B91">
        <w:rPr>
          <w:rFonts w:eastAsia="Times New Roman" w:cs="Arial"/>
          <w:b/>
          <w:bCs/>
          <w:color w:val="555555"/>
          <w:spacing w:val="-15"/>
          <w:kern w:val="36"/>
          <w:sz w:val="28"/>
          <w:szCs w:val="28"/>
          <w:lang w:eastAsia="en-GB"/>
        </w:rPr>
        <w:t xml:space="preserve"> - </w:t>
      </w:r>
      <w:r w:rsidRPr="006D6CA1">
        <w:rPr>
          <w:rFonts w:eastAsia="Times New Roman" w:cs="Arial"/>
          <w:b/>
          <w:bCs/>
          <w:color w:val="555555"/>
          <w:sz w:val="28"/>
          <w:szCs w:val="28"/>
          <w:lang w:eastAsia="en-GB"/>
        </w:rPr>
        <w:t xml:space="preserve">What works best for </w:t>
      </w:r>
      <w:proofErr w:type="gramStart"/>
      <w:r w:rsidRPr="006D6CA1">
        <w:rPr>
          <w:rFonts w:eastAsia="Times New Roman" w:cs="Arial"/>
          <w:b/>
          <w:bCs/>
          <w:color w:val="555555"/>
          <w:sz w:val="28"/>
          <w:szCs w:val="28"/>
          <w:lang w:eastAsia="en-GB"/>
        </w:rPr>
        <w:t>learning</w:t>
      </w:r>
      <w:proofErr w:type="gramEnd"/>
    </w:p>
    <w:p w:rsidR="006D6CA1" w:rsidRPr="006D6CA1" w:rsidRDefault="006D6CA1" w:rsidP="00CE7B91">
      <w:pPr>
        <w:pStyle w:val="NoSpacing"/>
        <w:rPr>
          <w:lang w:eastAsia="en-GB"/>
        </w:rPr>
      </w:pPr>
      <w:r w:rsidRPr="006D6CA1">
        <w:rPr>
          <w:lang w:eastAsia="en-GB"/>
        </w:rPr>
        <w:t>Visible Learning means an enhanced role for teachers as they become evaluators of their own teaching. According to John Hattie Visible Learning and Teaching occurs when teachers see learning through the eyes of students and help them become their own teachers.</w:t>
      </w:r>
    </w:p>
    <w:p w:rsidR="00886157" w:rsidRPr="002A54F9" w:rsidRDefault="00886157" w:rsidP="00CE7B91">
      <w:pPr>
        <w:shd w:val="clear" w:color="auto" w:fill="FFFFFF"/>
        <w:spacing w:line="240" w:lineRule="auto"/>
        <w:jc w:val="both"/>
        <w:rPr>
          <w:rFonts w:eastAsia="Times New Roman" w:cs="Times New Roman"/>
          <w:color w:val="333333"/>
          <w:spacing w:val="2"/>
          <w:sz w:val="28"/>
          <w:szCs w:val="28"/>
          <w:lang w:val="en" w:eastAsia="en-GB"/>
        </w:rPr>
      </w:pPr>
    </w:p>
    <w:p w:rsidR="00C816AF" w:rsidRPr="00C816AF" w:rsidRDefault="00C816AF" w:rsidP="00CE7B91">
      <w:pPr>
        <w:shd w:val="clear" w:color="auto" w:fill="FFFFFF"/>
        <w:spacing w:before="120" w:after="120" w:line="240" w:lineRule="atLeast"/>
        <w:jc w:val="both"/>
        <w:textAlignment w:val="baseline"/>
        <w:outlineLvl w:val="0"/>
        <w:rPr>
          <w:rFonts w:eastAsia="Times New Roman" w:cs="Arial"/>
          <w:b/>
          <w:bCs/>
          <w:color w:val="555555"/>
          <w:kern w:val="36"/>
          <w:sz w:val="28"/>
          <w:szCs w:val="28"/>
          <w:lang w:eastAsia="en-GB"/>
        </w:rPr>
      </w:pPr>
      <w:r w:rsidRPr="00C816AF">
        <w:rPr>
          <w:rFonts w:eastAsia="Times New Roman" w:cs="Arial"/>
          <w:b/>
          <w:bCs/>
          <w:color w:val="555555"/>
          <w:kern w:val="36"/>
          <w:sz w:val="28"/>
          <w:szCs w:val="28"/>
          <w:lang w:eastAsia="en-GB"/>
        </w:rPr>
        <w:t>Glossary of Hattie’s influences on student achievement</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noProof/>
          <w:color w:val="555555"/>
          <w:sz w:val="28"/>
          <w:szCs w:val="28"/>
          <w:lang w:eastAsia="en-GB"/>
        </w:rPr>
        <w:drawing>
          <wp:inline distT="0" distB="0" distL="0" distR="0" wp14:anchorId="063083F9" wp14:editId="5F0769FA">
            <wp:extent cx="5493385" cy="1426210"/>
            <wp:effectExtent l="0" t="0" r="0" b="2540"/>
            <wp:docPr id="1" name="Picture 1" descr="glossary-visible-learning-john-hattie-stu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ssary-visible-learning-john-hattie-studi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93385" cy="1426210"/>
                    </a:xfrm>
                    <a:prstGeom prst="rect">
                      <a:avLst/>
                    </a:prstGeom>
                    <a:noFill/>
                    <a:ln>
                      <a:noFill/>
                    </a:ln>
                  </pic:spPr>
                </pic:pic>
              </a:graphicData>
            </a:graphic>
          </wp:inline>
        </w:drawing>
      </w:r>
      <w:r w:rsidRPr="00C816AF">
        <w:rPr>
          <w:rFonts w:eastAsia="Times New Roman" w:cs="Arial"/>
          <w:color w:val="555555"/>
          <w:sz w:val="28"/>
          <w:szCs w:val="28"/>
          <w:lang w:eastAsia="en-GB"/>
        </w:rPr>
        <w:br/>
      </w:r>
      <w:r w:rsidRPr="00C816AF">
        <w:rPr>
          <w:rFonts w:eastAsia="Times New Roman" w:cs="Arial"/>
          <w:color w:val="555555"/>
          <w:lang w:eastAsia="en-GB"/>
        </w:rPr>
        <w:t>This Glossary explains influences related to student achievement published in John Hattie’s </w:t>
      </w:r>
      <w:hyperlink r:id="rId64" w:history="1">
        <w:r w:rsidRPr="00C816AF">
          <w:rPr>
            <w:rFonts w:eastAsia="Times New Roman" w:cs="Arial"/>
            <w:color w:val="0066CC"/>
            <w:u w:val="single"/>
            <w:bdr w:val="none" w:sz="0" w:space="0" w:color="auto" w:frame="1"/>
            <w:lang w:eastAsia="en-GB"/>
          </w:rPr>
          <w:t>Visible Learning for teachers</w:t>
        </w:r>
      </w:hyperlink>
      <w:r w:rsidRPr="00C816AF">
        <w:rPr>
          <w:rFonts w:eastAsia="Times New Roman" w:cs="Arial"/>
          <w:color w:val="555555"/>
          <w:lang w:eastAsia="en-GB"/>
        </w:rPr>
        <w:t xml:space="preserve"> (Hattie 2012; 251ff). You can find an older list </w:t>
      </w:r>
      <w:proofErr w:type="gramStart"/>
      <w:r w:rsidRPr="00C816AF">
        <w:rPr>
          <w:rFonts w:eastAsia="Times New Roman" w:cs="Arial"/>
          <w:color w:val="555555"/>
          <w:lang w:eastAsia="en-GB"/>
        </w:rPr>
        <w:t>of  influences</w:t>
      </w:r>
      <w:proofErr w:type="gramEnd"/>
      <w:r w:rsidRPr="00C816AF">
        <w:rPr>
          <w:rFonts w:eastAsia="Times New Roman" w:cs="Arial"/>
          <w:color w:val="555555"/>
          <w:lang w:eastAsia="en-GB"/>
        </w:rPr>
        <w:t xml:space="preserve"> related to student achievement in </w:t>
      </w:r>
      <w:hyperlink r:id="rId65" w:history="1">
        <w:r w:rsidRPr="00C816AF">
          <w:rPr>
            <w:rFonts w:eastAsia="Times New Roman" w:cs="Arial"/>
            <w:color w:val="0066CC"/>
            <w:u w:val="single"/>
            <w:bdr w:val="none" w:sz="0" w:space="0" w:color="auto" w:frame="1"/>
            <w:lang w:eastAsia="en-GB"/>
          </w:rPr>
          <w:t>Hattie (2009) Visible Learning</w:t>
        </w:r>
      </w:hyperlink>
      <w:r w:rsidRPr="00C816AF">
        <w:rPr>
          <w:rFonts w:eastAsia="Times New Roman" w:cs="Arial"/>
          <w:color w:val="555555"/>
          <w:lang w:eastAsia="en-GB"/>
        </w:rPr>
        <w:t>.</w:t>
      </w:r>
    </w:p>
    <w:p w:rsidR="00C816AF" w:rsidRPr="00C816AF" w:rsidRDefault="00C816AF" w:rsidP="00CE7B91">
      <w:pPr>
        <w:shd w:val="clear" w:color="auto" w:fill="FFFFFF"/>
        <w:spacing w:after="75" w:line="240" w:lineRule="auto"/>
        <w:jc w:val="both"/>
        <w:textAlignment w:val="baseline"/>
        <w:rPr>
          <w:rFonts w:eastAsia="Times New Roman" w:cs="Arial"/>
          <w:color w:val="555555"/>
          <w:lang w:eastAsia="en-GB"/>
        </w:rPr>
      </w:pPr>
      <w:hyperlink r:id="rId66" w:tooltip="Visible Learning: Buy the book!" w:history="1">
        <w:r w:rsidRPr="00C816AF">
          <w:rPr>
            <w:rFonts w:eastAsia="Times New Roman" w:cs="Arial"/>
            <w:b/>
            <w:bCs/>
            <w:color w:val="FFFFFF"/>
            <w:u w:val="single"/>
            <w:bdr w:val="single" w:sz="6" w:space="5" w:color="A70000" w:frame="1"/>
            <w:shd w:val="clear" w:color="auto" w:fill="EE0000"/>
            <w:lang w:eastAsia="en-GB"/>
          </w:rPr>
          <w:t>Visible Learning: Buy The Book!</w:t>
        </w:r>
      </w:hyperlink>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 </w:t>
      </w:r>
    </w:p>
    <w:p w:rsidR="00C816AF" w:rsidRPr="00C816AF" w:rsidRDefault="00C816AF" w:rsidP="00CE7B91">
      <w:pPr>
        <w:shd w:val="clear" w:color="auto" w:fill="FFFFFF"/>
        <w:spacing w:after="75" w:line="240" w:lineRule="auto"/>
        <w:jc w:val="both"/>
        <w:textAlignment w:val="baseline"/>
        <w:rPr>
          <w:rFonts w:eastAsia="Times New Roman" w:cs="Arial"/>
          <w:color w:val="555555"/>
          <w:lang w:eastAsia="en-GB"/>
        </w:rPr>
      </w:pPr>
      <w:hyperlink r:id="rId67" w:tooltip="VL for Teachers: Buy the Book!" w:history="1">
        <w:r w:rsidRPr="00C816AF">
          <w:rPr>
            <w:rFonts w:eastAsia="Times New Roman" w:cs="Arial"/>
            <w:b/>
            <w:bCs/>
            <w:color w:val="FFFFFF"/>
            <w:u w:val="single"/>
            <w:bdr w:val="single" w:sz="6" w:space="5" w:color="2268A5" w:frame="1"/>
            <w:shd w:val="clear" w:color="auto" w:fill="448CCB"/>
            <w:lang w:eastAsia="en-GB"/>
          </w:rPr>
          <w:t>VL For Teachers: Buy The Book!</w:t>
        </w:r>
      </w:hyperlink>
    </w:p>
    <w:p w:rsidR="00A13F14" w:rsidRDefault="00A13F14" w:rsidP="00CE7B91">
      <w:pPr>
        <w:shd w:val="clear" w:color="auto" w:fill="FFFFFF"/>
        <w:spacing w:after="0" w:line="240" w:lineRule="auto"/>
        <w:jc w:val="both"/>
        <w:textAlignment w:val="baseline"/>
        <w:rPr>
          <w:rFonts w:eastAsia="Times New Roman" w:cs="Arial"/>
          <w:b/>
          <w:bCs/>
          <w:color w:val="555555"/>
          <w:sz w:val="28"/>
          <w:szCs w:val="28"/>
          <w:lang w:eastAsia="en-GB"/>
        </w:rPr>
      </w:pPr>
    </w:p>
    <w:p w:rsidR="00A13F14" w:rsidRDefault="00A13F14" w:rsidP="00CE7B91">
      <w:pPr>
        <w:shd w:val="clear" w:color="auto" w:fill="FFFFFF"/>
        <w:spacing w:after="0" w:line="240" w:lineRule="auto"/>
        <w:jc w:val="both"/>
        <w:textAlignment w:val="baseline"/>
        <w:rPr>
          <w:rFonts w:eastAsia="Times New Roman" w:cs="Arial"/>
          <w:b/>
          <w:bCs/>
          <w:color w:val="555555"/>
          <w:sz w:val="28"/>
          <w:szCs w:val="28"/>
          <w:lang w:eastAsia="en-GB"/>
        </w:rPr>
      </w:pPr>
    </w:p>
    <w:p w:rsidR="00A13F14" w:rsidRDefault="00A13F14" w:rsidP="00CE7B91">
      <w:pPr>
        <w:shd w:val="clear" w:color="auto" w:fill="FFFFFF"/>
        <w:spacing w:after="0" w:line="240" w:lineRule="auto"/>
        <w:jc w:val="both"/>
        <w:textAlignment w:val="baseline"/>
        <w:rPr>
          <w:rFonts w:eastAsia="Times New Roman" w:cs="Arial"/>
          <w:b/>
          <w:bCs/>
          <w:color w:val="555555"/>
          <w:sz w:val="28"/>
          <w:szCs w:val="28"/>
          <w:lang w:eastAsia="en-GB"/>
        </w:rPr>
      </w:pPr>
    </w:p>
    <w:p w:rsidR="00C816AF" w:rsidRPr="00C816AF" w:rsidRDefault="00C816AF" w:rsidP="00CE7B91">
      <w:pPr>
        <w:shd w:val="clear" w:color="auto" w:fill="FFFFFF"/>
        <w:spacing w:after="0" w:line="240" w:lineRule="auto"/>
        <w:jc w:val="both"/>
        <w:textAlignment w:val="baseline"/>
        <w:rPr>
          <w:rFonts w:eastAsia="Times New Roman" w:cs="Arial"/>
          <w:b/>
          <w:bCs/>
          <w:color w:val="555555"/>
          <w:sz w:val="28"/>
          <w:szCs w:val="28"/>
          <w:lang w:eastAsia="en-GB"/>
        </w:rPr>
      </w:pPr>
      <w:bookmarkStart w:id="0" w:name="_GoBack"/>
      <w:bookmarkEnd w:id="0"/>
      <w:r w:rsidRPr="00C816AF">
        <w:rPr>
          <w:rFonts w:eastAsia="Times New Roman" w:cs="Arial"/>
          <w:b/>
          <w:bCs/>
          <w:color w:val="555555"/>
          <w:sz w:val="28"/>
          <w:szCs w:val="28"/>
          <w:lang w:eastAsia="en-GB"/>
        </w:rPr>
        <w:t>Contents </w:t>
      </w: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E7B91"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r w:rsidRPr="00C816AF">
        <w:rPr>
          <w:rFonts w:eastAsia="Times New Roman" w:cs="Arial"/>
          <w:b/>
          <w:bCs/>
          <w:color w:val="555555"/>
          <w:sz w:val="28"/>
          <w:szCs w:val="28"/>
          <w:bdr w:val="none" w:sz="0" w:space="0" w:color="auto" w:frame="1"/>
          <w:lang w:eastAsia="en-GB"/>
        </w:rPr>
        <w:t>1. Student Self-Reported Grades</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Self</w:t>
      </w:r>
      <w:r w:rsidR="00CE7B91" w:rsidRPr="00CE7B91">
        <w:rPr>
          <w:rFonts w:eastAsia="Times New Roman" w:cs="Arial"/>
          <w:b/>
          <w:bCs/>
          <w:color w:val="555555"/>
          <w:bdr w:val="none" w:sz="0" w:space="0" w:color="auto" w:frame="1"/>
          <w:lang w:eastAsia="en-GB"/>
        </w:rPr>
        <w:t>-</w:t>
      </w:r>
      <w:r w:rsidRPr="00C816AF">
        <w:rPr>
          <w:rFonts w:eastAsia="Times New Roman" w:cs="Arial"/>
          <w:b/>
          <w:bCs/>
          <w:color w:val="555555"/>
          <w:bdr w:val="none" w:sz="0" w:space="0" w:color="auto" w:frame="1"/>
          <w:lang w:eastAsia="en-GB"/>
        </w:rPr>
        <w:t>reported grades</w:t>
      </w:r>
      <w:r w:rsidRPr="00C816AF">
        <w:rPr>
          <w:rFonts w:eastAsia="Times New Roman" w:cs="Arial"/>
          <w:color w:val="555555"/>
          <w:lang w:eastAsia="en-GB"/>
        </w:rPr>
        <w:t> comes out at the top of all influences. Children are the most accurate when predicting how they will perform. In </w:t>
      </w:r>
      <w:hyperlink r:id="rId68" w:history="1">
        <w:r w:rsidRPr="00C816AF">
          <w:rPr>
            <w:rFonts w:eastAsia="Times New Roman" w:cs="Arial"/>
            <w:color w:val="0066CC"/>
            <w:u w:val="single"/>
            <w:bdr w:val="none" w:sz="0" w:space="0" w:color="auto" w:frame="1"/>
            <w:lang w:eastAsia="en-GB"/>
          </w:rPr>
          <w:t>a video</w:t>
        </w:r>
      </w:hyperlink>
      <w:r w:rsidRPr="00C816AF">
        <w:rPr>
          <w:rFonts w:eastAsia="Times New Roman" w:cs="Arial"/>
          <w:color w:val="555555"/>
          <w:lang w:eastAsia="en-GB"/>
        </w:rPr>
        <w:t> Hattie explains that if he could write his book Visible Learning for Teachers again, he would re-name this learning strategy “</w:t>
      </w:r>
      <w:r w:rsidRPr="00C816AF">
        <w:rPr>
          <w:rFonts w:eastAsia="Times New Roman" w:cs="Arial"/>
          <w:b/>
          <w:bCs/>
          <w:color w:val="555555"/>
          <w:bdr w:val="none" w:sz="0" w:space="0" w:color="auto" w:frame="1"/>
          <w:lang w:eastAsia="en-GB"/>
        </w:rPr>
        <w:t>Student Expectations</w:t>
      </w:r>
      <w:r w:rsidRPr="00C816AF">
        <w:rPr>
          <w:rFonts w:eastAsia="Times New Roman" w:cs="Arial"/>
          <w:color w:val="555555"/>
          <w:lang w:eastAsia="en-GB"/>
        </w:rPr>
        <w:t>” to express more clearly that this strategy involves the teacher finding out what are the student’s expectations and pushing the learner to exceed these expectations. Once a student has performed at a level that is beyond their own expectations, he or she gains confidence in his or her learning ability.</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Example for Self-reported grades: Before an exam, ask your class to write down what mark the student expects to achieve. Use this information to engage the student to try to perform even better.</w:t>
      </w:r>
    </w:p>
    <w:p w:rsidR="00C816AF" w:rsidRPr="00C816AF" w:rsidRDefault="00C816AF" w:rsidP="00CE7B91">
      <w:pPr>
        <w:shd w:val="clear" w:color="auto" w:fill="FFFFFF"/>
        <w:spacing w:before="384" w:after="384" w:line="240" w:lineRule="auto"/>
        <w:jc w:val="both"/>
        <w:textAlignment w:val="baseline"/>
        <w:rPr>
          <w:rFonts w:eastAsia="Times New Roman" w:cs="Arial"/>
          <w:color w:val="555555"/>
          <w:lang w:eastAsia="en-GB"/>
        </w:rPr>
      </w:pPr>
      <w:r w:rsidRPr="00C816AF">
        <w:rPr>
          <w:rFonts w:eastAsia="Times New Roman" w:cs="Arial"/>
          <w:color w:val="555555"/>
          <w:lang w:eastAsia="en-GB"/>
        </w:rPr>
        <w:t>Hattie cites five meta-studies:</w:t>
      </w:r>
    </w:p>
    <w:p w:rsidR="00C816AF" w:rsidRPr="00C816AF" w:rsidRDefault="00C816AF" w:rsidP="00CE7B91">
      <w:pPr>
        <w:numPr>
          <w:ilvl w:val="0"/>
          <w:numId w:val="4"/>
        </w:numPr>
        <w:shd w:val="clear" w:color="auto" w:fill="FFFFFF"/>
        <w:spacing w:after="0" w:line="240" w:lineRule="auto"/>
        <w:ind w:left="0" w:right="360"/>
        <w:textAlignment w:val="baseline"/>
        <w:rPr>
          <w:rFonts w:eastAsia="Times New Roman" w:cs="Arial"/>
          <w:color w:val="555555"/>
          <w:lang w:eastAsia="en-GB"/>
        </w:rPr>
      </w:pPr>
      <w:proofErr w:type="spellStart"/>
      <w:r w:rsidRPr="00C816AF">
        <w:rPr>
          <w:rFonts w:eastAsia="Times New Roman" w:cs="Arial"/>
          <w:color w:val="555555"/>
          <w:lang w:eastAsia="en-GB"/>
        </w:rPr>
        <w:t>Mabe</w:t>
      </w:r>
      <w:proofErr w:type="spellEnd"/>
      <w:r w:rsidRPr="00C816AF">
        <w:rPr>
          <w:rFonts w:eastAsia="Times New Roman" w:cs="Arial"/>
          <w:color w:val="555555"/>
          <w:lang w:eastAsia="en-GB"/>
        </w:rPr>
        <w:t>/West (1982): Validity of self-evaluation of ability (</w:t>
      </w:r>
      <w:hyperlink r:id="rId69"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816AF" w:rsidRPr="00C816AF" w:rsidRDefault="00C816AF" w:rsidP="00CE7B91">
      <w:pPr>
        <w:numPr>
          <w:ilvl w:val="0"/>
          <w:numId w:val="4"/>
        </w:numPr>
        <w:shd w:val="clear" w:color="auto" w:fill="FFFFFF"/>
        <w:spacing w:after="0" w:line="240" w:lineRule="auto"/>
        <w:ind w:left="0" w:right="360"/>
        <w:textAlignment w:val="baseline"/>
        <w:rPr>
          <w:rFonts w:eastAsia="Times New Roman" w:cs="Arial"/>
          <w:color w:val="555555"/>
          <w:lang w:eastAsia="en-GB"/>
        </w:rPr>
      </w:pPr>
      <w:proofErr w:type="spellStart"/>
      <w:r w:rsidRPr="00C816AF">
        <w:rPr>
          <w:rFonts w:eastAsia="Times New Roman" w:cs="Arial"/>
          <w:color w:val="555555"/>
          <w:lang w:eastAsia="en-GB"/>
        </w:rPr>
        <w:t>Fachikov</w:t>
      </w:r>
      <w:proofErr w:type="spellEnd"/>
      <w:r w:rsidRPr="00C816AF">
        <w:rPr>
          <w:rFonts w:eastAsia="Times New Roman" w:cs="Arial"/>
          <w:color w:val="555555"/>
          <w:lang w:eastAsia="en-GB"/>
        </w:rPr>
        <w:t>/</w:t>
      </w:r>
      <w:proofErr w:type="spellStart"/>
      <w:r w:rsidRPr="00C816AF">
        <w:rPr>
          <w:rFonts w:eastAsia="Times New Roman" w:cs="Arial"/>
          <w:color w:val="555555"/>
          <w:lang w:eastAsia="en-GB"/>
        </w:rPr>
        <w:t>Boud</w:t>
      </w:r>
      <w:proofErr w:type="spellEnd"/>
      <w:r w:rsidRPr="00C816AF">
        <w:rPr>
          <w:rFonts w:eastAsia="Times New Roman" w:cs="Arial"/>
          <w:color w:val="555555"/>
          <w:lang w:eastAsia="en-GB"/>
        </w:rPr>
        <w:t xml:space="preserve"> (1989): Student Self-Assessment in Higher Education (</w:t>
      </w:r>
      <w:hyperlink r:id="rId70"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816AF" w:rsidRPr="00C816AF" w:rsidRDefault="00C816AF" w:rsidP="00CE7B91">
      <w:pPr>
        <w:numPr>
          <w:ilvl w:val="0"/>
          <w:numId w:val="4"/>
        </w:numPr>
        <w:shd w:val="clear" w:color="auto" w:fill="FFFFFF"/>
        <w:spacing w:after="0" w:line="240" w:lineRule="auto"/>
        <w:ind w:left="0" w:right="360"/>
        <w:textAlignment w:val="baseline"/>
        <w:rPr>
          <w:rFonts w:eastAsia="Times New Roman" w:cs="Arial"/>
          <w:color w:val="555555"/>
          <w:lang w:eastAsia="en-GB"/>
        </w:rPr>
      </w:pPr>
      <w:r w:rsidRPr="00C816AF">
        <w:rPr>
          <w:rFonts w:eastAsia="Times New Roman" w:cs="Arial"/>
          <w:color w:val="555555"/>
          <w:lang w:eastAsia="en-GB"/>
        </w:rPr>
        <w:t>Ross (1998): Self-assessment in second language testing (</w:t>
      </w:r>
      <w:hyperlink r:id="rId71"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816AF" w:rsidRPr="00C816AF" w:rsidRDefault="00C816AF" w:rsidP="00CE7B91">
      <w:pPr>
        <w:numPr>
          <w:ilvl w:val="0"/>
          <w:numId w:val="4"/>
        </w:numPr>
        <w:shd w:val="clear" w:color="auto" w:fill="FFFFFF"/>
        <w:spacing w:after="0" w:line="240" w:lineRule="auto"/>
        <w:ind w:left="0" w:right="360"/>
        <w:textAlignment w:val="baseline"/>
        <w:rPr>
          <w:rFonts w:eastAsia="Times New Roman" w:cs="Arial"/>
          <w:color w:val="555555"/>
          <w:lang w:eastAsia="en-GB"/>
        </w:rPr>
      </w:pPr>
      <w:proofErr w:type="spellStart"/>
      <w:r w:rsidRPr="00C816AF">
        <w:rPr>
          <w:rFonts w:eastAsia="Times New Roman" w:cs="Arial"/>
          <w:color w:val="555555"/>
          <w:lang w:eastAsia="en-GB"/>
        </w:rPr>
        <w:t>Falchikov</w:t>
      </w:r>
      <w:proofErr w:type="spellEnd"/>
      <w:r w:rsidRPr="00C816AF">
        <w:rPr>
          <w:rFonts w:eastAsia="Times New Roman" w:cs="Arial"/>
          <w:color w:val="555555"/>
          <w:lang w:eastAsia="en-GB"/>
        </w:rPr>
        <w:t>/Goldfinch (2000): Student Peer Assessment in Higher Education (</w:t>
      </w:r>
      <w:hyperlink r:id="rId72"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816AF" w:rsidRPr="00C816AF" w:rsidRDefault="00C816AF" w:rsidP="00CE7B91">
      <w:pPr>
        <w:numPr>
          <w:ilvl w:val="0"/>
          <w:numId w:val="4"/>
        </w:numPr>
        <w:shd w:val="clear" w:color="auto" w:fill="FFFFFF"/>
        <w:spacing w:after="0" w:line="240" w:lineRule="auto"/>
        <w:ind w:left="0" w:right="360"/>
        <w:textAlignment w:val="baseline"/>
        <w:rPr>
          <w:rFonts w:eastAsia="Times New Roman" w:cs="Arial"/>
          <w:color w:val="555555"/>
          <w:lang w:eastAsia="en-GB"/>
        </w:rPr>
      </w:pPr>
      <w:proofErr w:type="spellStart"/>
      <w:r w:rsidRPr="00C816AF">
        <w:rPr>
          <w:rFonts w:eastAsia="Times New Roman" w:cs="Arial"/>
          <w:color w:val="555555"/>
          <w:lang w:eastAsia="en-GB"/>
        </w:rPr>
        <w:t>Kuncel</w:t>
      </w:r>
      <w:proofErr w:type="spellEnd"/>
      <w:r w:rsidRPr="00C816AF">
        <w:rPr>
          <w:rFonts w:eastAsia="Times New Roman" w:cs="Arial"/>
          <w:color w:val="555555"/>
          <w:lang w:eastAsia="en-GB"/>
        </w:rPr>
        <w:t>/</w:t>
      </w:r>
      <w:proofErr w:type="spellStart"/>
      <w:r w:rsidRPr="00C816AF">
        <w:rPr>
          <w:rFonts w:eastAsia="Times New Roman" w:cs="Arial"/>
          <w:color w:val="555555"/>
          <w:lang w:eastAsia="en-GB"/>
        </w:rPr>
        <w:t>Crede</w:t>
      </w:r>
      <w:proofErr w:type="spellEnd"/>
      <w:r w:rsidRPr="00C816AF">
        <w:rPr>
          <w:rFonts w:eastAsia="Times New Roman" w:cs="Arial"/>
          <w:color w:val="555555"/>
          <w:lang w:eastAsia="en-GB"/>
        </w:rPr>
        <w:t>/Thomas (2005); The Validity of Self-Reported Grade Point Averages, Class Ranks, and Test Scores (</w:t>
      </w:r>
      <w:hyperlink r:id="rId73"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2. Piagetian programs</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Piagetian programs</w:t>
      </w:r>
      <w:r w:rsidRPr="00C816AF">
        <w:rPr>
          <w:rFonts w:eastAsia="Times New Roman" w:cs="Arial"/>
          <w:color w:val="555555"/>
          <w:lang w:eastAsia="en-GB"/>
        </w:rPr>
        <w:t> are teaching methods based on Jean Piaget’s theory of cognitive development and his concept of children’s stages of learning. The meta-study of Jordan and Brownlee (1981) that Hattie cites found that in primary school age there is a close correlation between the performance on Piagetian tests of the thinking level and achievement tests in mathematics and reading.</w:t>
      </w:r>
    </w:p>
    <w:p w:rsidR="00C816AF" w:rsidRPr="00C816AF" w:rsidRDefault="00C816AF" w:rsidP="00CE7B91">
      <w:pPr>
        <w:shd w:val="clear" w:color="auto" w:fill="FFFFFF"/>
        <w:spacing w:before="384" w:after="384" w:line="240" w:lineRule="auto"/>
        <w:jc w:val="both"/>
        <w:textAlignment w:val="baseline"/>
        <w:rPr>
          <w:rFonts w:eastAsia="Times New Roman" w:cs="Arial"/>
          <w:color w:val="555555"/>
          <w:lang w:eastAsia="en-GB"/>
        </w:rPr>
      </w:pPr>
      <w:r w:rsidRPr="00C816AF">
        <w:rPr>
          <w:rFonts w:eastAsia="Times New Roman" w:cs="Arial"/>
          <w:color w:val="555555"/>
          <w:lang w:eastAsia="en-GB"/>
        </w:rPr>
        <w:t>The Piagetian stages include:</w:t>
      </w:r>
    </w:p>
    <w:p w:rsidR="00C816AF" w:rsidRPr="00C816AF" w:rsidRDefault="00C816AF" w:rsidP="00CE7B91">
      <w:pPr>
        <w:numPr>
          <w:ilvl w:val="0"/>
          <w:numId w:val="5"/>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Sensorimotor stage</w:t>
      </w:r>
      <w:r w:rsidRPr="00C816AF">
        <w:rPr>
          <w:rFonts w:eastAsia="Times New Roman" w:cs="Arial"/>
          <w:color w:val="555555"/>
          <w:lang w:eastAsia="en-GB"/>
        </w:rPr>
        <w:t> (new born – 2 years old): Infants learn by the basic senses including seeing, hearing and touching and construct an understanding of the world by coordinating those experiences with physical, motoric actions.</w:t>
      </w:r>
    </w:p>
    <w:p w:rsidR="00C816AF" w:rsidRPr="00C816AF" w:rsidRDefault="00C816AF" w:rsidP="00CE7B91">
      <w:pPr>
        <w:numPr>
          <w:ilvl w:val="0"/>
          <w:numId w:val="5"/>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Pre-operational stage</w:t>
      </w:r>
      <w:r w:rsidRPr="00C816AF">
        <w:rPr>
          <w:rFonts w:eastAsia="Times New Roman" w:cs="Arial"/>
          <w:color w:val="555555"/>
          <w:lang w:eastAsia="en-GB"/>
        </w:rPr>
        <w:t> (2 – 7 years old): Children are able to understand basic concepts and symbols, but do not yet understand concrete logic and cannot mentally manipulate information.</w:t>
      </w:r>
    </w:p>
    <w:p w:rsidR="00C816AF" w:rsidRPr="00C816AF" w:rsidRDefault="00C816AF" w:rsidP="00CE7B91">
      <w:pPr>
        <w:numPr>
          <w:ilvl w:val="0"/>
          <w:numId w:val="5"/>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Concrete operational stage</w:t>
      </w:r>
      <w:r w:rsidRPr="00C816AF">
        <w:rPr>
          <w:rFonts w:eastAsia="Times New Roman" w:cs="Arial"/>
          <w:color w:val="555555"/>
          <w:lang w:eastAsia="en-GB"/>
        </w:rPr>
        <w:t> (7-12 years old): Children in these ages start solving problems in a more logical fashion but abstract, hypothetical thinking has not yet developed.</w:t>
      </w:r>
    </w:p>
    <w:p w:rsidR="00C816AF" w:rsidRPr="00C816AF" w:rsidRDefault="00C816AF" w:rsidP="00CE7B91">
      <w:pPr>
        <w:numPr>
          <w:ilvl w:val="0"/>
          <w:numId w:val="5"/>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Formal operational stage</w:t>
      </w:r>
      <w:r w:rsidRPr="00C816AF">
        <w:rPr>
          <w:rFonts w:eastAsia="Times New Roman" w:cs="Arial"/>
          <w:color w:val="555555"/>
          <w:lang w:eastAsia="en-GB"/>
        </w:rPr>
        <w:t> (12 years old onwards): Children and adolescents develop abstract thinking and are able to perform hypothetical and deductive reasoning.</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Watch </w:t>
      </w:r>
      <w:hyperlink r:id="rId74" w:history="1">
        <w:r w:rsidRPr="00C816AF">
          <w:rPr>
            <w:rFonts w:eastAsia="Times New Roman" w:cs="Arial"/>
            <w:color w:val="0066CC"/>
            <w:u w:val="single"/>
            <w:bdr w:val="none" w:sz="0" w:space="0" w:color="auto" w:frame="1"/>
            <w:lang w:eastAsia="en-GB"/>
          </w:rPr>
          <w:t>this video</w:t>
        </w:r>
      </w:hyperlink>
      <w:r w:rsidRPr="00C816AF">
        <w:rPr>
          <w:rFonts w:eastAsia="Times New Roman" w:cs="Arial"/>
          <w:color w:val="555555"/>
          <w:lang w:eastAsia="en-GB"/>
        </w:rPr>
        <w:t> to find out and see how children in different ages think differently.</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Example for Piagetian programs: Focus on the thinking processes rather than the outcomes and do not impose the adult thinking process on to children.</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Hattie cites one meta-study: Jordan and Brownlee (1981) Meta-Analysis of the Relationship between Piagetian and School Achievement Tests. (</w:t>
      </w:r>
      <w:hyperlink r:id="rId75"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3. Response to intervention</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Response to intervention</w:t>
      </w:r>
      <w:r w:rsidRPr="00C816AF">
        <w:rPr>
          <w:rFonts w:eastAsia="Times New Roman" w:cs="Arial"/>
          <w:color w:val="555555"/>
          <w:lang w:eastAsia="en-GB"/>
        </w:rPr>
        <w:t> (RTI) is an educational approach that provides early, systematic assistance to children who are struggling in one or many areas of their learning. RTI seeks to prevent academic failure through early intervention and frequent progress measurement. Watch </w:t>
      </w:r>
      <w:hyperlink r:id="rId76" w:history="1">
        <w:r w:rsidRPr="00C816AF">
          <w:rPr>
            <w:rFonts w:eastAsia="Times New Roman" w:cs="Arial"/>
            <w:color w:val="0066CC"/>
            <w:u w:val="single"/>
            <w:bdr w:val="none" w:sz="0" w:space="0" w:color="auto" w:frame="1"/>
            <w:lang w:eastAsia="en-GB"/>
          </w:rPr>
          <w:t>this video</w:t>
        </w:r>
      </w:hyperlink>
      <w:r w:rsidRPr="00C816AF">
        <w:rPr>
          <w:rFonts w:eastAsia="Times New Roman" w:cs="Arial"/>
          <w:color w:val="555555"/>
          <w:lang w:eastAsia="en-GB"/>
        </w:rPr>
        <w:t> to learn more about Response to intervention.</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Examples and more information for Response to intervention: </w:t>
      </w:r>
      <w:hyperlink r:id="rId77" w:history="1">
        <w:r w:rsidRPr="00C816AF">
          <w:rPr>
            <w:rFonts w:eastAsia="Times New Roman" w:cs="Arial"/>
            <w:i/>
            <w:iCs/>
            <w:color w:val="0066CC"/>
            <w:u w:val="single"/>
            <w:bdr w:val="none" w:sz="0" w:space="0" w:color="auto" w:frame="1"/>
            <w:lang w:eastAsia="en-GB"/>
          </w:rPr>
          <w:t>www.interventioncentral.org</w:t>
        </w:r>
      </w:hyperlink>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4. Teacher credibility</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According to Hattie </w:t>
      </w:r>
      <w:r w:rsidRPr="00C816AF">
        <w:rPr>
          <w:rFonts w:eastAsia="Times New Roman" w:cs="Arial"/>
          <w:b/>
          <w:bCs/>
          <w:color w:val="555555"/>
          <w:bdr w:val="none" w:sz="0" w:space="0" w:color="auto" w:frame="1"/>
          <w:lang w:eastAsia="en-GB"/>
        </w:rPr>
        <w:t>teacher credibility</w:t>
      </w:r>
      <w:r w:rsidRPr="00C816AF">
        <w:rPr>
          <w:rFonts w:eastAsia="Times New Roman" w:cs="Arial"/>
          <w:color w:val="555555"/>
          <w:lang w:eastAsia="en-GB"/>
        </w:rPr>
        <w:t> is vital to learning, and students are very perceptive about knowing which teachers can make a difference. There are four key factors of credibility: trust, competence, dynamism and immediacy. In </w:t>
      </w:r>
      <w:hyperlink r:id="rId78" w:history="1">
        <w:r w:rsidRPr="00C816AF">
          <w:rPr>
            <w:rFonts w:eastAsia="Times New Roman" w:cs="Arial"/>
            <w:color w:val="0066CC"/>
            <w:u w:val="single"/>
            <w:bdr w:val="none" w:sz="0" w:space="0" w:color="auto" w:frame="1"/>
            <w:lang w:eastAsia="en-GB"/>
          </w:rPr>
          <w:t>an interview</w:t>
        </w:r>
      </w:hyperlink>
      <w:r w:rsidRPr="00C816AF">
        <w:rPr>
          <w:rFonts w:eastAsia="Times New Roman" w:cs="Arial"/>
          <w:color w:val="555555"/>
          <w:lang w:eastAsia="en-GB"/>
        </w:rPr>
        <w:t> Hattie puts it like that: “If a teacher is not perceived as credible, the students just turn off.”</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Examples for teacher credibility: Earn trust by showing trust towards pupils. Appear highly organised in the presentation of the subject matter. Develop a powerful style of speaking that uses few verbal hesitancies such as “OK” or “you know”. Reduce distance between teachers and students by moving or moving away from barriers (e.g., desk, podiums). Source: </w:t>
      </w:r>
      <w:hyperlink r:id="rId79" w:history="1">
        <w:r w:rsidRPr="00C816AF">
          <w:rPr>
            <w:rFonts w:eastAsia="Times New Roman" w:cs="Arial"/>
            <w:i/>
            <w:iCs/>
            <w:color w:val="0066CC"/>
            <w:u w:val="single"/>
            <w:bdr w:val="none" w:sz="0" w:space="0" w:color="auto" w:frame="1"/>
            <w:lang w:eastAsia="en-GB"/>
          </w:rPr>
          <w:t>cie.asu.edu</w:t>
        </w:r>
      </w:hyperlink>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5. Providing formative evaluation</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 xml:space="preserve">According to Hattie (2012) and Black &amp; </w:t>
      </w:r>
      <w:proofErr w:type="spellStart"/>
      <w:r w:rsidRPr="00C816AF">
        <w:rPr>
          <w:rFonts w:eastAsia="Times New Roman" w:cs="Arial"/>
          <w:color w:val="555555"/>
          <w:lang w:eastAsia="en-GB"/>
        </w:rPr>
        <w:t>Wiliam</w:t>
      </w:r>
      <w:proofErr w:type="spellEnd"/>
      <w:r w:rsidRPr="00C816AF">
        <w:rPr>
          <w:rFonts w:eastAsia="Times New Roman" w:cs="Arial"/>
          <w:color w:val="555555"/>
          <w:lang w:eastAsia="en-GB"/>
        </w:rPr>
        <w:t xml:space="preserve"> (2001) </w:t>
      </w:r>
      <w:r w:rsidRPr="00C816AF">
        <w:rPr>
          <w:rFonts w:eastAsia="Times New Roman" w:cs="Arial"/>
          <w:b/>
          <w:bCs/>
          <w:color w:val="555555"/>
          <w:bdr w:val="none" w:sz="0" w:space="0" w:color="auto" w:frame="1"/>
          <w:lang w:eastAsia="en-GB"/>
        </w:rPr>
        <w:t>formative evaluation</w:t>
      </w:r>
      <w:r w:rsidRPr="00C816AF">
        <w:rPr>
          <w:rFonts w:eastAsia="Times New Roman" w:cs="Arial"/>
          <w:color w:val="555555"/>
          <w:lang w:eastAsia="en-GB"/>
        </w:rPr>
        <w:t> refers to any activity used as an assessment of learning progress before or during the learning process itself. In contrast with formative assessment, the summative assessment evaluates what students know or have learned at the end of the teaching, after all is done. Watch </w:t>
      </w:r>
      <w:hyperlink r:id="rId80" w:history="1">
        <w:r w:rsidRPr="00C816AF">
          <w:rPr>
            <w:rFonts w:eastAsia="Times New Roman" w:cs="Arial"/>
            <w:color w:val="0066CC"/>
            <w:u w:val="single"/>
            <w:bdr w:val="none" w:sz="0" w:space="0" w:color="auto" w:frame="1"/>
            <w:lang w:eastAsia="en-GB"/>
          </w:rPr>
          <w:t>this video</w:t>
        </w:r>
      </w:hyperlink>
      <w:r w:rsidRPr="00C816AF">
        <w:rPr>
          <w:rFonts w:eastAsia="Times New Roman" w:cs="Arial"/>
          <w:color w:val="555555"/>
          <w:lang w:eastAsia="en-GB"/>
        </w:rPr>
        <w:t> to learn more about the difference between formative and summative assessment methods. In another </w:t>
      </w:r>
      <w:hyperlink r:id="rId81" w:history="1">
        <w:r w:rsidRPr="00C816AF">
          <w:rPr>
            <w:rFonts w:eastAsia="Times New Roman" w:cs="Arial"/>
            <w:color w:val="0066CC"/>
            <w:u w:val="single"/>
            <w:bdr w:val="none" w:sz="0" w:space="0" w:color="auto" w:frame="1"/>
            <w:lang w:eastAsia="en-GB"/>
          </w:rPr>
          <w:t>video</w:t>
        </w:r>
      </w:hyperlink>
      <w:r w:rsidRPr="00C816AF">
        <w:rPr>
          <w:rFonts w:eastAsia="Times New Roman" w:cs="Arial"/>
          <w:color w:val="555555"/>
          <w:lang w:eastAsia="en-GB"/>
        </w:rPr>
        <w:t> you can learn from teachers who describe their experience with formative evaluation.</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Example for formative evaluation: Spend the same amount of time or even more on formative assessment as you spend on summative assessment. Give descriptive feedback to students: What is the goal? Where are you in relation to it? What can you do to close the gap?</w:t>
      </w:r>
    </w:p>
    <w:p w:rsidR="00C816AF" w:rsidRPr="00C816AF" w:rsidRDefault="00C816AF" w:rsidP="00CE7B91">
      <w:pPr>
        <w:shd w:val="clear" w:color="auto" w:fill="FFFFFF"/>
        <w:spacing w:before="384" w:after="384" w:line="240" w:lineRule="auto"/>
        <w:jc w:val="both"/>
        <w:textAlignment w:val="baseline"/>
        <w:rPr>
          <w:rFonts w:eastAsia="Times New Roman" w:cs="Arial"/>
          <w:color w:val="555555"/>
          <w:lang w:eastAsia="en-GB"/>
        </w:rPr>
      </w:pPr>
      <w:r w:rsidRPr="00C816AF">
        <w:rPr>
          <w:rFonts w:eastAsia="Times New Roman" w:cs="Arial"/>
          <w:color w:val="555555"/>
          <w:lang w:eastAsia="en-GB"/>
        </w:rPr>
        <w:t>Hattie cites two meta-studies:</w:t>
      </w:r>
    </w:p>
    <w:p w:rsidR="00C816AF" w:rsidRPr="00C816AF" w:rsidRDefault="00C816AF" w:rsidP="00CE7B91">
      <w:pPr>
        <w:numPr>
          <w:ilvl w:val="0"/>
          <w:numId w:val="6"/>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color w:val="555555"/>
          <w:lang w:eastAsia="en-GB"/>
        </w:rPr>
        <w:t>Fuchs &amp; Fuchs (1986): Effects of systematic formative evaluation (</w:t>
      </w:r>
      <w:hyperlink r:id="rId82"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816AF" w:rsidRPr="00C816AF" w:rsidRDefault="00C816AF" w:rsidP="00CE7B91">
      <w:pPr>
        <w:numPr>
          <w:ilvl w:val="0"/>
          <w:numId w:val="6"/>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color w:val="555555"/>
          <w:lang w:eastAsia="en-GB"/>
        </w:rPr>
        <w:t xml:space="preserve">Burns &amp; Symington (2002): A Meta-analysis of </w:t>
      </w:r>
      <w:proofErr w:type="spellStart"/>
      <w:r w:rsidRPr="00C816AF">
        <w:rPr>
          <w:rFonts w:eastAsia="Times New Roman" w:cs="Arial"/>
          <w:color w:val="555555"/>
          <w:lang w:eastAsia="en-GB"/>
        </w:rPr>
        <w:t>Prereferral</w:t>
      </w:r>
      <w:proofErr w:type="spellEnd"/>
      <w:r w:rsidRPr="00C816AF">
        <w:rPr>
          <w:rFonts w:eastAsia="Times New Roman" w:cs="Arial"/>
          <w:color w:val="555555"/>
          <w:lang w:eastAsia="en-GB"/>
        </w:rPr>
        <w:t xml:space="preserve"> Intervention Teams: Student and Systemic Outcomes (</w:t>
      </w:r>
      <w:hyperlink r:id="rId83"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6. Micro-teaching</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Micro-teaching</w:t>
      </w:r>
      <w:r w:rsidRPr="00C816AF">
        <w:rPr>
          <w:rFonts w:eastAsia="Times New Roman" w:cs="Arial"/>
          <w:color w:val="555555"/>
          <w:lang w:eastAsia="en-GB"/>
        </w:rPr>
        <w:t> is a video recording of a lesson with a debriefing. The lesson is reviewed in order to improve the teaching and learning experience. In </w:t>
      </w:r>
      <w:r w:rsidRPr="00C816AF">
        <w:rPr>
          <w:rFonts w:eastAsia="Times New Roman" w:cs="Arial"/>
          <w:i/>
          <w:iCs/>
          <w:color w:val="555555"/>
          <w:bdr w:val="none" w:sz="0" w:space="0" w:color="auto" w:frame="1"/>
          <w:lang w:eastAsia="en-GB"/>
        </w:rPr>
        <w:t>Visible Learning </w:t>
      </w:r>
      <w:r w:rsidRPr="00C816AF">
        <w:rPr>
          <w:rFonts w:eastAsia="Times New Roman" w:cs="Arial"/>
          <w:color w:val="555555"/>
          <w:lang w:eastAsia="en-GB"/>
        </w:rPr>
        <w:t xml:space="preserve">Hattie describes micro-teaching as a practice (often in laboratory settings) that “typically involves student-teachers </w:t>
      </w:r>
      <w:proofErr w:type="gramStart"/>
      <w:r w:rsidRPr="00C816AF">
        <w:rPr>
          <w:rFonts w:eastAsia="Times New Roman" w:cs="Arial"/>
          <w:color w:val="555555"/>
          <w:lang w:eastAsia="en-GB"/>
        </w:rPr>
        <w:t>conducting  (</w:t>
      </w:r>
      <w:proofErr w:type="gramEnd"/>
      <w:r w:rsidRPr="00C816AF">
        <w:rPr>
          <w:rFonts w:eastAsia="Times New Roman" w:cs="Arial"/>
          <w:color w:val="555555"/>
          <w:lang w:eastAsia="en-GB"/>
        </w:rPr>
        <w:t>mini-) lessons to a small group of students, and then engaging in a post-discussion about the lessons” </w:t>
      </w:r>
      <w:r w:rsidRPr="00C816AF">
        <w:rPr>
          <w:rFonts w:eastAsia="Times New Roman" w:cs="Arial"/>
          <w:i/>
          <w:iCs/>
          <w:color w:val="555555"/>
          <w:bdr w:val="none" w:sz="0" w:space="0" w:color="auto" w:frame="1"/>
          <w:lang w:eastAsia="en-GB"/>
        </w:rPr>
        <w:t>(Hattie 2009, 112). </w:t>
      </w:r>
      <w:r w:rsidRPr="00C816AF">
        <w:rPr>
          <w:rFonts w:eastAsia="Times New Roman" w:cs="Arial"/>
          <w:color w:val="555555"/>
          <w:lang w:eastAsia="en-GB"/>
        </w:rPr>
        <w:t xml:space="preserve">You can find plenty of microteaching videos on </w:t>
      </w:r>
      <w:proofErr w:type="spellStart"/>
      <w:r w:rsidRPr="00C816AF">
        <w:rPr>
          <w:rFonts w:eastAsia="Times New Roman" w:cs="Arial"/>
          <w:color w:val="555555"/>
          <w:lang w:eastAsia="en-GB"/>
        </w:rPr>
        <w:t>Youtube</w:t>
      </w:r>
      <w:proofErr w:type="spellEnd"/>
      <w:r w:rsidRPr="00C816AF">
        <w:rPr>
          <w:rFonts w:eastAsia="Times New Roman" w:cs="Arial"/>
          <w:color w:val="555555"/>
          <w:lang w:eastAsia="en-GB"/>
        </w:rPr>
        <w:t xml:space="preserve"> to get an idea of this method (</w:t>
      </w:r>
      <w:hyperlink r:id="rId84" w:history="1">
        <w:r w:rsidRPr="00C816AF">
          <w:rPr>
            <w:rFonts w:eastAsia="Times New Roman" w:cs="Arial"/>
            <w:color w:val="0066CC"/>
            <w:u w:val="single"/>
            <w:bdr w:val="none" w:sz="0" w:space="0" w:color="auto" w:frame="1"/>
            <w:lang w:eastAsia="en-GB"/>
          </w:rPr>
          <w:t>example</w:t>
        </w:r>
      </w:hyperlink>
      <w:r w:rsidRPr="00C816AF">
        <w:rPr>
          <w:rFonts w:eastAsia="Times New Roman" w:cs="Arial"/>
          <w:color w:val="555555"/>
          <w:lang w:eastAsia="en-GB"/>
        </w:rPr>
        <w:t xml:space="preserve">). Technical aspects are less important than the later analysis which allows teachers to get a microscope-view on your own teaching. Under the guidance </w:t>
      </w:r>
      <w:proofErr w:type="gramStart"/>
      <w:r w:rsidRPr="00C816AF">
        <w:rPr>
          <w:rFonts w:eastAsia="Times New Roman" w:cs="Arial"/>
          <w:color w:val="555555"/>
          <w:lang w:eastAsia="en-GB"/>
        </w:rPr>
        <w:t>of  a</w:t>
      </w:r>
      <w:proofErr w:type="gramEnd"/>
      <w:r w:rsidRPr="00C816AF">
        <w:rPr>
          <w:rFonts w:eastAsia="Times New Roman" w:cs="Arial"/>
          <w:color w:val="555555"/>
          <w:lang w:eastAsia="en-GB"/>
        </w:rPr>
        <w:t xml:space="preserve"> supervisor, the student-teacher is first asked to present a </w:t>
      </w:r>
      <w:proofErr w:type="spellStart"/>
      <w:r w:rsidRPr="00C816AF">
        <w:rPr>
          <w:rFonts w:eastAsia="Times New Roman" w:cs="Arial"/>
          <w:color w:val="555555"/>
          <w:lang w:eastAsia="en-GB"/>
        </w:rPr>
        <w:t>self feed</w:t>
      </w:r>
      <w:proofErr w:type="spellEnd"/>
      <w:r w:rsidRPr="00C816AF">
        <w:rPr>
          <w:rFonts w:eastAsia="Times New Roman" w:cs="Arial"/>
          <w:color w:val="555555"/>
          <w:lang w:eastAsia="en-GB"/>
        </w:rPr>
        <w:t xml:space="preserve"> back of his mini lesson, then the team gives feedback to provide positive reinforcement and constructive criticism.</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lastRenderedPageBreak/>
        <w:t>Examples for micro-teaching: Since its invention in the 1960s at Stanford University by Dr. Dwight Allen, microteaching has become an established teacher-training procedure in many universities and school districts. You can find more information on micro-teaching </w:t>
      </w:r>
      <w:hyperlink r:id="rId85" w:history="1">
        <w:r w:rsidRPr="00C816AF">
          <w:rPr>
            <w:rFonts w:eastAsia="Times New Roman" w:cs="Arial"/>
            <w:i/>
            <w:iCs/>
            <w:color w:val="0066CC"/>
            <w:u w:val="single"/>
            <w:bdr w:val="none" w:sz="0" w:space="0" w:color="auto" w:frame="1"/>
            <w:lang w:eastAsia="en-GB"/>
          </w:rPr>
          <w:t>here</w:t>
        </w:r>
      </w:hyperlink>
      <w:r w:rsidRPr="00C816AF">
        <w:rPr>
          <w:rFonts w:eastAsia="Times New Roman" w:cs="Arial"/>
          <w:i/>
          <w:iCs/>
          <w:color w:val="555555"/>
          <w:bdr w:val="none" w:sz="0" w:space="0" w:color="auto" w:frame="1"/>
          <w:lang w:eastAsia="en-GB"/>
        </w:rPr>
        <w:t> or </w:t>
      </w:r>
      <w:hyperlink r:id="rId86" w:history="1">
        <w:r w:rsidRPr="00C816AF">
          <w:rPr>
            <w:rFonts w:eastAsia="Times New Roman" w:cs="Arial"/>
            <w:i/>
            <w:iCs/>
            <w:color w:val="0066CC"/>
            <w:u w:val="single"/>
            <w:bdr w:val="none" w:sz="0" w:space="0" w:color="auto" w:frame="1"/>
            <w:lang w:eastAsia="en-GB"/>
          </w:rPr>
          <w:t>here</w:t>
        </w:r>
      </w:hyperlink>
      <w:r w:rsidRPr="00C816AF">
        <w:rPr>
          <w:rFonts w:eastAsia="Times New Roman" w:cs="Arial"/>
          <w:i/>
          <w:iCs/>
          <w:color w:val="555555"/>
          <w:bdr w:val="none" w:sz="0" w:space="0" w:color="auto" w:frame="1"/>
          <w:lang w:eastAsia="en-GB"/>
        </w:rPr>
        <w:t>.</w:t>
      </w:r>
    </w:p>
    <w:p w:rsidR="00C816AF" w:rsidRPr="00C816AF" w:rsidRDefault="00C816AF" w:rsidP="00CE7B91">
      <w:pPr>
        <w:shd w:val="clear" w:color="auto" w:fill="FFFFFF"/>
        <w:spacing w:before="384" w:after="384" w:line="240" w:lineRule="auto"/>
        <w:jc w:val="both"/>
        <w:textAlignment w:val="baseline"/>
        <w:rPr>
          <w:rFonts w:eastAsia="Times New Roman" w:cs="Arial"/>
          <w:color w:val="555555"/>
          <w:lang w:eastAsia="en-GB"/>
        </w:rPr>
      </w:pPr>
      <w:r w:rsidRPr="00C816AF">
        <w:rPr>
          <w:rFonts w:eastAsia="Times New Roman" w:cs="Arial"/>
          <w:color w:val="555555"/>
          <w:lang w:eastAsia="en-GB"/>
        </w:rPr>
        <w:t>Hattie cites four meta-studies:</w:t>
      </w:r>
    </w:p>
    <w:p w:rsidR="00C816AF" w:rsidRPr="00C816AF" w:rsidRDefault="00C816AF" w:rsidP="00CE7B91">
      <w:pPr>
        <w:numPr>
          <w:ilvl w:val="0"/>
          <w:numId w:val="7"/>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color w:val="555555"/>
          <w:lang w:eastAsia="en-GB"/>
        </w:rPr>
        <w:t>Butcher (1981) An experimental investigation of the effectiveness of a value claim strategy unit for use in teacher education (Unpublished M.A. </w:t>
      </w:r>
      <w:hyperlink r:id="rId87" w:tgtFrame="_blank" w:history="1">
        <w:r w:rsidRPr="00C816AF">
          <w:rPr>
            <w:rFonts w:eastAsia="Times New Roman" w:cs="Arial"/>
            <w:color w:val="0066CC"/>
            <w:u w:val="single"/>
            <w:bdr w:val="none" w:sz="0" w:space="0" w:color="auto" w:frame="1"/>
            <w:lang w:eastAsia="en-GB"/>
          </w:rPr>
          <w:t>Macquarie University Sydney</w:t>
        </w:r>
      </w:hyperlink>
      <w:r w:rsidRPr="00C816AF">
        <w:rPr>
          <w:rFonts w:eastAsia="Times New Roman" w:cs="Arial"/>
          <w:color w:val="555555"/>
          <w:lang w:eastAsia="en-GB"/>
        </w:rPr>
        <w:t>)</w:t>
      </w:r>
    </w:p>
    <w:p w:rsidR="00C816AF" w:rsidRPr="00C816AF" w:rsidRDefault="00C816AF" w:rsidP="00CE7B91">
      <w:pPr>
        <w:numPr>
          <w:ilvl w:val="0"/>
          <w:numId w:val="7"/>
        </w:numPr>
        <w:shd w:val="clear" w:color="auto" w:fill="FFFFFF"/>
        <w:spacing w:after="0" w:line="240" w:lineRule="auto"/>
        <w:ind w:left="0" w:right="360"/>
        <w:jc w:val="both"/>
        <w:textAlignment w:val="baseline"/>
        <w:rPr>
          <w:rFonts w:eastAsia="Times New Roman" w:cs="Arial"/>
          <w:color w:val="555555"/>
          <w:lang w:eastAsia="en-GB"/>
        </w:rPr>
      </w:pPr>
      <w:proofErr w:type="spellStart"/>
      <w:r w:rsidRPr="00C816AF">
        <w:rPr>
          <w:rFonts w:eastAsia="Times New Roman" w:cs="Arial"/>
          <w:color w:val="555555"/>
          <w:lang w:eastAsia="en-GB"/>
        </w:rPr>
        <w:t>Yeany</w:t>
      </w:r>
      <w:proofErr w:type="spellEnd"/>
      <w:r w:rsidRPr="00C816AF">
        <w:rPr>
          <w:rFonts w:eastAsia="Times New Roman" w:cs="Arial"/>
          <w:color w:val="555555"/>
          <w:lang w:eastAsia="en-GB"/>
        </w:rPr>
        <w:t>/Padilla (1986): Training science teachers to utilize better teaching strategies (</w:t>
      </w:r>
      <w:hyperlink r:id="rId88"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816AF" w:rsidRPr="00C816AF" w:rsidRDefault="00C816AF" w:rsidP="00CE7B91">
      <w:pPr>
        <w:numPr>
          <w:ilvl w:val="0"/>
          <w:numId w:val="7"/>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color w:val="555555"/>
          <w:lang w:eastAsia="en-GB"/>
        </w:rPr>
        <w:t>Bennett (1987): The effectiveness of staff development training practices (Unpublished Ph.D. </w:t>
      </w:r>
      <w:hyperlink r:id="rId89" w:tgtFrame="_blank" w:history="1">
        <w:r w:rsidRPr="00C816AF">
          <w:rPr>
            <w:rFonts w:eastAsia="Times New Roman" w:cs="Arial"/>
            <w:color w:val="0066CC"/>
            <w:u w:val="single"/>
            <w:bdr w:val="none" w:sz="0" w:space="0" w:color="auto" w:frame="1"/>
            <w:lang w:eastAsia="en-GB"/>
          </w:rPr>
          <w:t>University of Oregon</w:t>
        </w:r>
      </w:hyperlink>
      <w:r w:rsidRPr="00C816AF">
        <w:rPr>
          <w:rFonts w:eastAsia="Times New Roman" w:cs="Arial"/>
          <w:color w:val="555555"/>
          <w:lang w:eastAsia="en-GB"/>
        </w:rPr>
        <w:t>)</w:t>
      </w:r>
    </w:p>
    <w:p w:rsidR="00C816AF" w:rsidRPr="00C816AF" w:rsidRDefault="00C816AF" w:rsidP="00CE7B91">
      <w:pPr>
        <w:numPr>
          <w:ilvl w:val="0"/>
          <w:numId w:val="7"/>
        </w:numPr>
        <w:shd w:val="clear" w:color="auto" w:fill="FFFFFF"/>
        <w:spacing w:after="0" w:line="240" w:lineRule="auto"/>
        <w:ind w:left="0" w:right="360"/>
        <w:jc w:val="both"/>
        <w:textAlignment w:val="baseline"/>
        <w:rPr>
          <w:rFonts w:eastAsia="Times New Roman" w:cs="Arial"/>
          <w:color w:val="555555"/>
          <w:lang w:eastAsia="en-GB"/>
        </w:rPr>
      </w:pPr>
      <w:r w:rsidRPr="00C816AF">
        <w:rPr>
          <w:rFonts w:eastAsia="Times New Roman" w:cs="Arial"/>
          <w:color w:val="555555"/>
          <w:lang w:eastAsia="en-GB"/>
        </w:rPr>
        <w:t>Metcalf, K. K. (1995). </w:t>
      </w:r>
      <w:r w:rsidRPr="00C816AF">
        <w:rPr>
          <w:rFonts w:eastAsia="Times New Roman" w:cs="Arial"/>
          <w:i/>
          <w:iCs/>
          <w:color w:val="555555"/>
          <w:bdr w:val="none" w:sz="0" w:space="0" w:color="auto" w:frame="1"/>
          <w:lang w:eastAsia="en-GB"/>
        </w:rPr>
        <w:t>Laboratory experiences in teacher education</w:t>
      </w:r>
      <w:r w:rsidRPr="00C816AF">
        <w:rPr>
          <w:rFonts w:eastAsia="Times New Roman" w:cs="Arial"/>
          <w:color w:val="555555"/>
          <w:lang w:eastAsia="en-GB"/>
        </w:rPr>
        <w:t> (</w:t>
      </w:r>
      <w:hyperlink r:id="rId90" w:tgtFrame="_blank" w:history="1">
        <w:r w:rsidRPr="00C816AF">
          <w:rPr>
            <w:rFonts w:eastAsia="Times New Roman" w:cs="Arial"/>
            <w:color w:val="0066CC"/>
            <w:u w:val="single"/>
            <w:bdr w:val="none" w:sz="0" w:space="0" w:color="auto" w:frame="1"/>
            <w:lang w:eastAsia="en-GB"/>
          </w:rPr>
          <w:t>Abstract</w:t>
        </w:r>
      </w:hyperlink>
      <w:r w:rsidRPr="00C816AF">
        <w:rPr>
          <w:rFonts w:eastAsia="Times New Roman" w:cs="Arial"/>
          <w:color w:val="555555"/>
          <w:lang w:eastAsia="en-GB"/>
        </w:rPr>
        <w:t>)</w:t>
      </w: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7. Classroom discussion</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b/>
          <w:bCs/>
          <w:color w:val="555555"/>
          <w:bdr w:val="none" w:sz="0" w:space="0" w:color="auto" w:frame="1"/>
          <w:lang w:eastAsia="en-GB"/>
        </w:rPr>
        <w:t>Classroom discussion</w:t>
      </w:r>
      <w:r w:rsidRPr="00C816AF">
        <w:rPr>
          <w:rFonts w:eastAsia="Times New Roman" w:cs="Arial"/>
          <w:color w:val="555555"/>
          <w:lang w:eastAsia="en-GB"/>
        </w:rPr>
        <w:t xml:space="preserve"> is a method of </w:t>
      </w:r>
      <w:proofErr w:type="gramStart"/>
      <w:r w:rsidRPr="00C816AF">
        <w:rPr>
          <w:rFonts w:eastAsia="Times New Roman" w:cs="Arial"/>
          <w:color w:val="555555"/>
          <w:lang w:eastAsia="en-GB"/>
        </w:rPr>
        <w:t>teaching, that</w:t>
      </w:r>
      <w:proofErr w:type="gramEnd"/>
      <w:r w:rsidRPr="00C816AF">
        <w:rPr>
          <w:rFonts w:eastAsia="Times New Roman" w:cs="Arial"/>
          <w:color w:val="555555"/>
          <w:lang w:eastAsia="en-GB"/>
        </w:rPr>
        <w:t xml:space="preserve"> involves the entire class in a discussion. The teacher stops lecturing and students get together as a class to discuss an important issue. Classroom discussion allows students to improve communication skills by voicing their opinions and thoughts. Teachers also benefit from classroom discussion as it allows them to see if students have learnt the concepts that are being taught. Moreover, a classroom discussion creates an environment where everyone learns from each other. In this </w:t>
      </w:r>
      <w:hyperlink r:id="rId91" w:history="1">
        <w:r w:rsidRPr="00C816AF">
          <w:rPr>
            <w:rFonts w:eastAsia="Times New Roman" w:cs="Arial"/>
            <w:color w:val="0066CC"/>
            <w:u w:val="single"/>
            <w:bdr w:val="none" w:sz="0" w:space="0" w:color="auto" w:frame="1"/>
            <w:lang w:eastAsia="en-GB"/>
          </w:rPr>
          <w:t>video</w:t>
        </w:r>
      </w:hyperlink>
      <w:r w:rsidRPr="00C816AF">
        <w:rPr>
          <w:rFonts w:eastAsia="Times New Roman" w:cs="Arial"/>
          <w:color w:val="555555"/>
          <w:lang w:eastAsia="en-GB"/>
        </w:rPr>
        <w:t> by Heather Joseph-Witham you can see how to lead a classroom discussion effectively.</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 xml:space="preserve">Examples for an effective classroom discussion: Create a series of questions for the students to think about. Allocate enough time in the lesson for an elaborate discussion. Make sure that students can freely express their opinion without being laughed at or ridiculed. You can find helpful tips on planning, moderating and reflecting on classroom discussion in a paper by William E. </w:t>
      </w:r>
      <w:proofErr w:type="spellStart"/>
      <w:r w:rsidRPr="00C816AF">
        <w:rPr>
          <w:rFonts w:eastAsia="Times New Roman" w:cs="Arial"/>
          <w:i/>
          <w:iCs/>
          <w:color w:val="555555"/>
          <w:bdr w:val="none" w:sz="0" w:space="0" w:color="auto" w:frame="1"/>
          <w:lang w:eastAsia="en-GB"/>
        </w:rPr>
        <w:t>Cashin</w:t>
      </w:r>
      <w:proofErr w:type="spellEnd"/>
      <w:r w:rsidRPr="00C816AF">
        <w:rPr>
          <w:rFonts w:eastAsia="Times New Roman" w:cs="Arial"/>
          <w:i/>
          <w:iCs/>
          <w:color w:val="555555"/>
          <w:bdr w:val="none" w:sz="0" w:space="0" w:color="auto" w:frame="1"/>
          <w:lang w:eastAsia="en-GB"/>
        </w:rPr>
        <w:t xml:space="preserve"> (</w:t>
      </w:r>
      <w:hyperlink r:id="rId92" w:history="1">
        <w:r w:rsidRPr="00C816AF">
          <w:rPr>
            <w:rFonts w:eastAsia="Times New Roman" w:cs="Arial"/>
            <w:i/>
            <w:iCs/>
            <w:color w:val="0066CC"/>
            <w:u w:val="single"/>
            <w:bdr w:val="none" w:sz="0" w:space="0" w:color="auto" w:frame="1"/>
            <w:lang w:eastAsia="en-GB"/>
          </w:rPr>
          <w:t>PDF</w:t>
        </w:r>
      </w:hyperlink>
      <w:r w:rsidRPr="00C816AF">
        <w:rPr>
          <w:rFonts w:eastAsia="Times New Roman" w:cs="Arial"/>
          <w:i/>
          <w:iCs/>
          <w:color w:val="555555"/>
          <w:bdr w:val="none" w:sz="0" w:space="0" w:color="auto" w:frame="1"/>
          <w:lang w:eastAsia="en-GB"/>
        </w:rPr>
        <w:t>).</w:t>
      </w:r>
    </w:p>
    <w:p w:rsidR="00CE7B91" w:rsidRPr="00CE7B91" w:rsidRDefault="00CE7B91" w:rsidP="00CE7B91">
      <w:pPr>
        <w:shd w:val="clear" w:color="auto" w:fill="FFFFFF"/>
        <w:spacing w:after="0" w:line="240" w:lineRule="atLeast"/>
        <w:jc w:val="both"/>
        <w:textAlignment w:val="baseline"/>
        <w:outlineLvl w:val="1"/>
        <w:rPr>
          <w:rFonts w:eastAsia="Times New Roman" w:cs="Arial"/>
          <w:b/>
          <w:bCs/>
          <w:color w:val="555555"/>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8. Comprehensive interventions for learning disabled students</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The presence of learning disability can make learning to read, write, and do math especially challenging. Hattie admits that “it would be possible to have a whole book on the effects of various </w:t>
      </w:r>
      <w:r w:rsidRPr="00C816AF">
        <w:rPr>
          <w:rFonts w:eastAsia="Times New Roman" w:cs="Arial"/>
          <w:b/>
          <w:bCs/>
          <w:color w:val="555555"/>
          <w:bdr w:val="none" w:sz="0" w:space="0" w:color="auto" w:frame="1"/>
          <w:lang w:eastAsia="en-GB"/>
        </w:rPr>
        <w:t>interventions for students with learning disabilities</w:t>
      </w:r>
      <w:r w:rsidRPr="00C816AF">
        <w:rPr>
          <w:rFonts w:eastAsia="Times New Roman" w:cs="Arial"/>
          <w:color w:val="555555"/>
          <w:lang w:eastAsia="en-GB"/>
        </w:rPr>
        <w:t>” (Hattie 2009, 217) and refers to a meta-study of </w:t>
      </w:r>
      <w:hyperlink r:id="rId93" w:tgtFrame="_blank" w:history="1">
        <w:r w:rsidRPr="00C816AF">
          <w:rPr>
            <w:rFonts w:eastAsia="Times New Roman" w:cs="Arial"/>
            <w:color w:val="0066CC"/>
            <w:u w:val="single"/>
            <w:bdr w:val="none" w:sz="0" w:space="0" w:color="auto" w:frame="1"/>
            <w:lang w:eastAsia="en-GB"/>
          </w:rPr>
          <w:t xml:space="preserve">Swanson, </w:t>
        </w:r>
        <w:proofErr w:type="spellStart"/>
        <w:r w:rsidRPr="00C816AF">
          <w:rPr>
            <w:rFonts w:eastAsia="Times New Roman" w:cs="Arial"/>
            <w:color w:val="0066CC"/>
            <w:u w:val="single"/>
            <w:bdr w:val="none" w:sz="0" w:space="0" w:color="auto" w:frame="1"/>
            <w:lang w:eastAsia="en-GB"/>
          </w:rPr>
          <w:t>Hoskyn</w:t>
        </w:r>
        <w:proofErr w:type="spellEnd"/>
        <w:r w:rsidRPr="00C816AF">
          <w:rPr>
            <w:rFonts w:eastAsia="Times New Roman" w:cs="Arial"/>
            <w:color w:val="0066CC"/>
            <w:u w:val="single"/>
            <w:bdr w:val="none" w:sz="0" w:space="0" w:color="auto" w:frame="1"/>
            <w:lang w:eastAsia="en-GB"/>
          </w:rPr>
          <w:t xml:space="preserve"> and Lee</w:t>
        </w:r>
      </w:hyperlink>
      <w:r w:rsidRPr="00C816AF">
        <w:rPr>
          <w:rFonts w:eastAsia="Times New Roman" w:cs="Arial"/>
          <w:color w:val="555555"/>
          <w:lang w:eastAsia="en-GB"/>
        </w:rPr>
        <w:t xml:space="preserve"> (1999). To improve achievement teachers must provide students with tools and strategies to organize themselves as well as new material; techniques to use while reading, writing, and doing math; and systematic steps to follow when working through a learning task or reflecting upon their own learning. Hattie also discusses studies which found that “all children benefited from strategy training; both </w:t>
      </w:r>
      <w:proofErr w:type="spellStart"/>
      <w:r w:rsidRPr="00C816AF">
        <w:rPr>
          <w:rFonts w:eastAsia="Times New Roman" w:cs="Arial"/>
          <w:color w:val="555555"/>
          <w:lang w:eastAsia="en-GB"/>
        </w:rPr>
        <w:t>ths</w:t>
      </w:r>
      <w:proofErr w:type="spellEnd"/>
      <w:r w:rsidRPr="00C816AF">
        <w:rPr>
          <w:rFonts w:eastAsia="Times New Roman" w:cs="Arial"/>
          <w:color w:val="555555"/>
          <w:lang w:eastAsia="en-GB"/>
        </w:rPr>
        <w:t xml:space="preserve"> with and those without intellectual disabilities.”</w:t>
      </w:r>
    </w:p>
    <w:p w:rsidR="00CE7B91" w:rsidRDefault="00CE7B91"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p>
    <w:p w:rsid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Examples for effective interventions for students with learning disabilities: One strategy discussed in a paper by Neil </w:t>
      </w:r>
      <w:proofErr w:type="spellStart"/>
      <w:r w:rsidRPr="00C816AF">
        <w:rPr>
          <w:rFonts w:eastAsia="Times New Roman" w:cs="Arial"/>
          <w:i/>
          <w:iCs/>
          <w:color w:val="555555"/>
          <w:bdr w:val="none" w:sz="0" w:space="0" w:color="auto" w:frame="1"/>
          <w:lang w:eastAsia="en-GB"/>
        </w:rPr>
        <w:t>Sturomski</w:t>
      </w:r>
      <w:proofErr w:type="spellEnd"/>
      <w:r w:rsidRPr="00C816AF">
        <w:rPr>
          <w:rFonts w:eastAsia="Times New Roman" w:cs="Arial"/>
          <w:i/>
          <w:iCs/>
          <w:color w:val="555555"/>
          <w:bdr w:val="none" w:sz="0" w:space="0" w:color="auto" w:frame="1"/>
          <w:lang w:eastAsia="en-GB"/>
        </w:rPr>
        <w:t xml:space="preserve">: “Teaching Students </w:t>
      </w:r>
      <w:proofErr w:type="gramStart"/>
      <w:r w:rsidRPr="00C816AF">
        <w:rPr>
          <w:rFonts w:eastAsia="Times New Roman" w:cs="Arial"/>
          <w:i/>
          <w:iCs/>
          <w:color w:val="555555"/>
          <w:bdr w:val="none" w:sz="0" w:space="0" w:color="auto" w:frame="1"/>
          <w:lang w:eastAsia="en-GB"/>
        </w:rPr>
        <w:t>With Learning Disabilities To</w:t>
      </w:r>
      <w:proofErr w:type="gramEnd"/>
      <w:r w:rsidRPr="00C816AF">
        <w:rPr>
          <w:rFonts w:eastAsia="Times New Roman" w:cs="Arial"/>
          <w:i/>
          <w:iCs/>
          <w:color w:val="555555"/>
          <w:bdr w:val="none" w:sz="0" w:space="0" w:color="auto" w:frame="1"/>
          <w:lang w:eastAsia="en-GB"/>
        </w:rPr>
        <w:t xml:space="preserve"> Use Learning Strategies” (</w:t>
      </w:r>
      <w:hyperlink r:id="rId94" w:history="1">
        <w:r w:rsidRPr="00C816AF">
          <w:rPr>
            <w:rFonts w:eastAsia="Times New Roman" w:cs="Arial"/>
            <w:i/>
            <w:iCs/>
            <w:color w:val="0066CC"/>
            <w:u w:val="single"/>
            <w:bdr w:val="none" w:sz="0" w:space="0" w:color="auto" w:frame="1"/>
            <w:lang w:eastAsia="en-GB"/>
          </w:rPr>
          <w:t>PDF</w:t>
        </w:r>
      </w:hyperlink>
      <w:r w:rsidRPr="00C816AF">
        <w:rPr>
          <w:rFonts w:eastAsia="Times New Roman" w:cs="Arial"/>
          <w:i/>
          <w:iCs/>
          <w:color w:val="555555"/>
          <w:bdr w:val="none" w:sz="0" w:space="0" w:color="auto" w:frame="1"/>
          <w:lang w:eastAsia="en-GB"/>
        </w:rPr>
        <w:t>) is called “DEFENDS”. This strategic approach helps secondary students write a composition in which they must take a position and defend it (Ellis, 1994). Each letter stands for a strategic step:</w:t>
      </w:r>
      <w:r w:rsidRPr="00C816AF">
        <w:rPr>
          <w:rFonts w:eastAsia="Times New Roman" w:cs="Arial"/>
          <w:i/>
          <w:iCs/>
          <w:color w:val="555555"/>
          <w:bdr w:val="none" w:sz="0" w:space="0" w:color="auto" w:frame="1"/>
          <w:lang w:eastAsia="en-GB"/>
        </w:rPr>
        <w:br/>
      </w:r>
    </w:p>
    <w:p w:rsidR="00CE7B91"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D</w:t>
      </w:r>
      <w:r w:rsidR="00CE7B91" w:rsidRPr="00CE7B91">
        <w:rPr>
          <w:rFonts w:eastAsia="Times New Roman" w:cs="Arial"/>
          <w:i/>
          <w:iCs/>
          <w:color w:val="555555"/>
          <w:bdr w:val="none" w:sz="0" w:space="0" w:color="auto" w:frame="1"/>
          <w:lang w:eastAsia="en-GB"/>
        </w:rPr>
        <w:t xml:space="preserve"> </w:t>
      </w:r>
      <w:proofErr w:type="spellStart"/>
      <w:r w:rsidRPr="00C816AF">
        <w:rPr>
          <w:rFonts w:eastAsia="Times New Roman" w:cs="Arial"/>
          <w:i/>
          <w:iCs/>
          <w:color w:val="555555"/>
          <w:bdr w:val="none" w:sz="0" w:space="0" w:color="auto" w:frame="1"/>
          <w:lang w:eastAsia="en-GB"/>
        </w:rPr>
        <w:t>ecide</w:t>
      </w:r>
      <w:proofErr w:type="spellEnd"/>
      <w:r w:rsidRPr="00C816AF">
        <w:rPr>
          <w:rFonts w:eastAsia="Times New Roman" w:cs="Arial"/>
          <w:i/>
          <w:iCs/>
          <w:color w:val="555555"/>
          <w:bdr w:val="none" w:sz="0" w:space="0" w:color="auto" w:frame="1"/>
          <w:lang w:eastAsia="en-GB"/>
        </w:rPr>
        <w:t xml:space="preserve"> on audience, goals, and position</w:t>
      </w:r>
    </w:p>
    <w:p w:rsidR="00CE7B91"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E </w:t>
      </w:r>
      <w:proofErr w:type="spellStart"/>
      <w:r w:rsidRPr="00C816AF">
        <w:rPr>
          <w:rFonts w:eastAsia="Times New Roman" w:cs="Arial"/>
          <w:i/>
          <w:iCs/>
          <w:color w:val="555555"/>
          <w:bdr w:val="none" w:sz="0" w:space="0" w:color="auto" w:frame="1"/>
          <w:lang w:eastAsia="en-GB"/>
        </w:rPr>
        <w:t>stimate</w:t>
      </w:r>
      <w:proofErr w:type="spellEnd"/>
      <w:r w:rsidRPr="00C816AF">
        <w:rPr>
          <w:rFonts w:eastAsia="Times New Roman" w:cs="Arial"/>
          <w:i/>
          <w:iCs/>
          <w:color w:val="555555"/>
          <w:bdr w:val="none" w:sz="0" w:space="0" w:color="auto" w:frame="1"/>
          <w:lang w:eastAsia="en-GB"/>
        </w:rPr>
        <w:t xml:space="preserve"> main ideas and details</w:t>
      </w:r>
    </w:p>
    <w:p w:rsidR="00CE7B91"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F </w:t>
      </w:r>
      <w:proofErr w:type="spellStart"/>
      <w:r w:rsidRPr="00C816AF">
        <w:rPr>
          <w:rFonts w:eastAsia="Times New Roman" w:cs="Arial"/>
          <w:i/>
          <w:iCs/>
          <w:color w:val="555555"/>
          <w:bdr w:val="none" w:sz="0" w:space="0" w:color="auto" w:frame="1"/>
          <w:lang w:eastAsia="en-GB"/>
        </w:rPr>
        <w:t>igure</w:t>
      </w:r>
      <w:proofErr w:type="spellEnd"/>
      <w:r w:rsidRPr="00C816AF">
        <w:rPr>
          <w:rFonts w:eastAsia="Times New Roman" w:cs="Arial"/>
          <w:i/>
          <w:iCs/>
          <w:color w:val="555555"/>
          <w:bdr w:val="none" w:sz="0" w:space="0" w:color="auto" w:frame="1"/>
          <w:lang w:eastAsia="en-GB"/>
        </w:rPr>
        <w:t xml:space="preserve"> best order of main ideas and details</w:t>
      </w:r>
    </w:p>
    <w:p w:rsidR="00CE7B91"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E </w:t>
      </w:r>
      <w:proofErr w:type="spellStart"/>
      <w:r w:rsidRPr="00C816AF">
        <w:rPr>
          <w:rFonts w:eastAsia="Times New Roman" w:cs="Arial"/>
          <w:i/>
          <w:iCs/>
          <w:color w:val="555555"/>
          <w:bdr w:val="none" w:sz="0" w:space="0" w:color="auto" w:frame="1"/>
          <w:lang w:eastAsia="en-GB"/>
        </w:rPr>
        <w:t>xpress</w:t>
      </w:r>
      <w:proofErr w:type="spellEnd"/>
      <w:r w:rsidRPr="00C816AF">
        <w:rPr>
          <w:rFonts w:eastAsia="Times New Roman" w:cs="Arial"/>
          <w:i/>
          <w:iCs/>
          <w:color w:val="555555"/>
          <w:bdr w:val="none" w:sz="0" w:space="0" w:color="auto" w:frame="1"/>
          <w:lang w:eastAsia="en-GB"/>
        </w:rPr>
        <w:t xml:space="preserve"> the position in the opening</w:t>
      </w:r>
    </w:p>
    <w:p w:rsidR="00CE7B91"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N </w:t>
      </w:r>
      <w:proofErr w:type="spellStart"/>
      <w:r w:rsidRPr="00C816AF">
        <w:rPr>
          <w:rFonts w:eastAsia="Times New Roman" w:cs="Arial"/>
          <w:i/>
          <w:iCs/>
          <w:color w:val="555555"/>
          <w:bdr w:val="none" w:sz="0" w:space="0" w:color="auto" w:frame="1"/>
          <w:lang w:eastAsia="en-GB"/>
        </w:rPr>
        <w:t>ote</w:t>
      </w:r>
      <w:proofErr w:type="spellEnd"/>
      <w:r w:rsidRPr="00C816AF">
        <w:rPr>
          <w:rFonts w:eastAsia="Times New Roman" w:cs="Arial"/>
          <w:i/>
          <w:iCs/>
          <w:color w:val="555555"/>
          <w:bdr w:val="none" w:sz="0" w:space="0" w:color="auto" w:frame="1"/>
          <w:lang w:eastAsia="en-GB"/>
        </w:rPr>
        <w:t xml:space="preserve"> each main idea and supporting points</w:t>
      </w:r>
    </w:p>
    <w:p w:rsidR="00CE7B91"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D </w:t>
      </w:r>
      <w:proofErr w:type="spellStart"/>
      <w:r w:rsidRPr="00C816AF">
        <w:rPr>
          <w:rFonts w:eastAsia="Times New Roman" w:cs="Arial"/>
          <w:i/>
          <w:iCs/>
          <w:color w:val="555555"/>
          <w:bdr w:val="none" w:sz="0" w:space="0" w:color="auto" w:frame="1"/>
          <w:lang w:eastAsia="en-GB"/>
        </w:rPr>
        <w:t>rive</w:t>
      </w:r>
      <w:proofErr w:type="spellEnd"/>
      <w:r w:rsidRPr="00C816AF">
        <w:rPr>
          <w:rFonts w:eastAsia="Times New Roman" w:cs="Arial"/>
          <w:i/>
          <w:iCs/>
          <w:color w:val="555555"/>
          <w:bdr w:val="none" w:sz="0" w:space="0" w:color="auto" w:frame="1"/>
          <w:lang w:eastAsia="en-GB"/>
        </w:rPr>
        <w:t xml:space="preserve"> home the message in the last sentence</w:t>
      </w:r>
    </w:p>
    <w:p w:rsidR="00C816AF"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t xml:space="preserve">S </w:t>
      </w:r>
      <w:proofErr w:type="spellStart"/>
      <w:r w:rsidRPr="00C816AF">
        <w:rPr>
          <w:rFonts w:eastAsia="Times New Roman" w:cs="Arial"/>
          <w:i/>
          <w:iCs/>
          <w:color w:val="555555"/>
          <w:bdr w:val="none" w:sz="0" w:space="0" w:color="auto" w:frame="1"/>
          <w:lang w:eastAsia="en-GB"/>
        </w:rPr>
        <w:t>earch</w:t>
      </w:r>
      <w:proofErr w:type="spellEnd"/>
      <w:r w:rsidRPr="00C816AF">
        <w:rPr>
          <w:rFonts w:eastAsia="Times New Roman" w:cs="Arial"/>
          <w:i/>
          <w:iCs/>
          <w:color w:val="555555"/>
          <w:bdr w:val="none" w:sz="0" w:space="0" w:color="auto" w:frame="1"/>
          <w:lang w:eastAsia="en-GB"/>
        </w:rPr>
        <w:t xml:space="preserve"> for errors and correct</w:t>
      </w:r>
    </w:p>
    <w:p w:rsidR="00CE7B91" w:rsidRPr="00C816AF" w:rsidRDefault="00CE7B91" w:rsidP="00CE7B91">
      <w:pPr>
        <w:shd w:val="clear" w:color="auto" w:fill="FFFFFF"/>
        <w:spacing w:after="0" w:line="240" w:lineRule="auto"/>
        <w:jc w:val="both"/>
        <w:textAlignment w:val="baseline"/>
        <w:rPr>
          <w:rFonts w:eastAsia="Times New Roman" w:cs="Arial"/>
          <w:color w:val="555555"/>
          <w:lang w:eastAsia="en-GB"/>
        </w:rPr>
      </w:pPr>
    </w:p>
    <w:p w:rsidR="00C816AF" w:rsidRPr="00CE7B91" w:rsidRDefault="00C816AF"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r w:rsidRPr="00C816AF">
        <w:rPr>
          <w:rFonts w:eastAsia="Times New Roman" w:cs="Arial"/>
          <w:i/>
          <w:iCs/>
          <w:color w:val="555555"/>
          <w:bdr w:val="none" w:sz="0" w:space="0" w:color="auto" w:frame="1"/>
          <w:lang w:eastAsia="en-GB"/>
        </w:rPr>
        <w:lastRenderedPageBreak/>
        <w:t>You can find further information in a paper by H. Lee Swanson and Donald Deshler (2003): Instructing Adolescents with Learning Disabilities: Converting a Meta-Analysis to Practice (</w:t>
      </w:r>
      <w:hyperlink r:id="rId95" w:history="1">
        <w:r w:rsidRPr="00C816AF">
          <w:rPr>
            <w:rFonts w:eastAsia="Times New Roman" w:cs="Arial"/>
            <w:i/>
            <w:iCs/>
            <w:color w:val="0066CC"/>
            <w:u w:val="single"/>
            <w:bdr w:val="none" w:sz="0" w:space="0" w:color="auto" w:frame="1"/>
            <w:lang w:eastAsia="en-GB"/>
          </w:rPr>
          <w:t>PDF</w:t>
        </w:r>
      </w:hyperlink>
      <w:r w:rsidRPr="00C816AF">
        <w:rPr>
          <w:rFonts w:eastAsia="Times New Roman" w:cs="Arial"/>
          <w:i/>
          <w:iCs/>
          <w:color w:val="555555"/>
          <w:bdr w:val="none" w:sz="0" w:space="0" w:color="auto" w:frame="1"/>
          <w:lang w:eastAsia="en-GB"/>
        </w:rPr>
        <w:t>)</w:t>
      </w:r>
    </w:p>
    <w:p w:rsidR="00CE7B91" w:rsidRPr="00CE7B91" w:rsidRDefault="00CE7B91"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p>
    <w:p w:rsidR="00CE7B91" w:rsidRPr="00CE7B91" w:rsidRDefault="00CE7B91" w:rsidP="00CE7B91">
      <w:pPr>
        <w:shd w:val="clear" w:color="auto" w:fill="FFFFFF"/>
        <w:spacing w:after="0" w:line="240" w:lineRule="auto"/>
        <w:jc w:val="both"/>
        <w:textAlignment w:val="baseline"/>
        <w:rPr>
          <w:rFonts w:eastAsia="Times New Roman" w:cs="Arial"/>
          <w:i/>
          <w:iCs/>
          <w:color w:val="555555"/>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9. Teacher clarity</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Hattie defines</w:t>
      </w:r>
      <w:r w:rsidRPr="00C816AF">
        <w:rPr>
          <w:rFonts w:eastAsia="Times New Roman" w:cs="Arial"/>
          <w:b/>
          <w:bCs/>
          <w:color w:val="555555"/>
          <w:bdr w:val="none" w:sz="0" w:space="0" w:color="auto" w:frame="1"/>
          <w:lang w:eastAsia="en-GB"/>
        </w:rPr>
        <w:t> teacher clarity</w:t>
      </w:r>
      <w:r w:rsidRPr="00C816AF">
        <w:rPr>
          <w:rFonts w:eastAsia="Times New Roman" w:cs="Arial"/>
          <w:color w:val="555555"/>
          <w:lang w:eastAsia="en-GB"/>
        </w:rPr>
        <w:t xml:space="preserve"> quoting the (unpublished) work of </w:t>
      </w:r>
      <w:proofErr w:type="spellStart"/>
      <w:r w:rsidRPr="00C816AF">
        <w:rPr>
          <w:rFonts w:eastAsia="Times New Roman" w:cs="Arial"/>
          <w:color w:val="555555"/>
          <w:lang w:eastAsia="en-GB"/>
        </w:rPr>
        <w:t>Fendick</w:t>
      </w:r>
      <w:proofErr w:type="spellEnd"/>
      <w:r w:rsidRPr="00C816AF">
        <w:rPr>
          <w:rFonts w:eastAsia="Times New Roman" w:cs="Arial"/>
          <w:color w:val="555555"/>
          <w:lang w:eastAsia="en-GB"/>
        </w:rPr>
        <w:t xml:space="preserve"> (1990) as “organization, explanation, examples and guided practice, and assessment of student learning — such that clarity of speech was a prerequisite of teacher clarity.” (Hattie 2009, 126) One of the main points of Hattie’s books about Visible Learning is the importance to clearly communicate the intentions of the lessons and the success criteria. Clear learning intentions describe the skills, knowledge, attitudes and values that the student needs to learn. Teachers need to know the goals and success criteria of their lessons, know how well </w:t>
      </w:r>
      <w:r w:rsidRPr="00C816AF">
        <w:rPr>
          <w:rFonts w:eastAsia="Times New Roman" w:cs="Arial"/>
          <w:i/>
          <w:iCs/>
          <w:color w:val="555555"/>
          <w:bdr w:val="none" w:sz="0" w:space="0" w:color="auto" w:frame="1"/>
          <w:lang w:eastAsia="en-GB"/>
        </w:rPr>
        <w:t>all</w:t>
      </w:r>
      <w:r w:rsidRPr="00C816AF">
        <w:rPr>
          <w:rFonts w:eastAsia="Times New Roman" w:cs="Arial"/>
          <w:color w:val="555555"/>
          <w:lang w:eastAsia="en-GB"/>
        </w:rPr>
        <w:t> students in their class are progressing, and know where to go next.</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Examples for teacher clarity, learning goals and success criteria: This short </w:t>
      </w:r>
      <w:hyperlink r:id="rId96" w:history="1">
        <w:r w:rsidRPr="00C816AF">
          <w:rPr>
            <w:rFonts w:eastAsia="Times New Roman" w:cs="Arial"/>
            <w:i/>
            <w:iCs/>
            <w:color w:val="0066CC"/>
            <w:u w:val="single"/>
            <w:bdr w:val="none" w:sz="0" w:space="0" w:color="auto" w:frame="1"/>
            <w:lang w:eastAsia="en-GB"/>
          </w:rPr>
          <w:t>video</w:t>
        </w:r>
      </w:hyperlink>
      <w:r w:rsidRPr="00C816AF">
        <w:rPr>
          <w:rFonts w:eastAsia="Times New Roman" w:cs="Arial"/>
          <w:i/>
          <w:iCs/>
          <w:color w:val="555555"/>
          <w:bdr w:val="none" w:sz="0" w:space="0" w:color="auto" w:frame="1"/>
          <w:lang w:eastAsia="en-GB"/>
        </w:rPr>
        <w:t> provides a great example for a lesson intended to let students write a good “How-to book”. The teacher explains how to develop and set clear learning goals and success criteria </w:t>
      </w:r>
      <w:r w:rsidRPr="00C816AF">
        <w:rPr>
          <w:rFonts w:eastAsia="Times New Roman" w:cs="Arial"/>
          <w:i/>
          <w:iCs/>
          <w:color w:val="555555"/>
          <w:u w:val="single"/>
          <w:bdr w:val="none" w:sz="0" w:space="0" w:color="auto" w:frame="1"/>
          <w:lang w:eastAsia="en-GB"/>
        </w:rPr>
        <w:t>before</w:t>
      </w:r>
      <w:r w:rsidRPr="00C816AF">
        <w:rPr>
          <w:rFonts w:eastAsia="Times New Roman" w:cs="Arial"/>
          <w:i/>
          <w:iCs/>
          <w:color w:val="555555"/>
          <w:bdr w:val="none" w:sz="0" w:space="0" w:color="auto" w:frame="1"/>
          <w:lang w:eastAsia="en-GB"/>
        </w:rPr>
        <w:t> the students actually start the writing activity.</w:t>
      </w:r>
    </w:p>
    <w:p w:rsidR="00C816AF" w:rsidRPr="00C816AF" w:rsidRDefault="00C816AF" w:rsidP="00CE7B91">
      <w:pPr>
        <w:shd w:val="clear" w:color="auto" w:fill="FFFFFF"/>
        <w:spacing w:before="384" w:after="384" w:line="240" w:lineRule="auto"/>
        <w:jc w:val="both"/>
        <w:textAlignment w:val="baseline"/>
        <w:rPr>
          <w:rFonts w:eastAsia="Times New Roman" w:cs="Arial"/>
          <w:color w:val="555555"/>
          <w:lang w:eastAsia="en-GB"/>
        </w:rPr>
      </w:pPr>
      <w:r w:rsidRPr="00C816AF">
        <w:rPr>
          <w:rFonts w:eastAsia="Times New Roman" w:cs="Arial"/>
          <w:color w:val="555555"/>
          <w:lang w:eastAsia="en-GB"/>
        </w:rPr>
        <w:t>Hattie cites one meta-study:</w:t>
      </w:r>
    </w:p>
    <w:p w:rsidR="00C816AF" w:rsidRPr="00C816AF" w:rsidRDefault="00C816AF" w:rsidP="00CE7B91">
      <w:pPr>
        <w:numPr>
          <w:ilvl w:val="0"/>
          <w:numId w:val="8"/>
        </w:numPr>
        <w:shd w:val="clear" w:color="auto" w:fill="FFFFFF"/>
        <w:spacing w:after="0" w:line="240" w:lineRule="auto"/>
        <w:ind w:left="0" w:right="360"/>
        <w:jc w:val="both"/>
        <w:textAlignment w:val="baseline"/>
        <w:rPr>
          <w:rFonts w:eastAsia="Times New Roman" w:cs="Arial"/>
          <w:color w:val="555555"/>
          <w:lang w:eastAsia="en-GB"/>
        </w:rPr>
      </w:pPr>
      <w:proofErr w:type="spellStart"/>
      <w:r w:rsidRPr="00C816AF">
        <w:rPr>
          <w:rFonts w:eastAsia="Times New Roman" w:cs="Arial"/>
          <w:color w:val="555555"/>
          <w:lang w:eastAsia="en-GB"/>
        </w:rPr>
        <w:t>Fendick</w:t>
      </w:r>
      <w:proofErr w:type="spellEnd"/>
      <w:r w:rsidRPr="00C816AF">
        <w:rPr>
          <w:rFonts w:eastAsia="Times New Roman" w:cs="Arial"/>
          <w:color w:val="555555"/>
          <w:lang w:eastAsia="en-GB"/>
        </w:rPr>
        <w:t xml:space="preserve"> (1990): The correlation between teacher clarity of communication and student achievement gain (Unpublished Ph.D. </w:t>
      </w:r>
      <w:hyperlink r:id="rId97" w:history="1">
        <w:r w:rsidRPr="00C816AF">
          <w:rPr>
            <w:rFonts w:eastAsia="Times New Roman" w:cs="Arial"/>
            <w:color w:val="0066CC"/>
            <w:u w:val="single"/>
            <w:bdr w:val="none" w:sz="0" w:space="0" w:color="auto" w:frame="1"/>
            <w:lang w:eastAsia="en-GB"/>
          </w:rPr>
          <w:t>University of Florida</w:t>
        </w:r>
      </w:hyperlink>
      <w:r w:rsidRPr="00C816AF">
        <w:rPr>
          <w:rFonts w:eastAsia="Times New Roman" w:cs="Arial"/>
          <w:color w:val="555555"/>
          <w:lang w:eastAsia="en-GB"/>
        </w:rPr>
        <w:t>)</w:t>
      </w:r>
    </w:p>
    <w:p w:rsidR="00CE7B91" w:rsidRDefault="00CE7B91" w:rsidP="00CE7B91">
      <w:pPr>
        <w:shd w:val="clear" w:color="auto" w:fill="FFFFFF"/>
        <w:spacing w:after="0" w:line="240" w:lineRule="atLeast"/>
        <w:jc w:val="both"/>
        <w:textAlignment w:val="baseline"/>
        <w:outlineLvl w:val="1"/>
        <w:rPr>
          <w:rFonts w:eastAsia="Times New Roman" w:cs="Arial"/>
          <w:b/>
          <w:bCs/>
          <w:color w:val="555555"/>
          <w:sz w:val="28"/>
          <w:szCs w:val="28"/>
          <w:bdr w:val="none" w:sz="0" w:space="0" w:color="auto" w:frame="1"/>
          <w:lang w:eastAsia="en-GB"/>
        </w:rPr>
      </w:pPr>
    </w:p>
    <w:p w:rsidR="00C816AF" w:rsidRPr="00C816AF" w:rsidRDefault="00C816AF" w:rsidP="00CE7B91">
      <w:pPr>
        <w:shd w:val="clear" w:color="auto" w:fill="FFFFFF"/>
        <w:spacing w:after="0" w:line="240" w:lineRule="atLeast"/>
        <w:jc w:val="both"/>
        <w:textAlignment w:val="baseline"/>
        <w:outlineLvl w:val="1"/>
        <w:rPr>
          <w:rFonts w:eastAsia="Times New Roman" w:cs="Arial"/>
          <w:b/>
          <w:bCs/>
          <w:color w:val="555555"/>
          <w:sz w:val="28"/>
          <w:szCs w:val="28"/>
          <w:lang w:eastAsia="en-GB"/>
        </w:rPr>
      </w:pPr>
      <w:r w:rsidRPr="00C816AF">
        <w:rPr>
          <w:rFonts w:eastAsia="Times New Roman" w:cs="Arial"/>
          <w:b/>
          <w:bCs/>
          <w:color w:val="555555"/>
          <w:sz w:val="28"/>
          <w:szCs w:val="28"/>
          <w:bdr w:val="none" w:sz="0" w:space="0" w:color="auto" w:frame="1"/>
          <w:lang w:eastAsia="en-GB"/>
        </w:rPr>
        <w:t>10. Feedback</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color w:val="555555"/>
          <w:lang w:eastAsia="en-GB"/>
        </w:rPr>
        <w:t>According to </w:t>
      </w:r>
      <w:hyperlink r:id="rId98" w:history="1">
        <w:r w:rsidRPr="00C816AF">
          <w:rPr>
            <w:rFonts w:eastAsia="Times New Roman" w:cs="Arial"/>
            <w:color w:val="0066CC"/>
            <w:u w:val="single"/>
            <w:bdr w:val="none" w:sz="0" w:space="0" w:color="auto" w:frame="1"/>
            <w:lang w:eastAsia="en-GB"/>
          </w:rPr>
          <w:t>Hattie and Timperley (2007)</w:t>
        </w:r>
      </w:hyperlink>
      <w:r w:rsidRPr="00C816AF">
        <w:rPr>
          <w:rFonts w:eastAsia="Times New Roman" w:cs="Arial"/>
          <w:color w:val="555555"/>
          <w:lang w:eastAsia="en-GB"/>
        </w:rPr>
        <w:t> </w:t>
      </w:r>
      <w:r w:rsidRPr="00C816AF">
        <w:rPr>
          <w:rFonts w:eastAsia="Times New Roman" w:cs="Arial"/>
          <w:b/>
          <w:bCs/>
          <w:color w:val="555555"/>
          <w:bdr w:val="none" w:sz="0" w:space="0" w:color="auto" w:frame="1"/>
          <w:lang w:eastAsia="en-GB"/>
        </w:rPr>
        <w:t>feedback</w:t>
      </w:r>
      <w:r w:rsidRPr="00C816AF">
        <w:rPr>
          <w:rFonts w:eastAsia="Times New Roman" w:cs="Arial"/>
          <w:color w:val="555555"/>
          <w:lang w:eastAsia="en-GB"/>
        </w:rPr>
        <w:t xml:space="preserve"> is one of the most powerful influences on learning and achievement, but this impact can be either positive or negative. They developed a model of effective feedback that identifies the particular properties and circumstances that make it work. Feedback on task, process and </w:t>
      </w:r>
      <w:proofErr w:type="spellStart"/>
      <w:r w:rsidRPr="00C816AF">
        <w:rPr>
          <w:rFonts w:eastAsia="Times New Roman" w:cs="Arial"/>
          <w:color w:val="555555"/>
          <w:lang w:eastAsia="en-GB"/>
        </w:rPr>
        <w:t>self regulation</w:t>
      </w:r>
      <w:proofErr w:type="spellEnd"/>
      <w:r w:rsidRPr="00C816AF">
        <w:rPr>
          <w:rFonts w:eastAsia="Times New Roman" w:cs="Arial"/>
          <w:color w:val="555555"/>
          <w:lang w:eastAsia="en-GB"/>
        </w:rPr>
        <w:t xml:space="preserve"> level is far more effective than on the Self-level (e.g. praise </w:t>
      </w:r>
      <w:proofErr w:type="spellStart"/>
      <w:r w:rsidRPr="00C816AF">
        <w:rPr>
          <w:rFonts w:eastAsia="Times New Roman" w:cs="Arial"/>
          <w:color w:val="555555"/>
          <w:lang w:eastAsia="en-GB"/>
        </w:rPr>
        <w:t>wich</w:t>
      </w:r>
      <w:proofErr w:type="spellEnd"/>
      <w:r w:rsidRPr="00C816AF">
        <w:rPr>
          <w:rFonts w:eastAsia="Times New Roman" w:cs="Arial"/>
          <w:color w:val="555555"/>
          <w:lang w:eastAsia="en-GB"/>
        </w:rPr>
        <w:t xml:space="preserve"> contains no learning information). Descriptive feedback is closely related to providing formative assessment (see above). In an </w:t>
      </w:r>
      <w:hyperlink r:id="rId99" w:history="1">
        <w:r w:rsidRPr="00C816AF">
          <w:rPr>
            <w:rFonts w:eastAsia="Times New Roman" w:cs="Arial"/>
            <w:color w:val="0066CC"/>
            <w:u w:val="single"/>
            <w:bdr w:val="none" w:sz="0" w:space="0" w:color="auto" w:frame="1"/>
            <w:lang w:eastAsia="en-GB"/>
          </w:rPr>
          <w:t>interview</w:t>
        </w:r>
      </w:hyperlink>
      <w:r w:rsidRPr="00C816AF">
        <w:rPr>
          <w:rFonts w:eastAsia="Times New Roman" w:cs="Arial"/>
          <w:color w:val="555555"/>
          <w:lang w:eastAsia="en-GB"/>
        </w:rPr>
        <w:t> Hattie emphasized that the most powerful feedback is that given from the student to the teacher. This feedback allows teachers to see learning through the eyes of their students. It makes learning visible and facilitates the planning of next steps. The feedback that students receive from their teachers is also vital. It enables students to progress towards challenging learning intentions and goals.</w:t>
      </w:r>
    </w:p>
    <w:p w:rsidR="00C816AF" w:rsidRPr="00C816AF" w:rsidRDefault="00C816AF" w:rsidP="00CE7B91">
      <w:pPr>
        <w:shd w:val="clear" w:color="auto" w:fill="FFFFFF"/>
        <w:spacing w:after="0" w:line="240" w:lineRule="auto"/>
        <w:jc w:val="both"/>
        <w:textAlignment w:val="baseline"/>
        <w:rPr>
          <w:rFonts w:eastAsia="Times New Roman" w:cs="Arial"/>
          <w:color w:val="555555"/>
          <w:lang w:eastAsia="en-GB"/>
        </w:rPr>
      </w:pPr>
      <w:r w:rsidRPr="00C816AF">
        <w:rPr>
          <w:rFonts w:eastAsia="Times New Roman" w:cs="Arial"/>
          <w:i/>
          <w:iCs/>
          <w:color w:val="555555"/>
          <w:bdr w:val="none" w:sz="0" w:space="0" w:color="auto" w:frame="1"/>
          <w:lang w:eastAsia="en-GB"/>
        </w:rPr>
        <w:t xml:space="preserve">Examples: Related to the notion of “feed up, </w:t>
      </w:r>
      <w:proofErr w:type="spellStart"/>
      <w:r w:rsidRPr="00C816AF">
        <w:rPr>
          <w:rFonts w:eastAsia="Times New Roman" w:cs="Arial"/>
          <w:i/>
          <w:iCs/>
          <w:color w:val="555555"/>
          <w:bdr w:val="none" w:sz="0" w:space="0" w:color="auto" w:frame="1"/>
          <w:lang w:eastAsia="en-GB"/>
        </w:rPr>
        <w:t>feed back</w:t>
      </w:r>
      <w:proofErr w:type="spellEnd"/>
      <w:r w:rsidRPr="00C816AF">
        <w:rPr>
          <w:rFonts w:eastAsia="Times New Roman" w:cs="Arial"/>
          <w:i/>
          <w:iCs/>
          <w:color w:val="555555"/>
          <w:bdr w:val="none" w:sz="0" w:space="0" w:color="auto" w:frame="1"/>
          <w:lang w:eastAsia="en-GB"/>
        </w:rPr>
        <w:t xml:space="preserve"> and feed forward” teachers must answer three feedback questions: “Where am I going? How am I going? Where to next?” Constantly ask the students in order to maximize the feedback from the learner back to the teacher. Create a classroom climate where error is welcomed. In this short </w:t>
      </w:r>
      <w:hyperlink r:id="rId100" w:history="1">
        <w:r w:rsidRPr="00C816AF">
          <w:rPr>
            <w:rFonts w:eastAsia="Times New Roman" w:cs="Arial"/>
            <w:i/>
            <w:iCs/>
            <w:color w:val="0066CC"/>
            <w:u w:val="single"/>
            <w:bdr w:val="none" w:sz="0" w:space="0" w:color="auto" w:frame="1"/>
            <w:lang w:eastAsia="en-GB"/>
          </w:rPr>
          <w:t>video</w:t>
        </w:r>
      </w:hyperlink>
      <w:r w:rsidRPr="00C816AF">
        <w:rPr>
          <w:rFonts w:eastAsia="Times New Roman" w:cs="Arial"/>
          <w:i/>
          <w:iCs/>
          <w:color w:val="555555"/>
          <w:bdr w:val="none" w:sz="0" w:space="0" w:color="auto" w:frame="1"/>
          <w:lang w:eastAsia="en-GB"/>
        </w:rPr>
        <w:t> John Hattie talks about what feedback means and how to make feedback work effectively for learning in the classroom.</w:t>
      </w:r>
    </w:p>
    <w:p w:rsidR="00207D11" w:rsidRPr="00CE7B91" w:rsidRDefault="00207D11" w:rsidP="0042613A">
      <w:pPr>
        <w:jc w:val="both"/>
      </w:pPr>
    </w:p>
    <w:p w:rsidR="006F385A" w:rsidRDefault="006F385A" w:rsidP="0042613A">
      <w:pPr>
        <w:jc w:val="both"/>
      </w:pPr>
    </w:p>
    <w:p w:rsidR="006F385A" w:rsidRDefault="006F385A" w:rsidP="0042613A">
      <w:pPr>
        <w:jc w:val="both"/>
      </w:pPr>
    </w:p>
    <w:p w:rsidR="006F385A" w:rsidRDefault="006F385A" w:rsidP="0042613A">
      <w:pPr>
        <w:jc w:val="both"/>
      </w:pPr>
    </w:p>
    <w:p w:rsidR="006F385A" w:rsidRDefault="006F385A" w:rsidP="0042613A">
      <w:pPr>
        <w:jc w:val="both"/>
      </w:pPr>
    </w:p>
    <w:p w:rsidR="006F385A" w:rsidRDefault="006F385A" w:rsidP="0042613A">
      <w:pPr>
        <w:jc w:val="both"/>
      </w:pPr>
    </w:p>
    <w:p w:rsidR="006F385A" w:rsidRPr="0042613A" w:rsidRDefault="006F385A" w:rsidP="0042613A">
      <w:pPr>
        <w:jc w:val="both"/>
      </w:pPr>
    </w:p>
    <w:sectPr w:rsidR="006F385A" w:rsidRPr="004261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05089"/>
    <w:multiLevelType w:val="multilevel"/>
    <w:tmpl w:val="B57E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C3D90"/>
    <w:multiLevelType w:val="multilevel"/>
    <w:tmpl w:val="D722B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941D89"/>
    <w:multiLevelType w:val="multilevel"/>
    <w:tmpl w:val="99C4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DC0DAE"/>
    <w:multiLevelType w:val="multilevel"/>
    <w:tmpl w:val="1A3C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73724F"/>
    <w:multiLevelType w:val="multilevel"/>
    <w:tmpl w:val="2802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33273C"/>
    <w:multiLevelType w:val="multilevel"/>
    <w:tmpl w:val="A6F8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B70D45"/>
    <w:multiLevelType w:val="multilevel"/>
    <w:tmpl w:val="A852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A1759A"/>
    <w:multiLevelType w:val="multilevel"/>
    <w:tmpl w:val="ACC0E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5"/>
  </w:num>
  <w:num w:numId="4">
    <w:abstractNumId w:val="1"/>
  </w:num>
  <w:num w:numId="5">
    <w:abstractNumId w:val="6"/>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4F9"/>
    <w:rsid w:val="000039E9"/>
    <w:rsid w:val="00013913"/>
    <w:rsid w:val="00015C30"/>
    <w:rsid w:val="00016042"/>
    <w:rsid w:val="0002141B"/>
    <w:rsid w:val="000255F8"/>
    <w:rsid w:val="00027C7C"/>
    <w:rsid w:val="000346DE"/>
    <w:rsid w:val="00037BEA"/>
    <w:rsid w:val="0005042C"/>
    <w:rsid w:val="000504C6"/>
    <w:rsid w:val="00052609"/>
    <w:rsid w:val="00056062"/>
    <w:rsid w:val="00060663"/>
    <w:rsid w:val="00065B6D"/>
    <w:rsid w:val="00070591"/>
    <w:rsid w:val="000717C3"/>
    <w:rsid w:val="00072FB0"/>
    <w:rsid w:val="00075C6E"/>
    <w:rsid w:val="0008306D"/>
    <w:rsid w:val="00083991"/>
    <w:rsid w:val="000863F0"/>
    <w:rsid w:val="000C2AFE"/>
    <w:rsid w:val="000C7575"/>
    <w:rsid w:val="000D68B3"/>
    <w:rsid w:val="000E3C18"/>
    <w:rsid w:val="000E5ABE"/>
    <w:rsid w:val="000F2902"/>
    <w:rsid w:val="00100D4F"/>
    <w:rsid w:val="00102CB6"/>
    <w:rsid w:val="001137B7"/>
    <w:rsid w:val="00121D5D"/>
    <w:rsid w:val="0012672D"/>
    <w:rsid w:val="00127E49"/>
    <w:rsid w:val="00136B22"/>
    <w:rsid w:val="00141C34"/>
    <w:rsid w:val="0014237A"/>
    <w:rsid w:val="00154C34"/>
    <w:rsid w:val="001568B5"/>
    <w:rsid w:val="00162259"/>
    <w:rsid w:val="00164003"/>
    <w:rsid w:val="00164EF6"/>
    <w:rsid w:val="00165D50"/>
    <w:rsid w:val="00180ED5"/>
    <w:rsid w:val="00182314"/>
    <w:rsid w:val="001902C5"/>
    <w:rsid w:val="001920DA"/>
    <w:rsid w:val="001926D9"/>
    <w:rsid w:val="001A0B61"/>
    <w:rsid w:val="001A171B"/>
    <w:rsid w:val="001A55F6"/>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36CF"/>
    <w:rsid w:val="00224539"/>
    <w:rsid w:val="00235FF2"/>
    <w:rsid w:val="00241691"/>
    <w:rsid w:val="002451B6"/>
    <w:rsid w:val="00254828"/>
    <w:rsid w:val="00255757"/>
    <w:rsid w:val="002576D7"/>
    <w:rsid w:val="002576D8"/>
    <w:rsid w:val="00261EE8"/>
    <w:rsid w:val="00264A3B"/>
    <w:rsid w:val="00270F2A"/>
    <w:rsid w:val="002773CD"/>
    <w:rsid w:val="002775E3"/>
    <w:rsid w:val="0028233B"/>
    <w:rsid w:val="00284DED"/>
    <w:rsid w:val="00285492"/>
    <w:rsid w:val="00285D8A"/>
    <w:rsid w:val="002971C2"/>
    <w:rsid w:val="002A54F9"/>
    <w:rsid w:val="002A5FE6"/>
    <w:rsid w:val="002B6A7D"/>
    <w:rsid w:val="002C1153"/>
    <w:rsid w:val="002C2A50"/>
    <w:rsid w:val="002D6755"/>
    <w:rsid w:val="00303450"/>
    <w:rsid w:val="00303D19"/>
    <w:rsid w:val="00314AFF"/>
    <w:rsid w:val="0031587C"/>
    <w:rsid w:val="00315F12"/>
    <w:rsid w:val="003163E7"/>
    <w:rsid w:val="003240C2"/>
    <w:rsid w:val="00325177"/>
    <w:rsid w:val="00330D2B"/>
    <w:rsid w:val="00335138"/>
    <w:rsid w:val="00345A59"/>
    <w:rsid w:val="00346266"/>
    <w:rsid w:val="00350842"/>
    <w:rsid w:val="00352647"/>
    <w:rsid w:val="00355499"/>
    <w:rsid w:val="00367745"/>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05A3"/>
    <w:rsid w:val="003F4C19"/>
    <w:rsid w:val="003F4E77"/>
    <w:rsid w:val="003F6F3B"/>
    <w:rsid w:val="00400542"/>
    <w:rsid w:val="00400B12"/>
    <w:rsid w:val="0040117D"/>
    <w:rsid w:val="00406126"/>
    <w:rsid w:val="00406FE0"/>
    <w:rsid w:val="00421073"/>
    <w:rsid w:val="0042545A"/>
    <w:rsid w:val="0042613A"/>
    <w:rsid w:val="00426F8C"/>
    <w:rsid w:val="004350D0"/>
    <w:rsid w:val="0043717B"/>
    <w:rsid w:val="0044277A"/>
    <w:rsid w:val="00455E90"/>
    <w:rsid w:val="0046673C"/>
    <w:rsid w:val="00467170"/>
    <w:rsid w:val="004740AC"/>
    <w:rsid w:val="0048385B"/>
    <w:rsid w:val="0048548C"/>
    <w:rsid w:val="00492B1D"/>
    <w:rsid w:val="00495001"/>
    <w:rsid w:val="004B01BC"/>
    <w:rsid w:val="004B0BA1"/>
    <w:rsid w:val="004B3651"/>
    <w:rsid w:val="004B4E33"/>
    <w:rsid w:val="004C23DC"/>
    <w:rsid w:val="004C6890"/>
    <w:rsid w:val="004C68C2"/>
    <w:rsid w:val="004C693C"/>
    <w:rsid w:val="004D09DA"/>
    <w:rsid w:val="004D22C0"/>
    <w:rsid w:val="004D2CCB"/>
    <w:rsid w:val="004E4DBF"/>
    <w:rsid w:val="004E5472"/>
    <w:rsid w:val="004F0004"/>
    <w:rsid w:val="004F6BEC"/>
    <w:rsid w:val="00500821"/>
    <w:rsid w:val="00503A0C"/>
    <w:rsid w:val="005162EB"/>
    <w:rsid w:val="00520501"/>
    <w:rsid w:val="00520A04"/>
    <w:rsid w:val="005227FF"/>
    <w:rsid w:val="005253AA"/>
    <w:rsid w:val="00533C87"/>
    <w:rsid w:val="00552F35"/>
    <w:rsid w:val="005549EC"/>
    <w:rsid w:val="005604F4"/>
    <w:rsid w:val="005611BF"/>
    <w:rsid w:val="005664E9"/>
    <w:rsid w:val="00570A4C"/>
    <w:rsid w:val="005717E0"/>
    <w:rsid w:val="00575430"/>
    <w:rsid w:val="00577C10"/>
    <w:rsid w:val="00587325"/>
    <w:rsid w:val="00590888"/>
    <w:rsid w:val="0059485A"/>
    <w:rsid w:val="0059548D"/>
    <w:rsid w:val="005A1D6F"/>
    <w:rsid w:val="005A2432"/>
    <w:rsid w:val="005A2961"/>
    <w:rsid w:val="005A3D94"/>
    <w:rsid w:val="005A7D92"/>
    <w:rsid w:val="005C2B9D"/>
    <w:rsid w:val="005D00A9"/>
    <w:rsid w:val="005D0436"/>
    <w:rsid w:val="005D1B84"/>
    <w:rsid w:val="005E15AB"/>
    <w:rsid w:val="005E6442"/>
    <w:rsid w:val="005F233E"/>
    <w:rsid w:val="005F41F2"/>
    <w:rsid w:val="005F5D7D"/>
    <w:rsid w:val="005F686B"/>
    <w:rsid w:val="005F76F2"/>
    <w:rsid w:val="00605A43"/>
    <w:rsid w:val="00610A27"/>
    <w:rsid w:val="006162D1"/>
    <w:rsid w:val="00616C96"/>
    <w:rsid w:val="00625767"/>
    <w:rsid w:val="006308A1"/>
    <w:rsid w:val="00631B93"/>
    <w:rsid w:val="00634720"/>
    <w:rsid w:val="006347FF"/>
    <w:rsid w:val="00635683"/>
    <w:rsid w:val="0064658F"/>
    <w:rsid w:val="0064757E"/>
    <w:rsid w:val="00653347"/>
    <w:rsid w:val="006554E6"/>
    <w:rsid w:val="00657111"/>
    <w:rsid w:val="00660D5A"/>
    <w:rsid w:val="006668E3"/>
    <w:rsid w:val="00670D7D"/>
    <w:rsid w:val="00672F06"/>
    <w:rsid w:val="00691D64"/>
    <w:rsid w:val="006927DE"/>
    <w:rsid w:val="00695257"/>
    <w:rsid w:val="006A06C0"/>
    <w:rsid w:val="006A0ABD"/>
    <w:rsid w:val="006B06D7"/>
    <w:rsid w:val="006B4640"/>
    <w:rsid w:val="006B66F6"/>
    <w:rsid w:val="006C778C"/>
    <w:rsid w:val="006D11DA"/>
    <w:rsid w:val="006D3B51"/>
    <w:rsid w:val="006D6CA1"/>
    <w:rsid w:val="006D7327"/>
    <w:rsid w:val="006D7EE4"/>
    <w:rsid w:val="006E38DA"/>
    <w:rsid w:val="006F1D56"/>
    <w:rsid w:val="006F385A"/>
    <w:rsid w:val="006F453A"/>
    <w:rsid w:val="006F75E1"/>
    <w:rsid w:val="006F7F7A"/>
    <w:rsid w:val="00703B03"/>
    <w:rsid w:val="007058A8"/>
    <w:rsid w:val="0071211E"/>
    <w:rsid w:val="00712EB1"/>
    <w:rsid w:val="00717EB7"/>
    <w:rsid w:val="007249E6"/>
    <w:rsid w:val="0072732E"/>
    <w:rsid w:val="00735009"/>
    <w:rsid w:val="00742A7F"/>
    <w:rsid w:val="00745513"/>
    <w:rsid w:val="00751025"/>
    <w:rsid w:val="00755482"/>
    <w:rsid w:val="007652B5"/>
    <w:rsid w:val="00772E73"/>
    <w:rsid w:val="007770E9"/>
    <w:rsid w:val="0077769E"/>
    <w:rsid w:val="00784988"/>
    <w:rsid w:val="00784996"/>
    <w:rsid w:val="00785759"/>
    <w:rsid w:val="007A475B"/>
    <w:rsid w:val="007A4CAE"/>
    <w:rsid w:val="007A5143"/>
    <w:rsid w:val="007A56BE"/>
    <w:rsid w:val="007A7FA4"/>
    <w:rsid w:val="007B0F50"/>
    <w:rsid w:val="007B29C9"/>
    <w:rsid w:val="007B6B59"/>
    <w:rsid w:val="007C6994"/>
    <w:rsid w:val="007D0E42"/>
    <w:rsid w:val="007D24A4"/>
    <w:rsid w:val="007E2E42"/>
    <w:rsid w:val="007E4B3F"/>
    <w:rsid w:val="0080648A"/>
    <w:rsid w:val="008065A3"/>
    <w:rsid w:val="008075C8"/>
    <w:rsid w:val="00812474"/>
    <w:rsid w:val="00813852"/>
    <w:rsid w:val="008162F6"/>
    <w:rsid w:val="00816BB0"/>
    <w:rsid w:val="00826A9C"/>
    <w:rsid w:val="0082700D"/>
    <w:rsid w:val="00832288"/>
    <w:rsid w:val="00833DA5"/>
    <w:rsid w:val="00841673"/>
    <w:rsid w:val="00841E90"/>
    <w:rsid w:val="0084290A"/>
    <w:rsid w:val="00843AA9"/>
    <w:rsid w:val="00847A83"/>
    <w:rsid w:val="00853F1E"/>
    <w:rsid w:val="00857886"/>
    <w:rsid w:val="0086674D"/>
    <w:rsid w:val="0086773F"/>
    <w:rsid w:val="00867CA4"/>
    <w:rsid w:val="00872DB6"/>
    <w:rsid w:val="008735EF"/>
    <w:rsid w:val="00882BB4"/>
    <w:rsid w:val="00884A7C"/>
    <w:rsid w:val="00886157"/>
    <w:rsid w:val="00886E6D"/>
    <w:rsid w:val="00894177"/>
    <w:rsid w:val="008957A9"/>
    <w:rsid w:val="00896A85"/>
    <w:rsid w:val="008A1F5E"/>
    <w:rsid w:val="008A25C1"/>
    <w:rsid w:val="008A3352"/>
    <w:rsid w:val="008B01EB"/>
    <w:rsid w:val="008B2399"/>
    <w:rsid w:val="008B2F55"/>
    <w:rsid w:val="008B43C8"/>
    <w:rsid w:val="008C2409"/>
    <w:rsid w:val="008C3B04"/>
    <w:rsid w:val="008C706A"/>
    <w:rsid w:val="008C7139"/>
    <w:rsid w:val="008C73AE"/>
    <w:rsid w:val="008C7D93"/>
    <w:rsid w:val="008D04F9"/>
    <w:rsid w:val="008D15F7"/>
    <w:rsid w:val="008D5495"/>
    <w:rsid w:val="008E1DD5"/>
    <w:rsid w:val="008E2E4B"/>
    <w:rsid w:val="008F2D5B"/>
    <w:rsid w:val="008F5F33"/>
    <w:rsid w:val="00903D03"/>
    <w:rsid w:val="00911B01"/>
    <w:rsid w:val="00913981"/>
    <w:rsid w:val="0092521D"/>
    <w:rsid w:val="0092631D"/>
    <w:rsid w:val="00941BD0"/>
    <w:rsid w:val="00943EEC"/>
    <w:rsid w:val="00950A4A"/>
    <w:rsid w:val="0095273C"/>
    <w:rsid w:val="00953104"/>
    <w:rsid w:val="0095329C"/>
    <w:rsid w:val="00953B83"/>
    <w:rsid w:val="0095739F"/>
    <w:rsid w:val="00962B55"/>
    <w:rsid w:val="009634DF"/>
    <w:rsid w:val="0096457B"/>
    <w:rsid w:val="009666B2"/>
    <w:rsid w:val="0097077E"/>
    <w:rsid w:val="00981B56"/>
    <w:rsid w:val="009A3C14"/>
    <w:rsid w:val="009B1DDC"/>
    <w:rsid w:val="009B2AB0"/>
    <w:rsid w:val="009B3187"/>
    <w:rsid w:val="009B786E"/>
    <w:rsid w:val="009C1C32"/>
    <w:rsid w:val="009C5816"/>
    <w:rsid w:val="009F5550"/>
    <w:rsid w:val="00A0087F"/>
    <w:rsid w:val="00A0155D"/>
    <w:rsid w:val="00A13F14"/>
    <w:rsid w:val="00A1547C"/>
    <w:rsid w:val="00A355F9"/>
    <w:rsid w:val="00A44295"/>
    <w:rsid w:val="00A53411"/>
    <w:rsid w:val="00A77F41"/>
    <w:rsid w:val="00A81081"/>
    <w:rsid w:val="00A827E0"/>
    <w:rsid w:val="00A85726"/>
    <w:rsid w:val="00A85C2D"/>
    <w:rsid w:val="00A93B51"/>
    <w:rsid w:val="00AA2DAD"/>
    <w:rsid w:val="00AB49A3"/>
    <w:rsid w:val="00AB683A"/>
    <w:rsid w:val="00AC43D8"/>
    <w:rsid w:val="00AC5CD6"/>
    <w:rsid w:val="00AD13F5"/>
    <w:rsid w:val="00AE3284"/>
    <w:rsid w:val="00AF008E"/>
    <w:rsid w:val="00AF2E79"/>
    <w:rsid w:val="00AF3AC4"/>
    <w:rsid w:val="00AF6B60"/>
    <w:rsid w:val="00AF7463"/>
    <w:rsid w:val="00B03498"/>
    <w:rsid w:val="00B16453"/>
    <w:rsid w:val="00B17577"/>
    <w:rsid w:val="00B17A77"/>
    <w:rsid w:val="00B31C2C"/>
    <w:rsid w:val="00B33EE7"/>
    <w:rsid w:val="00B360B2"/>
    <w:rsid w:val="00B434A5"/>
    <w:rsid w:val="00B466AD"/>
    <w:rsid w:val="00B54817"/>
    <w:rsid w:val="00B562D3"/>
    <w:rsid w:val="00B62E2C"/>
    <w:rsid w:val="00B63D21"/>
    <w:rsid w:val="00B74650"/>
    <w:rsid w:val="00B83C2A"/>
    <w:rsid w:val="00B9294C"/>
    <w:rsid w:val="00B95E52"/>
    <w:rsid w:val="00BA3490"/>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45024"/>
    <w:rsid w:val="00C63E38"/>
    <w:rsid w:val="00C64A6B"/>
    <w:rsid w:val="00C6681D"/>
    <w:rsid w:val="00C7767A"/>
    <w:rsid w:val="00C816AF"/>
    <w:rsid w:val="00C842C0"/>
    <w:rsid w:val="00C86E16"/>
    <w:rsid w:val="00C937D1"/>
    <w:rsid w:val="00C96BAF"/>
    <w:rsid w:val="00CB01A1"/>
    <w:rsid w:val="00CB3427"/>
    <w:rsid w:val="00CC1022"/>
    <w:rsid w:val="00CC35F1"/>
    <w:rsid w:val="00CD7D12"/>
    <w:rsid w:val="00CE5875"/>
    <w:rsid w:val="00CE5B22"/>
    <w:rsid w:val="00CE7B91"/>
    <w:rsid w:val="00CF30C2"/>
    <w:rsid w:val="00D01541"/>
    <w:rsid w:val="00D07DAA"/>
    <w:rsid w:val="00D1021D"/>
    <w:rsid w:val="00D12510"/>
    <w:rsid w:val="00D17EE0"/>
    <w:rsid w:val="00D2502E"/>
    <w:rsid w:val="00D321EA"/>
    <w:rsid w:val="00D448F7"/>
    <w:rsid w:val="00D467D5"/>
    <w:rsid w:val="00D479CF"/>
    <w:rsid w:val="00D52AE5"/>
    <w:rsid w:val="00D52D34"/>
    <w:rsid w:val="00D63DE9"/>
    <w:rsid w:val="00D649D7"/>
    <w:rsid w:val="00D64C73"/>
    <w:rsid w:val="00D74E82"/>
    <w:rsid w:val="00D81644"/>
    <w:rsid w:val="00D834A6"/>
    <w:rsid w:val="00D83541"/>
    <w:rsid w:val="00D846E7"/>
    <w:rsid w:val="00D87066"/>
    <w:rsid w:val="00D935F4"/>
    <w:rsid w:val="00D9514C"/>
    <w:rsid w:val="00DA2101"/>
    <w:rsid w:val="00DA3402"/>
    <w:rsid w:val="00DA56CE"/>
    <w:rsid w:val="00DB3342"/>
    <w:rsid w:val="00DB4CFB"/>
    <w:rsid w:val="00DB646F"/>
    <w:rsid w:val="00DB6F25"/>
    <w:rsid w:val="00DC1B08"/>
    <w:rsid w:val="00DC1FDA"/>
    <w:rsid w:val="00DC3BBD"/>
    <w:rsid w:val="00DC3F52"/>
    <w:rsid w:val="00DC64F2"/>
    <w:rsid w:val="00DD0AEF"/>
    <w:rsid w:val="00DD21FB"/>
    <w:rsid w:val="00DE2040"/>
    <w:rsid w:val="00DF1BBA"/>
    <w:rsid w:val="00DF4D6D"/>
    <w:rsid w:val="00DF72C0"/>
    <w:rsid w:val="00DF76CB"/>
    <w:rsid w:val="00E005F5"/>
    <w:rsid w:val="00E060C6"/>
    <w:rsid w:val="00E111F1"/>
    <w:rsid w:val="00E224FF"/>
    <w:rsid w:val="00E22547"/>
    <w:rsid w:val="00E22E53"/>
    <w:rsid w:val="00E234C2"/>
    <w:rsid w:val="00E3208C"/>
    <w:rsid w:val="00E36800"/>
    <w:rsid w:val="00E45A6A"/>
    <w:rsid w:val="00E5283F"/>
    <w:rsid w:val="00E577F6"/>
    <w:rsid w:val="00E611AC"/>
    <w:rsid w:val="00E74312"/>
    <w:rsid w:val="00E75C79"/>
    <w:rsid w:val="00E80162"/>
    <w:rsid w:val="00E812D5"/>
    <w:rsid w:val="00E81DF3"/>
    <w:rsid w:val="00E829FF"/>
    <w:rsid w:val="00E94E27"/>
    <w:rsid w:val="00EB15F0"/>
    <w:rsid w:val="00EB16AA"/>
    <w:rsid w:val="00EB2B8D"/>
    <w:rsid w:val="00EB5193"/>
    <w:rsid w:val="00EB6702"/>
    <w:rsid w:val="00EC1583"/>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71032"/>
    <w:rsid w:val="00F74EDC"/>
    <w:rsid w:val="00F76110"/>
    <w:rsid w:val="00F81B40"/>
    <w:rsid w:val="00F839B1"/>
    <w:rsid w:val="00F84D48"/>
    <w:rsid w:val="00F96363"/>
    <w:rsid w:val="00FA4004"/>
    <w:rsid w:val="00FB2C39"/>
    <w:rsid w:val="00FC3B89"/>
    <w:rsid w:val="00FC53D9"/>
    <w:rsid w:val="00FE3DF2"/>
    <w:rsid w:val="00FE4701"/>
    <w:rsid w:val="00FE67EB"/>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DF5A97-79DE-4418-93F6-0B0D021A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7B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234961">
      <w:bodyDiv w:val="1"/>
      <w:marLeft w:val="0"/>
      <w:marRight w:val="0"/>
      <w:marTop w:val="0"/>
      <w:marBottom w:val="0"/>
      <w:divBdr>
        <w:top w:val="none" w:sz="0" w:space="0" w:color="auto"/>
        <w:left w:val="none" w:sz="0" w:space="0" w:color="auto"/>
        <w:bottom w:val="none" w:sz="0" w:space="0" w:color="auto"/>
        <w:right w:val="none" w:sz="0" w:space="0" w:color="auto"/>
      </w:divBdr>
      <w:divsChild>
        <w:div w:id="973102841">
          <w:marLeft w:val="0"/>
          <w:marRight w:val="0"/>
          <w:marTop w:val="0"/>
          <w:marBottom w:val="0"/>
          <w:divBdr>
            <w:top w:val="none" w:sz="0" w:space="0" w:color="auto"/>
            <w:left w:val="none" w:sz="0" w:space="0" w:color="auto"/>
            <w:bottom w:val="none" w:sz="0" w:space="0" w:color="auto"/>
            <w:right w:val="none" w:sz="0" w:space="0" w:color="auto"/>
          </w:divBdr>
          <w:divsChild>
            <w:div w:id="462697956">
              <w:marLeft w:val="480"/>
              <w:marRight w:val="0"/>
              <w:marTop w:val="0"/>
              <w:marBottom w:val="0"/>
              <w:divBdr>
                <w:top w:val="none" w:sz="0" w:space="0" w:color="auto"/>
                <w:left w:val="none" w:sz="0" w:space="0" w:color="auto"/>
                <w:bottom w:val="none" w:sz="0" w:space="0" w:color="auto"/>
                <w:right w:val="none" w:sz="0" w:space="0" w:color="auto"/>
              </w:divBdr>
            </w:div>
            <w:div w:id="364909877">
              <w:marLeft w:val="480"/>
              <w:marRight w:val="0"/>
              <w:marTop w:val="0"/>
              <w:marBottom w:val="0"/>
              <w:divBdr>
                <w:top w:val="none" w:sz="0" w:space="0" w:color="auto"/>
                <w:left w:val="none" w:sz="0" w:space="0" w:color="auto"/>
                <w:bottom w:val="none" w:sz="0" w:space="0" w:color="auto"/>
                <w:right w:val="none" w:sz="0" w:space="0" w:color="auto"/>
              </w:divBdr>
            </w:div>
            <w:div w:id="438718788">
              <w:marLeft w:val="480"/>
              <w:marRight w:val="0"/>
              <w:marTop w:val="0"/>
              <w:marBottom w:val="0"/>
              <w:divBdr>
                <w:top w:val="none" w:sz="0" w:space="0" w:color="auto"/>
                <w:left w:val="none" w:sz="0" w:space="0" w:color="auto"/>
                <w:bottom w:val="none" w:sz="0" w:space="0" w:color="auto"/>
                <w:right w:val="none" w:sz="0" w:space="0" w:color="auto"/>
              </w:divBdr>
            </w:div>
            <w:div w:id="1235698426">
              <w:marLeft w:val="480"/>
              <w:marRight w:val="0"/>
              <w:marTop w:val="0"/>
              <w:marBottom w:val="0"/>
              <w:divBdr>
                <w:top w:val="none" w:sz="0" w:space="0" w:color="auto"/>
                <w:left w:val="none" w:sz="0" w:space="0" w:color="auto"/>
                <w:bottom w:val="none" w:sz="0" w:space="0" w:color="auto"/>
                <w:right w:val="none" w:sz="0" w:space="0" w:color="auto"/>
              </w:divBdr>
            </w:div>
            <w:div w:id="77407002">
              <w:marLeft w:val="480"/>
              <w:marRight w:val="0"/>
              <w:marTop w:val="0"/>
              <w:marBottom w:val="0"/>
              <w:divBdr>
                <w:top w:val="none" w:sz="0" w:space="0" w:color="auto"/>
                <w:left w:val="none" w:sz="0" w:space="0" w:color="auto"/>
                <w:bottom w:val="none" w:sz="0" w:space="0" w:color="auto"/>
                <w:right w:val="none" w:sz="0" w:space="0" w:color="auto"/>
              </w:divBdr>
            </w:div>
            <w:div w:id="803352620">
              <w:marLeft w:val="480"/>
              <w:marRight w:val="0"/>
              <w:marTop w:val="0"/>
              <w:marBottom w:val="0"/>
              <w:divBdr>
                <w:top w:val="none" w:sz="0" w:space="0" w:color="auto"/>
                <w:left w:val="none" w:sz="0" w:space="0" w:color="auto"/>
                <w:bottom w:val="none" w:sz="0" w:space="0" w:color="auto"/>
                <w:right w:val="none" w:sz="0" w:space="0" w:color="auto"/>
              </w:divBdr>
            </w:div>
            <w:div w:id="318925031">
              <w:marLeft w:val="480"/>
              <w:marRight w:val="0"/>
              <w:marTop w:val="0"/>
              <w:marBottom w:val="0"/>
              <w:divBdr>
                <w:top w:val="none" w:sz="0" w:space="0" w:color="auto"/>
                <w:left w:val="none" w:sz="0" w:space="0" w:color="auto"/>
                <w:bottom w:val="none" w:sz="0" w:space="0" w:color="auto"/>
                <w:right w:val="none" w:sz="0" w:space="0" w:color="auto"/>
              </w:divBdr>
            </w:div>
            <w:div w:id="383871617">
              <w:marLeft w:val="480"/>
              <w:marRight w:val="0"/>
              <w:marTop w:val="0"/>
              <w:marBottom w:val="0"/>
              <w:divBdr>
                <w:top w:val="none" w:sz="0" w:space="0" w:color="auto"/>
                <w:left w:val="none" w:sz="0" w:space="0" w:color="auto"/>
                <w:bottom w:val="none" w:sz="0" w:space="0" w:color="auto"/>
                <w:right w:val="none" w:sz="0" w:space="0" w:color="auto"/>
              </w:divBdr>
            </w:div>
            <w:div w:id="68162633">
              <w:marLeft w:val="480"/>
              <w:marRight w:val="0"/>
              <w:marTop w:val="0"/>
              <w:marBottom w:val="0"/>
              <w:divBdr>
                <w:top w:val="none" w:sz="0" w:space="0" w:color="auto"/>
                <w:left w:val="none" w:sz="0" w:space="0" w:color="auto"/>
                <w:bottom w:val="none" w:sz="0" w:space="0" w:color="auto"/>
                <w:right w:val="none" w:sz="0" w:space="0" w:color="auto"/>
              </w:divBdr>
            </w:div>
            <w:div w:id="1399211509">
              <w:marLeft w:val="480"/>
              <w:marRight w:val="0"/>
              <w:marTop w:val="0"/>
              <w:marBottom w:val="0"/>
              <w:divBdr>
                <w:top w:val="none" w:sz="0" w:space="0" w:color="auto"/>
                <w:left w:val="none" w:sz="0" w:space="0" w:color="auto"/>
                <w:bottom w:val="none" w:sz="0" w:space="0" w:color="auto"/>
                <w:right w:val="none" w:sz="0" w:space="0" w:color="auto"/>
              </w:divBdr>
            </w:div>
            <w:div w:id="1735619699">
              <w:marLeft w:val="480"/>
              <w:marRight w:val="0"/>
              <w:marTop w:val="0"/>
              <w:marBottom w:val="0"/>
              <w:divBdr>
                <w:top w:val="none" w:sz="0" w:space="0" w:color="auto"/>
                <w:left w:val="none" w:sz="0" w:space="0" w:color="auto"/>
                <w:bottom w:val="none" w:sz="0" w:space="0" w:color="auto"/>
                <w:right w:val="none" w:sz="0" w:space="0" w:color="auto"/>
              </w:divBdr>
            </w:div>
            <w:div w:id="2038575513">
              <w:marLeft w:val="480"/>
              <w:marRight w:val="0"/>
              <w:marTop w:val="0"/>
              <w:marBottom w:val="0"/>
              <w:divBdr>
                <w:top w:val="none" w:sz="0" w:space="0" w:color="auto"/>
                <w:left w:val="none" w:sz="0" w:space="0" w:color="auto"/>
                <w:bottom w:val="none" w:sz="0" w:space="0" w:color="auto"/>
                <w:right w:val="none" w:sz="0" w:space="0" w:color="auto"/>
              </w:divBdr>
            </w:div>
            <w:div w:id="1051072933">
              <w:marLeft w:val="480"/>
              <w:marRight w:val="0"/>
              <w:marTop w:val="0"/>
              <w:marBottom w:val="0"/>
              <w:divBdr>
                <w:top w:val="none" w:sz="0" w:space="0" w:color="auto"/>
                <w:left w:val="none" w:sz="0" w:space="0" w:color="auto"/>
                <w:bottom w:val="none" w:sz="0" w:space="0" w:color="auto"/>
                <w:right w:val="none" w:sz="0" w:space="0" w:color="auto"/>
              </w:divBdr>
            </w:div>
            <w:div w:id="1634403036">
              <w:marLeft w:val="480"/>
              <w:marRight w:val="0"/>
              <w:marTop w:val="0"/>
              <w:marBottom w:val="0"/>
              <w:divBdr>
                <w:top w:val="none" w:sz="0" w:space="0" w:color="auto"/>
                <w:left w:val="none" w:sz="0" w:space="0" w:color="auto"/>
                <w:bottom w:val="none" w:sz="0" w:space="0" w:color="auto"/>
                <w:right w:val="none" w:sz="0" w:space="0" w:color="auto"/>
              </w:divBdr>
            </w:div>
            <w:div w:id="1224219640">
              <w:marLeft w:val="480"/>
              <w:marRight w:val="0"/>
              <w:marTop w:val="0"/>
              <w:marBottom w:val="0"/>
              <w:divBdr>
                <w:top w:val="none" w:sz="0" w:space="0" w:color="auto"/>
                <w:left w:val="none" w:sz="0" w:space="0" w:color="auto"/>
                <w:bottom w:val="none" w:sz="0" w:space="0" w:color="auto"/>
                <w:right w:val="none" w:sz="0" w:space="0" w:color="auto"/>
              </w:divBdr>
            </w:div>
            <w:div w:id="113640762">
              <w:marLeft w:val="480"/>
              <w:marRight w:val="0"/>
              <w:marTop w:val="0"/>
              <w:marBottom w:val="0"/>
              <w:divBdr>
                <w:top w:val="none" w:sz="0" w:space="0" w:color="auto"/>
                <w:left w:val="none" w:sz="0" w:space="0" w:color="auto"/>
                <w:bottom w:val="none" w:sz="0" w:space="0" w:color="auto"/>
                <w:right w:val="none" w:sz="0" w:space="0" w:color="auto"/>
              </w:divBdr>
            </w:div>
            <w:div w:id="63114006">
              <w:marLeft w:val="480"/>
              <w:marRight w:val="0"/>
              <w:marTop w:val="0"/>
              <w:marBottom w:val="0"/>
              <w:divBdr>
                <w:top w:val="none" w:sz="0" w:space="0" w:color="auto"/>
                <w:left w:val="none" w:sz="0" w:space="0" w:color="auto"/>
                <w:bottom w:val="none" w:sz="0" w:space="0" w:color="auto"/>
                <w:right w:val="none" w:sz="0" w:space="0" w:color="auto"/>
              </w:divBdr>
            </w:div>
            <w:div w:id="1358656670">
              <w:marLeft w:val="480"/>
              <w:marRight w:val="0"/>
              <w:marTop w:val="0"/>
              <w:marBottom w:val="0"/>
              <w:divBdr>
                <w:top w:val="none" w:sz="0" w:space="0" w:color="auto"/>
                <w:left w:val="none" w:sz="0" w:space="0" w:color="auto"/>
                <w:bottom w:val="none" w:sz="0" w:space="0" w:color="auto"/>
                <w:right w:val="none" w:sz="0" w:space="0" w:color="auto"/>
              </w:divBdr>
            </w:div>
            <w:div w:id="1856579519">
              <w:marLeft w:val="480"/>
              <w:marRight w:val="0"/>
              <w:marTop w:val="0"/>
              <w:marBottom w:val="0"/>
              <w:divBdr>
                <w:top w:val="none" w:sz="0" w:space="0" w:color="auto"/>
                <w:left w:val="none" w:sz="0" w:space="0" w:color="auto"/>
                <w:bottom w:val="none" w:sz="0" w:space="0" w:color="auto"/>
                <w:right w:val="none" w:sz="0" w:space="0" w:color="auto"/>
              </w:divBdr>
            </w:div>
            <w:div w:id="1893035308">
              <w:marLeft w:val="480"/>
              <w:marRight w:val="0"/>
              <w:marTop w:val="0"/>
              <w:marBottom w:val="0"/>
              <w:divBdr>
                <w:top w:val="none" w:sz="0" w:space="0" w:color="auto"/>
                <w:left w:val="none" w:sz="0" w:space="0" w:color="auto"/>
                <w:bottom w:val="none" w:sz="0" w:space="0" w:color="auto"/>
                <w:right w:val="none" w:sz="0" w:space="0" w:color="auto"/>
              </w:divBdr>
            </w:div>
            <w:div w:id="1546913825">
              <w:marLeft w:val="480"/>
              <w:marRight w:val="0"/>
              <w:marTop w:val="0"/>
              <w:marBottom w:val="0"/>
              <w:divBdr>
                <w:top w:val="none" w:sz="0" w:space="0" w:color="auto"/>
                <w:left w:val="none" w:sz="0" w:space="0" w:color="auto"/>
                <w:bottom w:val="none" w:sz="0" w:space="0" w:color="auto"/>
                <w:right w:val="none" w:sz="0" w:space="0" w:color="auto"/>
              </w:divBdr>
            </w:div>
            <w:div w:id="1822380180">
              <w:marLeft w:val="480"/>
              <w:marRight w:val="0"/>
              <w:marTop w:val="0"/>
              <w:marBottom w:val="0"/>
              <w:divBdr>
                <w:top w:val="none" w:sz="0" w:space="0" w:color="auto"/>
                <w:left w:val="none" w:sz="0" w:space="0" w:color="auto"/>
                <w:bottom w:val="none" w:sz="0" w:space="0" w:color="auto"/>
                <w:right w:val="none" w:sz="0" w:space="0" w:color="auto"/>
              </w:divBdr>
            </w:div>
            <w:div w:id="1527792445">
              <w:marLeft w:val="480"/>
              <w:marRight w:val="0"/>
              <w:marTop w:val="0"/>
              <w:marBottom w:val="0"/>
              <w:divBdr>
                <w:top w:val="none" w:sz="0" w:space="0" w:color="auto"/>
                <w:left w:val="none" w:sz="0" w:space="0" w:color="auto"/>
                <w:bottom w:val="none" w:sz="0" w:space="0" w:color="auto"/>
                <w:right w:val="none" w:sz="0" w:space="0" w:color="auto"/>
              </w:divBdr>
            </w:div>
            <w:div w:id="439647995">
              <w:marLeft w:val="480"/>
              <w:marRight w:val="0"/>
              <w:marTop w:val="0"/>
              <w:marBottom w:val="0"/>
              <w:divBdr>
                <w:top w:val="none" w:sz="0" w:space="0" w:color="auto"/>
                <w:left w:val="none" w:sz="0" w:space="0" w:color="auto"/>
                <w:bottom w:val="none" w:sz="0" w:space="0" w:color="auto"/>
                <w:right w:val="none" w:sz="0" w:space="0" w:color="auto"/>
              </w:divBdr>
            </w:div>
            <w:div w:id="542600982">
              <w:marLeft w:val="480"/>
              <w:marRight w:val="0"/>
              <w:marTop w:val="0"/>
              <w:marBottom w:val="0"/>
              <w:divBdr>
                <w:top w:val="none" w:sz="0" w:space="0" w:color="auto"/>
                <w:left w:val="none" w:sz="0" w:space="0" w:color="auto"/>
                <w:bottom w:val="none" w:sz="0" w:space="0" w:color="auto"/>
                <w:right w:val="none" w:sz="0" w:space="0" w:color="auto"/>
              </w:divBdr>
            </w:div>
            <w:div w:id="1481573924">
              <w:marLeft w:val="480"/>
              <w:marRight w:val="0"/>
              <w:marTop w:val="0"/>
              <w:marBottom w:val="0"/>
              <w:divBdr>
                <w:top w:val="none" w:sz="0" w:space="0" w:color="auto"/>
                <w:left w:val="none" w:sz="0" w:space="0" w:color="auto"/>
                <w:bottom w:val="none" w:sz="0" w:space="0" w:color="auto"/>
                <w:right w:val="none" w:sz="0" w:space="0" w:color="auto"/>
              </w:divBdr>
            </w:div>
            <w:div w:id="258369743">
              <w:marLeft w:val="480"/>
              <w:marRight w:val="0"/>
              <w:marTop w:val="0"/>
              <w:marBottom w:val="0"/>
              <w:divBdr>
                <w:top w:val="none" w:sz="0" w:space="0" w:color="auto"/>
                <w:left w:val="none" w:sz="0" w:space="0" w:color="auto"/>
                <w:bottom w:val="none" w:sz="0" w:space="0" w:color="auto"/>
                <w:right w:val="none" w:sz="0" w:space="0" w:color="auto"/>
              </w:divBdr>
            </w:div>
            <w:div w:id="1650210004">
              <w:marLeft w:val="480"/>
              <w:marRight w:val="0"/>
              <w:marTop w:val="0"/>
              <w:marBottom w:val="0"/>
              <w:divBdr>
                <w:top w:val="none" w:sz="0" w:space="0" w:color="auto"/>
                <w:left w:val="none" w:sz="0" w:space="0" w:color="auto"/>
                <w:bottom w:val="none" w:sz="0" w:space="0" w:color="auto"/>
                <w:right w:val="none" w:sz="0" w:space="0" w:color="auto"/>
              </w:divBdr>
            </w:div>
            <w:div w:id="1362825520">
              <w:marLeft w:val="480"/>
              <w:marRight w:val="0"/>
              <w:marTop w:val="0"/>
              <w:marBottom w:val="0"/>
              <w:divBdr>
                <w:top w:val="none" w:sz="0" w:space="0" w:color="auto"/>
                <w:left w:val="none" w:sz="0" w:space="0" w:color="auto"/>
                <w:bottom w:val="none" w:sz="0" w:space="0" w:color="auto"/>
                <w:right w:val="none" w:sz="0" w:space="0" w:color="auto"/>
              </w:divBdr>
            </w:div>
            <w:div w:id="1972205023">
              <w:marLeft w:val="480"/>
              <w:marRight w:val="0"/>
              <w:marTop w:val="0"/>
              <w:marBottom w:val="0"/>
              <w:divBdr>
                <w:top w:val="none" w:sz="0" w:space="0" w:color="auto"/>
                <w:left w:val="none" w:sz="0" w:space="0" w:color="auto"/>
                <w:bottom w:val="none" w:sz="0" w:space="0" w:color="auto"/>
                <w:right w:val="none" w:sz="0" w:space="0" w:color="auto"/>
              </w:divBdr>
            </w:div>
            <w:div w:id="597754160">
              <w:marLeft w:val="480"/>
              <w:marRight w:val="0"/>
              <w:marTop w:val="0"/>
              <w:marBottom w:val="0"/>
              <w:divBdr>
                <w:top w:val="none" w:sz="0" w:space="0" w:color="auto"/>
                <w:left w:val="none" w:sz="0" w:space="0" w:color="auto"/>
                <w:bottom w:val="none" w:sz="0" w:space="0" w:color="auto"/>
                <w:right w:val="none" w:sz="0" w:space="0" w:color="auto"/>
              </w:divBdr>
            </w:div>
            <w:div w:id="213660574">
              <w:marLeft w:val="480"/>
              <w:marRight w:val="0"/>
              <w:marTop w:val="0"/>
              <w:marBottom w:val="0"/>
              <w:divBdr>
                <w:top w:val="none" w:sz="0" w:space="0" w:color="auto"/>
                <w:left w:val="none" w:sz="0" w:space="0" w:color="auto"/>
                <w:bottom w:val="none" w:sz="0" w:space="0" w:color="auto"/>
                <w:right w:val="none" w:sz="0" w:space="0" w:color="auto"/>
              </w:divBdr>
            </w:div>
            <w:div w:id="1048072805">
              <w:marLeft w:val="480"/>
              <w:marRight w:val="0"/>
              <w:marTop w:val="0"/>
              <w:marBottom w:val="0"/>
              <w:divBdr>
                <w:top w:val="none" w:sz="0" w:space="0" w:color="auto"/>
                <w:left w:val="none" w:sz="0" w:space="0" w:color="auto"/>
                <w:bottom w:val="none" w:sz="0" w:space="0" w:color="auto"/>
                <w:right w:val="none" w:sz="0" w:space="0" w:color="auto"/>
              </w:divBdr>
            </w:div>
            <w:div w:id="2138141745">
              <w:marLeft w:val="480"/>
              <w:marRight w:val="0"/>
              <w:marTop w:val="0"/>
              <w:marBottom w:val="0"/>
              <w:divBdr>
                <w:top w:val="none" w:sz="0" w:space="0" w:color="auto"/>
                <w:left w:val="none" w:sz="0" w:space="0" w:color="auto"/>
                <w:bottom w:val="none" w:sz="0" w:space="0" w:color="auto"/>
                <w:right w:val="none" w:sz="0" w:space="0" w:color="auto"/>
              </w:divBdr>
            </w:div>
            <w:div w:id="724139530">
              <w:marLeft w:val="480"/>
              <w:marRight w:val="0"/>
              <w:marTop w:val="0"/>
              <w:marBottom w:val="0"/>
              <w:divBdr>
                <w:top w:val="none" w:sz="0" w:space="0" w:color="auto"/>
                <w:left w:val="none" w:sz="0" w:space="0" w:color="auto"/>
                <w:bottom w:val="none" w:sz="0" w:space="0" w:color="auto"/>
                <w:right w:val="none" w:sz="0" w:space="0" w:color="auto"/>
              </w:divBdr>
            </w:div>
            <w:div w:id="211401502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956056156">
      <w:bodyDiv w:val="1"/>
      <w:marLeft w:val="0"/>
      <w:marRight w:val="0"/>
      <w:marTop w:val="0"/>
      <w:marBottom w:val="0"/>
      <w:divBdr>
        <w:top w:val="none" w:sz="0" w:space="0" w:color="auto"/>
        <w:left w:val="none" w:sz="0" w:space="0" w:color="auto"/>
        <w:bottom w:val="none" w:sz="0" w:space="0" w:color="auto"/>
        <w:right w:val="none" w:sz="0" w:space="0" w:color="auto"/>
      </w:divBdr>
    </w:div>
    <w:div w:id="2000838591">
      <w:bodyDiv w:val="1"/>
      <w:marLeft w:val="0"/>
      <w:marRight w:val="0"/>
      <w:marTop w:val="0"/>
      <w:marBottom w:val="0"/>
      <w:divBdr>
        <w:top w:val="none" w:sz="0" w:space="0" w:color="auto"/>
        <w:left w:val="none" w:sz="0" w:space="0" w:color="auto"/>
        <w:bottom w:val="none" w:sz="0" w:space="0" w:color="auto"/>
        <w:right w:val="none" w:sz="0" w:space="0" w:color="auto"/>
      </w:divBdr>
      <w:divsChild>
        <w:div w:id="1311980785">
          <w:marLeft w:val="0"/>
          <w:marRight w:val="0"/>
          <w:marTop w:val="0"/>
          <w:marBottom w:val="360"/>
          <w:divBdr>
            <w:top w:val="none" w:sz="0" w:space="0" w:color="auto"/>
            <w:left w:val="none" w:sz="0" w:space="0" w:color="auto"/>
            <w:bottom w:val="none" w:sz="0" w:space="0" w:color="auto"/>
            <w:right w:val="none" w:sz="0" w:space="0" w:color="auto"/>
          </w:divBdr>
        </w:div>
      </w:divsChild>
    </w:div>
    <w:div w:id="2010937676">
      <w:bodyDiv w:val="1"/>
      <w:marLeft w:val="0"/>
      <w:marRight w:val="0"/>
      <w:marTop w:val="0"/>
      <w:marBottom w:val="0"/>
      <w:divBdr>
        <w:top w:val="none" w:sz="0" w:space="0" w:color="auto"/>
        <w:left w:val="none" w:sz="0" w:space="0" w:color="auto"/>
        <w:bottom w:val="none" w:sz="0" w:space="0" w:color="auto"/>
        <w:right w:val="none" w:sz="0" w:space="0" w:color="auto"/>
      </w:divBdr>
      <w:divsChild>
        <w:div w:id="940524805">
          <w:marLeft w:val="0"/>
          <w:marRight w:val="0"/>
          <w:marTop w:val="0"/>
          <w:marBottom w:val="0"/>
          <w:divBdr>
            <w:top w:val="none" w:sz="0" w:space="0" w:color="auto"/>
            <w:left w:val="none" w:sz="0" w:space="0" w:color="auto"/>
            <w:bottom w:val="none" w:sz="0" w:space="0" w:color="auto"/>
            <w:right w:val="none" w:sz="0" w:space="0" w:color="auto"/>
          </w:divBdr>
          <w:divsChild>
            <w:div w:id="1227182097">
              <w:marLeft w:val="0"/>
              <w:marRight w:val="0"/>
              <w:marTop w:val="0"/>
              <w:marBottom w:val="0"/>
              <w:divBdr>
                <w:top w:val="none" w:sz="0" w:space="0" w:color="auto"/>
                <w:left w:val="none" w:sz="0" w:space="0" w:color="auto"/>
                <w:bottom w:val="none" w:sz="0" w:space="0" w:color="auto"/>
                <w:right w:val="none" w:sz="0" w:space="0" w:color="auto"/>
              </w:divBdr>
            </w:div>
            <w:div w:id="1231773591">
              <w:marLeft w:val="0"/>
              <w:marRight w:val="195"/>
              <w:marTop w:val="75"/>
              <w:marBottom w:val="75"/>
              <w:divBdr>
                <w:top w:val="none" w:sz="0" w:space="0" w:color="auto"/>
                <w:left w:val="none" w:sz="0" w:space="0" w:color="auto"/>
                <w:bottom w:val="none" w:sz="0" w:space="0" w:color="auto"/>
                <w:right w:val="none" w:sz="0" w:space="0" w:color="auto"/>
              </w:divBdr>
            </w:div>
            <w:div w:id="1340505096">
              <w:marLeft w:val="0"/>
              <w:marRight w:val="195"/>
              <w:marTop w:val="75"/>
              <w:marBottom w:val="75"/>
              <w:divBdr>
                <w:top w:val="none" w:sz="0" w:space="0" w:color="auto"/>
                <w:left w:val="none" w:sz="0" w:space="0" w:color="auto"/>
                <w:bottom w:val="none" w:sz="0" w:space="0" w:color="auto"/>
                <w:right w:val="none" w:sz="0" w:space="0" w:color="auto"/>
              </w:divBdr>
            </w:div>
            <w:div w:id="110323813">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713693162" TargetMode="External"/><Relationship Id="rId21" Type="http://schemas.openxmlformats.org/officeDocument/2006/relationships/hyperlink" Target="https://doi.org/10.1016/S0742-051X(01)00051-8" TargetMode="External"/><Relationship Id="rId34" Type="http://schemas.openxmlformats.org/officeDocument/2006/relationships/hyperlink" Target="http://scholar.google.com/scholar_lookup?title=Teachers%E2%80%99%20knowledge%20and%20how%20it%20develops&amp;author=H.%20Munby&amp;author=T.%20Russell&amp;author=AK.%20Martin&amp;pages=877-904&amp;publication_year=2001" TargetMode="External"/><Relationship Id="rId42" Type="http://schemas.openxmlformats.org/officeDocument/2006/relationships/hyperlink" Target="http://scholar.google.com/scholar_lookup?title=Paradigmatic%20changes%20in%20teacher%20education%3A%20The%20perils%2C%20pitfalls%20and%20unrealized%20promise%20of%20the%20reflective%20practitioner&amp;author=T.%20Russell&amp;pages=158-176&amp;publication_year=2014" TargetMode="External"/><Relationship Id="rId47" Type="http://schemas.openxmlformats.org/officeDocument/2006/relationships/hyperlink" Target="https://doi.org/10.1080/00091383.1995.10544673" TargetMode="External"/><Relationship Id="rId50" Type="http://schemas.openxmlformats.org/officeDocument/2006/relationships/hyperlink" Target="https://doi.org/10.17763/haer.63.4.m42704n778561176" TargetMode="External"/><Relationship Id="rId55" Type="http://schemas.openxmlformats.org/officeDocument/2006/relationships/hyperlink" Target="https://doi.org/10.1080/1354060950010104" TargetMode="External"/><Relationship Id="rId63" Type="http://schemas.openxmlformats.org/officeDocument/2006/relationships/image" Target="media/image1.jpeg"/><Relationship Id="rId68" Type="http://schemas.openxmlformats.org/officeDocument/2006/relationships/hyperlink" Target="http://vimeo.com/41465488" TargetMode="External"/><Relationship Id="rId76" Type="http://schemas.openxmlformats.org/officeDocument/2006/relationships/hyperlink" Target="http://www.youtube.com/watch?v=nkK1bT8ls0M" TargetMode="External"/><Relationship Id="rId84" Type="http://schemas.openxmlformats.org/officeDocument/2006/relationships/hyperlink" Target="http://www.youtube.com/watch?v=4rKI1g-mhX8" TargetMode="External"/><Relationship Id="rId89" Type="http://schemas.openxmlformats.org/officeDocument/2006/relationships/hyperlink" Target="http://janus.uoregon.edu/record=b1577811" TargetMode="External"/><Relationship Id="rId97" Type="http://schemas.openxmlformats.org/officeDocument/2006/relationships/hyperlink" Target="http://uf.catalog.fcla.edu/uf.jsp?ix=nu&amp;st=23445700" TargetMode="External"/><Relationship Id="rId7" Type="http://schemas.openxmlformats.org/officeDocument/2006/relationships/hyperlink" Target="https://doi.org/10.1016/0010-0285(90)90004-N" TargetMode="External"/><Relationship Id="rId71" Type="http://schemas.openxmlformats.org/officeDocument/2006/relationships/hyperlink" Target="http://ltj.sagepub.com/content/15/1/1.short" TargetMode="External"/><Relationship Id="rId92" Type="http://schemas.openxmlformats.org/officeDocument/2006/relationships/hyperlink" Target="http://www.theideacenter.org/sites/default/files/IDEA_Paper_49.pdf" TargetMode="External"/><Relationship Id="rId2" Type="http://schemas.openxmlformats.org/officeDocument/2006/relationships/styles" Target="styles.xml"/><Relationship Id="rId16" Type="http://schemas.openxmlformats.org/officeDocument/2006/relationships/hyperlink" Target="https://doi.org/10.3102/0013189X032003016" TargetMode="External"/><Relationship Id="rId29" Type="http://schemas.openxmlformats.org/officeDocument/2006/relationships/hyperlink" Target="https://doi.org/10.1007/978-0-387-85744-2_4" TargetMode="External"/><Relationship Id="rId11" Type="http://schemas.openxmlformats.org/officeDocument/2006/relationships/hyperlink" Target="http://scholar.google.com/scholar_lookup?title=The%20role%20of%20reflection%20in%20learning%20to%20teach&amp;author=J.%20Calderhead&amp;pages=139-146&amp;publication_year=1992" TargetMode="External"/><Relationship Id="rId24" Type="http://schemas.openxmlformats.org/officeDocument/2006/relationships/hyperlink" Target="https://doi.org/10.1177/0022487115614617" TargetMode="External"/><Relationship Id="rId32" Type="http://schemas.openxmlformats.org/officeDocument/2006/relationships/hyperlink" Target="https://doi.org/10.1177/0022487194045002002" TargetMode="External"/><Relationship Id="rId37" Type="http://schemas.openxmlformats.org/officeDocument/2006/relationships/hyperlink" Target="http://scholar.google.com/scholar_lookup?title=The%20evolution%20of%20reflective%20teaching%20and%20teacher%20education&amp;author=V.%20Richardson&amp;pages=3-19&amp;publication_year=1990" TargetMode="External"/><Relationship Id="rId40" Type="http://schemas.openxmlformats.org/officeDocument/2006/relationships/hyperlink" Target="https://doi.org/10.1108/S1479-368720140000022006" TargetMode="External"/><Relationship Id="rId45" Type="http://schemas.openxmlformats.org/officeDocument/2006/relationships/hyperlink" Target="http://resources.educ.queensu.ca/ar/schon87.htm" TargetMode="External"/><Relationship Id="rId53" Type="http://schemas.openxmlformats.org/officeDocument/2006/relationships/hyperlink" Target="https://doi.org/10.1207/s15327930pje7201_4" TargetMode="External"/><Relationship Id="rId58" Type="http://schemas.openxmlformats.org/officeDocument/2006/relationships/hyperlink" Target="http://scholar.google.com/scholar_lookup?title=Teachers%20as%20reflective%20practitioners%20and%20the%20democratization%20of%20schools%20reform&amp;author=K.%20Zeichner&amp;pages=199-214&amp;publication_year=1996" TargetMode="External"/><Relationship Id="rId66" Type="http://schemas.openxmlformats.org/officeDocument/2006/relationships/hyperlink" Target="http://geni.us/VisibleLearning" TargetMode="External"/><Relationship Id="rId74" Type="http://schemas.openxmlformats.org/officeDocument/2006/relationships/hyperlink" Target="http://www.youtube.com/watch?v=TRF27F2bn-A" TargetMode="External"/><Relationship Id="rId79" Type="http://schemas.openxmlformats.org/officeDocument/2006/relationships/hyperlink" Target="http://cie.asu.edu/volume3/number4/index.html" TargetMode="External"/><Relationship Id="rId87" Type="http://schemas.openxmlformats.org/officeDocument/2006/relationships/hyperlink" Target="http://voyager.mq.edu.au/vwebv/search?searchType=7&amp;searchId=1148&amp;maxResultsPerPage=50&amp;recCount=50&amp;recPointer=0&amp;resultPointer=0" TargetMode="External"/><Relationship Id="rId102" Type="http://schemas.openxmlformats.org/officeDocument/2006/relationships/theme" Target="theme/theme1.xml"/><Relationship Id="rId5" Type="http://schemas.openxmlformats.org/officeDocument/2006/relationships/hyperlink" Target="http://scholar.google.com/scholar_lookup?title=Theory%20in%20practice%3A%20Increasing%20professional%20effectiveness&amp;author=C.%20Argyris&amp;author=DA.%20Sch%C3%B6n&amp;publication_year=1974" TargetMode="External"/><Relationship Id="rId61" Type="http://schemas.openxmlformats.org/officeDocument/2006/relationships/hyperlink" Target="https://doi.org/10.1007/978-0-387-85744-2_4" TargetMode="External"/><Relationship Id="rId82" Type="http://schemas.openxmlformats.org/officeDocument/2006/relationships/hyperlink" Target="http://psycnet.apa.org/index.cfm?fa=search.displayRecord&amp;UID=1987-08867-001" TargetMode="External"/><Relationship Id="rId90" Type="http://schemas.openxmlformats.org/officeDocument/2006/relationships/hyperlink" Target="http://www.eric.ed.gov/ERICWebPortal/detail?accno=ED388645" TargetMode="External"/><Relationship Id="rId95" Type="http://schemas.openxmlformats.org/officeDocument/2006/relationships/hyperlink" Target="http://woodknot.wce.wwu.edu/Depts/SPED/Forms/Kens%20Readings/reading/Readings/comprehension/instructing%20adolesents.pdf" TargetMode="External"/><Relationship Id="rId19" Type="http://schemas.openxmlformats.org/officeDocument/2006/relationships/hyperlink" Target="https://doi.org/10.1016/0742-051X(94)00012-U" TargetMode="External"/><Relationship Id="rId14" Type="http://schemas.openxmlformats.org/officeDocument/2006/relationships/hyperlink" Target="https://doi.org/10.1080/03055690903424790" TargetMode="External"/><Relationship Id="rId22" Type="http://schemas.openxmlformats.org/officeDocument/2006/relationships/hyperlink" Target="https://doi.org/10.1016/S0742-051X(01)00051-8" TargetMode="External"/><Relationship Id="rId27" Type="http://schemas.openxmlformats.org/officeDocument/2006/relationships/hyperlink" Target="http://scholar.google.com/scholar_lookup?title=Transforming%20teaching%20practice%3A%20Becoming%20the%20critically%20reflective%20teacher&amp;author=B.%20Larrivee&amp;journal=Reflective%20Practice&amp;volume=1&amp;pages=293-307&amp;publication_year=2000" TargetMode="External"/><Relationship Id="rId30" Type="http://schemas.openxmlformats.org/officeDocument/2006/relationships/hyperlink" Target="https://doi.org/10.1007/978-0-387-85744-2_1" TargetMode="External"/><Relationship Id="rId35" Type="http://schemas.openxmlformats.org/officeDocument/2006/relationships/hyperlink" Target="https://doi.org/10.5465/AMLE.2007.27694950" TargetMode="External"/><Relationship Id="rId43" Type="http://schemas.openxmlformats.org/officeDocument/2006/relationships/hyperlink" Target="http://scholar.google.com/scholar_lookup?title=The%20reflective%20practitioner%3A%20How%20professionals%20think%20in%20action&amp;author=DA.%20Sch%C3%B6n&amp;publication_year=1983" TargetMode="External"/><Relationship Id="rId48" Type="http://schemas.openxmlformats.org/officeDocument/2006/relationships/hyperlink" Target="http://scholar.google.com/scholar_lookup?title=The%20new%20scholarship%20requires%20a%20new%20epistemology&amp;author=DA.%20Sch%C3%B6n&amp;journal=Change&amp;volume=27&amp;issue=6&amp;pages=26-34&amp;publication_year=1995" TargetMode="External"/><Relationship Id="rId56" Type="http://schemas.openxmlformats.org/officeDocument/2006/relationships/hyperlink" Target="https://doi.org/10.1080/1354060950010104" TargetMode="External"/><Relationship Id="rId64" Type="http://schemas.openxmlformats.org/officeDocument/2006/relationships/hyperlink" Target="https://visible-learning.org/2013/01/visible-learning-for-teachers-book-review/" TargetMode="External"/><Relationship Id="rId69" Type="http://schemas.openxmlformats.org/officeDocument/2006/relationships/hyperlink" Target="http://psycnet.apa.org/journals/apl/67/3/280/" TargetMode="External"/><Relationship Id="rId77" Type="http://schemas.openxmlformats.org/officeDocument/2006/relationships/hyperlink" Target="http://www.interventioncentral.org/" TargetMode="External"/><Relationship Id="rId100" Type="http://schemas.openxmlformats.org/officeDocument/2006/relationships/hyperlink" Target="http://www.youtube.com/watch?v=6E6Kz59bkOs" TargetMode="External"/><Relationship Id="rId8" Type="http://schemas.openxmlformats.org/officeDocument/2006/relationships/hyperlink" Target="http://scholar.google.com/scholar_lookup?title=Intuition%20in%20the%20context%20of%20discovery&amp;author=KS.%20Bowers&amp;author=G.%20Regehr&amp;author=C.%20Balthazard&amp;author=K.%20Parker&amp;journal=Cognitive%20Psychology&amp;volume=22&amp;issue=1&amp;pages=72-110&amp;publication_year=1990" TargetMode="External"/><Relationship Id="rId51" Type="http://schemas.openxmlformats.org/officeDocument/2006/relationships/hyperlink" Target="http://scholar.google.com/scholar_lookup?title=Zen%20and%20the%20art%20of%20reflective%20practice%20in%20teacher%20education&amp;author=R.%20Tremmel&amp;journal=Harvard%20Educational%20Review&amp;volume=63&amp;issue=4&amp;pages=434-458&amp;publication_year=1993" TargetMode="External"/><Relationship Id="rId72" Type="http://schemas.openxmlformats.org/officeDocument/2006/relationships/hyperlink" Target="http://rer.sagepub.com/content/70/3/287.short" TargetMode="External"/><Relationship Id="rId80" Type="http://schemas.openxmlformats.org/officeDocument/2006/relationships/hyperlink" Target="http://www.youtube.com/watch?v=rJxFXjfB_B4" TargetMode="External"/><Relationship Id="rId85" Type="http://schemas.openxmlformats.org/officeDocument/2006/relationships/hyperlink" Target="http://isites.harvard.edu/fs/html/icb.topic58474/microteaching.html" TargetMode="External"/><Relationship Id="rId93" Type="http://schemas.openxmlformats.org/officeDocument/2006/relationships/hyperlink" Target="http://www.amazon.com/Interventions-Students-Learning-Disabilities-Meta-Analysis/dp/1572304499/" TargetMode="External"/><Relationship Id="rId98" Type="http://schemas.openxmlformats.org/officeDocument/2006/relationships/hyperlink" Target="https://visible-learning.org/2013/02/john-hattie-helen-timperley-visible-learning-and-feedback/" TargetMode="External"/><Relationship Id="rId3" Type="http://schemas.openxmlformats.org/officeDocument/2006/relationships/settings" Target="settings.xml"/><Relationship Id="rId12" Type="http://schemas.openxmlformats.org/officeDocument/2006/relationships/hyperlink" Target="https://doi.org/10.3102/0013189X031004003" TargetMode="External"/><Relationship Id="rId17" Type="http://schemas.openxmlformats.org/officeDocument/2006/relationships/hyperlink" Target="http://scholar.google.com/scholar_lookup?title=Teacher%20reflection%20in%20a%20hall%20of%20mirrors%3A%20Historical%20influences%20and%20political%20reverberations&amp;author=L.%20Fendler&amp;journal=Educational%20Researcher&amp;volume=32&amp;issue=3&amp;pages=16-25&amp;publication_year=2005" TargetMode="External"/><Relationship Id="rId25" Type="http://schemas.openxmlformats.org/officeDocument/2006/relationships/hyperlink" Target="http://scholar.google.com/scholar_lookup?title=The%20power%20of%20mindful%20learning&amp;author=EJ.%20Langer&amp;publication_year=1997" TargetMode="External"/><Relationship Id="rId33" Type="http://schemas.openxmlformats.org/officeDocument/2006/relationships/hyperlink" Target="http://scholar.google.com/scholar_lookup?title=The%20authority%20of%20experience%20in%20learning%20to%20teach%3A%20Messages%20from%20a%20physics%20methods%20class&amp;author=H.%20Munby&amp;author=T.%20Russell&amp;journal=Journal%20of%20Teacher%20Education&amp;volume=45&amp;pages=86-95&amp;publication_year=1994" TargetMode="External"/><Relationship Id="rId38" Type="http://schemas.openxmlformats.org/officeDocument/2006/relationships/hyperlink" Target="https://doi.org/10.1111/1467-9620.00181" TargetMode="External"/><Relationship Id="rId46" Type="http://schemas.openxmlformats.org/officeDocument/2006/relationships/hyperlink" Target="http://scholar.google.com/scholar_lookup?title=The%20reflective%20turn%3A%20Case%20studies%20in%20and%20on%20educational%20practice&amp;publication_year=1991" TargetMode="External"/><Relationship Id="rId59" Type="http://schemas.openxmlformats.org/officeDocument/2006/relationships/hyperlink" Target="https://doi.org/10.1177/0022487106296219" TargetMode="External"/><Relationship Id="rId67" Type="http://schemas.openxmlformats.org/officeDocument/2006/relationships/hyperlink" Target="http://geni.us/VLforTeachers" TargetMode="External"/><Relationship Id="rId20" Type="http://schemas.openxmlformats.org/officeDocument/2006/relationships/hyperlink" Target="http://scholar.google.com/scholar_lookup?title=Reflection%20in%20teacher%20education%3A%20Towards%20definition%20and%20implementation&amp;author=N.%20Hatton&amp;author=D.%20Smith&amp;journal=Teaching%20and%20Teacher%20Education&amp;volume=11&amp;pages=33-49&amp;publication_year=1995" TargetMode="External"/><Relationship Id="rId41" Type="http://schemas.openxmlformats.org/officeDocument/2006/relationships/hyperlink" Target="http://scholar.google.com/scholar_lookup?title=One%20teacher%20educator%E2%80%99s%20career-long%20development%20of%20a%20pedagogy%20of%20reflection&amp;author=T.%20Russell&amp;pages=55-72&amp;publication_year=2014" TargetMode="External"/><Relationship Id="rId54" Type="http://schemas.openxmlformats.org/officeDocument/2006/relationships/hyperlink" Target="http://scholar.google.com/scholar_lookup?title=Listening%20to%20other%20voices%3A%20A%20description%20of%20teacher%20reflection%20in%20the%20United%20States&amp;author=L.%20Valli&amp;journal=Peabody%20Journal%20of%20Education&amp;volume=72&amp;issue=1&amp;pages=67-88&amp;publication_year=1997" TargetMode="External"/><Relationship Id="rId62" Type="http://schemas.openxmlformats.org/officeDocument/2006/relationships/hyperlink" Target="http://scholar.google.com/scholar_lookup?title=A%20critical%20analysis%20of%20reflection%20as%20a%20goal%20for%20teacher%20education&amp;author=K.%20Zeichner&amp;author=KY.%20Liu&amp;pages=67-84&amp;publication_year=2010" TargetMode="External"/><Relationship Id="rId70" Type="http://schemas.openxmlformats.org/officeDocument/2006/relationships/hyperlink" Target="http://rer.sagepub.com/content/59/4/395.short" TargetMode="External"/><Relationship Id="rId75" Type="http://schemas.openxmlformats.org/officeDocument/2006/relationships/hyperlink" Target="http://www.eric.ed.gov/ERICWebPortal/detail?accno=ED205564" TargetMode="External"/><Relationship Id="rId83" Type="http://schemas.openxmlformats.org/officeDocument/2006/relationships/hyperlink" Target="http://www.sciencedirect.com/science/article/pii/S0022440502001061" TargetMode="External"/><Relationship Id="rId88" Type="http://schemas.openxmlformats.org/officeDocument/2006/relationships/hyperlink" Target="http://onlinelibrary.wiley.com/doi/10.1002/tea.3660230202/abstract" TargetMode="External"/><Relationship Id="rId91" Type="http://schemas.openxmlformats.org/officeDocument/2006/relationships/hyperlink" Target="http://www.youtube.com/watch?v=T_BANRJZedU" TargetMode="External"/><Relationship Id="rId96" Type="http://schemas.openxmlformats.org/officeDocument/2006/relationships/hyperlink" Target="http://www.youtube.com/watch?v=8S3MuIdH14s" TargetMode="External"/><Relationship Id="rId1" Type="http://schemas.openxmlformats.org/officeDocument/2006/relationships/numbering" Target="numbering.xml"/><Relationship Id="rId6" Type="http://schemas.openxmlformats.org/officeDocument/2006/relationships/hyperlink" Target="http://scholar.google.com/scholar_lookup?title=From%20communication%20to%20curriculum&amp;author=D.%20Barnes&amp;publication_year=1976" TargetMode="External"/><Relationship Id="rId15" Type="http://schemas.openxmlformats.org/officeDocument/2006/relationships/hyperlink" Target="http://scholar.google.com/scholar_lookup?title=Can%20reflective%20practice%20be%20taught%3F&amp;author=G.%20Edwards&amp;author=G.%20Thomas&amp;journal=Educational%20Studies&amp;volume=36&amp;issue=4&amp;pages=403-414&amp;publication_year=2010" TargetMode="External"/><Relationship Id="rId23" Type="http://schemas.openxmlformats.org/officeDocument/2006/relationships/hyperlink" Target="http://scholar.google.com/scholar_lookup?title=Capturing%20complexity%3A%20A%20typology%20of%20reflective%20practice%20for%20teacher%20education&amp;author=JK.%20Jay&amp;author=KL.%20Johnson&amp;journal=Teaching%20and%20Teacher%20Education&amp;volume=18&amp;issue=1&amp;pages=73-85&amp;publication_year=2002&amp;doi=10.1016%2FS0742-051X%2801%2900051-8" TargetMode="External"/><Relationship Id="rId28" Type="http://schemas.openxmlformats.org/officeDocument/2006/relationships/hyperlink" Target="http://scholar.google.com/scholar_lookup?title=International%20handbook%20of%20self-study%20of%20teaching%20and%20teacher%20education%20practices&amp;publication_year=2004" TargetMode="External"/><Relationship Id="rId36" Type="http://schemas.openxmlformats.org/officeDocument/2006/relationships/hyperlink" Target="http://scholar.google.com/scholar_lookup?title=Toward%20an%20epistemology%20of%20practice&amp;author=JA.%20Raelin&amp;journal=Academy%20of%20Management%20Learning%20and%20Education&amp;volume=6&amp;issue=4&amp;pages=495-519&amp;publication_year=2007" TargetMode="External"/><Relationship Id="rId49" Type="http://schemas.openxmlformats.org/officeDocument/2006/relationships/hyperlink" Target="http://scholar.google.com/scholar_lookup?title=Teaching%20as%20community%20property%3A%20Essays%20on%20higher%20education&amp;author=L.%20Shulman&amp;publication_year=2004" TargetMode="External"/><Relationship Id="rId57" Type="http://schemas.openxmlformats.org/officeDocument/2006/relationships/hyperlink" Target="http://scholar.google.com/scholar_lookup?title=On%20the%20epistemology%20of%20reflective%20practice&amp;author=M.%20Manen&amp;journal=Teachers%20and%20Teaching%3A%20Theory%20and%20Practice&amp;volume=1&amp;issue=1&amp;pages=33-50&amp;publication_year=1995&amp;doi=10.1080%2F1354060950010104" TargetMode="External"/><Relationship Id="rId10" Type="http://schemas.openxmlformats.org/officeDocument/2006/relationships/hyperlink" Target="http://scholar.google.com/scholar_lookup?title=Reflective%20teaching%20and%20teacher%20education&amp;author=J.%20Calderhead&amp;journal=Teaching%20and%20Teacher%20Education&amp;volume=5&amp;issue=1&amp;pages=43-51&amp;publication_year=1989" TargetMode="External"/><Relationship Id="rId31" Type="http://schemas.openxmlformats.org/officeDocument/2006/relationships/hyperlink" Target="http://scholar.google.com/scholar_lookup?title=Reflection%20and%20reflective%20inquiry%3A%20Critical%20issues%2C%20evolving%20conceptualizations%2C%20contemporary%20claims%20and%20future%20possibilities&amp;author=N.%20Lyons&amp;pages=3-22&amp;publication_year=2010" TargetMode="External"/><Relationship Id="rId44" Type="http://schemas.openxmlformats.org/officeDocument/2006/relationships/hyperlink" Target="http://scholar.google.com/scholar_lookup?title=Educating%20the%20reflective%20practitioner%3A%20Toward%20a%20new%20design%20for%20teaching%20and%20learning%20in%20the%20professions&amp;author=DA.%20Sch%C3%B6n&amp;publication_year=1987" TargetMode="External"/><Relationship Id="rId52" Type="http://schemas.openxmlformats.org/officeDocument/2006/relationships/hyperlink" Target="http://scholar.google.com/scholar_lookup?title=Reflective%20teacher%20education%3A%20Cases%20and%20critiques&amp;publication_year=1992" TargetMode="External"/><Relationship Id="rId60" Type="http://schemas.openxmlformats.org/officeDocument/2006/relationships/hyperlink" Target="http://scholar.google.com/scholar_lookup?title=Accumulating%20knowledge%20across%20self-studies%20in%20teacher%20education&amp;author=K.%20Zeichner&amp;journal=Journal%20of%20Teacher%20Education&amp;volume=58&amp;issue=1&amp;pages=36-46&amp;publication_year=2007" TargetMode="External"/><Relationship Id="rId65" Type="http://schemas.openxmlformats.org/officeDocument/2006/relationships/hyperlink" Target="http://visible-learning.org/2009/02/visible-learning-meta-study/" TargetMode="External"/><Relationship Id="rId73" Type="http://schemas.openxmlformats.org/officeDocument/2006/relationships/hyperlink" Target="http://rer.sagepub.com/content/75/1/63.short" TargetMode="External"/><Relationship Id="rId78" Type="http://schemas.openxmlformats.org/officeDocument/2006/relationships/hyperlink" Target="http://www.tes.co.uk/article.aspx?storycode=6179294" TargetMode="External"/><Relationship Id="rId81" Type="http://schemas.openxmlformats.org/officeDocument/2006/relationships/hyperlink" Target="http://www.youtube.com/watch?v=rL54bfmZPzY" TargetMode="External"/><Relationship Id="rId86" Type="http://schemas.openxmlformats.org/officeDocument/2006/relationships/hyperlink" Target="http://www.bhmed-emanual.org/book/export/html/36" TargetMode="External"/><Relationship Id="rId94" Type="http://schemas.openxmlformats.org/officeDocument/2006/relationships/hyperlink" Target="http://nichcy.org/wp-content/uploads/docs/nd25.pdf" TargetMode="External"/><Relationship Id="rId99" Type="http://schemas.openxmlformats.org/officeDocument/2006/relationships/hyperlink" Target="https://visible-learning.org/2013/01/john-hattie-visible-learning-interview/" TargetMode="Externa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0742-051X(89)90018-8" TargetMode="External"/><Relationship Id="rId13" Type="http://schemas.openxmlformats.org/officeDocument/2006/relationships/hyperlink" Target="http://scholar.google.com/scholar_lookup?title=Authorizing%20students%E2%80%99%20perspectives%3A%20Toward%20trust%2C%20dialogue%2C%20and%20change%20in%20education&amp;author=A.%20Cook-Sather&amp;journal=Educational%20Researcher&amp;volume=31&amp;issue=4&amp;pages=3-14&amp;publication_year=2002" TargetMode="External"/><Relationship Id="rId18" Type="http://schemas.openxmlformats.org/officeDocument/2006/relationships/hyperlink" Target="http://scholar.google.com/scholar_lookup?title=Visible%20learning%3A%20A%20synthesis%20of%20over%20800%20meta-analyses%20relating%20to%20achievement&amp;author=JAC.%20Hattie&amp;publication_year=2009" TargetMode="External"/><Relationship Id="rId39" Type="http://schemas.openxmlformats.org/officeDocument/2006/relationships/hyperlink" Target="http://scholar.google.com/scholar_lookup?title=Defining%20reflection%3A%20Another%20look%20at%20John%20Dewey%20and%20reflective%20thinking&amp;author=C.%20Rodgers&amp;journal=Teachers%20College%20Record&amp;volume=104&amp;pages=842-866&amp;publication_year=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6956</Words>
  <Characters>39654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22</cp:revision>
  <dcterms:created xsi:type="dcterms:W3CDTF">2019-04-29T13:09:00Z</dcterms:created>
  <dcterms:modified xsi:type="dcterms:W3CDTF">2019-04-29T14:29:00Z</dcterms:modified>
</cp:coreProperties>
</file>