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545E0" w14:textId="77777777" w:rsidR="00C256A2" w:rsidRPr="005C7B6C" w:rsidRDefault="00C256A2" w:rsidP="005C7B6C">
      <w:pPr>
        <w:tabs>
          <w:tab w:val="left" w:pos="1995"/>
        </w:tabs>
        <w:ind w:firstLine="0"/>
        <w:jc w:val="center"/>
        <w:rPr>
          <w:rFonts w:asciiTheme="majorBidi" w:hAnsiTheme="majorBidi" w:cstheme="majorBidi"/>
          <w:szCs w:val="24"/>
        </w:rPr>
      </w:pPr>
    </w:p>
    <w:p w14:paraId="6C04E082" w14:textId="77777777" w:rsidR="00C256A2" w:rsidRPr="005C7B6C" w:rsidRDefault="00C256A2" w:rsidP="005C7B6C">
      <w:pPr>
        <w:tabs>
          <w:tab w:val="left" w:pos="1995"/>
        </w:tabs>
        <w:ind w:firstLine="0"/>
        <w:jc w:val="center"/>
        <w:rPr>
          <w:rFonts w:asciiTheme="majorBidi" w:hAnsiTheme="majorBidi" w:cstheme="majorBidi"/>
          <w:szCs w:val="24"/>
        </w:rPr>
      </w:pPr>
    </w:p>
    <w:p w14:paraId="4F1856E3" w14:textId="77777777" w:rsidR="00C256A2" w:rsidRPr="005C7B6C" w:rsidRDefault="00C256A2" w:rsidP="005C7B6C">
      <w:pPr>
        <w:tabs>
          <w:tab w:val="left" w:pos="1995"/>
        </w:tabs>
        <w:ind w:firstLine="0"/>
        <w:jc w:val="center"/>
        <w:rPr>
          <w:rFonts w:asciiTheme="majorBidi" w:hAnsiTheme="majorBidi" w:cstheme="majorBidi"/>
          <w:szCs w:val="24"/>
        </w:rPr>
      </w:pPr>
    </w:p>
    <w:p w14:paraId="58A0503E" w14:textId="77777777" w:rsidR="00C256A2" w:rsidRPr="005C7B6C" w:rsidRDefault="00C256A2" w:rsidP="005C7B6C">
      <w:pPr>
        <w:tabs>
          <w:tab w:val="left" w:pos="1995"/>
        </w:tabs>
        <w:ind w:firstLine="0"/>
        <w:jc w:val="center"/>
        <w:rPr>
          <w:rFonts w:asciiTheme="majorBidi" w:hAnsiTheme="majorBidi" w:cstheme="majorBidi"/>
          <w:szCs w:val="24"/>
        </w:rPr>
      </w:pPr>
    </w:p>
    <w:p w14:paraId="5C38E7C9" w14:textId="77777777" w:rsidR="00C256A2" w:rsidRPr="005C7B6C" w:rsidRDefault="00C256A2" w:rsidP="005C7B6C">
      <w:pPr>
        <w:tabs>
          <w:tab w:val="left" w:pos="1995"/>
        </w:tabs>
        <w:ind w:firstLine="0"/>
        <w:jc w:val="center"/>
        <w:rPr>
          <w:rFonts w:asciiTheme="majorBidi" w:hAnsiTheme="majorBidi" w:cstheme="majorBidi"/>
          <w:szCs w:val="24"/>
        </w:rPr>
      </w:pPr>
    </w:p>
    <w:p w14:paraId="1E5F45C5" w14:textId="77777777" w:rsidR="00C256A2" w:rsidRPr="005C7B6C" w:rsidRDefault="00C256A2" w:rsidP="005C7B6C">
      <w:pPr>
        <w:tabs>
          <w:tab w:val="left" w:pos="1995"/>
        </w:tabs>
        <w:ind w:firstLine="0"/>
        <w:jc w:val="center"/>
        <w:rPr>
          <w:rFonts w:asciiTheme="majorBidi" w:hAnsiTheme="majorBidi" w:cstheme="majorBidi"/>
          <w:szCs w:val="24"/>
        </w:rPr>
      </w:pPr>
    </w:p>
    <w:p w14:paraId="693D06C9" w14:textId="77777777" w:rsidR="00C256A2" w:rsidRPr="005C7B6C" w:rsidRDefault="00C256A2" w:rsidP="005C7B6C">
      <w:pPr>
        <w:tabs>
          <w:tab w:val="left" w:pos="1995"/>
        </w:tabs>
        <w:ind w:firstLine="0"/>
        <w:jc w:val="center"/>
        <w:rPr>
          <w:rFonts w:asciiTheme="majorBidi" w:hAnsiTheme="majorBidi" w:cstheme="majorBidi"/>
          <w:szCs w:val="24"/>
        </w:rPr>
      </w:pPr>
    </w:p>
    <w:p w14:paraId="04B2036C" w14:textId="77777777" w:rsidR="00C256A2" w:rsidRPr="005C7B6C" w:rsidRDefault="00C256A2" w:rsidP="005C7B6C">
      <w:pPr>
        <w:tabs>
          <w:tab w:val="left" w:pos="1995"/>
        </w:tabs>
        <w:ind w:firstLine="0"/>
        <w:jc w:val="center"/>
        <w:rPr>
          <w:rFonts w:asciiTheme="majorBidi" w:hAnsiTheme="majorBidi" w:cstheme="majorBidi"/>
          <w:szCs w:val="24"/>
        </w:rPr>
      </w:pPr>
    </w:p>
    <w:p w14:paraId="201CCF17" w14:textId="6410B7C4" w:rsidR="00C256A2" w:rsidRDefault="00C256A2" w:rsidP="005C7B6C">
      <w:pPr>
        <w:tabs>
          <w:tab w:val="left" w:pos="1995"/>
        </w:tabs>
        <w:ind w:firstLine="0"/>
        <w:jc w:val="center"/>
        <w:rPr>
          <w:rFonts w:asciiTheme="majorBidi" w:hAnsiTheme="majorBidi" w:cstheme="majorBidi"/>
          <w:szCs w:val="24"/>
        </w:rPr>
      </w:pPr>
      <w:r w:rsidRPr="005C7B6C">
        <w:rPr>
          <w:rFonts w:asciiTheme="majorBidi" w:hAnsiTheme="majorBidi" w:cstheme="majorBidi"/>
          <w:szCs w:val="24"/>
        </w:rPr>
        <w:t>The case of William Brown</w:t>
      </w:r>
    </w:p>
    <w:p w14:paraId="7066D083" w14:textId="23D7C323" w:rsidR="00F72829" w:rsidRDefault="00F72829" w:rsidP="005C7B6C">
      <w:pPr>
        <w:tabs>
          <w:tab w:val="left" w:pos="1995"/>
        </w:tabs>
        <w:ind w:firstLine="0"/>
        <w:jc w:val="center"/>
        <w:rPr>
          <w:rFonts w:asciiTheme="majorBidi" w:hAnsiTheme="majorBidi" w:cstheme="majorBidi"/>
          <w:szCs w:val="24"/>
        </w:rPr>
      </w:pPr>
      <w:r>
        <w:rPr>
          <w:rFonts w:asciiTheme="majorBidi" w:hAnsiTheme="majorBidi" w:cstheme="majorBidi"/>
          <w:szCs w:val="24"/>
        </w:rPr>
        <w:t>By Samsul Islam - 1914178</w:t>
      </w:r>
    </w:p>
    <w:p w14:paraId="08C2D8D4" w14:textId="4F8DB99E" w:rsidR="00F72829" w:rsidRPr="005C7B6C" w:rsidRDefault="00F72829" w:rsidP="005C7B6C">
      <w:pPr>
        <w:tabs>
          <w:tab w:val="left" w:pos="1995"/>
        </w:tabs>
        <w:ind w:firstLine="0"/>
        <w:jc w:val="center"/>
        <w:rPr>
          <w:rFonts w:asciiTheme="majorBidi" w:hAnsiTheme="majorBidi" w:cstheme="majorBidi"/>
          <w:szCs w:val="24"/>
        </w:rPr>
      </w:pPr>
      <w:r>
        <w:rPr>
          <w:rFonts w:asciiTheme="majorBidi" w:hAnsiTheme="majorBidi" w:cstheme="majorBidi"/>
          <w:szCs w:val="24"/>
        </w:rPr>
        <w:t>Module BMWL4000</w:t>
      </w:r>
    </w:p>
    <w:p w14:paraId="42BD2C42" w14:textId="77777777" w:rsidR="00C256A2" w:rsidRPr="005C7B6C" w:rsidRDefault="00C256A2" w:rsidP="005C7B6C">
      <w:pPr>
        <w:ind w:firstLine="0"/>
        <w:rPr>
          <w:rFonts w:asciiTheme="majorBidi" w:hAnsiTheme="majorBidi" w:cstheme="majorBidi"/>
          <w:szCs w:val="24"/>
        </w:rPr>
      </w:pPr>
    </w:p>
    <w:p w14:paraId="34AEAD8D" w14:textId="77777777" w:rsidR="00C256A2" w:rsidRPr="005C7B6C" w:rsidRDefault="00C256A2" w:rsidP="005C7B6C">
      <w:pPr>
        <w:ind w:firstLine="0"/>
        <w:rPr>
          <w:rFonts w:asciiTheme="majorBidi" w:hAnsiTheme="majorBidi" w:cstheme="majorBidi"/>
          <w:szCs w:val="24"/>
        </w:rPr>
      </w:pPr>
    </w:p>
    <w:p w14:paraId="640763D5" w14:textId="77777777" w:rsidR="00C256A2" w:rsidRPr="005C7B6C" w:rsidRDefault="00C256A2" w:rsidP="005C7B6C">
      <w:pPr>
        <w:ind w:firstLine="0"/>
        <w:rPr>
          <w:rFonts w:asciiTheme="majorBidi" w:hAnsiTheme="majorBidi" w:cstheme="majorBidi"/>
          <w:szCs w:val="24"/>
        </w:rPr>
      </w:pPr>
    </w:p>
    <w:p w14:paraId="7D6020A5" w14:textId="77777777" w:rsidR="00C256A2" w:rsidRPr="005C7B6C" w:rsidRDefault="00C256A2" w:rsidP="005C7B6C">
      <w:pPr>
        <w:ind w:firstLine="0"/>
        <w:rPr>
          <w:rFonts w:asciiTheme="majorBidi" w:hAnsiTheme="majorBidi" w:cstheme="majorBidi"/>
          <w:szCs w:val="24"/>
        </w:rPr>
      </w:pPr>
    </w:p>
    <w:p w14:paraId="5B0E7D15" w14:textId="77777777" w:rsidR="00C256A2" w:rsidRPr="005C7B6C" w:rsidRDefault="00C256A2" w:rsidP="005C7B6C">
      <w:pPr>
        <w:ind w:firstLine="0"/>
        <w:rPr>
          <w:rFonts w:asciiTheme="majorBidi" w:hAnsiTheme="majorBidi" w:cstheme="majorBidi"/>
          <w:szCs w:val="24"/>
        </w:rPr>
      </w:pPr>
    </w:p>
    <w:p w14:paraId="44350C79" w14:textId="77777777" w:rsidR="00C256A2" w:rsidRPr="005C7B6C" w:rsidRDefault="00C256A2" w:rsidP="005C7B6C">
      <w:pPr>
        <w:ind w:firstLine="0"/>
        <w:rPr>
          <w:rFonts w:asciiTheme="majorBidi" w:hAnsiTheme="majorBidi" w:cstheme="majorBidi"/>
          <w:szCs w:val="24"/>
        </w:rPr>
      </w:pPr>
    </w:p>
    <w:p w14:paraId="385F53BC" w14:textId="77777777" w:rsidR="00C256A2" w:rsidRPr="005C7B6C" w:rsidRDefault="00C256A2" w:rsidP="005C7B6C">
      <w:pPr>
        <w:ind w:firstLine="0"/>
        <w:rPr>
          <w:rFonts w:asciiTheme="majorBidi" w:hAnsiTheme="majorBidi" w:cstheme="majorBidi"/>
          <w:szCs w:val="24"/>
        </w:rPr>
      </w:pPr>
    </w:p>
    <w:p w14:paraId="66026800" w14:textId="3C3A028D" w:rsidR="00C256A2" w:rsidRPr="005C7B6C" w:rsidRDefault="00C256A2" w:rsidP="005C7B6C">
      <w:pPr>
        <w:ind w:firstLine="0"/>
        <w:rPr>
          <w:rFonts w:asciiTheme="majorBidi" w:hAnsiTheme="majorBidi" w:cstheme="majorBidi"/>
          <w:szCs w:val="24"/>
        </w:rPr>
      </w:pPr>
    </w:p>
    <w:p w14:paraId="1880BD88" w14:textId="77777777" w:rsidR="00C256A2" w:rsidRPr="005C7B6C" w:rsidRDefault="00C256A2" w:rsidP="005C7B6C">
      <w:pPr>
        <w:ind w:firstLine="0"/>
        <w:rPr>
          <w:rFonts w:asciiTheme="majorBidi" w:hAnsiTheme="majorBidi" w:cstheme="majorBidi"/>
          <w:szCs w:val="24"/>
        </w:rPr>
      </w:pPr>
    </w:p>
    <w:p w14:paraId="74842715" w14:textId="33808F33" w:rsidR="009A1BBC" w:rsidRPr="005C7B6C" w:rsidRDefault="009A1BBC" w:rsidP="005C7B6C">
      <w:pPr>
        <w:ind w:firstLine="0"/>
        <w:rPr>
          <w:rFonts w:asciiTheme="majorBidi" w:hAnsiTheme="majorBidi" w:cstheme="majorBidi"/>
          <w:szCs w:val="24"/>
        </w:rPr>
      </w:pPr>
      <w:r w:rsidRPr="005C7B6C">
        <w:rPr>
          <w:rFonts w:asciiTheme="majorBidi" w:hAnsiTheme="majorBidi" w:cstheme="majorBidi"/>
          <w:szCs w:val="24"/>
        </w:rPr>
        <w:t>TO: Oliver Jones</w:t>
      </w:r>
    </w:p>
    <w:p w14:paraId="0CDC37A9" w14:textId="77777777" w:rsidR="009A1BBC" w:rsidRPr="005C7B6C" w:rsidRDefault="009A1BBC" w:rsidP="005C7B6C">
      <w:pPr>
        <w:ind w:firstLine="0"/>
        <w:rPr>
          <w:rFonts w:asciiTheme="majorBidi" w:hAnsiTheme="majorBidi" w:cstheme="majorBidi"/>
          <w:szCs w:val="24"/>
        </w:rPr>
      </w:pPr>
      <w:r w:rsidRPr="005C7B6C">
        <w:rPr>
          <w:rFonts w:asciiTheme="majorBidi" w:hAnsiTheme="majorBidi" w:cstheme="majorBidi"/>
          <w:szCs w:val="24"/>
        </w:rPr>
        <w:t>FROM: Sian Turvey</w:t>
      </w:r>
    </w:p>
    <w:p w14:paraId="774FF893" w14:textId="77777777" w:rsidR="009A1BBC" w:rsidRPr="005C7B6C" w:rsidRDefault="009A1BBC" w:rsidP="005C7B6C">
      <w:pPr>
        <w:ind w:firstLine="0"/>
        <w:rPr>
          <w:rFonts w:asciiTheme="majorBidi" w:hAnsiTheme="majorBidi" w:cstheme="majorBidi"/>
          <w:szCs w:val="24"/>
        </w:rPr>
      </w:pPr>
      <w:r w:rsidRPr="005C7B6C">
        <w:rPr>
          <w:rFonts w:asciiTheme="majorBidi" w:hAnsiTheme="majorBidi" w:cstheme="majorBidi"/>
          <w:szCs w:val="24"/>
        </w:rPr>
        <w:t>MATTER: Case of William Brown</w:t>
      </w:r>
    </w:p>
    <w:p w14:paraId="520029B8" w14:textId="36674945" w:rsidR="00937B2A" w:rsidRPr="005C7B6C" w:rsidRDefault="009A1BBC" w:rsidP="005C7B6C">
      <w:pPr>
        <w:ind w:firstLine="0"/>
        <w:rPr>
          <w:rFonts w:asciiTheme="majorBidi" w:hAnsiTheme="majorBidi" w:cstheme="majorBidi"/>
          <w:szCs w:val="24"/>
        </w:rPr>
      </w:pPr>
      <w:r w:rsidRPr="005C7B6C">
        <w:rPr>
          <w:rFonts w:asciiTheme="majorBidi" w:hAnsiTheme="majorBidi" w:cstheme="majorBidi"/>
          <w:szCs w:val="24"/>
        </w:rPr>
        <w:t>DATE: 7 May 2021</w:t>
      </w:r>
    </w:p>
    <w:p w14:paraId="3453EF46" w14:textId="797681E2" w:rsidR="004F76B9" w:rsidRPr="005C7B6C" w:rsidRDefault="009A1BBC" w:rsidP="005C7B6C">
      <w:pPr>
        <w:rPr>
          <w:rFonts w:asciiTheme="majorBidi" w:hAnsiTheme="majorBidi" w:cstheme="majorBidi"/>
          <w:szCs w:val="24"/>
        </w:rPr>
      </w:pPr>
      <w:r w:rsidRPr="005C7B6C">
        <w:rPr>
          <w:rFonts w:asciiTheme="majorBidi" w:hAnsiTheme="majorBidi" w:cstheme="majorBidi"/>
          <w:szCs w:val="24"/>
        </w:rPr>
        <w:t xml:space="preserve">In this matter and case of William Brown, there has been an accusation of </w:t>
      </w:r>
      <w:r w:rsidR="004F76B9" w:rsidRPr="005C7B6C">
        <w:rPr>
          <w:rFonts w:asciiTheme="majorBidi" w:hAnsiTheme="majorBidi" w:cstheme="majorBidi"/>
          <w:szCs w:val="24"/>
        </w:rPr>
        <w:t>two attempts of theft that amount to a total sum of 3000 pounds. One is the theft of cash and the other one includes the stealing of wine and spirits. However, William Brown has held a good character and name and has previously worked as a bar secretary at a rugby club.</w:t>
      </w:r>
    </w:p>
    <w:p w14:paraId="5261AABE" w14:textId="2D095833" w:rsidR="004F76B9" w:rsidRPr="005C7B6C" w:rsidRDefault="004F76B9" w:rsidP="005C7B6C">
      <w:pPr>
        <w:rPr>
          <w:rFonts w:asciiTheme="majorBidi" w:hAnsiTheme="majorBidi" w:cstheme="majorBidi"/>
          <w:szCs w:val="24"/>
        </w:rPr>
      </w:pPr>
      <w:r w:rsidRPr="005C7B6C">
        <w:rPr>
          <w:rFonts w:asciiTheme="majorBidi" w:hAnsiTheme="majorBidi" w:cstheme="majorBidi"/>
          <w:szCs w:val="24"/>
        </w:rPr>
        <w:t xml:space="preserve">The substantive law is the law that defines the rights of the parties, </w:t>
      </w:r>
      <w:r w:rsidR="004527CD" w:rsidRPr="005C7B6C">
        <w:rPr>
          <w:rFonts w:asciiTheme="majorBidi" w:hAnsiTheme="majorBidi" w:cstheme="majorBidi"/>
          <w:szCs w:val="24"/>
        </w:rPr>
        <w:t>which</w:t>
      </w:r>
      <w:r w:rsidRPr="005C7B6C">
        <w:rPr>
          <w:rFonts w:asciiTheme="majorBidi" w:hAnsiTheme="majorBidi" w:cstheme="majorBidi"/>
          <w:szCs w:val="24"/>
        </w:rPr>
        <w:t xml:space="preserve"> includes the torts law, contract law, </w:t>
      </w:r>
      <w:r w:rsidR="00B30B67" w:rsidRPr="005C7B6C">
        <w:rPr>
          <w:rFonts w:asciiTheme="majorBidi" w:hAnsiTheme="majorBidi" w:cstheme="majorBidi"/>
          <w:szCs w:val="24"/>
        </w:rPr>
        <w:t xml:space="preserve">real property laws and wills. Substantive laws </w:t>
      </w:r>
      <w:r w:rsidR="007164AA" w:rsidRPr="005C7B6C">
        <w:rPr>
          <w:rFonts w:asciiTheme="majorBidi" w:hAnsiTheme="majorBidi" w:cstheme="majorBidi"/>
          <w:szCs w:val="24"/>
        </w:rPr>
        <w:t>denote</w:t>
      </w:r>
      <w:r w:rsidR="00B30B67" w:rsidRPr="005C7B6C">
        <w:rPr>
          <w:rFonts w:asciiTheme="majorBidi" w:hAnsiTheme="majorBidi" w:cstheme="majorBidi"/>
          <w:szCs w:val="24"/>
        </w:rPr>
        <w:t xml:space="preserve"> and govern the set of obligations that regulate the obligations and rights of collective bodies and individuals. </w:t>
      </w:r>
      <w:r w:rsidR="007164AA" w:rsidRPr="005C7B6C">
        <w:rPr>
          <w:rFonts w:asciiTheme="majorBidi" w:hAnsiTheme="majorBidi" w:cstheme="majorBidi"/>
          <w:szCs w:val="24"/>
        </w:rPr>
        <w:t>Substantive law also includes criminal law. Looking at the criminal law closely, it explains various attitudes and behaviour as criminal and illegal and it defines the factors the authority should prove to felon the criminal or offender</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Kempen</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Bemelmans, 2018</w:t>
      </w:r>
      <w:r w:rsidR="00353E18" w:rsidRPr="005C7B6C">
        <w:rPr>
          <w:rFonts w:asciiTheme="majorBidi" w:hAnsiTheme="majorBidi" w:cstheme="majorBidi"/>
          <w:szCs w:val="24"/>
        </w:rPr>
        <w:t>)</w:t>
      </w:r>
      <w:r w:rsidR="007164AA" w:rsidRPr="005C7B6C">
        <w:rPr>
          <w:rFonts w:asciiTheme="majorBidi" w:hAnsiTheme="majorBidi" w:cstheme="majorBidi"/>
          <w:szCs w:val="24"/>
        </w:rPr>
        <w:t xml:space="preserve">. </w:t>
      </w:r>
    </w:p>
    <w:p w14:paraId="0B20A5F0" w14:textId="41AD5EBD" w:rsidR="007164AA" w:rsidRPr="005C7B6C" w:rsidRDefault="007164AA" w:rsidP="005C7B6C">
      <w:pPr>
        <w:rPr>
          <w:rFonts w:asciiTheme="majorBidi" w:hAnsiTheme="majorBidi" w:cstheme="majorBidi"/>
          <w:szCs w:val="24"/>
        </w:rPr>
      </w:pPr>
      <w:r w:rsidRPr="005C7B6C">
        <w:rPr>
          <w:rFonts w:asciiTheme="majorBidi" w:hAnsiTheme="majorBidi" w:cstheme="majorBidi"/>
          <w:szCs w:val="24"/>
        </w:rPr>
        <w:t xml:space="preserve">One of the main aspects that are relatable and suitable in the case of William Brown includes </w:t>
      </w:r>
      <w:r w:rsidR="00F72829" w:rsidRPr="005C7B6C">
        <w:rPr>
          <w:rFonts w:asciiTheme="majorBidi" w:hAnsiTheme="majorBidi" w:cstheme="majorBidi"/>
          <w:szCs w:val="24"/>
        </w:rPr>
        <w:t>Men’s</w:t>
      </w:r>
      <w:r w:rsidRPr="005C7B6C">
        <w:rPr>
          <w:rFonts w:asciiTheme="majorBidi" w:hAnsiTheme="majorBidi" w:cstheme="majorBidi"/>
          <w:szCs w:val="24"/>
        </w:rPr>
        <w:t xml:space="preserve"> rea. </w:t>
      </w:r>
      <w:r w:rsidR="00F72829" w:rsidRPr="005C7B6C">
        <w:rPr>
          <w:rFonts w:asciiTheme="majorBidi" w:hAnsiTheme="majorBidi" w:cstheme="majorBidi"/>
          <w:szCs w:val="24"/>
        </w:rPr>
        <w:t>Men’s</w:t>
      </w:r>
      <w:r w:rsidRPr="005C7B6C">
        <w:rPr>
          <w:rFonts w:asciiTheme="majorBidi" w:hAnsiTheme="majorBidi" w:cstheme="majorBidi"/>
          <w:szCs w:val="24"/>
        </w:rPr>
        <w:t xml:space="preserve"> rea constitutes the cognitive and mental element of an individual that urge him/her to commit the crime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Hasitha</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 xml:space="preserve"> Jain, 2019</w:t>
      </w:r>
      <w:r w:rsidR="00353E18" w:rsidRPr="005C7B6C">
        <w:rPr>
          <w:rFonts w:asciiTheme="majorBidi" w:hAnsiTheme="majorBidi" w:cstheme="majorBidi"/>
          <w:szCs w:val="24"/>
        </w:rPr>
        <w:t>)</w:t>
      </w:r>
      <w:r w:rsidRPr="005C7B6C">
        <w:rPr>
          <w:rFonts w:asciiTheme="majorBidi" w:hAnsiTheme="majorBidi" w:cstheme="majorBidi"/>
          <w:szCs w:val="24"/>
        </w:rPr>
        <w:t xml:space="preserve">. It also involves that a certain action of an individual or not acting in a way that promotes the cause of crime </w:t>
      </w:r>
      <w:r w:rsidR="000365CD" w:rsidRPr="005C7B6C">
        <w:rPr>
          <w:rFonts w:asciiTheme="majorBidi" w:hAnsiTheme="majorBidi" w:cstheme="majorBidi"/>
          <w:szCs w:val="24"/>
        </w:rPr>
        <w:t xml:space="preserve">which is committed. This is considered to be a significant factor </w:t>
      </w:r>
      <w:r w:rsidR="004527CD" w:rsidRPr="005C7B6C">
        <w:rPr>
          <w:rFonts w:asciiTheme="majorBidi" w:hAnsiTheme="majorBidi" w:cstheme="majorBidi"/>
          <w:szCs w:val="24"/>
        </w:rPr>
        <w:t>in</w:t>
      </w:r>
      <w:r w:rsidR="000365CD" w:rsidRPr="005C7B6C">
        <w:rPr>
          <w:rFonts w:asciiTheme="majorBidi" w:hAnsiTheme="majorBidi" w:cstheme="majorBidi"/>
          <w:szCs w:val="24"/>
        </w:rPr>
        <w:t xml:space="preserve"> various criminal activities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Tadros, 2014</w:t>
      </w:r>
      <w:r w:rsidR="00353E18" w:rsidRPr="005C7B6C">
        <w:rPr>
          <w:rFonts w:asciiTheme="majorBidi" w:hAnsiTheme="majorBidi" w:cstheme="majorBidi"/>
          <w:szCs w:val="24"/>
        </w:rPr>
        <w:t>)</w:t>
      </w:r>
      <w:r w:rsidR="000365CD" w:rsidRPr="005C7B6C">
        <w:rPr>
          <w:rFonts w:asciiTheme="majorBidi" w:hAnsiTheme="majorBidi" w:cstheme="majorBidi"/>
          <w:szCs w:val="24"/>
        </w:rPr>
        <w:t>.</w:t>
      </w:r>
    </w:p>
    <w:p w14:paraId="522ED932" w14:textId="137F9990" w:rsidR="000365CD" w:rsidRPr="005C7B6C" w:rsidRDefault="000365CD" w:rsidP="005C7B6C">
      <w:pPr>
        <w:rPr>
          <w:rFonts w:asciiTheme="majorBidi" w:hAnsiTheme="majorBidi" w:cstheme="majorBidi"/>
          <w:szCs w:val="24"/>
        </w:rPr>
      </w:pPr>
      <w:r w:rsidRPr="005C7B6C">
        <w:rPr>
          <w:rFonts w:asciiTheme="majorBidi" w:hAnsiTheme="majorBidi" w:cstheme="majorBidi"/>
          <w:szCs w:val="24"/>
        </w:rPr>
        <w:lastRenderedPageBreak/>
        <w:t>On the other hand, Actus Reus is a Latin phrase used to refer to a criminal expression. Each crime must be considered in two parts: the actual evidence of the crime (actus reus) and the psychological purpose of the crime (</w:t>
      </w:r>
      <w:r w:rsidR="00F72829" w:rsidRPr="005C7B6C">
        <w:rPr>
          <w:rFonts w:asciiTheme="majorBidi" w:hAnsiTheme="majorBidi" w:cstheme="majorBidi"/>
          <w:szCs w:val="24"/>
        </w:rPr>
        <w:t>men’s</w:t>
      </w:r>
      <w:r w:rsidRPr="005C7B6C">
        <w:rPr>
          <w:rFonts w:asciiTheme="majorBidi" w:hAnsiTheme="majorBidi" w:cstheme="majorBidi"/>
          <w:szCs w:val="24"/>
        </w:rPr>
        <w:t xml:space="preserve"> rea). To prove a giant actus, a lawyer must prove that the suspect is responsible for an act that denies the criminal law</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Rodger</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MacCulloch, 2019</w:t>
      </w:r>
      <w:r w:rsidR="00353E18" w:rsidRPr="005C7B6C">
        <w:rPr>
          <w:rFonts w:asciiTheme="majorBidi" w:hAnsiTheme="majorBidi" w:cstheme="majorBidi"/>
          <w:szCs w:val="24"/>
        </w:rPr>
        <w:t>)</w:t>
      </w:r>
      <w:r w:rsidRPr="005C7B6C">
        <w:rPr>
          <w:rFonts w:asciiTheme="majorBidi" w:hAnsiTheme="majorBidi" w:cstheme="majorBidi"/>
          <w:szCs w:val="24"/>
        </w:rPr>
        <w:t>.</w:t>
      </w:r>
      <w:r w:rsidR="00353E18" w:rsidRPr="005C7B6C">
        <w:rPr>
          <w:rFonts w:asciiTheme="majorBidi" w:hAnsiTheme="majorBidi" w:cstheme="majorBidi"/>
          <w:szCs w:val="24"/>
        </w:rPr>
        <w:t xml:space="preserve"> </w:t>
      </w:r>
    </w:p>
    <w:p w14:paraId="7CB7776D" w14:textId="78E27781" w:rsidR="000365CD" w:rsidRPr="005C7B6C" w:rsidRDefault="000365CD" w:rsidP="005C7B6C">
      <w:pPr>
        <w:rPr>
          <w:rFonts w:asciiTheme="majorBidi" w:hAnsiTheme="majorBidi" w:cstheme="majorBidi"/>
          <w:szCs w:val="24"/>
        </w:rPr>
      </w:pPr>
      <w:r w:rsidRPr="005C7B6C">
        <w:rPr>
          <w:rFonts w:asciiTheme="majorBidi" w:hAnsiTheme="majorBidi" w:cstheme="majorBidi"/>
          <w:szCs w:val="24"/>
        </w:rPr>
        <w:t>Actus Reus is usually characteri</w:t>
      </w:r>
      <w:r w:rsidR="004527CD" w:rsidRPr="005C7B6C">
        <w:rPr>
          <w:rFonts w:asciiTheme="majorBidi" w:hAnsiTheme="majorBidi" w:cstheme="majorBidi"/>
          <w:szCs w:val="24"/>
        </w:rPr>
        <w:t>s</w:t>
      </w:r>
      <w:r w:rsidRPr="005C7B6C">
        <w:rPr>
          <w:rFonts w:asciiTheme="majorBidi" w:hAnsiTheme="majorBidi" w:cstheme="majorBidi"/>
          <w:szCs w:val="24"/>
        </w:rPr>
        <w:t>ed as a criminal expression resulting from deliberate actual development. It represents real work that harms another person or damages property. Everything from actual assault or murder to destruction of public property is called actus reus</w:t>
      </w:r>
      <w:r w:rsidR="005C7B6C" w:rsidRPr="005C7B6C">
        <w:rPr>
          <w:rFonts w:asciiTheme="majorBidi" w:hAnsiTheme="majorBidi" w:cstheme="majorBidi"/>
          <w:szCs w:val="24"/>
        </w:rPr>
        <w:t xml:space="preserve"> (</w:t>
      </w:r>
      <w:r w:rsidR="005C7B6C" w:rsidRPr="005C7B6C">
        <w:rPr>
          <w:rFonts w:asciiTheme="majorBidi" w:hAnsiTheme="majorBidi" w:cstheme="majorBidi"/>
          <w:color w:val="222222"/>
          <w:szCs w:val="24"/>
          <w:shd w:val="clear" w:color="auto" w:fill="FFFFFF"/>
        </w:rPr>
        <w:t>Rodger</w:t>
      </w:r>
      <w:r w:rsidR="00961F99">
        <w:rPr>
          <w:rFonts w:asciiTheme="majorBidi" w:hAnsiTheme="majorBidi" w:cstheme="majorBidi"/>
          <w:color w:val="222222"/>
          <w:szCs w:val="24"/>
          <w:shd w:val="clear" w:color="auto" w:fill="FFFFFF"/>
        </w:rPr>
        <w:t xml:space="preserve">, </w:t>
      </w:r>
      <w:r w:rsidR="005C7B6C" w:rsidRPr="005C7B6C">
        <w:rPr>
          <w:rFonts w:asciiTheme="majorBidi" w:hAnsiTheme="majorBidi" w:cstheme="majorBidi"/>
          <w:color w:val="222222"/>
          <w:szCs w:val="24"/>
          <w:shd w:val="clear" w:color="auto" w:fill="FFFFFF"/>
        </w:rPr>
        <w:t>MacCulloch, 2019</w:t>
      </w:r>
      <w:r w:rsidR="005C7B6C" w:rsidRPr="005C7B6C">
        <w:rPr>
          <w:rFonts w:asciiTheme="majorBidi" w:hAnsiTheme="majorBidi" w:cstheme="majorBidi"/>
          <w:szCs w:val="24"/>
        </w:rPr>
        <w:t>)</w:t>
      </w:r>
      <w:r w:rsidR="004527CD" w:rsidRPr="005C7B6C">
        <w:rPr>
          <w:rFonts w:asciiTheme="majorBidi" w:hAnsiTheme="majorBidi" w:cstheme="majorBidi"/>
          <w:szCs w:val="24"/>
        </w:rPr>
        <w:t>.</w:t>
      </w:r>
    </w:p>
    <w:p w14:paraId="1982EE61" w14:textId="1CB7AD15" w:rsidR="004527CD" w:rsidRPr="005C7B6C" w:rsidRDefault="000365CD" w:rsidP="005C7B6C">
      <w:pPr>
        <w:rPr>
          <w:rFonts w:asciiTheme="majorBidi" w:hAnsiTheme="majorBidi" w:cstheme="majorBidi"/>
          <w:szCs w:val="24"/>
        </w:rPr>
      </w:pPr>
      <w:r w:rsidRPr="005C7B6C">
        <w:rPr>
          <w:rFonts w:asciiTheme="majorBidi" w:hAnsiTheme="majorBidi" w:cstheme="majorBidi"/>
          <w:szCs w:val="24"/>
        </w:rPr>
        <w:t>The criminal negligence exception is another type of crime. This comes from the other side of assault or killing and involves refraining from acts that could prevent a person from harming someone. A possible mistake is that you failed to warn others that you had created a dangerous circumstance, that you were not caring for a child left at your discretion, or that you were not carrying out a business mission properly caused an accident. In these cases, the inability of author to render the critical act detrimental to others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Sarch, 2015</w:t>
      </w:r>
      <w:r w:rsidR="00353E18" w:rsidRPr="005C7B6C">
        <w:rPr>
          <w:rFonts w:asciiTheme="majorBidi" w:hAnsiTheme="majorBidi" w:cstheme="majorBidi"/>
          <w:szCs w:val="24"/>
        </w:rPr>
        <w:t>)</w:t>
      </w:r>
      <w:r w:rsidRPr="005C7B6C">
        <w:rPr>
          <w:rFonts w:asciiTheme="majorBidi" w:hAnsiTheme="majorBidi" w:cstheme="majorBidi"/>
          <w:szCs w:val="24"/>
        </w:rPr>
        <w:t>.</w:t>
      </w:r>
    </w:p>
    <w:p w14:paraId="75C25811" w14:textId="65EC4B49" w:rsidR="004527CD" w:rsidRPr="005C7B6C" w:rsidRDefault="004527CD" w:rsidP="005C7B6C">
      <w:pPr>
        <w:rPr>
          <w:rFonts w:asciiTheme="majorBidi" w:hAnsiTheme="majorBidi" w:cstheme="majorBidi"/>
          <w:szCs w:val="24"/>
        </w:rPr>
      </w:pPr>
      <w:r w:rsidRPr="005C7B6C">
        <w:rPr>
          <w:rFonts w:asciiTheme="majorBidi" w:hAnsiTheme="majorBidi" w:cstheme="majorBidi"/>
          <w:szCs w:val="24"/>
        </w:rPr>
        <w:t>As of 28 May 2013, the referral proceedings (in addition to the referral order) had been overturned in England and Wales and the parties charged with a crime fall under the 'method of attribution'</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Tadros, 2014</w:t>
      </w:r>
      <w:r w:rsidR="00353E18" w:rsidRPr="005C7B6C">
        <w:rPr>
          <w:rFonts w:asciiTheme="majorBidi" w:hAnsiTheme="majorBidi" w:cstheme="majorBidi"/>
          <w:szCs w:val="24"/>
        </w:rPr>
        <w:t>)</w:t>
      </w:r>
      <w:r w:rsidRPr="005C7B6C">
        <w:rPr>
          <w:rFonts w:asciiTheme="majorBidi" w:hAnsiTheme="majorBidi" w:cstheme="majorBidi"/>
          <w:szCs w:val="24"/>
        </w:rPr>
        <w:t>.</w:t>
      </w:r>
    </w:p>
    <w:p w14:paraId="5449AF51" w14:textId="6F05AD9C" w:rsidR="004527CD" w:rsidRPr="005C7B6C" w:rsidRDefault="004527CD" w:rsidP="005C7B6C">
      <w:pPr>
        <w:rPr>
          <w:rFonts w:asciiTheme="majorBidi" w:hAnsiTheme="majorBidi" w:cstheme="majorBidi"/>
          <w:szCs w:val="24"/>
        </w:rPr>
      </w:pPr>
      <w:r w:rsidRPr="005C7B6C">
        <w:rPr>
          <w:rFonts w:asciiTheme="majorBidi" w:hAnsiTheme="majorBidi" w:cstheme="majorBidi"/>
          <w:szCs w:val="24"/>
        </w:rPr>
        <w:t xml:space="preserve">However, at the first hearing, the accused will be charged and the complainant will have to prove his complaint or not be held accountable. If the plaintiff makes a responsible claim, the justices of the peace must decide whether their judgment is adequate or whether the case should be referred to the Crown Court for judgment. If the plaintiff declares his innocence or refuses to appeal to the Magistrate's Court, the Court must decide to refer the case to the Magistrate's Court </w:t>
      </w:r>
      <w:r w:rsidRPr="005C7B6C">
        <w:rPr>
          <w:rFonts w:asciiTheme="majorBidi" w:hAnsiTheme="majorBidi" w:cstheme="majorBidi"/>
          <w:szCs w:val="24"/>
        </w:rPr>
        <w:lastRenderedPageBreak/>
        <w:t>or the Crown Court for preparation</w:t>
      </w:r>
      <w:r w:rsidR="005C7B6C" w:rsidRPr="005C7B6C">
        <w:rPr>
          <w:rFonts w:asciiTheme="majorBidi" w:hAnsiTheme="majorBidi" w:cstheme="majorBidi"/>
          <w:szCs w:val="24"/>
        </w:rPr>
        <w:t xml:space="preserve"> (</w:t>
      </w:r>
      <w:r w:rsidR="005C7B6C" w:rsidRPr="005C7B6C">
        <w:rPr>
          <w:rFonts w:asciiTheme="majorBidi" w:hAnsiTheme="majorBidi" w:cstheme="majorBidi"/>
          <w:color w:val="222222"/>
          <w:szCs w:val="24"/>
          <w:shd w:val="clear" w:color="auto" w:fill="FFFFFF"/>
        </w:rPr>
        <w:t>Vigier</w:t>
      </w:r>
      <w:r w:rsidR="00961F99">
        <w:rPr>
          <w:rFonts w:asciiTheme="majorBidi" w:hAnsiTheme="majorBidi" w:cstheme="majorBidi"/>
          <w:color w:val="222222"/>
          <w:szCs w:val="24"/>
          <w:shd w:val="clear" w:color="auto" w:fill="FFFFFF"/>
        </w:rPr>
        <w:t xml:space="preserve">, </w:t>
      </w:r>
      <w:r w:rsidR="005C7B6C" w:rsidRPr="005C7B6C">
        <w:rPr>
          <w:rFonts w:asciiTheme="majorBidi" w:hAnsiTheme="majorBidi" w:cstheme="majorBidi"/>
          <w:color w:val="222222"/>
          <w:szCs w:val="24"/>
          <w:shd w:val="clear" w:color="auto" w:fill="FFFFFF"/>
        </w:rPr>
        <w:t>Sánchez, 2017</w:t>
      </w:r>
      <w:r w:rsidR="005C7B6C" w:rsidRPr="005C7B6C">
        <w:rPr>
          <w:rFonts w:asciiTheme="majorBidi" w:hAnsiTheme="majorBidi" w:cstheme="majorBidi"/>
          <w:szCs w:val="24"/>
        </w:rPr>
        <w:t>).</w:t>
      </w:r>
      <w:r w:rsidRPr="005C7B6C">
        <w:rPr>
          <w:rFonts w:asciiTheme="majorBidi" w:hAnsiTheme="majorBidi" w:cstheme="majorBidi"/>
          <w:szCs w:val="24"/>
        </w:rPr>
        <w:t xml:space="preserve"> Further information is available in the part exploited by Plea before its configuration and distribution.</w:t>
      </w:r>
    </w:p>
    <w:p w14:paraId="29D7913E" w14:textId="260B19C3" w:rsidR="004527CD" w:rsidRPr="005C7B6C" w:rsidRDefault="004527CD" w:rsidP="005C7B6C">
      <w:pPr>
        <w:rPr>
          <w:rFonts w:asciiTheme="majorBidi" w:hAnsiTheme="majorBidi" w:cstheme="majorBidi"/>
          <w:szCs w:val="24"/>
        </w:rPr>
      </w:pPr>
      <w:r w:rsidRPr="005C7B6C">
        <w:rPr>
          <w:rFonts w:asciiTheme="majorBidi" w:hAnsiTheme="majorBidi" w:cstheme="majorBidi"/>
          <w:szCs w:val="24"/>
        </w:rPr>
        <w:t>If the court refers the case back to the magistrates' court for preparation, the plaintiff may, in any case, submit a provisional judgment to the Crown Court.</w:t>
      </w:r>
    </w:p>
    <w:p w14:paraId="65E666D7" w14:textId="5A73AFFC" w:rsidR="004527CD" w:rsidRPr="005C7B6C" w:rsidRDefault="004527CD" w:rsidP="005C7B6C">
      <w:pPr>
        <w:rPr>
          <w:rFonts w:asciiTheme="majorBidi" w:hAnsiTheme="majorBidi" w:cstheme="majorBidi"/>
          <w:szCs w:val="24"/>
        </w:rPr>
      </w:pPr>
      <w:r w:rsidRPr="005C7B6C">
        <w:rPr>
          <w:rFonts w:asciiTheme="majorBidi" w:hAnsiTheme="majorBidi" w:cstheme="majorBidi"/>
          <w:szCs w:val="24"/>
        </w:rPr>
        <w:t>The Criminal Commission has issued a revised Final Judgment Directive, which came into effect on March 1, 2016, and is advising courts on the trial of cases before the Officers' Court or the Crown Court. The rule can be found here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Watt, 2019</w:t>
      </w:r>
      <w:r w:rsidR="00353E18" w:rsidRPr="005C7B6C">
        <w:rPr>
          <w:rFonts w:asciiTheme="majorBidi" w:hAnsiTheme="majorBidi" w:cstheme="majorBidi"/>
          <w:szCs w:val="24"/>
        </w:rPr>
        <w:t>).</w:t>
      </w:r>
    </w:p>
    <w:p w14:paraId="7D586E33" w14:textId="51E973E4" w:rsidR="004527CD" w:rsidRPr="005C7B6C" w:rsidRDefault="004527CD" w:rsidP="005C7B6C">
      <w:pPr>
        <w:rPr>
          <w:rFonts w:asciiTheme="majorBidi" w:hAnsiTheme="majorBidi" w:cstheme="majorBidi"/>
          <w:szCs w:val="24"/>
        </w:rPr>
      </w:pPr>
      <w:r w:rsidRPr="005C7B6C">
        <w:rPr>
          <w:rFonts w:asciiTheme="majorBidi" w:hAnsiTheme="majorBidi" w:cstheme="majorBidi"/>
          <w:szCs w:val="24"/>
        </w:rPr>
        <w:t>In serious cases, the court should consider obtaining a preliminary conviction report before deciding to refer a case to the Crown Court for judgment</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Tadros, 2014</w:t>
      </w:r>
      <w:r w:rsidR="00353E18" w:rsidRPr="005C7B6C">
        <w:rPr>
          <w:rFonts w:asciiTheme="majorBidi" w:hAnsiTheme="majorBidi" w:cstheme="majorBidi"/>
          <w:szCs w:val="24"/>
        </w:rPr>
        <w:t>)</w:t>
      </w:r>
      <w:r w:rsidRPr="005C7B6C">
        <w:rPr>
          <w:rFonts w:asciiTheme="majorBidi" w:hAnsiTheme="majorBidi" w:cstheme="majorBidi"/>
          <w:szCs w:val="24"/>
        </w:rPr>
        <w:t>.</w:t>
      </w:r>
    </w:p>
    <w:p w14:paraId="3F7CB633" w14:textId="022DF476" w:rsidR="00C14502" w:rsidRPr="005C7B6C" w:rsidRDefault="004527CD" w:rsidP="005C7B6C">
      <w:pPr>
        <w:rPr>
          <w:rFonts w:asciiTheme="majorBidi" w:hAnsiTheme="majorBidi" w:cstheme="majorBidi"/>
          <w:szCs w:val="24"/>
        </w:rPr>
      </w:pPr>
      <w:r w:rsidRPr="005C7B6C">
        <w:rPr>
          <w:rFonts w:asciiTheme="majorBidi" w:hAnsiTheme="majorBidi" w:cstheme="majorBidi"/>
          <w:szCs w:val="24"/>
        </w:rPr>
        <w:t>The juvenile court now has the cumulative capacity of conviction following a conviction under Section 3B of the Powers of Criminal Courts (Sentences) Act 2000 (as amended). If necessary, a similar court will be able to convict convicted adults and teenagers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Watt, 2019</w:t>
      </w:r>
      <w:r w:rsidR="00353E18" w:rsidRPr="005C7B6C">
        <w:rPr>
          <w:rFonts w:asciiTheme="majorBidi" w:hAnsiTheme="majorBidi" w:cstheme="majorBidi"/>
          <w:szCs w:val="24"/>
        </w:rPr>
        <w:t>)</w:t>
      </w:r>
      <w:r w:rsidRPr="005C7B6C">
        <w:rPr>
          <w:rFonts w:asciiTheme="majorBidi" w:hAnsiTheme="majorBidi" w:cstheme="majorBidi"/>
          <w:szCs w:val="24"/>
        </w:rPr>
        <w:t>.</w:t>
      </w:r>
    </w:p>
    <w:p w14:paraId="3AFE0334" w14:textId="6B1BB914" w:rsidR="00C14502" w:rsidRPr="005C7B6C" w:rsidRDefault="00C14502" w:rsidP="005C7B6C">
      <w:pPr>
        <w:rPr>
          <w:rFonts w:asciiTheme="majorBidi" w:hAnsiTheme="majorBidi" w:cstheme="majorBidi"/>
          <w:b/>
          <w:bCs/>
          <w:szCs w:val="24"/>
        </w:rPr>
      </w:pPr>
      <w:r w:rsidRPr="005C7B6C">
        <w:rPr>
          <w:rFonts w:asciiTheme="majorBidi" w:hAnsiTheme="majorBidi" w:cstheme="majorBidi"/>
          <w:b/>
          <w:bCs/>
          <w:szCs w:val="24"/>
        </w:rPr>
        <w:t>Benefits of a Magistrate court</w:t>
      </w:r>
    </w:p>
    <w:p w14:paraId="159709EA" w14:textId="2198135A"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There should be no more possibilities for dealing with individual cases as judges need to be qualified.</w:t>
      </w:r>
    </w:p>
    <w:p w14:paraId="409B76E6" w14:textId="622B2A80"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Magistrates often have information close to their workplace.</w:t>
      </w:r>
    </w:p>
    <w:p w14:paraId="09BCBBAC" w14:textId="2D0A634B"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The judges made little choice.</w:t>
      </w:r>
    </w:p>
    <w:p w14:paraId="2D87E0BD" w14:textId="7356BB50"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Save</w:t>
      </w:r>
      <w:r w:rsidR="00353E18" w:rsidRPr="005C7B6C">
        <w:rPr>
          <w:rFonts w:asciiTheme="majorBidi" w:hAnsiTheme="majorBidi" w:cstheme="majorBidi"/>
          <w:szCs w:val="24"/>
        </w:rPr>
        <w:t xml:space="preserve"> money and costs (</w:t>
      </w:r>
      <w:r w:rsidR="00353E18" w:rsidRPr="005C7B6C">
        <w:rPr>
          <w:rFonts w:asciiTheme="majorBidi" w:hAnsiTheme="majorBidi" w:cstheme="majorBidi"/>
          <w:color w:val="222222"/>
          <w:szCs w:val="24"/>
          <w:shd w:val="clear" w:color="auto" w:fill="FFFFFF"/>
        </w:rPr>
        <w:t>Roberts</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Sánchez, 2014</w:t>
      </w:r>
      <w:r w:rsidR="00353E18" w:rsidRPr="005C7B6C">
        <w:rPr>
          <w:rFonts w:asciiTheme="majorBidi" w:hAnsiTheme="majorBidi" w:cstheme="majorBidi"/>
          <w:szCs w:val="24"/>
        </w:rPr>
        <w:t>)</w:t>
      </w:r>
      <w:r w:rsidRPr="005C7B6C">
        <w:rPr>
          <w:rFonts w:asciiTheme="majorBidi" w:hAnsiTheme="majorBidi" w:cstheme="majorBidi"/>
          <w:szCs w:val="24"/>
        </w:rPr>
        <w:t>.</w:t>
      </w:r>
    </w:p>
    <w:p w14:paraId="45EDF933" w14:textId="674BE3C5" w:rsidR="00C14502" w:rsidRPr="005C7B6C" w:rsidRDefault="00B44FA7" w:rsidP="005C7B6C">
      <w:pPr>
        <w:rPr>
          <w:rFonts w:asciiTheme="majorBidi" w:hAnsiTheme="majorBidi" w:cstheme="majorBidi"/>
          <w:b/>
          <w:bCs/>
          <w:szCs w:val="24"/>
        </w:rPr>
      </w:pPr>
      <w:r w:rsidRPr="005C7B6C">
        <w:rPr>
          <w:rFonts w:asciiTheme="majorBidi" w:hAnsiTheme="majorBidi" w:cstheme="majorBidi"/>
          <w:b/>
          <w:bCs/>
          <w:szCs w:val="24"/>
        </w:rPr>
        <w:t>Disadvantages</w:t>
      </w:r>
    </w:p>
    <w:p w14:paraId="59282EC3" w14:textId="656DFAD2"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Lawsuits for bias: if not well developed, they can give preference to the police.</w:t>
      </w:r>
    </w:p>
    <w:p w14:paraId="379D0A5B" w14:textId="473C3D9B"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lastRenderedPageBreak/>
        <w:t>• Inconsistent fines for negligence, perhaps because they only work 13 days a year.</w:t>
      </w:r>
    </w:p>
    <w:p w14:paraId="6EEB9D01" w14:textId="6D142BB0"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Case Hard-May Can judge parties in a previous case</w:t>
      </w:r>
    </w:p>
    <w:p w14:paraId="0F8B9E64" w14:textId="4608F021"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Only one representative of the people in the company who have available energy</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Sánchez</w:t>
      </w:r>
      <w:r w:rsidR="00961F99">
        <w:rPr>
          <w:rFonts w:asciiTheme="majorBidi" w:hAnsiTheme="majorBidi" w:cstheme="majorBidi"/>
          <w:color w:val="222222"/>
          <w:szCs w:val="24"/>
          <w:shd w:val="clear" w:color="auto" w:fill="FFFFFF"/>
        </w:rPr>
        <w:t>,</w:t>
      </w:r>
      <w:r w:rsidR="00353E18" w:rsidRPr="005C7B6C">
        <w:rPr>
          <w:rFonts w:asciiTheme="majorBidi" w:hAnsiTheme="majorBidi" w:cstheme="majorBidi"/>
          <w:color w:val="222222"/>
          <w:szCs w:val="24"/>
          <w:shd w:val="clear" w:color="auto" w:fill="FFFFFF"/>
        </w:rPr>
        <w:t xml:space="preserve"> </w:t>
      </w:r>
      <w:r w:rsidR="00961F99">
        <w:rPr>
          <w:rFonts w:asciiTheme="majorBidi" w:hAnsiTheme="majorBidi" w:cstheme="majorBidi"/>
          <w:i/>
          <w:iCs/>
          <w:color w:val="222222"/>
          <w:szCs w:val="24"/>
          <w:shd w:val="clear" w:color="auto" w:fill="FFFFFF"/>
        </w:rPr>
        <w:t>ET AL</w:t>
      </w:r>
      <w:r w:rsidR="00353E18" w:rsidRPr="005C7B6C">
        <w:rPr>
          <w:rFonts w:asciiTheme="majorBidi" w:hAnsiTheme="majorBidi" w:cstheme="majorBidi"/>
          <w:color w:val="222222"/>
          <w:szCs w:val="24"/>
          <w:shd w:val="clear" w:color="auto" w:fill="FFFFFF"/>
        </w:rPr>
        <w:t>., 2017</w:t>
      </w:r>
      <w:r w:rsidR="00353E18" w:rsidRPr="005C7B6C">
        <w:rPr>
          <w:rFonts w:asciiTheme="majorBidi" w:hAnsiTheme="majorBidi" w:cstheme="majorBidi"/>
          <w:szCs w:val="24"/>
        </w:rPr>
        <w:t>)</w:t>
      </w:r>
      <w:r w:rsidRPr="005C7B6C">
        <w:rPr>
          <w:rFonts w:asciiTheme="majorBidi" w:hAnsiTheme="majorBidi" w:cstheme="majorBidi"/>
          <w:szCs w:val="24"/>
        </w:rPr>
        <w:t>.</w:t>
      </w:r>
    </w:p>
    <w:p w14:paraId="3C425CF2" w14:textId="6B213D42" w:rsidR="00C14502" w:rsidRPr="005C7B6C" w:rsidRDefault="00C14502" w:rsidP="005C7B6C">
      <w:pPr>
        <w:rPr>
          <w:rFonts w:asciiTheme="majorBidi" w:hAnsiTheme="majorBidi" w:cstheme="majorBidi"/>
          <w:b/>
          <w:bCs/>
          <w:szCs w:val="24"/>
        </w:rPr>
      </w:pPr>
      <w:r w:rsidRPr="005C7B6C">
        <w:rPr>
          <w:rFonts w:asciiTheme="majorBidi" w:hAnsiTheme="majorBidi" w:cstheme="majorBidi"/>
          <w:b/>
          <w:bCs/>
          <w:szCs w:val="24"/>
        </w:rPr>
        <w:t xml:space="preserve">Advantages of the </w:t>
      </w:r>
      <w:r w:rsidR="00B44FA7" w:rsidRPr="005C7B6C">
        <w:rPr>
          <w:rFonts w:asciiTheme="majorBidi" w:hAnsiTheme="majorBidi" w:cstheme="majorBidi"/>
          <w:b/>
          <w:bCs/>
          <w:szCs w:val="24"/>
        </w:rPr>
        <w:t>Crown Court</w:t>
      </w:r>
      <w:r w:rsidRPr="005C7B6C">
        <w:rPr>
          <w:rFonts w:asciiTheme="majorBidi" w:hAnsiTheme="majorBidi" w:cstheme="majorBidi"/>
          <w:b/>
          <w:bCs/>
          <w:szCs w:val="24"/>
        </w:rPr>
        <w:t>:</w:t>
      </w:r>
    </w:p>
    <w:p w14:paraId="37D148BC" w14:textId="7537FDF7"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xml:space="preserve">Much higher cancellation </w:t>
      </w:r>
      <w:r w:rsidR="00B44FA7" w:rsidRPr="005C7B6C">
        <w:rPr>
          <w:rFonts w:asciiTheme="majorBidi" w:hAnsiTheme="majorBidi" w:cstheme="majorBidi"/>
          <w:szCs w:val="24"/>
        </w:rPr>
        <w:t>rates</w:t>
      </w:r>
      <w:r w:rsidRPr="005C7B6C">
        <w:rPr>
          <w:rFonts w:asciiTheme="majorBidi" w:hAnsiTheme="majorBidi" w:cstheme="majorBidi"/>
          <w:szCs w:val="24"/>
        </w:rPr>
        <w:t>.</w:t>
      </w:r>
    </w:p>
    <w:p w14:paraId="1CEF4B0B" w14:textId="18134EB3"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Jurors must recogni</w:t>
      </w:r>
      <w:r w:rsidR="004527CD" w:rsidRPr="005C7B6C">
        <w:rPr>
          <w:rFonts w:asciiTheme="majorBidi" w:hAnsiTheme="majorBidi" w:cstheme="majorBidi"/>
          <w:szCs w:val="24"/>
        </w:rPr>
        <w:t>s</w:t>
      </w:r>
      <w:r w:rsidRPr="005C7B6C">
        <w:rPr>
          <w:rFonts w:asciiTheme="majorBidi" w:hAnsiTheme="majorBidi" w:cstheme="majorBidi"/>
          <w:szCs w:val="24"/>
        </w:rPr>
        <w:t xml:space="preserve">e "political" </w:t>
      </w:r>
      <w:r w:rsidR="00F72829" w:rsidRPr="005C7B6C">
        <w:rPr>
          <w:rFonts w:asciiTheme="majorBidi" w:hAnsiTheme="majorBidi" w:cstheme="majorBidi"/>
          <w:szCs w:val="24"/>
        </w:rPr>
        <w:t>defenses</w:t>
      </w:r>
      <w:r w:rsidRPr="005C7B6C">
        <w:rPr>
          <w:rFonts w:asciiTheme="majorBidi" w:hAnsiTheme="majorBidi" w:cstheme="majorBidi"/>
          <w:szCs w:val="24"/>
        </w:rPr>
        <w:t xml:space="preserve"> and further ignore the police.</w:t>
      </w:r>
    </w:p>
    <w:p w14:paraId="6CBCF2B9" w14:textId="72935A04"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If you get fired and the CPS takes legal action and you win, your allegations cannot be violated</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Vigier</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Sánchez, 2017</w:t>
      </w:r>
      <w:r w:rsidR="00353E18" w:rsidRPr="005C7B6C">
        <w:rPr>
          <w:rFonts w:asciiTheme="majorBidi" w:hAnsiTheme="majorBidi" w:cstheme="majorBidi"/>
          <w:szCs w:val="24"/>
        </w:rPr>
        <w:t>)</w:t>
      </w:r>
      <w:r w:rsidRPr="005C7B6C">
        <w:rPr>
          <w:rFonts w:asciiTheme="majorBidi" w:hAnsiTheme="majorBidi" w:cstheme="majorBidi"/>
          <w:szCs w:val="24"/>
        </w:rPr>
        <w:t>.</w:t>
      </w:r>
    </w:p>
    <w:p w14:paraId="6FC99741" w14:textId="7462EB82" w:rsidR="00C14502" w:rsidRPr="005C7B6C" w:rsidRDefault="00B44FA7" w:rsidP="005C7B6C">
      <w:pPr>
        <w:rPr>
          <w:rFonts w:asciiTheme="majorBidi" w:hAnsiTheme="majorBidi" w:cstheme="majorBidi"/>
          <w:b/>
          <w:bCs/>
          <w:szCs w:val="24"/>
        </w:rPr>
      </w:pPr>
      <w:r w:rsidRPr="005C7B6C">
        <w:rPr>
          <w:rFonts w:asciiTheme="majorBidi" w:hAnsiTheme="majorBidi" w:cstheme="majorBidi"/>
          <w:b/>
          <w:bCs/>
          <w:szCs w:val="24"/>
        </w:rPr>
        <w:t>Disadvantages</w:t>
      </w:r>
      <w:r w:rsidR="00C14502" w:rsidRPr="005C7B6C">
        <w:rPr>
          <w:rFonts w:asciiTheme="majorBidi" w:hAnsiTheme="majorBidi" w:cstheme="majorBidi"/>
          <w:b/>
          <w:bCs/>
          <w:szCs w:val="24"/>
        </w:rPr>
        <w:t xml:space="preserve"> to the </w:t>
      </w:r>
      <w:r w:rsidR="004527CD" w:rsidRPr="005C7B6C">
        <w:rPr>
          <w:rFonts w:asciiTheme="majorBidi" w:hAnsiTheme="majorBidi" w:cstheme="majorBidi"/>
          <w:b/>
          <w:bCs/>
          <w:szCs w:val="24"/>
        </w:rPr>
        <w:t>Crown</w:t>
      </w:r>
      <w:r w:rsidR="00C14502" w:rsidRPr="005C7B6C">
        <w:rPr>
          <w:rFonts w:asciiTheme="majorBidi" w:hAnsiTheme="majorBidi" w:cstheme="majorBidi"/>
          <w:b/>
          <w:bCs/>
          <w:szCs w:val="24"/>
        </w:rPr>
        <w:t xml:space="preserve"> </w:t>
      </w:r>
      <w:r w:rsidR="004527CD" w:rsidRPr="005C7B6C">
        <w:rPr>
          <w:rFonts w:asciiTheme="majorBidi" w:hAnsiTheme="majorBidi" w:cstheme="majorBidi"/>
          <w:b/>
          <w:bCs/>
          <w:szCs w:val="24"/>
        </w:rPr>
        <w:t>C</w:t>
      </w:r>
      <w:r w:rsidR="00C14502" w:rsidRPr="005C7B6C">
        <w:rPr>
          <w:rFonts w:asciiTheme="majorBidi" w:hAnsiTheme="majorBidi" w:cstheme="majorBidi"/>
          <w:b/>
          <w:bCs/>
          <w:szCs w:val="24"/>
        </w:rPr>
        <w:t>ourt:</w:t>
      </w:r>
    </w:p>
    <w:p w14:paraId="11EF61C0" w14:textId="19E042E5"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Crown court cases typically have many more sessions, so you will need to go to court more often at your own expense.</w:t>
      </w:r>
    </w:p>
    <w:p w14:paraId="539213DD" w14:textId="4B731332"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My case will be suspended for a longer period - it may take a year or more to initiate a preliminary action.</w:t>
      </w:r>
    </w:p>
    <w:p w14:paraId="7465D117" w14:textId="18B4545C"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Your pastor will be taller and more confused and he will need more work as you confront yourself.</w:t>
      </w:r>
    </w:p>
    <w:p w14:paraId="5E00F162" w14:textId="0E6E5586" w:rsidR="00C14502" w:rsidRPr="005C7B6C" w:rsidRDefault="00C14502" w:rsidP="005C7B6C">
      <w:pPr>
        <w:rPr>
          <w:rFonts w:asciiTheme="majorBidi" w:hAnsiTheme="majorBidi" w:cstheme="majorBidi"/>
          <w:szCs w:val="24"/>
        </w:rPr>
      </w:pPr>
      <w:r w:rsidRPr="005C7B6C">
        <w:rPr>
          <w:rFonts w:asciiTheme="majorBidi" w:hAnsiTheme="majorBidi" w:cstheme="majorBidi"/>
          <w:szCs w:val="24"/>
        </w:rPr>
        <w:t>• If you are charged, you are likely to face a stricter sentence and court costs than if your case was tried in a lower court</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Vigier</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Sánchez, 2017</w:t>
      </w:r>
      <w:r w:rsidR="00353E18" w:rsidRPr="005C7B6C">
        <w:rPr>
          <w:rFonts w:asciiTheme="majorBidi" w:hAnsiTheme="majorBidi" w:cstheme="majorBidi"/>
          <w:szCs w:val="24"/>
        </w:rPr>
        <w:t>)</w:t>
      </w:r>
      <w:r w:rsidRPr="005C7B6C">
        <w:rPr>
          <w:rFonts w:asciiTheme="majorBidi" w:hAnsiTheme="majorBidi" w:cstheme="majorBidi"/>
          <w:szCs w:val="24"/>
        </w:rPr>
        <w:t>.</w:t>
      </w:r>
    </w:p>
    <w:p w14:paraId="7E34EA62" w14:textId="0D123F6E" w:rsidR="009A1BBC" w:rsidRPr="005C7B6C" w:rsidRDefault="00C14502" w:rsidP="005C7B6C">
      <w:pPr>
        <w:rPr>
          <w:rFonts w:asciiTheme="majorBidi" w:hAnsiTheme="majorBidi" w:cstheme="majorBidi"/>
          <w:szCs w:val="24"/>
        </w:rPr>
      </w:pPr>
      <w:r w:rsidRPr="005C7B6C">
        <w:rPr>
          <w:rFonts w:asciiTheme="majorBidi" w:hAnsiTheme="majorBidi" w:cstheme="majorBidi"/>
          <w:szCs w:val="24"/>
        </w:rPr>
        <w:t xml:space="preserve">Before making a choice, you have the right to disclose an arbitration argument against you ("prior disclosure") that could affect your decision. The worst thing you can do is declare </w:t>
      </w:r>
      <w:r w:rsidRPr="005C7B6C">
        <w:rPr>
          <w:rFonts w:asciiTheme="majorBidi" w:hAnsiTheme="majorBidi" w:cstheme="majorBidi"/>
          <w:szCs w:val="24"/>
        </w:rPr>
        <w:lastRenderedPageBreak/>
        <w:t xml:space="preserve">"innocence", ask for a hearing in the </w:t>
      </w:r>
      <w:r w:rsidR="00334C0B" w:rsidRPr="005C7B6C">
        <w:rPr>
          <w:rFonts w:asciiTheme="majorBidi" w:hAnsiTheme="majorBidi" w:cstheme="majorBidi"/>
          <w:szCs w:val="24"/>
        </w:rPr>
        <w:t>Crown</w:t>
      </w:r>
      <w:r w:rsidRPr="005C7B6C">
        <w:rPr>
          <w:rFonts w:asciiTheme="majorBidi" w:hAnsiTheme="majorBidi" w:cstheme="majorBidi"/>
          <w:szCs w:val="24"/>
        </w:rPr>
        <w:t xml:space="preserve"> Court, then change your position and call "to account". At the time she was critici</w:t>
      </w:r>
      <w:r w:rsidR="004527CD" w:rsidRPr="005C7B6C">
        <w:rPr>
          <w:rFonts w:asciiTheme="majorBidi" w:hAnsiTheme="majorBidi" w:cstheme="majorBidi"/>
          <w:szCs w:val="24"/>
        </w:rPr>
        <w:t>s</w:t>
      </w:r>
      <w:r w:rsidRPr="005C7B6C">
        <w:rPr>
          <w:rFonts w:asciiTheme="majorBidi" w:hAnsiTheme="majorBidi" w:cstheme="majorBidi"/>
          <w:szCs w:val="24"/>
        </w:rPr>
        <w:t xml:space="preserve">ed in the </w:t>
      </w:r>
      <w:r w:rsidR="00334C0B" w:rsidRPr="005C7B6C">
        <w:rPr>
          <w:rFonts w:asciiTheme="majorBidi" w:hAnsiTheme="majorBidi" w:cstheme="majorBidi"/>
          <w:szCs w:val="24"/>
        </w:rPr>
        <w:t>Crown</w:t>
      </w:r>
      <w:r w:rsidRPr="005C7B6C">
        <w:rPr>
          <w:rFonts w:asciiTheme="majorBidi" w:hAnsiTheme="majorBidi" w:cstheme="majorBidi"/>
          <w:szCs w:val="24"/>
        </w:rPr>
        <w:t xml:space="preserve"> Court for not benefiting from the preparatory work there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Roberts</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Sánchez, 2014</w:t>
      </w:r>
      <w:r w:rsidR="00353E18" w:rsidRPr="005C7B6C">
        <w:rPr>
          <w:rFonts w:asciiTheme="majorBidi" w:hAnsiTheme="majorBidi" w:cstheme="majorBidi"/>
          <w:szCs w:val="24"/>
        </w:rPr>
        <w:t>)</w:t>
      </w:r>
      <w:r w:rsidRPr="005C7B6C">
        <w:rPr>
          <w:rFonts w:asciiTheme="majorBidi" w:hAnsiTheme="majorBidi" w:cstheme="majorBidi"/>
          <w:szCs w:val="24"/>
        </w:rPr>
        <w:t>.</w:t>
      </w:r>
    </w:p>
    <w:p w14:paraId="044FE70F" w14:textId="349DEB39" w:rsidR="001E341E" w:rsidRPr="005C7B6C" w:rsidRDefault="00334C0B" w:rsidP="005C7B6C">
      <w:pPr>
        <w:rPr>
          <w:rFonts w:asciiTheme="majorBidi" w:hAnsiTheme="majorBidi" w:cstheme="majorBidi"/>
          <w:szCs w:val="24"/>
        </w:rPr>
      </w:pPr>
      <w:r w:rsidRPr="005C7B6C">
        <w:rPr>
          <w:rFonts w:asciiTheme="majorBidi" w:hAnsiTheme="majorBidi" w:cstheme="majorBidi"/>
          <w:szCs w:val="24"/>
        </w:rPr>
        <w:t xml:space="preserve">It is expected and advised from the client to make the decision wisely, to better first look at the advantages and disadvantages before taking the case to the court. Both the courts including the </w:t>
      </w:r>
      <w:r w:rsidR="001E341E" w:rsidRPr="005C7B6C">
        <w:rPr>
          <w:rFonts w:asciiTheme="majorBidi" w:hAnsiTheme="majorBidi" w:cstheme="majorBidi"/>
          <w:szCs w:val="24"/>
        </w:rPr>
        <w:t>Magistrate court and Crown court have their pros and cons. The top drawback that the magistrate court offers is the biasness and inclination towards the prosecution. The m</w:t>
      </w:r>
      <w:r w:rsidR="004527CD" w:rsidRPr="005C7B6C">
        <w:rPr>
          <w:rFonts w:asciiTheme="majorBidi" w:hAnsiTheme="majorBidi" w:cstheme="majorBidi"/>
          <w:szCs w:val="24"/>
        </w:rPr>
        <w:t>agist</w:t>
      </w:r>
      <w:r w:rsidR="001E341E" w:rsidRPr="005C7B6C">
        <w:rPr>
          <w:rFonts w:asciiTheme="majorBidi" w:hAnsiTheme="majorBidi" w:cstheme="majorBidi"/>
          <w:szCs w:val="24"/>
        </w:rPr>
        <w:t xml:space="preserve">rate court mostly sides with the police but it saves money. Whereas, on the contrary, the Crown courts evaluate the case properly and is not biased. However, the case runs for </w:t>
      </w:r>
      <w:r w:rsidR="004527CD" w:rsidRPr="005C7B6C">
        <w:rPr>
          <w:rFonts w:asciiTheme="majorBidi" w:hAnsiTheme="majorBidi" w:cstheme="majorBidi"/>
          <w:szCs w:val="24"/>
        </w:rPr>
        <w:t xml:space="preserve">a </w:t>
      </w:r>
      <w:r w:rsidR="001E341E" w:rsidRPr="005C7B6C">
        <w:rPr>
          <w:rFonts w:asciiTheme="majorBidi" w:hAnsiTheme="majorBidi" w:cstheme="majorBidi"/>
          <w:szCs w:val="24"/>
        </w:rPr>
        <w:t>longer time and gets complicated</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Sánchez, 2017</w:t>
      </w:r>
      <w:r w:rsidR="00353E18" w:rsidRPr="005C7B6C">
        <w:rPr>
          <w:rFonts w:asciiTheme="majorBidi" w:hAnsiTheme="majorBidi" w:cstheme="majorBidi"/>
          <w:szCs w:val="24"/>
        </w:rPr>
        <w:t>)</w:t>
      </w:r>
      <w:r w:rsidR="001E341E" w:rsidRPr="005C7B6C">
        <w:rPr>
          <w:rFonts w:asciiTheme="majorBidi" w:hAnsiTheme="majorBidi" w:cstheme="majorBidi"/>
          <w:szCs w:val="24"/>
        </w:rPr>
        <w:t>.</w:t>
      </w:r>
    </w:p>
    <w:p w14:paraId="5EB816F4" w14:textId="0A9F6BB6" w:rsidR="001E341E" w:rsidRPr="005C7B6C" w:rsidRDefault="001E341E" w:rsidP="005C7B6C">
      <w:pPr>
        <w:rPr>
          <w:rFonts w:asciiTheme="majorBidi" w:hAnsiTheme="majorBidi" w:cstheme="majorBidi"/>
          <w:szCs w:val="24"/>
        </w:rPr>
      </w:pPr>
      <w:r w:rsidRPr="005C7B6C">
        <w:rPr>
          <w:rFonts w:asciiTheme="majorBidi" w:hAnsiTheme="majorBidi" w:cstheme="majorBidi"/>
          <w:szCs w:val="24"/>
        </w:rPr>
        <w:t xml:space="preserve">In case if the client, William Brown’s case is taken to and heard in the Crown </w:t>
      </w:r>
      <w:r w:rsidR="004527CD" w:rsidRPr="005C7B6C">
        <w:rPr>
          <w:rFonts w:asciiTheme="majorBidi" w:hAnsiTheme="majorBidi" w:cstheme="majorBidi"/>
          <w:szCs w:val="24"/>
        </w:rPr>
        <w:t>C</w:t>
      </w:r>
      <w:r w:rsidRPr="005C7B6C">
        <w:rPr>
          <w:rFonts w:asciiTheme="majorBidi" w:hAnsiTheme="majorBidi" w:cstheme="majorBidi"/>
          <w:szCs w:val="24"/>
        </w:rPr>
        <w:t xml:space="preserve">ourt, there are various advantages to </w:t>
      </w:r>
      <w:r w:rsidR="004527CD" w:rsidRPr="005C7B6C">
        <w:rPr>
          <w:rFonts w:asciiTheme="majorBidi" w:hAnsiTheme="majorBidi" w:cstheme="majorBidi"/>
          <w:szCs w:val="24"/>
        </w:rPr>
        <w:t xml:space="preserve">the </w:t>
      </w:r>
      <w:r w:rsidRPr="005C7B6C">
        <w:rPr>
          <w:rFonts w:asciiTheme="majorBidi" w:hAnsiTheme="majorBidi" w:cstheme="majorBidi"/>
          <w:szCs w:val="24"/>
        </w:rPr>
        <w:t xml:space="preserve">case if the client can afford the procedures and costs because it runs for </w:t>
      </w:r>
      <w:r w:rsidR="004527CD" w:rsidRPr="005C7B6C">
        <w:rPr>
          <w:rFonts w:asciiTheme="majorBidi" w:hAnsiTheme="majorBidi" w:cstheme="majorBidi"/>
          <w:szCs w:val="24"/>
        </w:rPr>
        <w:t xml:space="preserve">a </w:t>
      </w:r>
      <w:r w:rsidRPr="005C7B6C">
        <w:rPr>
          <w:rFonts w:asciiTheme="majorBidi" w:hAnsiTheme="majorBidi" w:cstheme="majorBidi"/>
          <w:szCs w:val="24"/>
        </w:rPr>
        <w:t xml:space="preserve">longer duration and the processes are very complex. The Crown Courts eagerly looks at the evidence and before reaching a conclusion or judgement, they consider all the possible aspects that are influencing. The jury in the Crown Court is quite eligible </w:t>
      </w:r>
      <w:r w:rsidR="004527CD" w:rsidRPr="005C7B6C">
        <w:rPr>
          <w:rFonts w:asciiTheme="majorBidi" w:hAnsiTheme="majorBidi" w:cstheme="majorBidi"/>
          <w:szCs w:val="24"/>
        </w:rPr>
        <w:t>to look</w:t>
      </w:r>
      <w:r w:rsidR="00A01692" w:rsidRPr="005C7B6C">
        <w:rPr>
          <w:rFonts w:asciiTheme="majorBidi" w:hAnsiTheme="majorBidi" w:cstheme="majorBidi"/>
          <w:szCs w:val="24"/>
        </w:rPr>
        <w:t xml:space="preserve"> at the proofs very closely. Because The client has plea</w:t>
      </w:r>
      <w:r w:rsidR="004527CD" w:rsidRPr="005C7B6C">
        <w:rPr>
          <w:rFonts w:asciiTheme="majorBidi" w:hAnsiTheme="majorBidi" w:cstheme="majorBidi"/>
          <w:szCs w:val="24"/>
        </w:rPr>
        <w:t>de</w:t>
      </w:r>
      <w:r w:rsidR="00A01692" w:rsidRPr="005C7B6C">
        <w:rPr>
          <w:rFonts w:asciiTheme="majorBidi" w:hAnsiTheme="majorBidi" w:cstheme="majorBidi"/>
          <w:szCs w:val="24"/>
        </w:rPr>
        <w:t xml:space="preserve">d </w:t>
      </w:r>
      <w:r w:rsidR="004527CD" w:rsidRPr="005C7B6C">
        <w:rPr>
          <w:rFonts w:asciiTheme="majorBidi" w:hAnsiTheme="majorBidi" w:cstheme="majorBidi"/>
          <w:szCs w:val="24"/>
        </w:rPr>
        <w:t>with</w:t>
      </w:r>
      <w:r w:rsidR="00A01692" w:rsidRPr="005C7B6C">
        <w:rPr>
          <w:rFonts w:asciiTheme="majorBidi" w:hAnsiTheme="majorBidi" w:cstheme="majorBidi"/>
          <w:szCs w:val="24"/>
        </w:rPr>
        <w:t xml:space="preserve"> no guilt, and if of the point that </w:t>
      </w:r>
      <w:r w:rsidR="004527CD" w:rsidRPr="005C7B6C">
        <w:rPr>
          <w:rFonts w:asciiTheme="majorBidi" w:hAnsiTheme="majorBidi" w:cstheme="majorBidi"/>
          <w:szCs w:val="24"/>
        </w:rPr>
        <w:t>has,</w:t>
      </w:r>
      <w:r w:rsidR="00A01692" w:rsidRPr="005C7B6C">
        <w:rPr>
          <w:rFonts w:asciiTheme="majorBidi" w:hAnsiTheme="majorBidi" w:cstheme="majorBidi"/>
          <w:szCs w:val="24"/>
        </w:rPr>
        <w:t xml:space="preserve"> he not committed any crime or fraud with the company who has accused of theft, there are better chances of him getting a proper chance to prove himself innocent</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Hussemann</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Siegel, 2018</w:t>
      </w:r>
      <w:r w:rsidR="00353E18" w:rsidRPr="005C7B6C">
        <w:rPr>
          <w:rFonts w:asciiTheme="majorBidi" w:hAnsiTheme="majorBidi" w:cstheme="majorBidi"/>
          <w:szCs w:val="24"/>
        </w:rPr>
        <w:t>)</w:t>
      </w:r>
      <w:r w:rsidR="00A01692" w:rsidRPr="005C7B6C">
        <w:rPr>
          <w:rFonts w:asciiTheme="majorBidi" w:hAnsiTheme="majorBidi" w:cstheme="majorBidi"/>
          <w:szCs w:val="24"/>
        </w:rPr>
        <w:t xml:space="preserve">. Also, considering the situation that the client has got </w:t>
      </w:r>
      <w:r w:rsidR="004527CD" w:rsidRPr="005C7B6C">
        <w:rPr>
          <w:rFonts w:asciiTheme="majorBidi" w:hAnsiTheme="majorBidi" w:cstheme="majorBidi"/>
          <w:szCs w:val="24"/>
        </w:rPr>
        <w:t>enough resources</w:t>
      </w:r>
      <w:r w:rsidR="00A01692" w:rsidRPr="005C7B6C">
        <w:rPr>
          <w:rFonts w:asciiTheme="majorBidi" w:hAnsiTheme="majorBidi" w:cstheme="majorBidi"/>
          <w:szCs w:val="24"/>
        </w:rPr>
        <w:t>, he has recently received an amount of 50K pounds from his late grandmother as inheritance, so, that will not cause him the problems in dealing with the affordability as Crown Courts require costs to be spent for the procedures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Roberts</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Sánchez, 2014</w:t>
      </w:r>
      <w:r w:rsidR="00353E18" w:rsidRPr="005C7B6C">
        <w:rPr>
          <w:rFonts w:asciiTheme="majorBidi" w:hAnsiTheme="majorBidi" w:cstheme="majorBidi"/>
          <w:szCs w:val="24"/>
        </w:rPr>
        <w:t>)</w:t>
      </w:r>
      <w:r w:rsidR="00A01692" w:rsidRPr="005C7B6C">
        <w:rPr>
          <w:rFonts w:asciiTheme="majorBidi" w:hAnsiTheme="majorBidi" w:cstheme="majorBidi"/>
          <w:szCs w:val="24"/>
        </w:rPr>
        <w:t xml:space="preserve">. The client can prove all the evidence he has which prove that he has no such amount of 3000 pounds in cash or stick of wine and spirit. Through proper </w:t>
      </w:r>
      <w:r w:rsidR="00A01692" w:rsidRPr="005C7B6C">
        <w:rPr>
          <w:rFonts w:asciiTheme="majorBidi" w:hAnsiTheme="majorBidi" w:cstheme="majorBidi"/>
          <w:szCs w:val="24"/>
        </w:rPr>
        <w:lastRenderedPageBreak/>
        <w:t>reasoning and disclosing all the information that the client has regarding the case, and showing the records of him working with the company</w:t>
      </w:r>
      <w:r w:rsidR="00A80139" w:rsidRPr="005C7B6C">
        <w:rPr>
          <w:rFonts w:asciiTheme="majorBidi" w:hAnsiTheme="majorBidi" w:cstheme="majorBidi"/>
          <w:szCs w:val="24"/>
        </w:rPr>
        <w:t xml:space="preserve">. The client should show the court that he has never worked with dishonesty and how he holds </w:t>
      </w:r>
      <w:r w:rsidR="004527CD" w:rsidRPr="005C7B6C">
        <w:rPr>
          <w:rFonts w:asciiTheme="majorBidi" w:hAnsiTheme="majorBidi" w:cstheme="majorBidi"/>
          <w:szCs w:val="24"/>
        </w:rPr>
        <w:t>a</w:t>
      </w:r>
      <w:r w:rsidR="00A80139" w:rsidRPr="005C7B6C">
        <w:rPr>
          <w:rFonts w:asciiTheme="majorBidi" w:hAnsiTheme="majorBidi" w:cstheme="majorBidi"/>
          <w:szCs w:val="24"/>
        </w:rPr>
        <w:t xml:space="preserve"> good character and a clear past at the company. This can be assured with the company as well who has claimed that William Brown, who worked as bar secretary at the Rugby Club, that William Brown was never charged or accused of cheating and stealing in the past. This can come as a positive point in the </w:t>
      </w:r>
      <w:r w:rsidR="00F72829" w:rsidRPr="005C7B6C">
        <w:rPr>
          <w:rFonts w:asciiTheme="majorBidi" w:hAnsiTheme="majorBidi" w:cstheme="majorBidi"/>
          <w:szCs w:val="24"/>
        </w:rPr>
        <w:t>defense</w:t>
      </w:r>
      <w:r w:rsidR="00A80139" w:rsidRPr="005C7B6C">
        <w:rPr>
          <w:rFonts w:asciiTheme="majorBidi" w:hAnsiTheme="majorBidi" w:cstheme="majorBidi"/>
          <w:szCs w:val="24"/>
        </w:rPr>
        <w:t xml:space="preserve"> of the client in </w:t>
      </w:r>
      <w:r w:rsidR="004527CD" w:rsidRPr="005C7B6C">
        <w:rPr>
          <w:rFonts w:asciiTheme="majorBidi" w:hAnsiTheme="majorBidi" w:cstheme="majorBidi"/>
          <w:szCs w:val="24"/>
        </w:rPr>
        <w:t>Crown</w:t>
      </w:r>
      <w:r w:rsidR="00A80139" w:rsidRPr="005C7B6C">
        <w:rPr>
          <w:rFonts w:asciiTheme="majorBidi" w:hAnsiTheme="majorBidi" w:cstheme="majorBidi"/>
          <w:szCs w:val="24"/>
        </w:rPr>
        <w:t xml:space="preserve"> Court</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Kempen</w:t>
      </w:r>
      <w:r w:rsidR="00961F99">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Bemelmans, 2018</w:t>
      </w:r>
      <w:r w:rsidR="00353E18" w:rsidRPr="005C7B6C">
        <w:rPr>
          <w:rFonts w:asciiTheme="majorBidi" w:hAnsiTheme="majorBidi" w:cstheme="majorBidi"/>
          <w:szCs w:val="24"/>
        </w:rPr>
        <w:t>)</w:t>
      </w:r>
      <w:r w:rsidR="00A80139" w:rsidRPr="005C7B6C">
        <w:rPr>
          <w:rFonts w:asciiTheme="majorBidi" w:hAnsiTheme="majorBidi" w:cstheme="majorBidi"/>
          <w:szCs w:val="24"/>
        </w:rPr>
        <w:t>.</w:t>
      </w:r>
    </w:p>
    <w:p w14:paraId="6FDCF642" w14:textId="79D3DF79" w:rsidR="007D5D1B" w:rsidRPr="005C7B6C" w:rsidRDefault="00A80139" w:rsidP="005C7B6C">
      <w:pPr>
        <w:rPr>
          <w:rFonts w:asciiTheme="majorBidi" w:hAnsiTheme="majorBidi" w:cstheme="majorBidi"/>
          <w:szCs w:val="24"/>
        </w:rPr>
      </w:pPr>
      <w:r w:rsidRPr="005C7B6C">
        <w:rPr>
          <w:rFonts w:asciiTheme="majorBidi" w:hAnsiTheme="majorBidi" w:cstheme="majorBidi"/>
          <w:szCs w:val="24"/>
        </w:rPr>
        <w:t>When it comes to the legal aid, the rules state that no such legal aid will be provided to the individual if</w:t>
      </w:r>
      <w:r w:rsidR="004527CD" w:rsidRPr="005C7B6C">
        <w:rPr>
          <w:rFonts w:asciiTheme="majorBidi" w:hAnsiTheme="majorBidi" w:cstheme="majorBidi"/>
          <w:szCs w:val="24"/>
        </w:rPr>
        <w:t>,</w:t>
      </w:r>
      <w:r w:rsidRPr="005C7B6C">
        <w:rPr>
          <w:rFonts w:asciiTheme="majorBidi" w:hAnsiTheme="majorBidi" w:cstheme="majorBidi"/>
          <w:szCs w:val="24"/>
        </w:rPr>
        <w:t xml:space="preserve"> at the end of the year, he earns a total sum of more than 37,500 pounds. However, if he or she earns less than that amount, he/she can be entitled to receive legal aid from the Crown Court. As in the case of William Brown, his annual income is less than the mentioned amount, therefore, the client is entitled to have the legal aid. It is to be noted that the legal aid does not cover all the expenses of the proceeding</w:t>
      </w:r>
      <w:r w:rsidR="007D5D1B" w:rsidRPr="005C7B6C">
        <w:rPr>
          <w:rFonts w:asciiTheme="majorBidi" w:hAnsiTheme="majorBidi" w:cstheme="majorBidi"/>
          <w:szCs w:val="24"/>
        </w:rPr>
        <w:t>s or the case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Asp, 2012</w:t>
      </w:r>
      <w:r w:rsidR="00353E18" w:rsidRPr="005C7B6C">
        <w:rPr>
          <w:rFonts w:asciiTheme="majorBidi" w:hAnsiTheme="majorBidi" w:cstheme="majorBidi"/>
          <w:szCs w:val="24"/>
        </w:rPr>
        <w:t>)</w:t>
      </w:r>
      <w:r w:rsidR="007D5D1B" w:rsidRPr="005C7B6C">
        <w:rPr>
          <w:rFonts w:asciiTheme="majorBidi" w:hAnsiTheme="majorBidi" w:cstheme="majorBidi"/>
          <w:szCs w:val="24"/>
        </w:rPr>
        <w:t>.</w:t>
      </w:r>
    </w:p>
    <w:p w14:paraId="2D0FE437" w14:textId="4DE0AD30" w:rsidR="007D5D1B" w:rsidRPr="005C7B6C" w:rsidRDefault="004527CD" w:rsidP="005C7B6C">
      <w:pPr>
        <w:rPr>
          <w:rFonts w:asciiTheme="majorBidi" w:hAnsiTheme="majorBidi" w:cstheme="majorBidi"/>
          <w:szCs w:val="24"/>
        </w:rPr>
      </w:pPr>
      <w:r w:rsidRPr="005C7B6C">
        <w:rPr>
          <w:rFonts w:asciiTheme="majorBidi" w:hAnsiTheme="majorBidi" w:cstheme="majorBidi"/>
          <w:szCs w:val="24"/>
        </w:rPr>
        <w:t>W</w:t>
      </w:r>
      <w:r w:rsidR="007D5D1B" w:rsidRPr="005C7B6C">
        <w:rPr>
          <w:rFonts w:asciiTheme="majorBidi" w:hAnsiTheme="majorBidi" w:cstheme="majorBidi"/>
          <w:szCs w:val="24"/>
        </w:rPr>
        <w:t>e follow the client's instructions, no matter what. Sometimes we can assume that someone is responsible, but we rarely know without a doubt. We adhere to high legal and moral standards and cannot deliberately mislead the court. Where a customer informs us that a person has reported a material breach, we cannot allow that person to prove their innocence by swearing the truth at this point, or we will consider their escape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Watt, 2019</w:t>
      </w:r>
      <w:r w:rsidR="00353E18" w:rsidRPr="005C7B6C">
        <w:rPr>
          <w:rFonts w:asciiTheme="majorBidi" w:hAnsiTheme="majorBidi" w:cstheme="majorBidi"/>
          <w:szCs w:val="24"/>
        </w:rPr>
        <w:t>)</w:t>
      </w:r>
      <w:r w:rsidR="007D5D1B" w:rsidRPr="005C7B6C">
        <w:rPr>
          <w:rFonts w:asciiTheme="majorBidi" w:hAnsiTheme="majorBidi" w:cstheme="majorBidi"/>
          <w:szCs w:val="24"/>
        </w:rPr>
        <w:t>.</w:t>
      </w:r>
    </w:p>
    <w:p w14:paraId="488FB12E" w14:textId="2D5F8401"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t>We deal with all sorts of people you can think of, all kinds of injustices you can deal with. Let’s put aside individual experiences and reflections, in any case, our work will be unnecessarily awkward from time to time. We should not refuse to talk to someone because we don’t care what they say, or even if we don’t care</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Jacobson, 2015</w:t>
      </w:r>
      <w:r w:rsidR="00353E18" w:rsidRPr="005C7B6C">
        <w:rPr>
          <w:rFonts w:asciiTheme="majorBidi" w:hAnsiTheme="majorBidi" w:cstheme="majorBidi"/>
          <w:szCs w:val="24"/>
        </w:rPr>
        <w:t>)</w:t>
      </w:r>
      <w:r w:rsidRPr="005C7B6C">
        <w:rPr>
          <w:rFonts w:asciiTheme="majorBidi" w:hAnsiTheme="majorBidi" w:cstheme="majorBidi"/>
          <w:szCs w:val="24"/>
        </w:rPr>
        <w:t>.</w:t>
      </w:r>
    </w:p>
    <w:p w14:paraId="6EC5CF12" w14:textId="30DCA194"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lastRenderedPageBreak/>
        <w:t xml:space="preserve">At the time of </w:t>
      </w:r>
      <w:r w:rsidR="004527CD" w:rsidRPr="005C7B6C">
        <w:rPr>
          <w:rFonts w:asciiTheme="majorBidi" w:hAnsiTheme="majorBidi" w:cstheme="majorBidi"/>
          <w:szCs w:val="24"/>
        </w:rPr>
        <w:t xml:space="preserve">the </w:t>
      </w:r>
      <w:r w:rsidRPr="005C7B6C">
        <w:rPr>
          <w:rFonts w:asciiTheme="majorBidi" w:hAnsiTheme="majorBidi" w:cstheme="majorBidi"/>
          <w:szCs w:val="24"/>
        </w:rPr>
        <w:t>indictment, the suspect has the right to anticipate his indictment by completing a status message within 60 days. When a respondent is at risk of poverty, you have the right to hire a court-appointed legal research consultant. The legal search advisor looks for all legal grounds for refusal</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Aliverti, 2014</w:t>
      </w:r>
      <w:r w:rsidR="00353E18" w:rsidRPr="005C7B6C">
        <w:rPr>
          <w:rFonts w:asciiTheme="majorBidi" w:hAnsiTheme="majorBidi" w:cstheme="majorBidi"/>
          <w:szCs w:val="24"/>
        </w:rPr>
        <w:t>)</w:t>
      </w:r>
      <w:r w:rsidRPr="005C7B6C">
        <w:rPr>
          <w:rFonts w:asciiTheme="majorBidi" w:hAnsiTheme="majorBidi" w:cstheme="majorBidi"/>
          <w:szCs w:val="24"/>
        </w:rPr>
        <w:t>.</w:t>
      </w:r>
    </w:p>
    <w:p w14:paraId="3785861E" w14:textId="4B3290ED"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t>Criminal prosecutors working in criminal courts must always be aware of the Criminal Code relating to the 2020 Rules of Criminal Procedure and any rules relating to the conviction of persons or entities accused of crimes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Diehm, 2015</w:t>
      </w:r>
      <w:r w:rsidR="00353E18" w:rsidRPr="005C7B6C">
        <w:rPr>
          <w:rFonts w:asciiTheme="majorBidi" w:hAnsiTheme="majorBidi" w:cstheme="majorBidi"/>
          <w:szCs w:val="24"/>
        </w:rPr>
        <w:t>)</w:t>
      </w:r>
      <w:r w:rsidRPr="005C7B6C">
        <w:rPr>
          <w:rFonts w:asciiTheme="majorBidi" w:hAnsiTheme="majorBidi" w:cstheme="majorBidi"/>
          <w:szCs w:val="24"/>
        </w:rPr>
        <w:t>.</w:t>
      </w:r>
    </w:p>
    <w:p w14:paraId="27EE81FB" w14:textId="301F0D92"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t xml:space="preserve">Practical note: </w:t>
      </w:r>
      <w:r w:rsidR="00353E18" w:rsidRPr="005C7B6C">
        <w:rPr>
          <w:rFonts w:asciiTheme="majorBidi" w:hAnsiTheme="majorBidi" w:cstheme="majorBidi"/>
          <w:szCs w:val="24"/>
        </w:rPr>
        <w:t>The</w:t>
      </w:r>
      <w:r w:rsidRPr="005C7B6C">
        <w:rPr>
          <w:rFonts w:asciiTheme="majorBidi" w:hAnsiTheme="majorBidi" w:cstheme="majorBidi"/>
          <w:szCs w:val="24"/>
        </w:rPr>
        <w:t xml:space="preserve"> Criminal Code is the Criminal Code, it reveals the foundations of the Criminal Code and confirms the threshold of "decisive victory", confirms the breaking points of the Criminal Code and includes the construction of a penalty. Code to help experts find the mechanisms they need</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Redlich</w:t>
      </w:r>
      <w:r w:rsidR="00961F99">
        <w:rPr>
          <w:rFonts w:asciiTheme="majorBidi" w:hAnsiTheme="majorBidi" w:cstheme="majorBidi"/>
          <w:color w:val="222222"/>
          <w:szCs w:val="24"/>
          <w:shd w:val="clear" w:color="auto" w:fill="FFFFFF"/>
        </w:rPr>
        <w:t xml:space="preserve">, </w:t>
      </w:r>
      <w:r w:rsidR="00961F99">
        <w:rPr>
          <w:rFonts w:asciiTheme="majorBidi" w:hAnsiTheme="majorBidi" w:cstheme="majorBidi"/>
          <w:i/>
          <w:iCs/>
          <w:color w:val="222222"/>
          <w:szCs w:val="24"/>
          <w:shd w:val="clear" w:color="auto" w:fill="FFFFFF"/>
        </w:rPr>
        <w:t>ET AL</w:t>
      </w:r>
      <w:r w:rsidR="00353E18" w:rsidRPr="005C7B6C">
        <w:rPr>
          <w:rFonts w:asciiTheme="majorBidi" w:hAnsiTheme="majorBidi" w:cstheme="majorBidi"/>
          <w:color w:val="222222"/>
          <w:szCs w:val="24"/>
          <w:shd w:val="clear" w:color="auto" w:fill="FFFFFF"/>
        </w:rPr>
        <w:t>, 2017.</w:t>
      </w:r>
      <w:r w:rsidR="00353E18" w:rsidRPr="005C7B6C">
        <w:rPr>
          <w:rFonts w:asciiTheme="majorBidi" w:hAnsiTheme="majorBidi" w:cstheme="majorBidi"/>
          <w:szCs w:val="24"/>
        </w:rPr>
        <w:t>)</w:t>
      </w:r>
      <w:r w:rsidRPr="005C7B6C">
        <w:rPr>
          <w:rFonts w:asciiTheme="majorBidi" w:hAnsiTheme="majorBidi" w:cstheme="majorBidi"/>
          <w:szCs w:val="24"/>
        </w:rPr>
        <w:t>.</w:t>
      </w:r>
    </w:p>
    <w:p w14:paraId="3FDF5237" w14:textId="34236359"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t>When a criminal court in England and Wales has committed a crime against a suspect, the court will consider whether the sentence will be enforced.</w:t>
      </w:r>
      <w:r w:rsidR="00353E18" w:rsidRPr="005C7B6C">
        <w:rPr>
          <w:rFonts w:asciiTheme="majorBidi" w:hAnsiTheme="majorBidi" w:cstheme="majorBidi"/>
          <w:szCs w:val="24"/>
        </w:rPr>
        <w:t xml:space="preserve"> </w:t>
      </w:r>
      <w:r w:rsidRPr="005C7B6C">
        <w:rPr>
          <w:rFonts w:asciiTheme="majorBidi" w:hAnsiTheme="majorBidi" w:cstheme="majorBidi"/>
          <w:szCs w:val="24"/>
        </w:rPr>
        <w:t>A legitimate delegate does not have the right to request or flag the inclusion of a disclaimer. Otherwise, the request will be considered illegal and the procedure will be considered legal. The court overturns or reverses the sentence and asks for the case to be re-examined</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Euvrard</w:t>
      </w:r>
      <w:r w:rsidR="004A3D8D">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Leclerc, 2017</w:t>
      </w:r>
      <w:r w:rsidR="00353E18" w:rsidRPr="005C7B6C">
        <w:rPr>
          <w:rFonts w:asciiTheme="majorBidi" w:hAnsiTheme="majorBidi" w:cstheme="majorBidi"/>
          <w:szCs w:val="24"/>
        </w:rPr>
        <w:t>)</w:t>
      </w:r>
      <w:r w:rsidRPr="005C7B6C">
        <w:rPr>
          <w:rFonts w:asciiTheme="majorBidi" w:hAnsiTheme="majorBidi" w:cstheme="majorBidi"/>
          <w:szCs w:val="24"/>
        </w:rPr>
        <w:t>.</w:t>
      </w:r>
    </w:p>
    <w:p w14:paraId="46383170" w14:textId="1ABE0165" w:rsidR="007D5D1B" w:rsidRPr="005C7B6C" w:rsidRDefault="007D5D1B" w:rsidP="005C7B6C">
      <w:pPr>
        <w:rPr>
          <w:rFonts w:asciiTheme="majorBidi" w:hAnsiTheme="majorBidi" w:cstheme="majorBidi"/>
          <w:szCs w:val="24"/>
        </w:rPr>
      </w:pPr>
      <w:r w:rsidRPr="005C7B6C">
        <w:rPr>
          <w:rFonts w:asciiTheme="majorBidi" w:hAnsiTheme="majorBidi" w:cstheme="majorBidi"/>
          <w:szCs w:val="24"/>
        </w:rPr>
        <w:t xml:space="preserve">The charge can be reconciled with the accused </w:t>
      </w:r>
      <w:r w:rsidR="004527CD" w:rsidRPr="005C7B6C">
        <w:rPr>
          <w:rFonts w:asciiTheme="majorBidi" w:hAnsiTheme="majorBidi" w:cstheme="majorBidi"/>
          <w:szCs w:val="24"/>
        </w:rPr>
        <w:t>based on</w:t>
      </w:r>
      <w:r w:rsidRPr="005C7B6C">
        <w:rPr>
          <w:rFonts w:asciiTheme="majorBidi" w:hAnsiTheme="majorBidi" w:cstheme="majorBidi"/>
          <w:szCs w:val="24"/>
        </w:rPr>
        <w:t xml:space="preserve"> the facts on which the party will go to trial, known as the "agreed premise". In particular, the agreed basis depends on the approval of the court. Guardians are required to carefully record the reason for the request in cases where the suspect has shown obedience worthy of arrest. This should be done in all cases unless the defendant has proven that the claim is or will be presented without error </w:t>
      </w:r>
      <w:r w:rsidR="004527CD" w:rsidRPr="005C7B6C">
        <w:rPr>
          <w:rFonts w:asciiTheme="majorBidi" w:hAnsiTheme="majorBidi" w:cstheme="majorBidi"/>
          <w:szCs w:val="24"/>
        </w:rPr>
        <w:t>based on</w:t>
      </w:r>
      <w:r w:rsidRPr="005C7B6C">
        <w:rPr>
          <w:rFonts w:asciiTheme="majorBidi" w:hAnsiTheme="majorBidi" w:cstheme="majorBidi"/>
          <w:szCs w:val="24"/>
        </w:rPr>
        <w:t xml:space="preserve"> the case in which it is charged. In the event of real or complex misinformation, the investigator can </w:t>
      </w:r>
      <w:r w:rsidRPr="005C7B6C">
        <w:rPr>
          <w:rFonts w:asciiTheme="majorBidi" w:hAnsiTheme="majorBidi" w:cstheme="majorBidi"/>
          <w:szCs w:val="24"/>
        </w:rPr>
        <w:lastRenderedPageBreak/>
        <w:t>initiate a conversation with the suspect before filing the allegation. The motivation for obedience talks in these cases is to alleviate problems and, if possible, agree on useful uses. The rules do not change the law of religious or military restriction</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Miguez</w:t>
      </w:r>
      <w:r w:rsidR="004A3D8D">
        <w:rPr>
          <w:rFonts w:asciiTheme="majorBidi" w:hAnsiTheme="majorBidi" w:cstheme="majorBidi"/>
          <w:color w:val="222222"/>
          <w:szCs w:val="24"/>
          <w:shd w:val="clear" w:color="auto" w:fill="FFFFFF"/>
        </w:rPr>
        <w:t>,</w:t>
      </w:r>
      <w:r w:rsidR="00353E18" w:rsidRPr="005C7B6C">
        <w:rPr>
          <w:rFonts w:asciiTheme="majorBidi" w:hAnsiTheme="majorBidi" w:cstheme="majorBidi"/>
          <w:color w:val="222222"/>
          <w:szCs w:val="24"/>
          <w:shd w:val="clear" w:color="auto" w:fill="FFFFFF"/>
        </w:rPr>
        <w:t xml:space="preserve"> González, 2015</w:t>
      </w:r>
      <w:r w:rsidR="00353E18" w:rsidRPr="005C7B6C">
        <w:rPr>
          <w:rFonts w:asciiTheme="majorBidi" w:hAnsiTheme="majorBidi" w:cstheme="majorBidi"/>
          <w:szCs w:val="24"/>
        </w:rPr>
        <w:t>)</w:t>
      </w:r>
      <w:r w:rsidRPr="005C7B6C">
        <w:rPr>
          <w:rFonts w:asciiTheme="majorBidi" w:hAnsiTheme="majorBidi" w:cstheme="majorBidi"/>
          <w:szCs w:val="24"/>
        </w:rPr>
        <w:t>.</w:t>
      </w:r>
    </w:p>
    <w:p w14:paraId="73F0E685" w14:textId="7C486443" w:rsidR="00B44FA7" w:rsidRPr="005C7B6C" w:rsidRDefault="007D5D1B" w:rsidP="005C7B6C">
      <w:pPr>
        <w:rPr>
          <w:rFonts w:asciiTheme="majorBidi" w:hAnsiTheme="majorBidi" w:cstheme="majorBidi"/>
          <w:szCs w:val="24"/>
        </w:rPr>
      </w:pPr>
      <w:r w:rsidRPr="005C7B6C">
        <w:rPr>
          <w:rFonts w:asciiTheme="majorBidi" w:hAnsiTheme="majorBidi" w:cstheme="majorBidi"/>
          <w:szCs w:val="24"/>
        </w:rPr>
        <w:t>When the basis of the petition cannot be reconciled and the error between the two statements is, for example, a critical and square basis for judgment, the lawyer must notify the court before the criminal cycle begins. The court may organi</w:t>
      </w:r>
      <w:r w:rsidR="004527CD" w:rsidRPr="005C7B6C">
        <w:rPr>
          <w:rFonts w:asciiTheme="majorBidi" w:hAnsiTheme="majorBidi" w:cstheme="majorBidi"/>
          <w:szCs w:val="24"/>
        </w:rPr>
        <w:t>s</w:t>
      </w:r>
      <w:r w:rsidRPr="005C7B6C">
        <w:rPr>
          <w:rFonts w:asciiTheme="majorBidi" w:hAnsiTheme="majorBidi" w:cstheme="majorBidi"/>
          <w:szCs w:val="24"/>
        </w:rPr>
        <w:t xml:space="preserve">e meetings to demonstrate whether the debate is relevant to the conviction. If the court finds this to be a relevant discussion, it will welcome additional portrayals or evidence and choose the matter </w:t>
      </w:r>
      <w:r w:rsidR="004527CD" w:rsidRPr="005C7B6C">
        <w:rPr>
          <w:rFonts w:asciiTheme="majorBidi" w:hAnsiTheme="majorBidi" w:cstheme="majorBidi"/>
          <w:szCs w:val="24"/>
        </w:rPr>
        <w:t>following</w:t>
      </w:r>
      <w:r w:rsidRPr="005C7B6C">
        <w:rPr>
          <w:rFonts w:asciiTheme="majorBidi" w:hAnsiTheme="majorBidi" w:cstheme="majorBidi"/>
          <w:szCs w:val="24"/>
        </w:rPr>
        <w:t xml:space="preserve"> the standards set out in </w:t>
      </w:r>
      <w:r w:rsidR="001D6961" w:rsidRPr="005C7B6C">
        <w:rPr>
          <w:rFonts w:asciiTheme="majorBidi" w:hAnsiTheme="majorBidi" w:cstheme="majorBidi"/>
          <w:szCs w:val="24"/>
        </w:rPr>
        <w:t xml:space="preserve">R </w:t>
      </w:r>
      <w:r w:rsidRPr="005C7B6C">
        <w:rPr>
          <w:rFonts w:asciiTheme="majorBidi" w:hAnsiTheme="majorBidi" w:cstheme="majorBidi"/>
          <w:szCs w:val="24"/>
        </w:rPr>
        <w:t>v. Newton. A general rule for reducing negligence approval fines explicitly limits the possibility of obtaining a loan when Newton's documentation follows the resolution of a missing attorney from the defendant's versions of the facts</w:t>
      </w:r>
      <w:r w:rsidR="00353E18" w:rsidRPr="005C7B6C">
        <w:rPr>
          <w:rFonts w:asciiTheme="majorBidi" w:hAnsiTheme="majorBidi" w:cstheme="majorBidi"/>
          <w:szCs w:val="24"/>
        </w:rPr>
        <w:t xml:space="preserve"> (</w:t>
      </w:r>
      <w:r w:rsidR="00353E18" w:rsidRPr="005C7B6C">
        <w:rPr>
          <w:rFonts w:asciiTheme="majorBidi" w:hAnsiTheme="majorBidi" w:cstheme="majorBidi"/>
          <w:color w:val="222222"/>
          <w:szCs w:val="24"/>
          <w:shd w:val="clear" w:color="auto" w:fill="FFFFFF"/>
        </w:rPr>
        <w:t>Kempen</w:t>
      </w:r>
      <w:r w:rsidR="00E03FE2">
        <w:rPr>
          <w:rFonts w:asciiTheme="majorBidi" w:hAnsiTheme="majorBidi" w:cstheme="majorBidi"/>
          <w:color w:val="222222"/>
          <w:szCs w:val="24"/>
          <w:shd w:val="clear" w:color="auto" w:fill="FFFFFF"/>
        </w:rPr>
        <w:t xml:space="preserve">, </w:t>
      </w:r>
      <w:r w:rsidR="00353E18" w:rsidRPr="005C7B6C">
        <w:rPr>
          <w:rFonts w:asciiTheme="majorBidi" w:hAnsiTheme="majorBidi" w:cstheme="majorBidi"/>
          <w:color w:val="222222"/>
          <w:szCs w:val="24"/>
          <w:shd w:val="clear" w:color="auto" w:fill="FFFFFF"/>
        </w:rPr>
        <w:t>Bemelmans, 2018</w:t>
      </w:r>
      <w:r w:rsidR="00353E18" w:rsidRPr="005C7B6C">
        <w:rPr>
          <w:rFonts w:asciiTheme="majorBidi" w:hAnsiTheme="majorBidi" w:cstheme="majorBidi"/>
          <w:szCs w:val="24"/>
        </w:rPr>
        <w:t>)</w:t>
      </w:r>
      <w:r w:rsidRPr="005C7B6C">
        <w:rPr>
          <w:rFonts w:asciiTheme="majorBidi" w:hAnsiTheme="majorBidi" w:cstheme="majorBidi"/>
          <w:szCs w:val="24"/>
        </w:rPr>
        <w:t>.</w:t>
      </w:r>
    </w:p>
    <w:p w14:paraId="7A8D663D" w14:textId="1D98392F" w:rsidR="008D43D1" w:rsidRPr="005C7B6C" w:rsidRDefault="008D43D1" w:rsidP="005C7B6C">
      <w:pPr>
        <w:rPr>
          <w:rFonts w:asciiTheme="majorBidi" w:hAnsiTheme="majorBidi" w:cstheme="majorBidi"/>
          <w:szCs w:val="24"/>
        </w:rPr>
      </w:pPr>
    </w:p>
    <w:p w14:paraId="73D67FD6" w14:textId="06F324B0" w:rsidR="008D43D1" w:rsidRPr="005C7B6C" w:rsidRDefault="008D43D1" w:rsidP="005C7B6C">
      <w:pPr>
        <w:rPr>
          <w:rFonts w:asciiTheme="majorBidi" w:hAnsiTheme="majorBidi" w:cstheme="majorBidi"/>
          <w:szCs w:val="24"/>
        </w:rPr>
      </w:pPr>
    </w:p>
    <w:p w14:paraId="38D335CD" w14:textId="19C3C65A" w:rsidR="008D43D1" w:rsidRPr="005C7B6C" w:rsidRDefault="008D43D1" w:rsidP="005C7B6C">
      <w:pPr>
        <w:rPr>
          <w:rFonts w:asciiTheme="majorBidi" w:hAnsiTheme="majorBidi" w:cstheme="majorBidi"/>
          <w:szCs w:val="24"/>
        </w:rPr>
      </w:pPr>
    </w:p>
    <w:p w14:paraId="069D2C1D" w14:textId="56B1F79A" w:rsidR="008D43D1" w:rsidRPr="005C7B6C" w:rsidRDefault="008D43D1" w:rsidP="005C7B6C">
      <w:pPr>
        <w:rPr>
          <w:rFonts w:asciiTheme="majorBidi" w:hAnsiTheme="majorBidi" w:cstheme="majorBidi"/>
          <w:szCs w:val="24"/>
        </w:rPr>
      </w:pPr>
    </w:p>
    <w:p w14:paraId="0474A917" w14:textId="0A87782D" w:rsidR="008D43D1" w:rsidRPr="005C7B6C" w:rsidRDefault="008D43D1" w:rsidP="005C7B6C">
      <w:pPr>
        <w:rPr>
          <w:rFonts w:asciiTheme="majorBidi" w:hAnsiTheme="majorBidi" w:cstheme="majorBidi"/>
          <w:szCs w:val="24"/>
        </w:rPr>
      </w:pPr>
    </w:p>
    <w:p w14:paraId="0A1A1F42" w14:textId="272DD057" w:rsidR="008D43D1" w:rsidRPr="005C7B6C" w:rsidRDefault="008D43D1" w:rsidP="005C7B6C">
      <w:pPr>
        <w:rPr>
          <w:rFonts w:asciiTheme="majorBidi" w:hAnsiTheme="majorBidi" w:cstheme="majorBidi"/>
          <w:szCs w:val="24"/>
        </w:rPr>
      </w:pPr>
    </w:p>
    <w:p w14:paraId="239E5746" w14:textId="0C86DEB7" w:rsidR="008D43D1" w:rsidRPr="005C7B6C" w:rsidRDefault="008D43D1" w:rsidP="005C7B6C">
      <w:pPr>
        <w:rPr>
          <w:rFonts w:asciiTheme="majorBidi" w:hAnsiTheme="majorBidi" w:cstheme="majorBidi"/>
          <w:szCs w:val="24"/>
        </w:rPr>
      </w:pPr>
    </w:p>
    <w:p w14:paraId="2D1AD47E" w14:textId="703DC7D3" w:rsidR="008D43D1" w:rsidRPr="005C7B6C" w:rsidRDefault="008D43D1" w:rsidP="005C7B6C">
      <w:pPr>
        <w:ind w:firstLine="0"/>
        <w:rPr>
          <w:rFonts w:asciiTheme="majorBidi" w:hAnsiTheme="majorBidi" w:cstheme="majorBidi"/>
          <w:szCs w:val="24"/>
        </w:rPr>
      </w:pPr>
    </w:p>
    <w:p w14:paraId="0D27CD16" w14:textId="4AF379F7" w:rsidR="008D43D1" w:rsidRPr="005C7B6C" w:rsidRDefault="008D43D1" w:rsidP="005C7B6C">
      <w:pPr>
        <w:ind w:firstLine="0"/>
        <w:rPr>
          <w:rFonts w:asciiTheme="majorBidi" w:hAnsiTheme="majorBidi" w:cstheme="majorBidi"/>
          <w:szCs w:val="24"/>
        </w:rPr>
      </w:pPr>
    </w:p>
    <w:p w14:paraId="799AE2AD" w14:textId="01F3FB45" w:rsidR="008D43D1" w:rsidRPr="005C7B6C" w:rsidRDefault="008D43D1" w:rsidP="005C7B6C">
      <w:pPr>
        <w:pStyle w:val="Heading1"/>
        <w:ind w:firstLine="0"/>
        <w:rPr>
          <w:rFonts w:asciiTheme="majorBidi" w:hAnsiTheme="majorBidi"/>
          <w:szCs w:val="24"/>
        </w:rPr>
      </w:pPr>
      <w:r w:rsidRPr="005C7B6C">
        <w:rPr>
          <w:rFonts w:asciiTheme="majorBidi" w:hAnsiTheme="majorBidi"/>
          <w:szCs w:val="24"/>
        </w:rPr>
        <w:lastRenderedPageBreak/>
        <w:t>References:</w:t>
      </w:r>
    </w:p>
    <w:p w14:paraId="61B7ADEB" w14:textId="3EEAC90A"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Aliverti, A.,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2014</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Crimes of Mobility-Criminal Law and the Regulation of Immigration.</w:t>
      </w:r>
    </w:p>
    <w:p w14:paraId="5E97F393" w14:textId="338481B2"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Asp, P.,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2012</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The substantive criminal law competence of the EU. </w:t>
      </w:r>
      <w:r w:rsidRPr="005C7B6C">
        <w:rPr>
          <w:rFonts w:asciiTheme="majorBidi" w:hAnsiTheme="majorBidi" w:cstheme="majorBidi"/>
          <w:i/>
          <w:iCs/>
          <w:color w:val="222222"/>
          <w:szCs w:val="24"/>
          <w:shd w:val="clear" w:color="auto" w:fill="FFFFFF"/>
        </w:rPr>
        <w:t>Skrifter utgivna av juridiska fakulteten vid Stockholms universitet</w:t>
      </w:r>
      <w:r w:rsidRPr="005C7B6C">
        <w:rPr>
          <w:rFonts w:asciiTheme="majorBidi" w:hAnsiTheme="majorBidi" w:cstheme="majorBidi"/>
          <w:color w:val="222222"/>
          <w:szCs w:val="24"/>
          <w:shd w:val="clear" w:color="auto" w:fill="FFFFFF"/>
        </w:rPr>
        <w:t>,</w:t>
      </w:r>
    </w:p>
    <w:p w14:paraId="06683B21" w14:textId="4C9F7D7A"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Beecher-Monas,</w:t>
      </w:r>
      <w:r w:rsidR="00E03FE2">
        <w:rPr>
          <w:rFonts w:asciiTheme="majorBidi" w:hAnsiTheme="majorBidi" w:cstheme="majorBidi"/>
          <w:color w:val="222222"/>
          <w:szCs w:val="24"/>
          <w:shd w:val="clear" w:color="auto" w:fill="FFFFFF"/>
        </w:rPr>
        <w:t xml:space="preserve"> E, </w:t>
      </w:r>
      <w:r w:rsidRPr="005C7B6C">
        <w:rPr>
          <w:rFonts w:asciiTheme="majorBidi" w:hAnsiTheme="majorBidi" w:cstheme="majorBidi"/>
          <w:color w:val="222222"/>
          <w:szCs w:val="24"/>
          <w:shd w:val="clear" w:color="auto" w:fill="FFFFFF"/>
        </w:rPr>
        <w:t xml:space="preserve">Garcia-Rill, E.,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2017</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Actus Reus, Mens Rea, and Brain Science: What Do Volition and Intent Really Mean. </w:t>
      </w:r>
      <w:r w:rsidRPr="005C7B6C">
        <w:rPr>
          <w:rFonts w:asciiTheme="majorBidi" w:hAnsiTheme="majorBidi" w:cstheme="majorBidi"/>
          <w:i/>
          <w:iCs/>
          <w:color w:val="222222"/>
          <w:szCs w:val="24"/>
          <w:shd w:val="clear" w:color="auto" w:fill="FFFFFF"/>
        </w:rPr>
        <w:t>Ky. LJ</w:t>
      </w:r>
      <w:r w:rsidR="00F72829">
        <w:rPr>
          <w:rFonts w:asciiTheme="majorBidi" w:hAnsiTheme="majorBidi" w:cstheme="majorBidi"/>
          <w:color w:val="222222"/>
          <w:szCs w:val="24"/>
          <w:shd w:val="clear" w:color="auto" w:fill="FFFFFF"/>
        </w:rPr>
        <w:t>.</w:t>
      </w:r>
    </w:p>
    <w:p w14:paraId="67B1039A" w14:textId="06B6DD77"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Caballero-Miguez, Fernández-González, R.,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2015</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Institutional analysis, allocation of liabilities and third-party enforcement via courts: the case of the Prestige oil spill. </w:t>
      </w:r>
      <w:r w:rsidRPr="005C7B6C">
        <w:rPr>
          <w:rFonts w:asciiTheme="majorBidi" w:hAnsiTheme="majorBidi" w:cstheme="majorBidi"/>
          <w:i/>
          <w:iCs/>
          <w:color w:val="222222"/>
          <w:szCs w:val="24"/>
          <w:shd w:val="clear" w:color="auto" w:fill="FFFFFF"/>
        </w:rPr>
        <w:t>Marine Policy</w:t>
      </w:r>
      <w:r w:rsidR="00F72829">
        <w:rPr>
          <w:rFonts w:asciiTheme="majorBidi" w:hAnsiTheme="majorBidi" w:cstheme="majorBidi"/>
          <w:color w:val="222222"/>
          <w:szCs w:val="24"/>
          <w:shd w:val="clear" w:color="auto" w:fill="FFFFFF"/>
        </w:rPr>
        <w:t>.</w:t>
      </w:r>
    </w:p>
    <w:p w14:paraId="0CE42801" w14:textId="1F29CFD8"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Diehm, J.W.,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2015</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Pleading guilty while claiming innocence: Reconsidering the mysterious Alford plea. </w:t>
      </w:r>
      <w:r w:rsidRPr="005C7B6C">
        <w:rPr>
          <w:rFonts w:asciiTheme="majorBidi" w:hAnsiTheme="majorBidi" w:cstheme="majorBidi"/>
          <w:i/>
          <w:iCs/>
          <w:color w:val="222222"/>
          <w:szCs w:val="24"/>
          <w:shd w:val="clear" w:color="auto" w:fill="FFFFFF"/>
        </w:rPr>
        <w:t>U. Fla. JL &amp; Pub. Pol'y</w:t>
      </w:r>
      <w:r w:rsidR="00F72829">
        <w:rPr>
          <w:rFonts w:asciiTheme="majorBidi" w:hAnsiTheme="majorBidi" w:cstheme="majorBidi"/>
          <w:color w:val="222222"/>
          <w:szCs w:val="24"/>
          <w:shd w:val="clear" w:color="auto" w:fill="FFFFFF"/>
        </w:rPr>
        <w:t>.</w:t>
      </w:r>
    </w:p>
    <w:p w14:paraId="27DF67E9" w14:textId="5543A5EA"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Euvrard, E</w:t>
      </w:r>
      <w:r w:rsidR="00E03FE2">
        <w:rPr>
          <w:rFonts w:asciiTheme="majorBidi" w:hAnsiTheme="majorBidi" w:cstheme="majorBidi"/>
          <w:color w:val="222222"/>
          <w:szCs w:val="24"/>
          <w:shd w:val="clear" w:color="auto" w:fill="FFFFFF"/>
        </w:rPr>
        <w:t xml:space="preserve">.G, </w:t>
      </w:r>
      <w:r w:rsidR="00E03FE2" w:rsidRPr="005C7B6C">
        <w:rPr>
          <w:rFonts w:asciiTheme="majorBidi" w:hAnsiTheme="majorBidi" w:cstheme="majorBidi"/>
          <w:color w:val="222222"/>
          <w:szCs w:val="24"/>
          <w:shd w:val="clear" w:color="auto" w:fill="FFFFFF"/>
        </w:rPr>
        <w:t>Leclerc</w:t>
      </w:r>
      <w:r w:rsidRPr="005C7B6C">
        <w:rPr>
          <w:rFonts w:asciiTheme="majorBidi" w:hAnsiTheme="majorBidi" w:cstheme="majorBidi"/>
          <w:color w:val="222222"/>
          <w:szCs w:val="24"/>
          <w:shd w:val="clear" w:color="auto" w:fill="FFFFFF"/>
        </w:rPr>
        <w:t xml:space="preserve">, C.,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2017</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Pre-trial detention and guilty pleas: Inducement or </w:t>
      </w:r>
      <w:r w:rsidR="00F72829" w:rsidRPr="005C7B6C">
        <w:rPr>
          <w:rFonts w:asciiTheme="majorBidi" w:hAnsiTheme="majorBidi" w:cstheme="majorBidi"/>
          <w:color w:val="222222"/>
          <w:szCs w:val="24"/>
          <w:shd w:val="clear" w:color="auto" w:fill="FFFFFF"/>
        </w:rPr>
        <w:t>coercion?</w:t>
      </w:r>
      <w:r w:rsidRPr="005C7B6C">
        <w:rPr>
          <w:rFonts w:asciiTheme="majorBidi" w:hAnsiTheme="majorBidi" w:cstheme="majorBidi"/>
          <w:color w:val="222222"/>
          <w:szCs w:val="24"/>
          <w:shd w:val="clear" w:color="auto" w:fill="FFFFFF"/>
        </w:rPr>
        <w:t> </w:t>
      </w:r>
      <w:r w:rsidRPr="005C7B6C">
        <w:rPr>
          <w:rFonts w:asciiTheme="majorBidi" w:hAnsiTheme="majorBidi" w:cstheme="majorBidi"/>
          <w:i/>
          <w:iCs/>
          <w:color w:val="222222"/>
          <w:szCs w:val="24"/>
          <w:shd w:val="clear" w:color="auto" w:fill="FFFFFF"/>
        </w:rPr>
        <w:t>Punishment &amp; Society</w:t>
      </w:r>
      <w:r w:rsidR="00F72829">
        <w:rPr>
          <w:rFonts w:asciiTheme="majorBidi" w:hAnsiTheme="majorBidi" w:cstheme="majorBidi"/>
          <w:color w:val="222222"/>
          <w:szCs w:val="24"/>
          <w:shd w:val="clear" w:color="auto" w:fill="FFFFFF"/>
        </w:rPr>
        <w:t>.</w:t>
      </w:r>
    </w:p>
    <w:p w14:paraId="40A21C4D" w14:textId="31AB474B"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Hasitha, S</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Jain, A.,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2019</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Actus reus and </w:t>
      </w:r>
      <w:r w:rsidR="00F72829" w:rsidRPr="005C7B6C">
        <w:rPr>
          <w:rFonts w:asciiTheme="majorBidi" w:hAnsiTheme="majorBidi" w:cstheme="majorBidi"/>
          <w:color w:val="222222"/>
          <w:szCs w:val="24"/>
          <w:shd w:val="clear" w:color="auto" w:fill="FFFFFF"/>
        </w:rPr>
        <w:t>men’s</w:t>
      </w:r>
      <w:r w:rsidRPr="005C7B6C">
        <w:rPr>
          <w:rFonts w:asciiTheme="majorBidi" w:hAnsiTheme="majorBidi" w:cstheme="majorBidi"/>
          <w:color w:val="222222"/>
          <w:szCs w:val="24"/>
          <w:shd w:val="clear" w:color="auto" w:fill="FFFFFF"/>
        </w:rPr>
        <w:t xml:space="preserve"> rea.</w:t>
      </w:r>
    </w:p>
    <w:p w14:paraId="26249AD4" w14:textId="29B22111"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Hussemann, J</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Siegel, J.,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2018</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Pleading guilty: Indigent defendant perceptions of the plea process. </w:t>
      </w:r>
      <w:r w:rsidRPr="005C7B6C">
        <w:rPr>
          <w:rFonts w:asciiTheme="majorBidi" w:hAnsiTheme="majorBidi" w:cstheme="majorBidi"/>
          <w:i/>
          <w:iCs/>
          <w:color w:val="222222"/>
          <w:szCs w:val="24"/>
          <w:shd w:val="clear" w:color="auto" w:fill="FFFFFF"/>
        </w:rPr>
        <w:t>Tenn. JL &amp; Pol'y</w:t>
      </w:r>
      <w:r w:rsidR="00F72829">
        <w:rPr>
          <w:rFonts w:asciiTheme="majorBidi" w:hAnsiTheme="majorBidi" w:cstheme="majorBidi"/>
          <w:color w:val="222222"/>
          <w:szCs w:val="24"/>
          <w:shd w:val="clear" w:color="auto" w:fill="FFFFFF"/>
        </w:rPr>
        <w:t>.</w:t>
      </w:r>
    </w:p>
    <w:p w14:paraId="65547D39" w14:textId="4560C1E5"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Jacobson, J.</w:t>
      </w:r>
      <w:r w:rsidR="00E03FE2">
        <w:rPr>
          <w:rFonts w:asciiTheme="majorBidi" w:hAnsiTheme="majorBidi" w:cstheme="majorBidi"/>
          <w:color w:val="222222"/>
          <w:szCs w:val="24"/>
          <w:shd w:val="clear" w:color="auto" w:fill="FFFFFF"/>
        </w:rPr>
        <w:t xml:space="preserve"> </w:t>
      </w:r>
      <w:r w:rsidR="00E03FE2">
        <w:rPr>
          <w:rFonts w:asciiTheme="majorBidi" w:hAnsiTheme="majorBidi" w:cstheme="majorBidi"/>
          <w:i/>
          <w:iCs/>
          <w:color w:val="222222"/>
          <w:szCs w:val="24"/>
          <w:shd w:val="clear" w:color="auto" w:fill="FFFFFF"/>
        </w:rPr>
        <w:t>ET AL,</w:t>
      </w:r>
      <w:r w:rsidRPr="005C7B6C">
        <w:rPr>
          <w:rFonts w:asciiTheme="majorBidi" w:hAnsiTheme="majorBidi" w:cstheme="majorBidi"/>
          <w:color w:val="222222"/>
          <w:szCs w:val="24"/>
          <w:shd w:val="clear" w:color="auto" w:fill="FFFFFF"/>
        </w:rPr>
        <w:t xml:space="preserve">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2015</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Structured mayhem: Personal experiences of the Crown Court.</w:t>
      </w:r>
    </w:p>
    <w:p w14:paraId="7554D51C" w14:textId="2FE695FF"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Pina-Sanchez, </w:t>
      </w:r>
      <w:r w:rsidR="00E03FE2" w:rsidRPr="005C7B6C">
        <w:rPr>
          <w:rFonts w:asciiTheme="majorBidi" w:hAnsiTheme="majorBidi" w:cstheme="majorBidi"/>
          <w:color w:val="222222"/>
          <w:szCs w:val="24"/>
          <w:shd w:val="clear" w:color="auto" w:fill="FFFFFF"/>
        </w:rPr>
        <w:t>J</w:t>
      </w:r>
      <w:r w:rsidR="00E03FE2">
        <w:rPr>
          <w:rFonts w:asciiTheme="majorBidi" w:hAnsiTheme="majorBidi" w:cstheme="majorBidi"/>
          <w:color w:val="222222"/>
          <w:szCs w:val="24"/>
          <w:shd w:val="clear" w:color="auto" w:fill="FFFFFF"/>
        </w:rPr>
        <w:t xml:space="preserve">, </w:t>
      </w:r>
      <w:r w:rsidR="00E03FE2" w:rsidRPr="005C7B6C">
        <w:rPr>
          <w:rFonts w:asciiTheme="majorBidi" w:hAnsiTheme="majorBidi" w:cstheme="majorBidi"/>
          <w:color w:val="222222"/>
          <w:szCs w:val="24"/>
          <w:shd w:val="clear" w:color="auto" w:fill="FFFFFF"/>
        </w:rPr>
        <w:t>Linacre</w:t>
      </w:r>
      <w:r w:rsidRPr="005C7B6C">
        <w:rPr>
          <w:rFonts w:asciiTheme="majorBidi" w:hAnsiTheme="majorBidi" w:cstheme="majorBidi"/>
          <w:color w:val="222222"/>
          <w:szCs w:val="24"/>
          <w:shd w:val="clear" w:color="auto" w:fill="FFFFFF"/>
        </w:rPr>
        <w:t xml:space="preserve">, R.,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2013</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Sentence consistency in England and Wales: Evidence from the Crown Court sentencing survey. </w:t>
      </w:r>
      <w:r w:rsidRPr="005C7B6C">
        <w:rPr>
          <w:rFonts w:asciiTheme="majorBidi" w:hAnsiTheme="majorBidi" w:cstheme="majorBidi"/>
          <w:i/>
          <w:iCs/>
          <w:color w:val="222222"/>
          <w:szCs w:val="24"/>
          <w:shd w:val="clear" w:color="auto" w:fill="FFFFFF"/>
        </w:rPr>
        <w:t>British Journal of Criminology</w:t>
      </w:r>
      <w:r w:rsidR="00F72829">
        <w:rPr>
          <w:rFonts w:asciiTheme="majorBidi" w:hAnsiTheme="majorBidi" w:cstheme="majorBidi"/>
          <w:color w:val="222222"/>
          <w:szCs w:val="24"/>
          <w:shd w:val="clear" w:color="auto" w:fill="FFFFFF"/>
        </w:rPr>
        <w:t>.</w:t>
      </w:r>
    </w:p>
    <w:p w14:paraId="52809878" w14:textId="7579851A"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Pina-Sánchez, J.</w:t>
      </w:r>
      <w:r w:rsidR="00E03FE2">
        <w:rPr>
          <w:rFonts w:asciiTheme="majorBidi" w:hAnsiTheme="majorBidi" w:cstheme="majorBidi"/>
          <w:color w:val="222222"/>
          <w:szCs w:val="24"/>
          <w:shd w:val="clear" w:color="auto" w:fill="FFFFFF"/>
        </w:rPr>
        <w:t xml:space="preserve"> </w:t>
      </w:r>
      <w:r w:rsidR="00E03FE2">
        <w:rPr>
          <w:rFonts w:asciiTheme="majorBidi" w:hAnsiTheme="majorBidi" w:cstheme="majorBidi"/>
          <w:i/>
          <w:iCs/>
          <w:color w:val="222222"/>
          <w:szCs w:val="24"/>
          <w:shd w:val="clear" w:color="auto" w:fill="FFFFFF"/>
        </w:rPr>
        <w:t>ET AL,</w:t>
      </w:r>
      <w:r w:rsidRPr="005C7B6C">
        <w:rPr>
          <w:rFonts w:asciiTheme="majorBidi" w:hAnsiTheme="majorBidi" w:cstheme="majorBidi"/>
          <w:color w:val="222222"/>
          <w:szCs w:val="24"/>
          <w:shd w:val="clear" w:color="auto" w:fill="FFFFFF"/>
        </w:rPr>
        <w:t xml:space="preserve">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2017</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Exploring the punitive surge: Crown Court sentencing practices before and after the 2011 English riots. </w:t>
      </w:r>
      <w:r w:rsidRPr="005C7B6C">
        <w:rPr>
          <w:rFonts w:asciiTheme="majorBidi" w:hAnsiTheme="majorBidi" w:cstheme="majorBidi"/>
          <w:i/>
          <w:iCs/>
          <w:color w:val="222222"/>
          <w:szCs w:val="24"/>
          <w:shd w:val="clear" w:color="auto" w:fill="FFFFFF"/>
        </w:rPr>
        <w:t>Criminology &amp; Criminal Justice</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br/>
        <w:t>Vigier, F.J.</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w:t>
      </w:r>
      <w:r w:rsidR="00E03FE2">
        <w:rPr>
          <w:rFonts w:asciiTheme="majorBidi" w:hAnsiTheme="majorBidi" w:cstheme="majorBidi"/>
          <w:color w:val="222222"/>
          <w:szCs w:val="24"/>
          <w:shd w:val="clear" w:color="auto" w:fill="FFFFFF"/>
        </w:rPr>
        <w:t>D</w:t>
      </w:r>
      <w:r w:rsidRPr="005C7B6C">
        <w:rPr>
          <w:rFonts w:asciiTheme="majorBidi" w:hAnsiTheme="majorBidi" w:cstheme="majorBidi"/>
          <w:color w:val="222222"/>
          <w:szCs w:val="24"/>
          <w:shd w:val="clear" w:color="auto" w:fill="FFFFFF"/>
        </w:rPr>
        <w:t xml:space="preserve">el Mar Sánchez, M.,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2017</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November. Using parallel corpora to study the </w:t>
      </w:r>
      <w:r w:rsidRPr="005C7B6C">
        <w:rPr>
          <w:rFonts w:asciiTheme="majorBidi" w:hAnsiTheme="majorBidi" w:cstheme="majorBidi"/>
          <w:color w:val="222222"/>
          <w:szCs w:val="24"/>
          <w:shd w:val="clear" w:color="auto" w:fill="FFFFFF"/>
        </w:rPr>
        <w:lastRenderedPageBreak/>
        <w:t>translation of legal system-bound terms: the case of names of English and Spanish courts. In </w:t>
      </w:r>
      <w:r w:rsidRPr="005C7B6C">
        <w:rPr>
          <w:rFonts w:asciiTheme="majorBidi" w:hAnsiTheme="majorBidi" w:cstheme="majorBidi"/>
          <w:i/>
          <w:iCs/>
          <w:color w:val="222222"/>
          <w:szCs w:val="24"/>
          <w:shd w:val="clear" w:color="auto" w:fill="FFFFFF"/>
        </w:rPr>
        <w:t>International Conference on Computational and Corpus-Based Phraseology</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Springer, Cham.</w:t>
      </w:r>
    </w:p>
    <w:p w14:paraId="2A6612D4" w14:textId="64E65333"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Redlich, A.D.</w:t>
      </w:r>
      <w:r w:rsidR="00E03FE2">
        <w:rPr>
          <w:rFonts w:asciiTheme="majorBidi" w:hAnsiTheme="majorBidi" w:cstheme="majorBidi"/>
          <w:color w:val="222222"/>
          <w:szCs w:val="24"/>
          <w:shd w:val="clear" w:color="auto" w:fill="FFFFFF"/>
        </w:rPr>
        <w:t xml:space="preserve"> </w:t>
      </w:r>
      <w:r w:rsidR="00E03FE2">
        <w:rPr>
          <w:rFonts w:asciiTheme="majorBidi" w:hAnsiTheme="majorBidi" w:cstheme="majorBidi"/>
          <w:i/>
          <w:iCs/>
          <w:color w:val="222222"/>
          <w:szCs w:val="24"/>
          <w:shd w:val="clear" w:color="auto" w:fill="FFFFFF"/>
        </w:rPr>
        <w:t>ET AL</w:t>
      </w:r>
      <w:r w:rsidRPr="005C7B6C">
        <w:rPr>
          <w:rFonts w:asciiTheme="majorBidi" w:hAnsiTheme="majorBidi" w:cstheme="majorBidi"/>
          <w:color w:val="222222"/>
          <w:szCs w:val="24"/>
          <w:shd w:val="clear" w:color="auto" w:fill="FFFFFF"/>
        </w:rPr>
        <w:t xml:space="preserve">,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2017</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Understanding guilty pleas through the lens of social science. </w:t>
      </w:r>
      <w:r w:rsidRPr="005C7B6C">
        <w:rPr>
          <w:rFonts w:asciiTheme="majorBidi" w:hAnsiTheme="majorBidi" w:cstheme="majorBidi"/>
          <w:i/>
          <w:iCs/>
          <w:color w:val="222222"/>
          <w:szCs w:val="24"/>
          <w:shd w:val="clear" w:color="auto" w:fill="FFFFFF"/>
        </w:rPr>
        <w:t>Psychology, Public Policy, and Law</w:t>
      </w:r>
      <w:r w:rsidR="00F72829">
        <w:rPr>
          <w:rFonts w:asciiTheme="majorBidi" w:hAnsiTheme="majorBidi" w:cstheme="majorBidi"/>
          <w:color w:val="222222"/>
          <w:szCs w:val="24"/>
          <w:shd w:val="clear" w:color="auto" w:fill="FFFFFF"/>
        </w:rPr>
        <w:t>.</w:t>
      </w:r>
    </w:p>
    <w:p w14:paraId="28ED23B0" w14:textId="79705D50"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Roberts, J. ed.,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2015</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w:t>
      </w:r>
      <w:r w:rsidRPr="005C7B6C">
        <w:rPr>
          <w:rFonts w:asciiTheme="majorBidi" w:hAnsiTheme="majorBidi" w:cstheme="majorBidi"/>
          <w:i/>
          <w:iCs/>
          <w:color w:val="222222"/>
          <w:szCs w:val="24"/>
          <w:shd w:val="clear" w:color="auto" w:fill="FFFFFF"/>
        </w:rPr>
        <w:t>Exploring sentencing practice in England and Wales</w:t>
      </w:r>
      <w:r w:rsidRPr="005C7B6C">
        <w:rPr>
          <w:rFonts w:asciiTheme="majorBidi" w:hAnsiTheme="majorBidi" w:cstheme="majorBidi"/>
          <w:color w:val="222222"/>
          <w:szCs w:val="24"/>
          <w:shd w:val="clear" w:color="auto" w:fill="FFFFFF"/>
        </w:rPr>
        <w:t>. Springer.</w:t>
      </w:r>
    </w:p>
    <w:p w14:paraId="2C7ED428" w14:textId="34D7D834"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Roberts, J.V</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Pina-Sánchez, J.,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2014</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Previous convictions at sentencing: Exploring empirical trends in the Crown Court. </w:t>
      </w:r>
      <w:r w:rsidRPr="005C7B6C">
        <w:rPr>
          <w:rFonts w:asciiTheme="majorBidi" w:hAnsiTheme="majorBidi" w:cstheme="majorBidi"/>
          <w:i/>
          <w:iCs/>
          <w:color w:val="222222"/>
          <w:szCs w:val="24"/>
          <w:shd w:val="clear" w:color="auto" w:fill="FFFFFF"/>
        </w:rPr>
        <w:t>Criminal Law Review</w:t>
      </w:r>
      <w:r w:rsidR="00F72829">
        <w:rPr>
          <w:rFonts w:asciiTheme="majorBidi" w:hAnsiTheme="majorBidi" w:cstheme="majorBidi"/>
          <w:color w:val="222222"/>
          <w:szCs w:val="24"/>
          <w:shd w:val="clear" w:color="auto" w:fill="FFFFFF"/>
        </w:rPr>
        <w:t>.</w:t>
      </w:r>
    </w:p>
    <w:p w14:paraId="189DC55F" w14:textId="7D8A11BF"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Roberts, J.V</w:t>
      </w:r>
      <w:r w:rsidR="00E03FE2">
        <w:rPr>
          <w:rFonts w:asciiTheme="majorBidi" w:hAnsiTheme="majorBidi" w:cstheme="majorBidi"/>
          <w:color w:val="222222"/>
          <w:szCs w:val="24"/>
          <w:shd w:val="clear" w:color="auto" w:fill="FFFFFF"/>
        </w:rPr>
        <w:t xml:space="preserve">., </w:t>
      </w:r>
      <w:r w:rsidRPr="005C7B6C">
        <w:rPr>
          <w:rFonts w:asciiTheme="majorBidi" w:hAnsiTheme="majorBidi" w:cstheme="majorBidi"/>
          <w:color w:val="222222"/>
          <w:szCs w:val="24"/>
          <w:shd w:val="clear" w:color="auto" w:fill="FFFFFF"/>
        </w:rPr>
        <w:t xml:space="preserve">Pina-Sánchez, J.,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2014</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Previous convictions at sentencing: Exploring empirical trends in the Crown Court. </w:t>
      </w:r>
      <w:r w:rsidRPr="005C7B6C">
        <w:rPr>
          <w:rFonts w:asciiTheme="majorBidi" w:hAnsiTheme="majorBidi" w:cstheme="majorBidi"/>
          <w:i/>
          <w:iCs/>
          <w:color w:val="222222"/>
          <w:szCs w:val="24"/>
          <w:shd w:val="clear" w:color="auto" w:fill="FFFFFF"/>
        </w:rPr>
        <w:t>Criminal Law Review</w:t>
      </w:r>
      <w:r w:rsidR="00F72829">
        <w:rPr>
          <w:rFonts w:asciiTheme="majorBidi" w:hAnsiTheme="majorBidi" w:cstheme="majorBidi"/>
          <w:color w:val="222222"/>
          <w:szCs w:val="24"/>
          <w:shd w:val="clear" w:color="auto" w:fill="FFFFFF"/>
        </w:rPr>
        <w:t>.</w:t>
      </w:r>
    </w:p>
    <w:p w14:paraId="77A981E2" w14:textId="3B9F7232"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Rodger, B</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MacCulloch, A.,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2019</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w:t>
      </w:r>
      <w:r w:rsidRPr="005C7B6C">
        <w:rPr>
          <w:rFonts w:asciiTheme="majorBidi" w:hAnsiTheme="majorBidi" w:cstheme="majorBidi"/>
          <w:i/>
          <w:iCs/>
          <w:color w:val="222222"/>
          <w:szCs w:val="24"/>
          <w:shd w:val="clear" w:color="auto" w:fill="FFFFFF"/>
        </w:rPr>
        <w:t>Competition Law and Policy in the EU and UK</w:t>
      </w:r>
      <w:r w:rsidRPr="005C7B6C">
        <w:rPr>
          <w:rFonts w:asciiTheme="majorBidi" w:hAnsiTheme="majorBidi" w:cstheme="majorBidi"/>
          <w:color w:val="222222"/>
          <w:szCs w:val="24"/>
          <w:shd w:val="clear" w:color="auto" w:fill="FFFFFF"/>
        </w:rPr>
        <w:t>. Routledge.</w:t>
      </w:r>
    </w:p>
    <w:p w14:paraId="3CE8BA08" w14:textId="06EFBFA0"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Sarch, A.F.,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2015</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Knowledge, Recklessness and the Connection Requirement Between Actus Reus and </w:t>
      </w:r>
      <w:r w:rsidR="00E03FE2" w:rsidRPr="005C7B6C">
        <w:rPr>
          <w:rFonts w:asciiTheme="majorBidi" w:hAnsiTheme="majorBidi" w:cstheme="majorBidi"/>
          <w:color w:val="222222"/>
          <w:szCs w:val="24"/>
          <w:shd w:val="clear" w:color="auto" w:fill="FFFFFF"/>
        </w:rPr>
        <w:t>Men’s</w:t>
      </w:r>
      <w:r w:rsidRPr="005C7B6C">
        <w:rPr>
          <w:rFonts w:asciiTheme="majorBidi" w:hAnsiTheme="majorBidi" w:cstheme="majorBidi"/>
          <w:color w:val="222222"/>
          <w:szCs w:val="24"/>
          <w:shd w:val="clear" w:color="auto" w:fill="FFFFFF"/>
        </w:rPr>
        <w:t xml:space="preserve"> Rea. </w:t>
      </w:r>
      <w:r w:rsidRPr="005C7B6C">
        <w:rPr>
          <w:rFonts w:asciiTheme="majorBidi" w:hAnsiTheme="majorBidi" w:cstheme="majorBidi"/>
          <w:i/>
          <w:iCs/>
          <w:color w:val="222222"/>
          <w:szCs w:val="24"/>
          <w:shd w:val="clear" w:color="auto" w:fill="FFFFFF"/>
        </w:rPr>
        <w:t>Penn St. L. Rev</w:t>
      </w:r>
      <w:r w:rsidR="00F72829">
        <w:rPr>
          <w:rFonts w:asciiTheme="majorBidi" w:hAnsiTheme="majorBidi" w:cstheme="majorBidi"/>
          <w:i/>
          <w:iCs/>
          <w:color w:val="222222"/>
          <w:szCs w:val="24"/>
          <w:shd w:val="clear" w:color="auto" w:fill="FFFFFF"/>
        </w:rPr>
        <w:t>.</w:t>
      </w:r>
    </w:p>
    <w:p w14:paraId="4735935B" w14:textId="16B5A165"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Tadros, V.,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2014</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The ideal of the presumption of innocence. </w:t>
      </w:r>
      <w:r w:rsidRPr="005C7B6C">
        <w:rPr>
          <w:rFonts w:asciiTheme="majorBidi" w:hAnsiTheme="majorBidi" w:cstheme="majorBidi"/>
          <w:i/>
          <w:iCs/>
          <w:color w:val="222222"/>
          <w:szCs w:val="24"/>
          <w:shd w:val="clear" w:color="auto" w:fill="FFFFFF"/>
        </w:rPr>
        <w:t>Criminal Law and Philosophy</w:t>
      </w:r>
      <w:r w:rsidR="00F72829">
        <w:rPr>
          <w:rFonts w:asciiTheme="majorBidi" w:hAnsiTheme="majorBidi" w:cstheme="majorBidi"/>
          <w:color w:val="222222"/>
          <w:szCs w:val="24"/>
          <w:shd w:val="clear" w:color="auto" w:fill="FFFFFF"/>
        </w:rPr>
        <w:t>.</w:t>
      </w:r>
    </w:p>
    <w:p w14:paraId="6D62EAB7" w14:textId="62E02721"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Kempen</w:t>
      </w:r>
      <w:r w:rsidR="00E03FE2">
        <w:rPr>
          <w:rFonts w:asciiTheme="majorBidi" w:hAnsiTheme="majorBidi" w:cstheme="majorBidi"/>
          <w:color w:val="222222"/>
          <w:szCs w:val="24"/>
          <w:shd w:val="clear" w:color="auto" w:fill="FFFFFF"/>
        </w:rPr>
        <w:t xml:space="preserve"> V</w:t>
      </w:r>
      <w:r w:rsidRPr="005C7B6C">
        <w:rPr>
          <w:rFonts w:asciiTheme="majorBidi" w:hAnsiTheme="majorBidi" w:cstheme="majorBidi"/>
          <w:color w:val="222222"/>
          <w:szCs w:val="24"/>
          <w:shd w:val="clear" w:color="auto" w:fill="FFFFFF"/>
        </w:rPr>
        <w:t>, P.H</w:t>
      </w:r>
      <w:r w:rsidR="00E03FE2">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Bemelmans, J.,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2018</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EU protection of the substantive criminal law principles of guilt and ne bis in idem under the Charter of Fundamental Rights: Underdevelopment and overdevelopment in an incomplete criminal justice framework. </w:t>
      </w:r>
      <w:r w:rsidRPr="005C7B6C">
        <w:rPr>
          <w:rFonts w:asciiTheme="majorBidi" w:hAnsiTheme="majorBidi" w:cstheme="majorBidi"/>
          <w:i/>
          <w:iCs/>
          <w:color w:val="222222"/>
          <w:szCs w:val="24"/>
          <w:shd w:val="clear" w:color="auto" w:fill="FFFFFF"/>
        </w:rPr>
        <w:t>New Journal of European Criminal Law</w:t>
      </w:r>
      <w:r w:rsidR="00F72829">
        <w:rPr>
          <w:rFonts w:asciiTheme="majorBidi" w:hAnsiTheme="majorBidi" w:cstheme="majorBidi"/>
          <w:color w:val="222222"/>
          <w:szCs w:val="24"/>
          <w:shd w:val="clear" w:color="auto" w:fill="FFFFFF"/>
        </w:rPr>
        <w:t>.</w:t>
      </w:r>
    </w:p>
    <w:p w14:paraId="06D35476" w14:textId="7D709039" w:rsidR="005C7B6C" w:rsidRPr="005C7B6C" w:rsidRDefault="005C7B6C" w:rsidP="005C7B6C">
      <w:pPr>
        <w:ind w:left="720" w:hanging="720"/>
        <w:rPr>
          <w:rFonts w:asciiTheme="majorBidi" w:hAnsiTheme="majorBidi" w:cstheme="majorBidi"/>
          <w:color w:val="222222"/>
          <w:szCs w:val="24"/>
          <w:shd w:val="clear" w:color="auto" w:fill="FFFFFF"/>
        </w:rPr>
      </w:pPr>
      <w:r w:rsidRPr="005C7B6C">
        <w:rPr>
          <w:rFonts w:asciiTheme="majorBidi" w:hAnsiTheme="majorBidi" w:cstheme="majorBidi"/>
          <w:color w:val="222222"/>
          <w:szCs w:val="24"/>
          <w:shd w:val="clear" w:color="auto" w:fill="FFFFFF"/>
        </w:rPr>
        <w:t xml:space="preserve">Watt, M.A., </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2019</w:t>
      </w:r>
      <w:r w:rsidR="00F72829">
        <w:rPr>
          <w:rFonts w:asciiTheme="majorBidi" w:hAnsiTheme="majorBidi" w:cstheme="majorBidi"/>
          <w:color w:val="222222"/>
          <w:szCs w:val="24"/>
          <w:shd w:val="clear" w:color="auto" w:fill="FFFFFF"/>
        </w:rPr>
        <w:t>)</w:t>
      </w:r>
      <w:r w:rsidRPr="005C7B6C">
        <w:rPr>
          <w:rFonts w:asciiTheme="majorBidi" w:hAnsiTheme="majorBidi" w:cstheme="majorBidi"/>
          <w:color w:val="222222"/>
          <w:szCs w:val="24"/>
          <w:shd w:val="clear" w:color="auto" w:fill="FFFFFF"/>
        </w:rPr>
        <w:t xml:space="preserve">, August. Guido and the guilty mind: </w:t>
      </w:r>
      <w:r w:rsidR="00F72829" w:rsidRPr="005C7B6C">
        <w:rPr>
          <w:rFonts w:asciiTheme="majorBidi" w:hAnsiTheme="majorBidi" w:cstheme="majorBidi"/>
          <w:color w:val="222222"/>
          <w:szCs w:val="24"/>
          <w:shd w:val="clear" w:color="auto" w:fill="FFFFFF"/>
        </w:rPr>
        <w:t>Men’s</w:t>
      </w:r>
      <w:r w:rsidRPr="005C7B6C">
        <w:rPr>
          <w:rFonts w:asciiTheme="majorBidi" w:hAnsiTheme="majorBidi" w:cstheme="majorBidi"/>
          <w:color w:val="222222"/>
          <w:szCs w:val="24"/>
          <w:shd w:val="clear" w:color="auto" w:fill="FFFFFF"/>
        </w:rPr>
        <w:t xml:space="preserve"> rea and actus reus in Inferno 27. In </w:t>
      </w:r>
      <w:r w:rsidRPr="005C7B6C">
        <w:rPr>
          <w:rFonts w:asciiTheme="majorBidi" w:hAnsiTheme="majorBidi" w:cstheme="majorBidi"/>
          <w:i/>
          <w:iCs/>
          <w:color w:val="222222"/>
          <w:szCs w:val="24"/>
          <w:shd w:val="clear" w:color="auto" w:fill="FFFFFF"/>
        </w:rPr>
        <w:t>Forum Italicum</w:t>
      </w:r>
      <w:r w:rsidR="00F72829">
        <w:rPr>
          <w:rFonts w:asciiTheme="majorBidi" w:hAnsiTheme="majorBidi" w:cstheme="majorBidi"/>
          <w:color w:val="222222"/>
          <w:szCs w:val="24"/>
          <w:shd w:val="clear" w:color="auto" w:fill="FFFFFF"/>
        </w:rPr>
        <w:t xml:space="preserve">. </w:t>
      </w:r>
      <w:r w:rsidRPr="005C7B6C">
        <w:rPr>
          <w:rFonts w:asciiTheme="majorBidi" w:hAnsiTheme="majorBidi" w:cstheme="majorBidi"/>
          <w:color w:val="222222"/>
          <w:szCs w:val="24"/>
          <w:shd w:val="clear" w:color="auto" w:fill="FFFFFF"/>
        </w:rPr>
        <w:t>Sage UK: London, England: SAGE Publications.</w:t>
      </w:r>
    </w:p>
    <w:sectPr w:rsidR="005C7B6C" w:rsidRPr="005C7B6C" w:rsidSect="00C256A2">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0ACC0" w14:textId="77777777" w:rsidR="00F21E9E" w:rsidRDefault="00F21E9E" w:rsidP="004527CD">
      <w:pPr>
        <w:spacing w:after="0" w:line="240" w:lineRule="auto"/>
      </w:pPr>
      <w:r>
        <w:separator/>
      </w:r>
    </w:p>
  </w:endnote>
  <w:endnote w:type="continuationSeparator" w:id="0">
    <w:p w14:paraId="38CA5530" w14:textId="77777777" w:rsidR="00F21E9E" w:rsidRDefault="00F21E9E" w:rsidP="00452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7D438" w14:textId="77777777" w:rsidR="00F21E9E" w:rsidRDefault="00F21E9E" w:rsidP="004527CD">
      <w:pPr>
        <w:spacing w:after="0" w:line="240" w:lineRule="auto"/>
      </w:pPr>
      <w:r>
        <w:separator/>
      </w:r>
    </w:p>
  </w:footnote>
  <w:footnote w:type="continuationSeparator" w:id="0">
    <w:p w14:paraId="28483943" w14:textId="77777777" w:rsidR="00F21E9E" w:rsidRDefault="00F21E9E" w:rsidP="00452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53A10" w14:textId="6EA98648" w:rsidR="00C256A2" w:rsidRDefault="00C256A2" w:rsidP="00C256A2">
    <w:pPr>
      <w:pStyle w:val="Header"/>
      <w:ind w:firstLine="0"/>
    </w:pPr>
    <w:r w:rsidRPr="00C256A2">
      <w:t>The case of William Brown</w:t>
    </w:r>
    <w:r>
      <w:t xml:space="preserve"> </w:t>
    </w:r>
    <w:r>
      <w:tab/>
    </w:r>
    <w:r>
      <w:tab/>
    </w:r>
    <w:sdt>
      <w:sdtPr>
        <w:id w:val="-159076823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66CCF">
          <w:rPr>
            <w:noProof/>
          </w:rPr>
          <w:t>3</w:t>
        </w:r>
        <w:r>
          <w:rPr>
            <w:noProof/>
          </w:rPr>
          <w:fldChar w:fldCharType="end"/>
        </w:r>
      </w:sdtContent>
    </w:sdt>
  </w:p>
  <w:p w14:paraId="5C96A760" w14:textId="77777777" w:rsidR="00C256A2" w:rsidRDefault="00C256A2" w:rsidP="00C256A2">
    <w:pPr>
      <w:pStyle w:val="Header"/>
      <w:ind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A1DD1" w14:textId="02650EFA" w:rsidR="00C256A2" w:rsidRDefault="00C256A2" w:rsidP="00C256A2">
    <w:pPr>
      <w:pStyle w:val="Header"/>
      <w:ind w:firstLine="0"/>
    </w:pPr>
    <w:r>
      <w:t xml:space="preserve">Running head: </w:t>
    </w:r>
    <w:r w:rsidRPr="00C256A2">
      <w:t>The case of William Brown</w:t>
    </w:r>
    <w:r w:rsidR="00666A38">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E6E27"/>
    <w:multiLevelType w:val="multilevel"/>
    <w:tmpl w:val="3214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6C4DC7"/>
    <w:multiLevelType w:val="multilevel"/>
    <w:tmpl w:val="4354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5B4E13"/>
    <w:multiLevelType w:val="hybridMultilevel"/>
    <w:tmpl w:val="F2EA9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EwNjGwMDUwAkJjUyUdpeDU4uLM/DyQAsNaAFWITe8sAAAA"/>
  </w:docVars>
  <w:rsids>
    <w:rsidRoot w:val="009A1BBC"/>
    <w:rsid w:val="000365CD"/>
    <w:rsid w:val="001C4854"/>
    <w:rsid w:val="001D6961"/>
    <w:rsid w:val="001E341E"/>
    <w:rsid w:val="00266CCF"/>
    <w:rsid w:val="002C402B"/>
    <w:rsid w:val="00334C0B"/>
    <w:rsid w:val="00353E18"/>
    <w:rsid w:val="004527CD"/>
    <w:rsid w:val="004A3D8D"/>
    <w:rsid w:val="004F76B9"/>
    <w:rsid w:val="005C7B6C"/>
    <w:rsid w:val="00666A38"/>
    <w:rsid w:val="00681441"/>
    <w:rsid w:val="007164AA"/>
    <w:rsid w:val="007D5D1B"/>
    <w:rsid w:val="008D43D1"/>
    <w:rsid w:val="00937B2A"/>
    <w:rsid w:val="00961F99"/>
    <w:rsid w:val="009759BC"/>
    <w:rsid w:val="009A1BBC"/>
    <w:rsid w:val="00A01692"/>
    <w:rsid w:val="00A80139"/>
    <w:rsid w:val="00B30B67"/>
    <w:rsid w:val="00B44FA7"/>
    <w:rsid w:val="00B83795"/>
    <w:rsid w:val="00C14502"/>
    <w:rsid w:val="00C256A2"/>
    <w:rsid w:val="00D34D2C"/>
    <w:rsid w:val="00E03FE2"/>
    <w:rsid w:val="00F21E9E"/>
    <w:rsid w:val="00F728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4D68A"/>
  <w15:chartTrackingRefBased/>
  <w15:docId w15:val="{7E94F748-4F22-4581-A46A-27C0E248D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854"/>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C4854"/>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759BC"/>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854"/>
    <w:rPr>
      <w:rFonts w:eastAsiaTheme="majorEastAsia" w:cstheme="majorBidi"/>
      <w:b/>
      <w:i/>
      <w:szCs w:val="32"/>
    </w:rPr>
  </w:style>
  <w:style w:type="character" w:customStyle="1" w:styleId="Heading2Char">
    <w:name w:val="Heading 2 Char"/>
    <w:basedOn w:val="DefaultParagraphFont"/>
    <w:link w:val="Heading2"/>
    <w:uiPriority w:val="9"/>
    <w:rsid w:val="001C4854"/>
    <w:rPr>
      <w:rFonts w:eastAsiaTheme="majorEastAsia" w:cstheme="majorBidi"/>
      <w:i/>
      <w:szCs w:val="26"/>
    </w:rPr>
  </w:style>
  <w:style w:type="character" w:customStyle="1" w:styleId="Heading3Char">
    <w:name w:val="Heading 3 Char"/>
    <w:basedOn w:val="DefaultParagraphFont"/>
    <w:link w:val="Heading3"/>
    <w:uiPriority w:val="9"/>
    <w:rsid w:val="009759BC"/>
    <w:rPr>
      <w:rFonts w:eastAsiaTheme="majorEastAsia" w:cstheme="majorBidi"/>
      <w:szCs w:val="24"/>
    </w:rPr>
  </w:style>
  <w:style w:type="paragraph" w:customStyle="1" w:styleId="trt0xe">
    <w:name w:val="trt0xe"/>
    <w:basedOn w:val="Normal"/>
    <w:rsid w:val="00C14502"/>
    <w:pPr>
      <w:spacing w:before="100" w:beforeAutospacing="1" w:after="100" w:afterAutospacing="1" w:line="240" w:lineRule="auto"/>
      <w:ind w:firstLine="0"/>
    </w:pPr>
    <w:rPr>
      <w:rFonts w:eastAsia="Times New Roman"/>
      <w:szCs w:val="24"/>
    </w:rPr>
  </w:style>
  <w:style w:type="paragraph" w:styleId="ListParagraph">
    <w:name w:val="List Paragraph"/>
    <w:basedOn w:val="Normal"/>
    <w:uiPriority w:val="34"/>
    <w:qFormat/>
    <w:rsid w:val="00C14502"/>
    <w:pPr>
      <w:ind w:left="720"/>
      <w:contextualSpacing/>
    </w:pPr>
  </w:style>
  <w:style w:type="paragraph" w:styleId="Header">
    <w:name w:val="header"/>
    <w:basedOn w:val="Normal"/>
    <w:link w:val="HeaderChar"/>
    <w:uiPriority w:val="99"/>
    <w:unhideWhenUsed/>
    <w:rsid w:val="00452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27CD"/>
  </w:style>
  <w:style w:type="paragraph" w:styleId="Footer">
    <w:name w:val="footer"/>
    <w:basedOn w:val="Normal"/>
    <w:link w:val="FooterChar"/>
    <w:uiPriority w:val="99"/>
    <w:unhideWhenUsed/>
    <w:rsid w:val="00452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2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427329">
      <w:bodyDiv w:val="1"/>
      <w:marLeft w:val="0"/>
      <w:marRight w:val="0"/>
      <w:marTop w:val="0"/>
      <w:marBottom w:val="0"/>
      <w:divBdr>
        <w:top w:val="none" w:sz="0" w:space="0" w:color="auto"/>
        <w:left w:val="none" w:sz="0" w:space="0" w:color="auto"/>
        <w:bottom w:val="none" w:sz="0" w:space="0" w:color="auto"/>
        <w:right w:val="none" w:sz="0" w:space="0" w:color="auto"/>
      </w:divBdr>
      <w:divsChild>
        <w:div w:id="2062092690">
          <w:marLeft w:val="0"/>
          <w:marRight w:val="0"/>
          <w:marTop w:val="0"/>
          <w:marBottom w:val="180"/>
          <w:divBdr>
            <w:top w:val="none" w:sz="0" w:space="0" w:color="auto"/>
            <w:left w:val="none" w:sz="0" w:space="0" w:color="auto"/>
            <w:bottom w:val="none" w:sz="0" w:space="0" w:color="auto"/>
            <w:right w:val="none" w:sz="0" w:space="0" w:color="auto"/>
          </w:divBdr>
        </w:div>
      </w:divsChild>
    </w:div>
    <w:div w:id="209959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7E1C3-56BC-4692-9756-E3A8DB26B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samsul islam</cp:lastModifiedBy>
  <cp:revision>7</cp:revision>
  <dcterms:created xsi:type="dcterms:W3CDTF">2021-05-07T14:42:00Z</dcterms:created>
  <dcterms:modified xsi:type="dcterms:W3CDTF">2021-05-07T14:57:00Z</dcterms:modified>
</cp:coreProperties>
</file>