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BBD6D" w14:textId="77777777" w:rsidR="00922A16" w:rsidRPr="00CA0C51" w:rsidRDefault="00000000">
      <w:pPr>
        <w:pStyle w:val="Title"/>
        <w:rPr>
          <w:rFonts w:ascii="Arial" w:hAnsi="Arial" w:cs="Arial"/>
          <w:sz w:val="40"/>
          <w:szCs w:val="40"/>
        </w:rPr>
      </w:pPr>
      <w:bookmarkStart w:id="0" w:name="_heading=h.i8a3d5vd5lkk" w:colFirst="0" w:colLast="0"/>
      <w:bookmarkEnd w:id="0"/>
      <w:r w:rsidRPr="00CA0C51">
        <w:rPr>
          <w:rFonts w:ascii="Arial" w:hAnsi="Arial" w:cs="Arial"/>
          <w:sz w:val="40"/>
          <w:szCs w:val="40"/>
        </w:rPr>
        <w:t>Module Title: Introduction to Independent Research Skills</w:t>
      </w:r>
    </w:p>
    <w:p w14:paraId="115EE51A" w14:textId="77777777" w:rsidR="00922A16" w:rsidRPr="00CA0C51" w:rsidRDefault="00000000">
      <w:pPr>
        <w:pStyle w:val="Title"/>
        <w:rPr>
          <w:rFonts w:ascii="Arial" w:hAnsi="Arial" w:cs="Arial"/>
          <w:sz w:val="40"/>
          <w:szCs w:val="40"/>
        </w:rPr>
      </w:pPr>
      <w:bookmarkStart w:id="1" w:name="_heading=h.7qz1fue678fg" w:colFirst="0" w:colLast="0"/>
      <w:bookmarkEnd w:id="1"/>
      <w:r w:rsidRPr="00CA0C51">
        <w:rPr>
          <w:rFonts w:ascii="Arial" w:hAnsi="Arial" w:cs="Arial"/>
          <w:sz w:val="40"/>
          <w:szCs w:val="40"/>
        </w:rPr>
        <w:t>Module Code: BMHP5019</w:t>
      </w:r>
    </w:p>
    <w:p w14:paraId="5D90D0EF" w14:textId="17AC4F32" w:rsidR="00CA0C51" w:rsidRPr="00CA0C51" w:rsidRDefault="00000000" w:rsidP="00CA0C51">
      <w:pPr>
        <w:pStyle w:val="Title"/>
        <w:rPr>
          <w:rFonts w:ascii="Arial" w:hAnsi="Arial" w:cs="Arial"/>
          <w:sz w:val="40"/>
          <w:szCs w:val="40"/>
        </w:rPr>
      </w:pPr>
      <w:bookmarkStart w:id="2" w:name="_heading=h.11raeuqc9pie" w:colFirst="0" w:colLast="0"/>
      <w:bookmarkEnd w:id="2"/>
      <w:r w:rsidRPr="00CA0C51">
        <w:rPr>
          <w:rFonts w:ascii="Arial" w:hAnsi="Arial" w:cs="Arial"/>
          <w:sz w:val="40"/>
          <w:szCs w:val="40"/>
        </w:rPr>
        <w:t>Student Name: Amie Banja</w:t>
      </w:r>
    </w:p>
    <w:p w14:paraId="31917465" w14:textId="7462F295" w:rsidR="00CA0C51" w:rsidRPr="00CA0C51" w:rsidRDefault="00CA0C51" w:rsidP="00CA0C51">
      <w:pPr>
        <w:pStyle w:val="Title"/>
        <w:rPr>
          <w:rFonts w:ascii="Arial" w:hAnsi="Arial" w:cs="Arial"/>
          <w:sz w:val="40"/>
          <w:szCs w:val="40"/>
        </w:rPr>
      </w:pPr>
      <w:r w:rsidRPr="00CA0C51">
        <w:rPr>
          <w:rFonts w:ascii="Arial" w:hAnsi="Arial" w:cs="Arial"/>
          <w:sz w:val="40"/>
          <w:szCs w:val="40"/>
        </w:rPr>
        <w:t>Lecturer Nam: Rizwan Nadim</w:t>
      </w:r>
    </w:p>
    <w:p w14:paraId="5136F87F" w14:textId="28140E3B" w:rsidR="00CA0C51" w:rsidRPr="00CA0C51" w:rsidRDefault="00000000" w:rsidP="00CA0C51">
      <w:pPr>
        <w:pStyle w:val="Title"/>
        <w:spacing w:line="240" w:lineRule="auto"/>
        <w:rPr>
          <w:rFonts w:ascii="Arial" w:hAnsi="Arial" w:cs="Arial"/>
          <w:sz w:val="40"/>
          <w:szCs w:val="40"/>
        </w:rPr>
      </w:pPr>
      <w:bookmarkStart w:id="3" w:name="_heading=h.q3udm06ykpgi" w:colFirst="0" w:colLast="0"/>
      <w:bookmarkEnd w:id="3"/>
      <w:r w:rsidRPr="00CA0C51">
        <w:rPr>
          <w:rFonts w:ascii="Arial" w:hAnsi="Arial" w:cs="Arial"/>
          <w:sz w:val="40"/>
          <w:szCs w:val="40"/>
        </w:rPr>
        <w:t>Student ID: 2023092513</w:t>
      </w:r>
      <w:r w:rsidR="00CA0C51" w:rsidRPr="00CA0C51">
        <w:rPr>
          <w:rFonts w:ascii="Arial" w:hAnsi="Arial" w:cs="Arial"/>
          <w:sz w:val="40"/>
          <w:szCs w:val="40"/>
        </w:rPr>
        <w:t xml:space="preserve">                                                             </w:t>
      </w:r>
    </w:p>
    <w:p w14:paraId="6C22035E" w14:textId="77777777" w:rsidR="00CA0C51" w:rsidRDefault="00CA0C51" w:rsidP="00CA0C51">
      <w:pPr>
        <w:pStyle w:val="Title"/>
        <w:jc w:val="both"/>
        <w:rPr>
          <w:sz w:val="28"/>
          <w:szCs w:val="28"/>
        </w:rPr>
      </w:pPr>
    </w:p>
    <w:p w14:paraId="1E064B1D" w14:textId="5D6AFABD" w:rsidR="00922A16" w:rsidRPr="00CA0C51" w:rsidRDefault="00E34EC8" w:rsidP="00CA0C51">
      <w:pPr>
        <w:pStyle w:val="Title"/>
        <w:jc w:val="both"/>
        <w:rPr>
          <w:rFonts w:ascii="Arial" w:hAnsi="Arial" w:cs="Arial"/>
        </w:rPr>
      </w:pPr>
      <w:r w:rsidRPr="00CA0C51">
        <w:rPr>
          <w:rFonts w:ascii="Arial" w:hAnsi="Arial" w:cs="Arial"/>
        </w:rPr>
        <w:t>Title: “Exploring the Effects of Adverse Childhood Experiences on Adult Mental Health and Health and Social Care Needs.”</w:t>
      </w:r>
      <w:bookmarkStart w:id="4" w:name="_heading=h.hchmyzrklehl" w:colFirst="0" w:colLast="0"/>
      <w:bookmarkEnd w:id="4"/>
      <w:r w:rsidR="00000000" w:rsidRPr="00CA0C51">
        <w:rPr>
          <w:rFonts w:ascii="Arial" w:hAnsi="Arial" w:cs="Arial"/>
        </w:rPr>
        <w:br w:type="page"/>
      </w:r>
    </w:p>
    <w:p w14:paraId="727C4BD5" w14:textId="77777777" w:rsidR="00922A16" w:rsidRDefault="00000000">
      <w:pPr>
        <w:jc w:val="center"/>
      </w:pPr>
      <w:r>
        <w:rPr>
          <w:b/>
          <w:bCs/>
        </w:rPr>
        <w:lastRenderedPageBreak/>
        <w:t>Table of Contents</w:t>
      </w:r>
    </w:p>
    <w:sdt>
      <w:sdtPr>
        <w:id w:val="-1526567025"/>
        <w:docPartObj>
          <w:docPartGallery w:val="Table of Contents"/>
          <w:docPartUnique/>
        </w:docPartObj>
      </w:sdtPr>
      <w:sdtContent>
        <w:p w14:paraId="25762257" w14:textId="77777777" w:rsidR="00922A16"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\t "Heading 1,1,Heading 2,2,Heading 3,3,Heading 4,4,Heading 5,5,Heading 6,6,"</w:instrText>
          </w:r>
          <w:r>
            <w:fldChar w:fldCharType="separate"/>
          </w:r>
          <w:hyperlink w:anchor="_heading=h.sgpv3wp8e8dg">
            <w:r w:rsidR="00922A16">
              <w:rPr>
                <w:color w:val="000000"/>
              </w:rPr>
              <w:t>Introduction</w:t>
            </w:r>
            <w:r w:rsidR="00922A16">
              <w:rPr>
                <w:color w:val="000000"/>
              </w:rPr>
              <w:tab/>
              <w:t>4</w:t>
            </w:r>
          </w:hyperlink>
        </w:p>
        <w:p w14:paraId="4010361A" w14:textId="77777777" w:rsidR="00922A16" w:rsidRDefault="00922A16">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dlqdobfom5ql">
            <w:r>
              <w:rPr>
                <w:color w:val="000000"/>
              </w:rPr>
              <w:t>Background</w:t>
            </w:r>
            <w:r>
              <w:rPr>
                <w:color w:val="000000"/>
              </w:rPr>
              <w:tab/>
              <w:t>5</w:t>
            </w:r>
          </w:hyperlink>
        </w:p>
        <w:p w14:paraId="48F85CC2" w14:textId="77777777" w:rsidR="00922A16" w:rsidRDefault="00922A16">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q5m088epjov0">
            <w:r>
              <w:rPr>
                <w:color w:val="000000"/>
              </w:rPr>
              <w:t>Methods</w:t>
            </w:r>
            <w:r>
              <w:rPr>
                <w:color w:val="000000"/>
              </w:rPr>
              <w:tab/>
              <w:t>7</w:t>
            </w:r>
          </w:hyperlink>
        </w:p>
        <w:p w14:paraId="7B0B6C18" w14:textId="77777777" w:rsidR="00922A16" w:rsidRDefault="00922A16">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b5tkx61o2vms">
            <w:r>
              <w:rPr>
                <w:color w:val="000000"/>
              </w:rPr>
              <w:t>Results</w:t>
            </w:r>
            <w:r>
              <w:rPr>
                <w:color w:val="000000"/>
              </w:rPr>
              <w:tab/>
              <w:t>8</w:t>
            </w:r>
          </w:hyperlink>
        </w:p>
        <w:p w14:paraId="003ECAF6" w14:textId="77777777" w:rsidR="00922A16" w:rsidRDefault="00922A16">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53skvw5am2ds">
            <w:r>
              <w:rPr>
                <w:color w:val="000000"/>
              </w:rPr>
              <w:t>Discussion</w:t>
            </w:r>
            <w:r>
              <w:rPr>
                <w:color w:val="000000"/>
              </w:rPr>
              <w:tab/>
              <w:t>12</w:t>
            </w:r>
          </w:hyperlink>
        </w:p>
        <w:p w14:paraId="03FCE4C3" w14:textId="4A268C46" w:rsidR="00922A16" w:rsidRDefault="00922A16">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x0fr8nh8cgix">
            <w:r>
              <w:rPr>
                <w:color w:val="000000"/>
              </w:rPr>
              <w:t xml:space="preserve">Conclusions </w:t>
            </w:r>
            <w:r>
              <w:rPr>
                <w:color w:val="000000"/>
              </w:rPr>
              <w:tab/>
              <w:t>16</w:t>
            </w:r>
          </w:hyperlink>
        </w:p>
        <w:p w14:paraId="17E0B275" w14:textId="77777777" w:rsidR="00922A16" w:rsidRDefault="00922A16">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7p9m9r71greb">
            <w:r>
              <w:rPr>
                <w:color w:val="000000"/>
              </w:rPr>
              <w:t>References</w:t>
            </w:r>
            <w:r>
              <w:rPr>
                <w:color w:val="000000"/>
              </w:rPr>
              <w:tab/>
              <w:t>17</w:t>
            </w:r>
          </w:hyperlink>
        </w:p>
        <w:p w14:paraId="222AFB66" w14:textId="4BDD91A7" w:rsidR="00922A16" w:rsidRDefault="00922A16">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gqmllbcsaews">
            <w:r>
              <w:rPr>
                <w:color w:val="000000"/>
              </w:rPr>
              <w:tab/>
              <w:t>20</w:t>
            </w:r>
          </w:hyperlink>
        </w:p>
        <w:p w14:paraId="65FB30E3" w14:textId="77777777" w:rsidR="00922A16" w:rsidRDefault="00000000">
          <w:pPr>
            <w:widowControl w:val="0"/>
            <w:tabs>
              <w:tab w:val="right" w:pos="12000"/>
            </w:tabs>
            <w:spacing w:before="60" w:line="240" w:lineRule="auto"/>
            <w:jc w:val="left"/>
            <w:rPr>
              <w:rFonts w:ascii="Arial" w:eastAsia="Arial" w:hAnsi="Arial" w:cs="Arial"/>
              <w:b/>
              <w:bCs/>
              <w:color w:val="000000"/>
              <w:sz w:val="22"/>
              <w:szCs w:val="22"/>
            </w:rPr>
          </w:pPr>
          <w:r>
            <w:fldChar w:fldCharType="end"/>
          </w:r>
        </w:p>
      </w:sdtContent>
    </w:sdt>
    <w:p w14:paraId="708F58D4" w14:textId="77777777" w:rsidR="00922A16" w:rsidRDefault="00000000">
      <w:r>
        <w:br w:type="page"/>
      </w:r>
    </w:p>
    <w:p w14:paraId="464FB5CD" w14:textId="77777777" w:rsidR="00922A16" w:rsidRPr="007A1C05" w:rsidRDefault="00000000">
      <w:pPr>
        <w:pStyle w:val="Heading1"/>
        <w:rPr>
          <w:rFonts w:ascii="Arial" w:hAnsi="Arial" w:cs="Arial"/>
          <w:sz w:val="22"/>
          <w:szCs w:val="22"/>
        </w:rPr>
      </w:pPr>
      <w:bookmarkStart w:id="5" w:name="_heading=h.sgpv3wp8e8dg" w:colFirst="0" w:colLast="0"/>
      <w:bookmarkEnd w:id="5"/>
      <w:r w:rsidRPr="007A1C05">
        <w:rPr>
          <w:rFonts w:ascii="Arial" w:hAnsi="Arial" w:cs="Arial"/>
          <w:sz w:val="22"/>
          <w:szCs w:val="22"/>
        </w:rPr>
        <w:lastRenderedPageBreak/>
        <w:t xml:space="preserve">Introduction </w:t>
      </w:r>
    </w:p>
    <w:p w14:paraId="7AFE4BD1" w14:textId="77777777" w:rsidR="00922A16" w:rsidRPr="007A1C05" w:rsidRDefault="00000000">
      <w:pPr>
        <w:rPr>
          <w:rFonts w:ascii="Arial" w:hAnsi="Arial" w:cs="Arial"/>
          <w:sz w:val="22"/>
          <w:szCs w:val="22"/>
        </w:rPr>
      </w:pPr>
      <w:r w:rsidRPr="007A1C05">
        <w:rPr>
          <w:rFonts w:ascii="Arial" w:hAnsi="Arial" w:cs="Arial"/>
          <w:sz w:val="22"/>
          <w:szCs w:val="22"/>
        </w:rPr>
        <w:t>Adverse childhood experiences of ACE are the experiences of trauma or distress that individuals younger than 18 years get (</w:t>
      </w:r>
      <w:r w:rsidRPr="007A1C05">
        <w:rPr>
          <w:rFonts w:ascii="Arial" w:hAnsi="Arial" w:cs="Arial"/>
          <w:sz w:val="22"/>
          <w:szCs w:val="22"/>
          <w:highlight w:val="white"/>
        </w:rPr>
        <w:t xml:space="preserve">Malvaso </w:t>
      </w:r>
      <w:r w:rsidRPr="007A1C05">
        <w:rPr>
          <w:rFonts w:ascii="Arial" w:hAnsi="Arial" w:cs="Arial"/>
          <w:i/>
          <w:iCs/>
          <w:sz w:val="22"/>
          <w:szCs w:val="22"/>
          <w:highlight w:val="white"/>
        </w:rPr>
        <w:t xml:space="preserve">et al., </w:t>
      </w:r>
      <w:r w:rsidRPr="007A1C05">
        <w:rPr>
          <w:rFonts w:ascii="Arial" w:hAnsi="Arial" w:cs="Arial"/>
          <w:sz w:val="22"/>
          <w:szCs w:val="22"/>
          <w:highlight w:val="white"/>
        </w:rPr>
        <w:t>2022</w:t>
      </w:r>
      <w:r w:rsidRPr="007A1C05">
        <w:rPr>
          <w:rFonts w:ascii="Arial" w:hAnsi="Arial" w:cs="Arial"/>
          <w:sz w:val="22"/>
          <w:szCs w:val="22"/>
        </w:rPr>
        <w:t xml:space="preserve">). Such experiences could range from being purely physical and sexual to a combination of several types of abuse. Adverse experiences in childhood can also be caused by dysfunction in the household, including domestic violence, substance misuse by the parents, or incarceration. </w:t>
      </w:r>
    </w:p>
    <w:p w14:paraId="08AF82AC" w14:textId="77777777" w:rsidR="00922A16" w:rsidRPr="007A1C05" w:rsidRDefault="00000000">
      <w:pPr>
        <w:rPr>
          <w:rFonts w:ascii="Arial" w:hAnsi="Arial" w:cs="Arial"/>
          <w:sz w:val="22"/>
          <w:szCs w:val="22"/>
        </w:rPr>
      </w:pPr>
      <w:r w:rsidRPr="007A1C05">
        <w:rPr>
          <w:rFonts w:ascii="Arial" w:hAnsi="Arial" w:cs="Arial"/>
          <w:sz w:val="22"/>
          <w:szCs w:val="22"/>
        </w:rPr>
        <w:t>Evidence from research has been consistent in connecting adverse childhood experiences with poor psychological welfare during adulthood. Adults tend to be more likely to be diagnosed with mental health problems, including PTSD, depression, anxiety, and substance misuse, if they are exposed to trauma or any kind of adverse experiences in their childhood (</w:t>
      </w:r>
      <w:r w:rsidRPr="007A1C05">
        <w:rPr>
          <w:rFonts w:ascii="Arial" w:hAnsi="Arial" w:cs="Arial"/>
          <w:sz w:val="22"/>
          <w:szCs w:val="22"/>
          <w:highlight w:val="white"/>
        </w:rPr>
        <w:t xml:space="preserve">Daníelsdóttir </w:t>
      </w:r>
      <w:r w:rsidRPr="007A1C05">
        <w:rPr>
          <w:rFonts w:ascii="Arial" w:hAnsi="Arial" w:cs="Arial"/>
          <w:i/>
          <w:iCs/>
          <w:sz w:val="22"/>
          <w:szCs w:val="22"/>
          <w:highlight w:val="white"/>
        </w:rPr>
        <w:t xml:space="preserve">et al., </w:t>
      </w:r>
      <w:r w:rsidRPr="007A1C05">
        <w:rPr>
          <w:rFonts w:ascii="Arial" w:hAnsi="Arial" w:cs="Arial"/>
          <w:sz w:val="22"/>
          <w:szCs w:val="22"/>
          <w:highlight w:val="white"/>
        </w:rPr>
        <w:t>2024</w:t>
      </w:r>
      <w:r w:rsidRPr="007A1C05">
        <w:rPr>
          <w:rFonts w:ascii="Arial" w:hAnsi="Arial" w:cs="Arial"/>
          <w:sz w:val="22"/>
          <w:szCs w:val="22"/>
        </w:rPr>
        <w:t xml:space="preserve">). Additionally, the risk increases with the number of adverse experiences the person has. </w:t>
      </w:r>
    </w:p>
    <w:p w14:paraId="5034A9C5" w14:textId="77777777" w:rsidR="00922A16" w:rsidRPr="007A1C05" w:rsidRDefault="00000000">
      <w:pPr>
        <w:rPr>
          <w:rFonts w:ascii="Arial" w:hAnsi="Arial" w:cs="Arial"/>
          <w:b/>
          <w:bCs/>
          <w:sz w:val="22"/>
          <w:szCs w:val="22"/>
        </w:rPr>
      </w:pPr>
      <w:r w:rsidRPr="007A1C05">
        <w:rPr>
          <w:rFonts w:ascii="Arial" w:hAnsi="Arial" w:cs="Arial"/>
          <w:b/>
          <w:bCs/>
          <w:sz w:val="22"/>
          <w:szCs w:val="22"/>
        </w:rPr>
        <w:t>Justification of the Topic</w:t>
      </w:r>
    </w:p>
    <w:p w14:paraId="0F61C7A1" w14:textId="0141B27D" w:rsidR="00922A16" w:rsidRPr="007A1C05" w:rsidRDefault="00000000">
      <w:pPr>
        <w:rPr>
          <w:rFonts w:ascii="Arial" w:hAnsi="Arial" w:cs="Arial"/>
          <w:sz w:val="22"/>
          <w:szCs w:val="22"/>
        </w:rPr>
      </w:pPr>
      <w:r w:rsidRPr="007A1C05">
        <w:rPr>
          <w:rFonts w:ascii="Arial" w:hAnsi="Arial" w:cs="Arial"/>
          <w:sz w:val="22"/>
          <w:szCs w:val="22"/>
        </w:rPr>
        <w:t>The research on “</w:t>
      </w:r>
      <w:r w:rsidRPr="007A1C05">
        <w:rPr>
          <w:rFonts w:ascii="Arial" w:hAnsi="Arial" w:cs="Arial"/>
          <w:b/>
          <w:bCs/>
          <w:sz w:val="22"/>
          <w:szCs w:val="22"/>
        </w:rPr>
        <w:t xml:space="preserve">Exploring the Effects of </w:t>
      </w:r>
      <w:r w:rsidR="008055CC">
        <w:rPr>
          <w:rFonts w:ascii="Arial" w:hAnsi="Arial" w:cs="Arial"/>
          <w:b/>
          <w:bCs/>
          <w:sz w:val="22"/>
          <w:szCs w:val="22"/>
        </w:rPr>
        <w:t>ACE</w:t>
      </w:r>
      <w:r w:rsidRPr="007A1C05">
        <w:rPr>
          <w:rFonts w:ascii="Arial" w:hAnsi="Arial" w:cs="Arial"/>
          <w:b/>
          <w:bCs/>
          <w:sz w:val="22"/>
          <w:szCs w:val="22"/>
        </w:rPr>
        <w:t xml:space="preserve"> on Adult Mental Health and Health and Social Care Needs.</w:t>
      </w:r>
      <w:r w:rsidRPr="007A1C05">
        <w:rPr>
          <w:rFonts w:ascii="Arial" w:hAnsi="Arial" w:cs="Arial"/>
          <w:sz w:val="22"/>
          <w:szCs w:val="22"/>
        </w:rPr>
        <w:t xml:space="preserve">” is very justified for research given the fact that </w:t>
      </w:r>
      <w:r w:rsidR="008055CC">
        <w:rPr>
          <w:rFonts w:ascii="Arial" w:hAnsi="Arial" w:cs="Arial"/>
          <w:sz w:val="22"/>
          <w:szCs w:val="22"/>
        </w:rPr>
        <w:t>ACE</w:t>
      </w:r>
      <w:r w:rsidRPr="007A1C05">
        <w:rPr>
          <w:rFonts w:ascii="Arial" w:hAnsi="Arial" w:cs="Arial"/>
          <w:sz w:val="22"/>
          <w:szCs w:val="22"/>
        </w:rPr>
        <w:t xml:space="preserve"> is coming out to be an exponentially growing health concern. People who have earlier adverse experiences tend to be more associated with getting GP appointments, mental health services, and community support systems (</w:t>
      </w:r>
      <w:r w:rsidRPr="007A1C05">
        <w:rPr>
          <w:rFonts w:ascii="Arial" w:hAnsi="Arial" w:cs="Arial"/>
          <w:sz w:val="22"/>
          <w:szCs w:val="22"/>
          <w:highlight w:val="white"/>
        </w:rPr>
        <w:t xml:space="preserve">Appleton </w:t>
      </w:r>
      <w:r w:rsidRPr="007A1C05">
        <w:rPr>
          <w:rFonts w:ascii="Arial" w:hAnsi="Arial" w:cs="Arial"/>
          <w:i/>
          <w:iCs/>
          <w:sz w:val="22"/>
          <w:szCs w:val="22"/>
          <w:highlight w:val="white"/>
        </w:rPr>
        <w:t>et al.,</w:t>
      </w:r>
      <w:r w:rsidRPr="007A1C05">
        <w:rPr>
          <w:rFonts w:ascii="Arial" w:hAnsi="Arial" w:cs="Arial"/>
          <w:sz w:val="22"/>
          <w:szCs w:val="22"/>
          <w:highlight w:val="white"/>
        </w:rPr>
        <w:t xml:space="preserve"> 2022</w:t>
      </w:r>
      <w:r w:rsidRPr="007A1C05">
        <w:rPr>
          <w:rFonts w:ascii="Arial" w:hAnsi="Arial" w:cs="Arial"/>
          <w:sz w:val="22"/>
          <w:szCs w:val="22"/>
        </w:rPr>
        <w:t xml:space="preserve">). This shows the broader implications associated with negative experiences in childhood on the demand for healthcare and also showcases the need to develop deeper knowledge of such experiences within health and social care contexts. </w:t>
      </w:r>
    </w:p>
    <w:p w14:paraId="353435E5" w14:textId="77777777" w:rsidR="00922A16" w:rsidRPr="007A1C05" w:rsidRDefault="00000000">
      <w:pPr>
        <w:rPr>
          <w:rFonts w:ascii="Arial" w:hAnsi="Arial" w:cs="Arial"/>
          <w:sz w:val="22"/>
          <w:szCs w:val="22"/>
        </w:rPr>
      </w:pPr>
      <w:r w:rsidRPr="007A1C05">
        <w:rPr>
          <w:rFonts w:ascii="Arial" w:hAnsi="Arial" w:cs="Arial"/>
          <w:sz w:val="22"/>
          <w:szCs w:val="22"/>
        </w:rPr>
        <w:t xml:space="preserve">Therefore, the main aim of the research is to investigate the way adverse childhood experiences affect adult mental health and how they influence the need for health and social care services. It also tries to recognise key psychological implications, going through the relationship between childhood trauma and later welfare. </w:t>
      </w:r>
    </w:p>
    <w:p w14:paraId="232FAC79" w14:textId="77777777" w:rsidR="00922A16" w:rsidRPr="007A1C05" w:rsidRDefault="00000000">
      <w:pPr>
        <w:rPr>
          <w:rFonts w:ascii="Arial" w:hAnsi="Arial" w:cs="Arial"/>
          <w:b/>
          <w:bCs/>
          <w:sz w:val="22"/>
          <w:szCs w:val="22"/>
        </w:rPr>
      </w:pPr>
      <w:r w:rsidRPr="007A1C05">
        <w:rPr>
          <w:rFonts w:ascii="Arial" w:hAnsi="Arial" w:cs="Arial"/>
          <w:b/>
          <w:bCs/>
          <w:sz w:val="22"/>
          <w:szCs w:val="22"/>
        </w:rPr>
        <w:t xml:space="preserve">Research Aim and Objectives </w:t>
      </w:r>
    </w:p>
    <w:p w14:paraId="76F86643" w14:textId="3D3479FE" w:rsidR="00922A16" w:rsidRPr="007A1C05" w:rsidRDefault="00000000">
      <w:pPr>
        <w:rPr>
          <w:rFonts w:ascii="Arial" w:hAnsi="Arial" w:cs="Arial"/>
          <w:sz w:val="22"/>
          <w:szCs w:val="22"/>
        </w:rPr>
      </w:pPr>
      <w:r w:rsidRPr="007A1C05">
        <w:rPr>
          <w:rFonts w:ascii="Arial" w:hAnsi="Arial" w:cs="Arial"/>
          <w:sz w:val="22"/>
          <w:szCs w:val="22"/>
        </w:rPr>
        <w:t>The following study aims to explore the implications of A</w:t>
      </w:r>
      <w:r w:rsidR="008055CC">
        <w:rPr>
          <w:rFonts w:ascii="Arial" w:hAnsi="Arial" w:cs="Arial"/>
          <w:sz w:val="22"/>
          <w:szCs w:val="22"/>
        </w:rPr>
        <w:t>CE</w:t>
      </w:r>
      <w:r w:rsidRPr="007A1C05">
        <w:rPr>
          <w:rFonts w:ascii="Arial" w:hAnsi="Arial" w:cs="Arial"/>
          <w:sz w:val="22"/>
          <w:szCs w:val="22"/>
        </w:rPr>
        <w:t xml:space="preserve"> on adults’ mental health and their impact on the need for health and social care assistance. </w:t>
      </w:r>
    </w:p>
    <w:p w14:paraId="3277FD0B" w14:textId="77777777" w:rsidR="00922A16" w:rsidRPr="007A1C05" w:rsidRDefault="00000000">
      <w:pPr>
        <w:rPr>
          <w:rFonts w:ascii="Arial" w:hAnsi="Arial" w:cs="Arial"/>
          <w:sz w:val="22"/>
          <w:szCs w:val="22"/>
        </w:rPr>
      </w:pPr>
      <w:r w:rsidRPr="007A1C05">
        <w:rPr>
          <w:rFonts w:ascii="Arial" w:hAnsi="Arial" w:cs="Arial"/>
          <w:b/>
          <w:bCs/>
          <w:sz w:val="22"/>
          <w:szCs w:val="22"/>
        </w:rPr>
        <w:t>Objectives are in the following</w:t>
      </w:r>
      <w:r w:rsidRPr="007A1C05">
        <w:rPr>
          <w:rFonts w:ascii="Arial" w:hAnsi="Arial" w:cs="Arial"/>
          <w:sz w:val="22"/>
          <w:szCs w:val="22"/>
        </w:rPr>
        <w:t>:</w:t>
      </w:r>
    </w:p>
    <w:p w14:paraId="40336DA1" w14:textId="77777777" w:rsidR="00922A16" w:rsidRPr="007A1C05" w:rsidRDefault="00000000">
      <w:pPr>
        <w:numPr>
          <w:ilvl w:val="0"/>
          <w:numId w:val="1"/>
        </w:numPr>
        <w:rPr>
          <w:rFonts w:ascii="Arial" w:hAnsi="Arial" w:cs="Arial"/>
          <w:sz w:val="22"/>
          <w:szCs w:val="22"/>
        </w:rPr>
      </w:pPr>
      <w:r w:rsidRPr="007A1C05">
        <w:rPr>
          <w:rFonts w:ascii="Arial" w:hAnsi="Arial" w:cs="Arial"/>
          <w:sz w:val="22"/>
          <w:szCs w:val="22"/>
        </w:rPr>
        <w:t>“To explore the relationship between childhood trauma and mental health outcomes in adulthood.”</w:t>
      </w:r>
    </w:p>
    <w:p w14:paraId="1001A324" w14:textId="77777777" w:rsidR="00922A16" w:rsidRPr="007A1C05" w:rsidRDefault="00000000">
      <w:pPr>
        <w:numPr>
          <w:ilvl w:val="0"/>
          <w:numId w:val="1"/>
        </w:numPr>
        <w:rPr>
          <w:rFonts w:ascii="Arial" w:hAnsi="Arial" w:cs="Arial"/>
          <w:sz w:val="22"/>
          <w:szCs w:val="22"/>
        </w:rPr>
      </w:pPr>
      <w:r w:rsidRPr="007A1C05">
        <w:rPr>
          <w:rFonts w:ascii="Arial" w:hAnsi="Arial" w:cs="Arial"/>
          <w:sz w:val="22"/>
          <w:szCs w:val="22"/>
        </w:rPr>
        <w:t>“To identify common psychological difficulties associated with Adverse Childhood Experiences.”</w:t>
      </w:r>
    </w:p>
    <w:p w14:paraId="29DC53E7" w14:textId="77777777" w:rsidR="00922A16" w:rsidRPr="007A1C05" w:rsidRDefault="00000000">
      <w:pPr>
        <w:numPr>
          <w:ilvl w:val="0"/>
          <w:numId w:val="1"/>
        </w:numPr>
        <w:rPr>
          <w:rFonts w:ascii="Arial" w:hAnsi="Arial" w:cs="Arial"/>
          <w:sz w:val="22"/>
          <w:szCs w:val="22"/>
        </w:rPr>
      </w:pPr>
      <w:r w:rsidRPr="007A1C05">
        <w:rPr>
          <w:rFonts w:ascii="Arial" w:hAnsi="Arial" w:cs="Arial"/>
          <w:sz w:val="22"/>
          <w:szCs w:val="22"/>
        </w:rPr>
        <w:lastRenderedPageBreak/>
        <w:t>“To consider the implications of these findings for trauma-informed practice in health and social care.”</w:t>
      </w:r>
    </w:p>
    <w:p w14:paraId="048B84C3" w14:textId="77777777" w:rsidR="00922A16" w:rsidRPr="007A1C05" w:rsidRDefault="00000000">
      <w:pPr>
        <w:pStyle w:val="Heading1"/>
        <w:rPr>
          <w:rFonts w:ascii="Arial" w:hAnsi="Arial" w:cs="Arial"/>
          <w:sz w:val="22"/>
          <w:szCs w:val="22"/>
        </w:rPr>
      </w:pPr>
      <w:bookmarkStart w:id="6" w:name="_heading=h.dlqdobfom5ql" w:colFirst="0" w:colLast="0"/>
      <w:bookmarkEnd w:id="6"/>
      <w:r w:rsidRPr="007A1C05">
        <w:rPr>
          <w:rFonts w:ascii="Arial" w:hAnsi="Arial" w:cs="Arial"/>
          <w:sz w:val="22"/>
          <w:szCs w:val="22"/>
        </w:rPr>
        <w:t xml:space="preserve">Background </w:t>
      </w:r>
    </w:p>
    <w:p w14:paraId="7770D705" w14:textId="77777777" w:rsidR="00922A16" w:rsidRPr="007A1C05" w:rsidRDefault="00000000">
      <w:pPr>
        <w:rPr>
          <w:rFonts w:ascii="Arial" w:hAnsi="Arial" w:cs="Arial"/>
          <w:sz w:val="22"/>
          <w:szCs w:val="22"/>
        </w:rPr>
      </w:pPr>
      <w:r w:rsidRPr="007A1C05">
        <w:rPr>
          <w:rFonts w:ascii="Arial" w:hAnsi="Arial" w:cs="Arial"/>
          <w:sz w:val="22"/>
          <w:szCs w:val="22"/>
        </w:rPr>
        <w:t>Adverse Childhood Experiences is becoming a growing issue for the wider public in the UK. Additionally, they also put significant pressure on health and social care policies as ACEs have long-term implications on the mental health of those affected. Traditionally, the ACE model recognises key groups of neglect, abuse and dysfunction in the household that take place in early years of development (</w:t>
      </w:r>
      <w:r w:rsidRPr="007A1C05">
        <w:rPr>
          <w:rFonts w:ascii="Arial" w:hAnsi="Arial" w:cs="Arial"/>
          <w:sz w:val="22"/>
          <w:szCs w:val="22"/>
          <w:highlight w:val="white"/>
        </w:rPr>
        <w:t>Kurdi, 2025</w:t>
      </w:r>
      <w:r w:rsidRPr="007A1C05">
        <w:rPr>
          <w:rFonts w:ascii="Arial" w:hAnsi="Arial" w:cs="Arial"/>
          <w:sz w:val="22"/>
          <w:szCs w:val="22"/>
        </w:rPr>
        <w:t xml:space="preserve">). Over time, evidence has further increased this knowledge. ACEs are now labelled as a public health concern instead of a private affair. This change has led to the ways services actually view vulnerability and issues across one’s course of life. </w:t>
      </w:r>
    </w:p>
    <w:p w14:paraId="3EF5E522" w14:textId="77777777" w:rsidR="00922A16" w:rsidRPr="007A1C05" w:rsidRDefault="00000000">
      <w:pPr>
        <w:rPr>
          <w:rFonts w:ascii="Arial" w:hAnsi="Arial" w:cs="Arial"/>
          <w:sz w:val="22"/>
          <w:szCs w:val="22"/>
        </w:rPr>
      </w:pPr>
      <w:r w:rsidRPr="007A1C05">
        <w:rPr>
          <w:rFonts w:ascii="Arial" w:hAnsi="Arial" w:cs="Arial"/>
          <w:sz w:val="22"/>
          <w:szCs w:val="22"/>
        </w:rPr>
        <w:t xml:space="preserve">Within the UK, mental health concerns highlight one of the growing reasons for disability. National survey data and insights have highlighted that there is a surge in rate of depression, anxiety and trauma-specific ailments among the adults. Almost every aspect of these conditions </w:t>
      </w:r>
      <w:proofErr w:type="gramStart"/>
      <w:r w:rsidRPr="007A1C05">
        <w:rPr>
          <w:rFonts w:ascii="Arial" w:hAnsi="Arial" w:cs="Arial"/>
          <w:sz w:val="22"/>
          <w:szCs w:val="22"/>
        </w:rPr>
        <w:t>have</w:t>
      </w:r>
      <w:proofErr w:type="gramEnd"/>
      <w:r w:rsidRPr="007A1C05">
        <w:rPr>
          <w:rFonts w:ascii="Arial" w:hAnsi="Arial" w:cs="Arial"/>
          <w:sz w:val="22"/>
          <w:szCs w:val="22"/>
        </w:rPr>
        <w:t xml:space="preserve"> complicated beginnings. Early negative experiences are consistently termed to be a major contributing element </w:t>
      </w:r>
      <w:r w:rsidRPr="007A1C05">
        <w:rPr>
          <w:rFonts w:ascii="Arial" w:hAnsi="Arial" w:cs="Arial"/>
          <w:sz w:val="22"/>
          <w:szCs w:val="22"/>
          <w:highlight w:val="white"/>
        </w:rPr>
        <w:t>(Anxious Minds, 2025)</w:t>
      </w:r>
      <w:r w:rsidRPr="007A1C05">
        <w:rPr>
          <w:rFonts w:ascii="Arial" w:hAnsi="Arial" w:cs="Arial"/>
          <w:sz w:val="22"/>
          <w:szCs w:val="22"/>
        </w:rPr>
        <w:t xml:space="preserve">. People who have went through different forms of adverse experiences in this childhood show more possibility of having poor mental health condition, suicidal tendencies and self-farm in their adults’ life course. For instance, as per Office for National Statistics, around 9.1% who age over 18 years have experienced some kind of sexual abuse in their childhood </w:t>
      </w:r>
      <w:r w:rsidRPr="007A1C05">
        <w:rPr>
          <w:rFonts w:ascii="Arial" w:hAnsi="Arial" w:cs="Arial"/>
          <w:sz w:val="22"/>
          <w:szCs w:val="22"/>
          <w:highlight w:val="white"/>
        </w:rPr>
        <w:t>(ONS UK, 2025)</w:t>
      </w:r>
      <w:r w:rsidRPr="007A1C05">
        <w:rPr>
          <w:rFonts w:ascii="Arial" w:hAnsi="Arial" w:cs="Arial"/>
          <w:sz w:val="22"/>
          <w:szCs w:val="22"/>
        </w:rPr>
        <w:t xml:space="preserve">. This is more evident with women who covered 13.9% while men covered 4.1%.  Additionally, physical abuse is also one the raises which is another main cause of Adverse Childhood Experience. It is reported that around 1 in 14 children have experienced physical abuse in the UK. To be more specific, in 2023/24, the police reported more than 200,000 offenses concerning physical abuse in just England, Wales and Northern Ireland </w:t>
      </w:r>
      <w:r w:rsidRPr="007A1C05">
        <w:rPr>
          <w:rFonts w:ascii="Arial" w:hAnsi="Arial" w:cs="Arial"/>
          <w:sz w:val="22"/>
          <w:szCs w:val="22"/>
          <w:highlight w:val="white"/>
        </w:rPr>
        <w:t>(NSPCC Learning, 2025)</w:t>
      </w:r>
      <w:r w:rsidRPr="007A1C05">
        <w:rPr>
          <w:rFonts w:ascii="Arial" w:hAnsi="Arial" w:cs="Arial"/>
          <w:sz w:val="22"/>
          <w:szCs w:val="22"/>
        </w:rPr>
        <w:t xml:space="preserve">. When one or more of such traumatic events is experienced by the children, it complicates the mental health of the children even more affecting their later life. The connection between the mental health issues in adulthood and adverse experiences in childhood is not linear every time. However, there are significant patterns that show consistent connection across several literatures, research and studies. </w:t>
      </w:r>
    </w:p>
    <w:p w14:paraId="7A642F2D" w14:textId="77777777" w:rsidR="00922A16" w:rsidRPr="007A1C05" w:rsidRDefault="00000000">
      <w:pPr>
        <w:rPr>
          <w:rFonts w:ascii="Arial" w:hAnsi="Arial" w:cs="Arial"/>
          <w:sz w:val="22"/>
          <w:szCs w:val="22"/>
        </w:rPr>
      </w:pPr>
      <w:r w:rsidRPr="007A1C05">
        <w:rPr>
          <w:rFonts w:ascii="Arial" w:hAnsi="Arial" w:cs="Arial"/>
          <w:sz w:val="22"/>
          <w:szCs w:val="22"/>
        </w:rPr>
        <w:t xml:space="preserve">Although policies have been an important aspect of dealing with such issues, their importance is limitedly acknowledged. The </w:t>
      </w:r>
      <w:proofErr w:type="gramStart"/>
      <w:r w:rsidRPr="007A1C05">
        <w:rPr>
          <w:rFonts w:ascii="Arial" w:hAnsi="Arial" w:cs="Arial"/>
          <w:sz w:val="22"/>
          <w:szCs w:val="22"/>
        </w:rPr>
        <w:t>Long Term</w:t>
      </w:r>
      <w:proofErr w:type="gramEnd"/>
      <w:r w:rsidRPr="007A1C05">
        <w:rPr>
          <w:rFonts w:ascii="Arial" w:hAnsi="Arial" w:cs="Arial"/>
          <w:sz w:val="22"/>
          <w:szCs w:val="22"/>
        </w:rPr>
        <w:t xml:space="preserve"> Plan by the NHS has focused prevention and integrated community-oriented mental health assistance (</w:t>
      </w:r>
      <w:r w:rsidRPr="007A1C05">
        <w:rPr>
          <w:rFonts w:ascii="Arial" w:hAnsi="Arial" w:cs="Arial"/>
          <w:sz w:val="22"/>
          <w:szCs w:val="22"/>
          <w:highlight w:val="white"/>
        </w:rPr>
        <w:t xml:space="preserve">Crellin </w:t>
      </w:r>
      <w:r w:rsidRPr="007A1C05">
        <w:rPr>
          <w:rFonts w:ascii="Arial" w:hAnsi="Arial" w:cs="Arial"/>
          <w:i/>
          <w:iCs/>
          <w:sz w:val="22"/>
          <w:szCs w:val="22"/>
          <w:highlight w:val="white"/>
        </w:rPr>
        <w:t>et al.,</w:t>
      </w:r>
      <w:r w:rsidRPr="007A1C05">
        <w:rPr>
          <w:rFonts w:ascii="Arial" w:hAnsi="Arial" w:cs="Arial"/>
          <w:sz w:val="22"/>
          <w:szCs w:val="22"/>
          <w:highlight w:val="white"/>
        </w:rPr>
        <w:t xml:space="preserve"> 2025</w:t>
      </w:r>
      <w:r w:rsidRPr="007A1C05">
        <w:rPr>
          <w:rFonts w:ascii="Arial" w:hAnsi="Arial" w:cs="Arial"/>
          <w:sz w:val="22"/>
          <w:szCs w:val="22"/>
        </w:rPr>
        <w:t xml:space="preserve">). Approaches focused on specific trauma are effectively promoted in healthcare, criminal justice and social care environments. Such efforts and initiatives seek to identify the lasting implications of trauma and ignore efforts that can re-traumatise the affected individuals. </w:t>
      </w:r>
      <w:r w:rsidRPr="007A1C05">
        <w:rPr>
          <w:rFonts w:ascii="Arial" w:hAnsi="Arial" w:cs="Arial"/>
          <w:sz w:val="22"/>
          <w:szCs w:val="22"/>
        </w:rPr>
        <w:lastRenderedPageBreak/>
        <w:t xml:space="preserve">However, the process of adopting these interventions across different health and social care is varied. Limited resources and pressure from the workforce consistently impact the </w:t>
      </w:r>
      <w:proofErr w:type="gramStart"/>
      <w:r w:rsidRPr="007A1C05">
        <w:rPr>
          <w:rFonts w:ascii="Arial" w:hAnsi="Arial" w:cs="Arial"/>
          <w:sz w:val="22"/>
          <w:szCs w:val="22"/>
        </w:rPr>
        <w:t>quality of service</w:t>
      </w:r>
      <w:proofErr w:type="gramEnd"/>
      <w:r w:rsidRPr="007A1C05">
        <w:rPr>
          <w:rFonts w:ascii="Arial" w:hAnsi="Arial" w:cs="Arial"/>
          <w:sz w:val="22"/>
          <w:szCs w:val="22"/>
        </w:rPr>
        <w:t xml:space="preserve"> delivery. For instance, the NHS England has reported approx. 121,000 vacancies in the staff which represents around 8.4% of the workforce </w:t>
      </w:r>
      <w:r w:rsidRPr="007A1C05">
        <w:rPr>
          <w:rFonts w:ascii="Arial" w:hAnsi="Arial" w:cs="Arial"/>
          <w:sz w:val="22"/>
          <w:szCs w:val="22"/>
          <w:highlight w:val="white"/>
        </w:rPr>
        <w:t>(The King’s Fund, 2024)</w:t>
      </w:r>
      <w:r w:rsidRPr="007A1C05">
        <w:rPr>
          <w:rFonts w:ascii="Arial" w:hAnsi="Arial" w:cs="Arial"/>
          <w:sz w:val="22"/>
          <w:szCs w:val="22"/>
        </w:rPr>
        <w:t xml:space="preserve">. Moreover, the adult social sector in the UK reported almost 152,000 vacancies highlighting a vacancy rate of 9.9% </w:t>
      </w:r>
      <w:r w:rsidRPr="007A1C05">
        <w:rPr>
          <w:rFonts w:ascii="Arial" w:hAnsi="Arial" w:cs="Arial"/>
          <w:sz w:val="22"/>
          <w:szCs w:val="22"/>
          <w:highlight w:val="white"/>
        </w:rPr>
        <w:t>(National Care Forum, 2024)</w:t>
      </w:r>
      <w:r w:rsidRPr="007A1C05">
        <w:rPr>
          <w:rFonts w:ascii="Arial" w:hAnsi="Arial" w:cs="Arial"/>
          <w:sz w:val="22"/>
          <w:szCs w:val="22"/>
        </w:rPr>
        <w:t>.</w:t>
      </w:r>
    </w:p>
    <w:p w14:paraId="7072CBC7" w14:textId="77777777" w:rsidR="00922A16" w:rsidRPr="007A1C05" w:rsidRDefault="00000000">
      <w:pPr>
        <w:rPr>
          <w:rFonts w:ascii="Arial" w:hAnsi="Arial" w:cs="Arial"/>
          <w:sz w:val="22"/>
          <w:szCs w:val="22"/>
        </w:rPr>
      </w:pPr>
      <w:r w:rsidRPr="007A1C05">
        <w:rPr>
          <w:rFonts w:ascii="Arial" w:hAnsi="Arial" w:cs="Arial"/>
          <w:sz w:val="22"/>
          <w:szCs w:val="22"/>
        </w:rPr>
        <w:t>Social care assistance also experiences the implications of unaddressed childhood adverse experiences. Adults who have childhood experiences of trauma and distress are also unequally represented in the homelessness services, initiatives related to substance misuse and support mechanisms for domestic abuse (</w:t>
      </w:r>
      <w:r w:rsidRPr="007A1C05">
        <w:rPr>
          <w:rFonts w:ascii="Arial" w:hAnsi="Arial" w:cs="Arial"/>
          <w:sz w:val="22"/>
          <w:szCs w:val="22"/>
          <w:highlight w:val="white"/>
        </w:rPr>
        <w:t xml:space="preserve">Hess </w:t>
      </w:r>
      <w:r w:rsidRPr="007A1C05">
        <w:rPr>
          <w:rFonts w:ascii="Arial" w:hAnsi="Arial" w:cs="Arial"/>
          <w:i/>
          <w:iCs/>
          <w:sz w:val="22"/>
          <w:szCs w:val="22"/>
          <w:highlight w:val="white"/>
        </w:rPr>
        <w:t>et al.,</w:t>
      </w:r>
      <w:r w:rsidRPr="007A1C05">
        <w:rPr>
          <w:rFonts w:ascii="Arial" w:hAnsi="Arial" w:cs="Arial"/>
          <w:sz w:val="22"/>
          <w:szCs w:val="22"/>
          <w:highlight w:val="white"/>
        </w:rPr>
        <w:t xml:space="preserve"> 2025</w:t>
      </w:r>
      <w:r w:rsidRPr="007A1C05">
        <w:rPr>
          <w:rFonts w:ascii="Arial" w:hAnsi="Arial" w:cs="Arial"/>
          <w:sz w:val="22"/>
          <w:szCs w:val="22"/>
        </w:rPr>
        <w:t xml:space="preserve">). Due to the intersecting susceptibilities, the care needs become very complicated. Healthcare professionals are generally required to react to the services without any time for proper recovery. In addition to that, the financial and emotional experience is huge. </w:t>
      </w:r>
    </w:p>
    <w:p w14:paraId="7F008A00" w14:textId="77777777" w:rsidR="00922A16" w:rsidRPr="007A1C05" w:rsidRDefault="00000000">
      <w:pPr>
        <w:rPr>
          <w:rFonts w:ascii="Arial" w:hAnsi="Arial" w:cs="Arial"/>
          <w:sz w:val="22"/>
          <w:szCs w:val="22"/>
        </w:rPr>
      </w:pPr>
      <w:r w:rsidRPr="007A1C05">
        <w:rPr>
          <w:rFonts w:ascii="Arial" w:hAnsi="Arial" w:cs="Arial"/>
          <w:sz w:val="22"/>
          <w:szCs w:val="22"/>
        </w:rPr>
        <w:t>Several regulations such as the Care Act 2014 put obligations on the local agencies to promote welfare and avoid any kind of escalation (</w:t>
      </w:r>
      <w:r w:rsidRPr="007A1C05">
        <w:rPr>
          <w:rFonts w:ascii="Arial" w:hAnsi="Arial" w:cs="Arial"/>
          <w:sz w:val="22"/>
          <w:szCs w:val="22"/>
          <w:highlight w:val="white"/>
        </w:rPr>
        <w:t>Starns, 2025</w:t>
      </w:r>
      <w:r w:rsidRPr="007A1C05">
        <w:rPr>
          <w:rFonts w:ascii="Arial" w:hAnsi="Arial" w:cs="Arial"/>
          <w:sz w:val="22"/>
          <w:szCs w:val="22"/>
        </w:rPr>
        <w:t xml:space="preserve">). Fundamentally, this resonates with the trauma-focused efforts. The gap between the intent of policy development and the actual </w:t>
      </w:r>
      <w:proofErr w:type="gramStart"/>
      <w:r w:rsidRPr="007A1C05">
        <w:rPr>
          <w:rFonts w:ascii="Arial" w:hAnsi="Arial" w:cs="Arial"/>
          <w:sz w:val="22"/>
          <w:szCs w:val="22"/>
        </w:rPr>
        <w:t>implications</w:t>
      </w:r>
      <w:proofErr w:type="gramEnd"/>
      <w:r w:rsidRPr="007A1C05">
        <w:rPr>
          <w:rFonts w:ascii="Arial" w:hAnsi="Arial" w:cs="Arial"/>
          <w:sz w:val="22"/>
          <w:szCs w:val="22"/>
        </w:rPr>
        <w:t xml:space="preserve"> in operations is very visible. The waiting lists for psychological therapies, low level of community resources and shortage in the workforce lowers intervention at proper times. Consequently, the majority of adults only gain access to assistance when their signs and symptoms become very severe.  </w:t>
      </w:r>
    </w:p>
    <w:p w14:paraId="52BB13D1" w14:textId="77777777" w:rsidR="00922A16" w:rsidRPr="007A1C05" w:rsidRDefault="00000000">
      <w:pPr>
        <w:rPr>
          <w:rFonts w:ascii="Arial" w:hAnsi="Arial" w:cs="Arial"/>
          <w:sz w:val="22"/>
          <w:szCs w:val="22"/>
        </w:rPr>
      </w:pPr>
      <w:r w:rsidRPr="007A1C05">
        <w:rPr>
          <w:rFonts w:ascii="Arial" w:hAnsi="Arial" w:cs="Arial"/>
          <w:sz w:val="22"/>
          <w:szCs w:val="22"/>
        </w:rPr>
        <w:t xml:space="preserve">It is important to understand how adverse childhood experiences occur in real life. The pressure on the health and social care mechanisms cannot be put apart from the early experiences in life. While the trauma caused from childhood experiences are not attended to, the implications compound and impact in the later life. Such assessment offers data required for improvement of healthcare practices. It also assists the growth of trauma-specific efforts in the health and social care systems across the UK. </w:t>
      </w:r>
    </w:p>
    <w:p w14:paraId="6DF40F77" w14:textId="77777777" w:rsidR="00922A16" w:rsidRPr="007A1C05" w:rsidRDefault="00000000">
      <w:pPr>
        <w:pStyle w:val="Heading1"/>
        <w:rPr>
          <w:rFonts w:ascii="Arial" w:hAnsi="Arial" w:cs="Arial"/>
          <w:sz w:val="22"/>
          <w:szCs w:val="22"/>
        </w:rPr>
      </w:pPr>
      <w:bookmarkStart w:id="7" w:name="_heading=h.q5m088epjov0" w:colFirst="0" w:colLast="0"/>
      <w:bookmarkEnd w:id="7"/>
      <w:r w:rsidRPr="007A1C05">
        <w:rPr>
          <w:rFonts w:ascii="Arial" w:hAnsi="Arial" w:cs="Arial"/>
          <w:sz w:val="22"/>
          <w:szCs w:val="22"/>
        </w:rPr>
        <w:t>Methods</w:t>
      </w:r>
    </w:p>
    <w:p w14:paraId="47024091" w14:textId="77777777" w:rsidR="00922A16" w:rsidRPr="007A1C05" w:rsidRDefault="00000000">
      <w:pPr>
        <w:rPr>
          <w:rFonts w:ascii="Arial" w:hAnsi="Arial" w:cs="Arial"/>
          <w:sz w:val="22"/>
          <w:szCs w:val="22"/>
        </w:rPr>
      </w:pPr>
      <w:r w:rsidRPr="007A1C05">
        <w:rPr>
          <w:rFonts w:ascii="Arial" w:hAnsi="Arial" w:cs="Arial"/>
          <w:sz w:val="22"/>
          <w:szCs w:val="22"/>
        </w:rPr>
        <w:t xml:space="preserve">For this research, the scoping review used the framework by Arksey and O’Malley (Buus </w:t>
      </w:r>
      <w:r w:rsidRPr="007A1C05">
        <w:rPr>
          <w:rFonts w:ascii="Arial" w:hAnsi="Arial" w:cs="Arial"/>
          <w:i/>
          <w:iCs/>
          <w:sz w:val="22"/>
          <w:szCs w:val="22"/>
        </w:rPr>
        <w:t xml:space="preserve">et al., </w:t>
      </w:r>
      <w:r w:rsidRPr="007A1C05">
        <w:rPr>
          <w:rFonts w:ascii="Arial" w:hAnsi="Arial" w:cs="Arial"/>
          <w:sz w:val="22"/>
          <w:szCs w:val="22"/>
        </w:rPr>
        <w:t xml:space="preserve">2022). Using this framework allows the research to have a systematic effort towards mapping present research in a particular area. It is very apt for wider topics that are inclusive of complicated social and health elements. Given the fact that ACE and its </w:t>
      </w:r>
      <w:proofErr w:type="gramStart"/>
      <w:r w:rsidRPr="007A1C05">
        <w:rPr>
          <w:rFonts w:ascii="Arial" w:hAnsi="Arial" w:cs="Arial"/>
          <w:sz w:val="22"/>
          <w:szCs w:val="22"/>
        </w:rPr>
        <w:t>long term</w:t>
      </w:r>
      <w:proofErr w:type="gramEnd"/>
      <w:r w:rsidRPr="007A1C05">
        <w:rPr>
          <w:rFonts w:ascii="Arial" w:hAnsi="Arial" w:cs="Arial"/>
          <w:sz w:val="22"/>
          <w:szCs w:val="22"/>
        </w:rPr>
        <w:t xml:space="preserve"> implications on mental health are highly complicated, the framework proves to be very effective. The following stages are used.</w:t>
      </w:r>
    </w:p>
    <w:p w14:paraId="3C73C9BA" w14:textId="77777777" w:rsidR="00922A16" w:rsidRPr="007A1C05" w:rsidRDefault="00000000">
      <w:pPr>
        <w:rPr>
          <w:rFonts w:ascii="Arial" w:hAnsi="Arial" w:cs="Arial"/>
          <w:b/>
          <w:bCs/>
          <w:sz w:val="22"/>
          <w:szCs w:val="22"/>
        </w:rPr>
      </w:pPr>
      <w:r w:rsidRPr="007A1C05">
        <w:rPr>
          <w:rFonts w:ascii="Arial" w:hAnsi="Arial" w:cs="Arial"/>
          <w:b/>
          <w:bCs/>
          <w:sz w:val="22"/>
          <w:szCs w:val="22"/>
        </w:rPr>
        <w:t xml:space="preserve">Identifying the Research Question </w:t>
      </w:r>
    </w:p>
    <w:p w14:paraId="410EB040" w14:textId="77777777" w:rsidR="00922A16" w:rsidRPr="007A1C05" w:rsidRDefault="00000000">
      <w:pPr>
        <w:rPr>
          <w:rFonts w:ascii="Arial" w:hAnsi="Arial" w:cs="Arial"/>
          <w:sz w:val="22"/>
          <w:szCs w:val="22"/>
        </w:rPr>
      </w:pPr>
      <w:r w:rsidRPr="007A1C05">
        <w:rPr>
          <w:rFonts w:ascii="Arial" w:hAnsi="Arial" w:cs="Arial"/>
          <w:sz w:val="22"/>
          <w:szCs w:val="22"/>
        </w:rPr>
        <w:lastRenderedPageBreak/>
        <w:t xml:space="preserve">The initial phase included the process of producing a very focused and clear question to direct the overall review procedure. The question that was developed was, what are the implications of adverse childhood experiences on adults' mental health and their impact on the need for health and care, social care assistance? The question was developed in order to gather not just psychological implications, but also the patterns of service utilisation. It highlights the long-term nature of being exposed to any kind of adverse experiences in childhood. The objectives strongly resonated with this emphasis as it helps in recognising difficulties related to mental health, assessing connection between childhood trauma and welfare in adulthood, and considering the impact of trauma-focused practices within the health and social care services across the UK. </w:t>
      </w:r>
    </w:p>
    <w:p w14:paraId="6B8C4C42" w14:textId="77777777" w:rsidR="00922A16" w:rsidRPr="007A1C05" w:rsidRDefault="00000000">
      <w:pPr>
        <w:rPr>
          <w:rFonts w:ascii="Arial" w:hAnsi="Arial" w:cs="Arial"/>
          <w:b/>
          <w:bCs/>
          <w:sz w:val="22"/>
          <w:szCs w:val="22"/>
        </w:rPr>
      </w:pPr>
      <w:r w:rsidRPr="007A1C05">
        <w:rPr>
          <w:rFonts w:ascii="Arial" w:hAnsi="Arial" w:cs="Arial"/>
          <w:b/>
          <w:bCs/>
          <w:sz w:val="22"/>
          <w:szCs w:val="22"/>
        </w:rPr>
        <w:t xml:space="preserve">Recognising Relevant Studies </w:t>
      </w:r>
    </w:p>
    <w:p w14:paraId="005664FC" w14:textId="77777777" w:rsidR="00922A16" w:rsidRPr="007A1C05" w:rsidRDefault="00000000">
      <w:pPr>
        <w:rPr>
          <w:rFonts w:ascii="Arial" w:hAnsi="Arial" w:cs="Arial"/>
          <w:sz w:val="22"/>
          <w:szCs w:val="22"/>
        </w:rPr>
      </w:pPr>
      <w:r w:rsidRPr="007A1C05">
        <w:rPr>
          <w:rFonts w:ascii="Arial" w:hAnsi="Arial" w:cs="Arial"/>
          <w:sz w:val="22"/>
          <w:szCs w:val="22"/>
        </w:rPr>
        <w:t>A systematic search strategy was designed in order to locate required studies and secondary resources. The research utilised key electronic databases like Google Scholar, PubMed, Sage Journals, and the UWTSD online database (</w:t>
      </w:r>
      <w:r w:rsidRPr="007A1C05">
        <w:rPr>
          <w:rFonts w:ascii="Arial" w:hAnsi="Arial" w:cs="Arial"/>
          <w:sz w:val="22"/>
          <w:szCs w:val="22"/>
          <w:highlight w:val="white"/>
        </w:rPr>
        <w:t>Chima, Chawinga and Chipeta, 2024</w:t>
      </w:r>
      <w:r w:rsidRPr="007A1C05">
        <w:rPr>
          <w:rFonts w:ascii="Arial" w:hAnsi="Arial" w:cs="Arial"/>
          <w:sz w:val="22"/>
          <w:szCs w:val="22"/>
        </w:rPr>
        <w:t xml:space="preserve">). The keywords that were included in this process included childhood trauma or adverse childhood experiences and adult mental health and health service utilisation or post-traumatic stress disorder. or social care support. The research utilised Boolean operators in order to refine the outcomes and also promote relevance of the studies. Only those articles that are in English language and were published in the last five years were considered. </w:t>
      </w:r>
    </w:p>
    <w:p w14:paraId="0D6CC555" w14:textId="77777777" w:rsidR="00922A16" w:rsidRPr="007A1C05" w:rsidRDefault="00000000">
      <w:pPr>
        <w:rPr>
          <w:rFonts w:ascii="Arial" w:hAnsi="Arial" w:cs="Arial"/>
          <w:b/>
          <w:bCs/>
          <w:sz w:val="22"/>
          <w:szCs w:val="22"/>
        </w:rPr>
      </w:pPr>
      <w:r w:rsidRPr="007A1C05">
        <w:rPr>
          <w:rFonts w:ascii="Arial" w:hAnsi="Arial" w:cs="Arial"/>
          <w:b/>
          <w:bCs/>
          <w:sz w:val="22"/>
          <w:szCs w:val="22"/>
        </w:rPr>
        <w:t xml:space="preserve">Selecting Studies </w:t>
      </w:r>
    </w:p>
    <w:p w14:paraId="20DB00AF" w14:textId="77777777" w:rsidR="00922A16" w:rsidRPr="007A1C05" w:rsidRDefault="00000000">
      <w:pPr>
        <w:rPr>
          <w:rFonts w:ascii="Arial" w:hAnsi="Arial" w:cs="Arial"/>
          <w:sz w:val="22"/>
          <w:szCs w:val="22"/>
        </w:rPr>
      </w:pPr>
      <w:r w:rsidRPr="007A1C05">
        <w:rPr>
          <w:rFonts w:ascii="Arial" w:hAnsi="Arial" w:cs="Arial"/>
          <w:sz w:val="22"/>
          <w:szCs w:val="22"/>
        </w:rPr>
        <w:t>The process of selecting the studies was influenced by the inclusion and exclusion criteria (</w:t>
      </w:r>
      <w:r w:rsidRPr="007A1C05">
        <w:rPr>
          <w:rFonts w:ascii="Arial" w:hAnsi="Arial" w:cs="Arial"/>
          <w:sz w:val="22"/>
          <w:szCs w:val="22"/>
          <w:highlight w:val="white"/>
        </w:rPr>
        <w:t xml:space="preserve">Peters </w:t>
      </w:r>
      <w:r w:rsidRPr="007A1C05">
        <w:rPr>
          <w:rFonts w:ascii="Arial" w:hAnsi="Arial" w:cs="Arial"/>
          <w:i/>
          <w:iCs/>
          <w:sz w:val="22"/>
          <w:szCs w:val="22"/>
          <w:highlight w:val="white"/>
        </w:rPr>
        <w:t>et al.,</w:t>
      </w:r>
      <w:r w:rsidRPr="007A1C05">
        <w:rPr>
          <w:rFonts w:ascii="Arial" w:hAnsi="Arial" w:cs="Arial"/>
          <w:sz w:val="22"/>
          <w:szCs w:val="22"/>
          <w:highlight w:val="white"/>
        </w:rPr>
        <w:t xml:space="preserve"> 2022</w:t>
      </w:r>
      <w:r w:rsidRPr="007A1C05">
        <w:rPr>
          <w:rFonts w:ascii="Arial" w:hAnsi="Arial" w:cs="Arial"/>
          <w:sz w:val="22"/>
          <w:szCs w:val="22"/>
        </w:rPr>
        <w:t xml:space="preserve">). Studies that were included in the research were focused in understanding the connection between ACE and adult mental health implications. They are also required to consist of information about health and social care services utilisation wherever required. The research emphasised on using peer-reviewed sources, including journals and articles. Studies emphasising primarily on adults and children without the experience of adulthood were avoided. Additionally, any kind of non-peer publications, policy documents, and editorials were also excluded. The abstracts and titles of the sources were properly screened. After the screening was carried out, full-text articles were evaluated to ensure that they properly satisfy the research question and objectives. </w:t>
      </w:r>
    </w:p>
    <w:p w14:paraId="0CB60144" w14:textId="77777777" w:rsidR="00922A16" w:rsidRPr="007A1C05" w:rsidRDefault="00000000">
      <w:pPr>
        <w:rPr>
          <w:rFonts w:ascii="Arial" w:hAnsi="Arial" w:cs="Arial"/>
          <w:b/>
          <w:bCs/>
          <w:sz w:val="22"/>
          <w:szCs w:val="22"/>
        </w:rPr>
      </w:pPr>
      <w:r w:rsidRPr="007A1C05">
        <w:rPr>
          <w:rFonts w:ascii="Arial" w:hAnsi="Arial" w:cs="Arial"/>
          <w:b/>
          <w:bCs/>
          <w:sz w:val="22"/>
          <w:szCs w:val="22"/>
        </w:rPr>
        <w:t>Charting the Data</w:t>
      </w:r>
    </w:p>
    <w:p w14:paraId="3D5B4287" w14:textId="77777777" w:rsidR="00922A16" w:rsidRPr="007A1C05" w:rsidRDefault="00000000">
      <w:pPr>
        <w:rPr>
          <w:rFonts w:ascii="Arial" w:hAnsi="Arial" w:cs="Arial"/>
          <w:sz w:val="22"/>
          <w:szCs w:val="22"/>
        </w:rPr>
      </w:pPr>
      <w:r w:rsidRPr="007A1C05">
        <w:rPr>
          <w:rFonts w:ascii="Arial" w:hAnsi="Arial" w:cs="Arial"/>
          <w:sz w:val="22"/>
          <w:szCs w:val="22"/>
        </w:rPr>
        <w:lastRenderedPageBreak/>
        <w:t>After identifying the selected sources, data from every source was systematically extracted and managed into a table. The table was inclusive of theme, year of publication, author and name of the publication. The process helped in proper comparison across different studies (</w:t>
      </w:r>
      <w:proofErr w:type="spellStart"/>
      <w:r w:rsidRPr="007A1C05">
        <w:rPr>
          <w:rFonts w:ascii="Arial" w:hAnsi="Arial" w:cs="Arial"/>
          <w:sz w:val="22"/>
          <w:szCs w:val="22"/>
          <w:highlight w:val="white"/>
        </w:rPr>
        <w:t>Cernasev</w:t>
      </w:r>
      <w:proofErr w:type="spellEnd"/>
      <w:r w:rsidRPr="007A1C05">
        <w:rPr>
          <w:rFonts w:ascii="Arial" w:hAnsi="Arial" w:cs="Arial"/>
          <w:sz w:val="22"/>
          <w:szCs w:val="22"/>
          <w:highlight w:val="white"/>
        </w:rPr>
        <w:t xml:space="preserve"> and Axon, 2023</w:t>
      </w:r>
      <w:r w:rsidRPr="007A1C05">
        <w:rPr>
          <w:rFonts w:ascii="Arial" w:hAnsi="Arial" w:cs="Arial"/>
          <w:sz w:val="22"/>
          <w:szCs w:val="22"/>
        </w:rPr>
        <w:t xml:space="preserve">). In this process, consistency was kept at high. The information that was gathered from the different resources emphasised on mental health implications, titles of using health and social care in adulthood. Data charting promoted transparency in the way evidence was gathered and managed. It also fostered theoretic thematic development. </w:t>
      </w:r>
    </w:p>
    <w:p w14:paraId="70B7918D" w14:textId="77777777" w:rsidR="008055CC" w:rsidRDefault="00000000" w:rsidP="008055CC">
      <w:pPr>
        <w:rPr>
          <w:rFonts w:ascii="Arial" w:hAnsi="Arial" w:cs="Arial"/>
          <w:b/>
          <w:bCs/>
          <w:sz w:val="22"/>
          <w:szCs w:val="22"/>
        </w:rPr>
      </w:pPr>
      <w:r w:rsidRPr="007A1C05">
        <w:rPr>
          <w:rFonts w:ascii="Arial" w:hAnsi="Arial" w:cs="Arial"/>
          <w:b/>
          <w:bCs/>
          <w:sz w:val="22"/>
          <w:szCs w:val="22"/>
        </w:rPr>
        <w:t>Collating, Summarising and Reporting Result</w:t>
      </w:r>
    </w:p>
    <w:p w14:paraId="4912940B" w14:textId="637DEB45" w:rsidR="00241B21" w:rsidRPr="008055CC" w:rsidRDefault="00000000" w:rsidP="008055CC">
      <w:pPr>
        <w:rPr>
          <w:rFonts w:ascii="Arial" w:hAnsi="Arial" w:cs="Arial"/>
          <w:b/>
          <w:bCs/>
          <w:sz w:val="22"/>
          <w:szCs w:val="22"/>
        </w:rPr>
      </w:pPr>
      <w:r w:rsidRPr="007A1C05">
        <w:rPr>
          <w:rFonts w:ascii="Arial" w:hAnsi="Arial" w:cs="Arial"/>
          <w:sz w:val="22"/>
          <w:szCs w:val="22"/>
        </w:rPr>
        <w:t xml:space="preserve">summarising the findings across the studies that were selected. Using an inductive thematic approach, the research properly identified recurring patterns from the sources. Themes were developed leveraging the recurring patterns and key themes were identified including difficulties in adult mental health, ACE exposure, and use utilisation of services. This effort fostered findings to be meaningfully collected instead of being presented in isolation. The aim in this process was not to compare the methodologies of the sources, but to recognise similar conclusions and differences from the selected secondary sources. The themes were presented in the results section and then critically examined in the discussion part. </w:t>
      </w:r>
    </w:p>
    <w:sdt>
      <w:sdtPr>
        <w:tag w:val="goog_rdk_2"/>
        <w:id w:val="1068537462"/>
        <w:lock w:val="contentLocked"/>
      </w:sdtPr>
      <w:sdtContent>
        <w:tbl>
          <w:tblPr>
            <w:tblW w:w="15345" w:type="dxa"/>
            <w:tblInd w:w="-11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1785"/>
            <w:gridCol w:w="1620"/>
            <w:gridCol w:w="1830"/>
            <w:gridCol w:w="1515"/>
            <w:gridCol w:w="6540"/>
          </w:tblGrid>
          <w:tr w:rsidR="00241B21" w14:paraId="7D89324B" w14:textId="77777777" w:rsidTr="00B349DD">
            <w:tc>
              <w:tcPr>
                <w:tcW w:w="2055" w:type="dxa"/>
                <w:tcMar>
                  <w:top w:w="100" w:type="dxa"/>
                  <w:left w:w="100" w:type="dxa"/>
                  <w:bottom w:w="100" w:type="dxa"/>
                  <w:right w:w="100" w:type="dxa"/>
                </w:tcMar>
              </w:tcPr>
              <w:p w14:paraId="68C64E19" w14:textId="77777777" w:rsidR="00241B21" w:rsidRDefault="00241B21" w:rsidP="00B349DD">
                <w:pPr>
                  <w:widowControl w:val="0"/>
                  <w:jc w:val="center"/>
                  <w:rPr>
                    <w:b/>
                    <w:bCs/>
                    <w:i/>
                    <w:iCs/>
                    <w:highlight w:val="white"/>
                  </w:rPr>
                </w:pPr>
                <w:r>
                  <w:rPr>
                    <w:b/>
                    <w:bCs/>
                    <w:i/>
                    <w:iCs/>
                    <w:highlight w:val="white"/>
                  </w:rPr>
                  <w:t>Authors</w:t>
                </w:r>
              </w:p>
            </w:tc>
            <w:tc>
              <w:tcPr>
                <w:tcW w:w="1785" w:type="dxa"/>
                <w:tcMar>
                  <w:top w:w="100" w:type="dxa"/>
                  <w:left w:w="100" w:type="dxa"/>
                  <w:bottom w:w="100" w:type="dxa"/>
                  <w:right w:w="100" w:type="dxa"/>
                </w:tcMar>
              </w:tcPr>
              <w:p w14:paraId="1AAF08B3" w14:textId="77777777" w:rsidR="00241B21" w:rsidRDefault="00241B21" w:rsidP="00B349DD">
                <w:pPr>
                  <w:widowControl w:val="0"/>
                  <w:jc w:val="center"/>
                  <w:rPr>
                    <w:b/>
                    <w:bCs/>
                    <w:i/>
                    <w:iCs/>
                    <w:highlight w:val="white"/>
                  </w:rPr>
                </w:pPr>
                <w:r>
                  <w:rPr>
                    <w:b/>
                    <w:bCs/>
                    <w:i/>
                    <w:iCs/>
                    <w:highlight w:val="white"/>
                  </w:rPr>
                  <w:t>Type of Study</w:t>
                </w:r>
              </w:p>
            </w:tc>
            <w:tc>
              <w:tcPr>
                <w:tcW w:w="1620" w:type="dxa"/>
                <w:tcMar>
                  <w:top w:w="100" w:type="dxa"/>
                  <w:left w:w="100" w:type="dxa"/>
                  <w:bottom w:w="100" w:type="dxa"/>
                  <w:right w:w="100" w:type="dxa"/>
                </w:tcMar>
              </w:tcPr>
              <w:p w14:paraId="47ED78EB" w14:textId="77777777" w:rsidR="00241B21" w:rsidRDefault="00241B21" w:rsidP="00B349DD">
                <w:pPr>
                  <w:widowControl w:val="0"/>
                  <w:jc w:val="center"/>
                  <w:rPr>
                    <w:b/>
                    <w:bCs/>
                    <w:i/>
                    <w:iCs/>
                    <w:highlight w:val="white"/>
                  </w:rPr>
                </w:pPr>
                <w:r>
                  <w:rPr>
                    <w:b/>
                    <w:bCs/>
                    <w:i/>
                    <w:iCs/>
                    <w:highlight w:val="white"/>
                  </w:rPr>
                  <w:t>Research Method</w:t>
                </w:r>
              </w:p>
            </w:tc>
            <w:tc>
              <w:tcPr>
                <w:tcW w:w="1830" w:type="dxa"/>
                <w:tcMar>
                  <w:top w:w="100" w:type="dxa"/>
                  <w:left w:w="100" w:type="dxa"/>
                  <w:bottom w:w="100" w:type="dxa"/>
                  <w:right w:w="100" w:type="dxa"/>
                </w:tcMar>
              </w:tcPr>
              <w:p w14:paraId="7C44AA8E" w14:textId="77777777" w:rsidR="00241B21" w:rsidRDefault="00241B21" w:rsidP="00B349DD">
                <w:pPr>
                  <w:widowControl w:val="0"/>
                  <w:jc w:val="center"/>
                  <w:rPr>
                    <w:b/>
                    <w:bCs/>
                    <w:i/>
                    <w:iCs/>
                    <w:highlight w:val="white"/>
                  </w:rPr>
                </w:pPr>
                <w:r>
                  <w:rPr>
                    <w:b/>
                    <w:bCs/>
                    <w:i/>
                    <w:iCs/>
                    <w:highlight w:val="white"/>
                  </w:rPr>
                  <w:t xml:space="preserve">Type of Analysis </w:t>
                </w:r>
              </w:p>
            </w:tc>
            <w:tc>
              <w:tcPr>
                <w:tcW w:w="1515" w:type="dxa"/>
                <w:tcMar>
                  <w:top w:w="100" w:type="dxa"/>
                  <w:left w:w="100" w:type="dxa"/>
                  <w:bottom w:w="100" w:type="dxa"/>
                  <w:right w:w="100" w:type="dxa"/>
                </w:tcMar>
              </w:tcPr>
              <w:p w14:paraId="71500BF5" w14:textId="77777777" w:rsidR="00241B21" w:rsidRDefault="00241B21" w:rsidP="00B349DD">
                <w:pPr>
                  <w:widowControl w:val="0"/>
                  <w:jc w:val="center"/>
                  <w:rPr>
                    <w:b/>
                    <w:bCs/>
                    <w:i/>
                    <w:iCs/>
                    <w:highlight w:val="white"/>
                  </w:rPr>
                </w:pPr>
                <w:r>
                  <w:rPr>
                    <w:b/>
                    <w:bCs/>
                    <w:i/>
                    <w:iCs/>
                    <w:highlight w:val="white"/>
                  </w:rPr>
                  <w:t>Sample Size</w:t>
                </w:r>
              </w:p>
            </w:tc>
            <w:tc>
              <w:tcPr>
                <w:tcW w:w="6540" w:type="dxa"/>
                <w:tcMar>
                  <w:top w:w="100" w:type="dxa"/>
                  <w:left w:w="100" w:type="dxa"/>
                  <w:bottom w:w="100" w:type="dxa"/>
                  <w:right w:w="100" w:type="dxa"/>
                </w:tcMar>
              </w:tcPr>
              <w:p w14:paraId="26E7B84E" w14:textId="77777777" w:rsidR="00241B21" w:rsidRDefault="00241B21" w:rsidP="00B349DD">
                <w:pPr>
                  <w:widowControl w:val="0"/>
                  <w:jc w:val="center"/>
                  <w:rPr>
                    <w:b/>
                    <w:bCs/>
                    <w:i/>
                    <w:iCs/>
                    <w:highlight w:val="white"/>
                  </w:rPr>
                </w:pPr>
                <w:r>
                  <w:rPr>
                    <w:b/>
                    <w:bCs/>
                    <w:i/>
                    <w:iCs/>
                    <w:highlight w:val="white"/>
                  </w:rPr>
                  <w:t xml:space="preserve">Main </w:t>
                </w:r>
              </w:p>
              <w:p w14:paraId="22965D62" w14:textId="77777777" w:rsidR="00241B21" w:rsidRDefault="00241B21" w:rsidP="00B349DD">
                <w:pPr>
                  <w:widowControl w:val="0"/>
                  <w:jc w:val="center"/>
                  <w:rPr>
                    <w:b/>
                    <w:bCs/>
                    <w:i/>
                    <w:iCs/>
                    <w:highlight w:val="white"/>
                  </w:rPr>
                </w:pPr>
                <w:r>
                  <w:rPr>
                    <w:b/>
                    <w:bCs/>
                    <w:i/>
                    <w:iCs/>
                    <w:highlight w:val="white"/>
                  </w:rPr>
                  <w:t>Findings</w:t>
                </w:r>
              </w:p>
            </w:tc>
          </w:tr>
          <w:tr w:rsidR="00241B21" w14:paraId="57464A92" w14:textId="77777777" w:rsidTr="00B349DD">
            <w:tc>
              <w:tcPr>
                <w:tcW w:w="2055" w:type="dxa"/>
                <w:tcMar>
                  <w:top w:w="100" w:type="dxa"/>
                  <w:left w:w="100" w:type="dxa"/>
                  <w:bottom w:w="100" w:type="dxa"/>
                  <w:right w:w="100" w:type="dxa"/>
                </w:tcMar>
              </w:tcPr>
              <w:p w14:paraId="135B6235" w14:textId="77777777" w:rsidR="00241B21" w:rsidRDefault="00241B21" w:rsidP="00B349DD">
                <w:pPr>
                  <w:rPr>
                    <w:highlight w:val="white"/>
                  </w:rPr>
                </w:pPr>
                <w:r>
                  <w:rPr>
                    <w:highlight w:val="white"/>
                  </w:rPr>
                  <w:t>Karatekin, (2024)</w:t>
                </w:r>
              </w:p>
            </w:tc>
            <w:tc>
              <w:tcPr>
                <w:tcW w:w="1785" w:type="dxa"/>
                <w:tcMar>
                  <w:top w:w="100" w:type="dxa"/>
                  <w:left w:w="100" w:type="dxa"/>
                  <w:bottom w:w="100" w:type="dxa"/>
                  <w:right w:w="100" w:type="dxa"/>
                </w:tcMar>
              </w:tcPr>
              <w:p w14:paraId="33D34194" w14:textId="77777777" w:rsidR="00241B21" w:rsidRDefault="00241B21" w:rsidP="00B349DD">
                <w:pPr>
                  <w:widowControl w:val="0"/>
                  <w:rPr>
                    <w:highlight w:val="white"/>
                  </w:rPr>
                </w:pPr>
                <w:r>
                  <w:rPr>
                    <w:highlight w:val="white"/>
                  </w:rPr>
                  <w:t xml:space="preserve">Quantitative cross-sectional </w:t>
                </w:r>
              </w:p>
            </w:tc>
            <w:tc>
              <w:tcPr>
                <w:tcW w:w="1620" w:type="dxa"/>
                <w:tcMar>
                  <w:top w:w="100" w:type="dxa"/>
                  <w:left w:w="100" w:type="dxa"/>
                  <w:bottom w:w="100" w:type="dxa"/>
                  <w:right w:w="100" w:type="dxa"/>
                </w:tcMar>
              </w:tcPr>
              <w:p w14:paraId="4A8798B1" w14:textId="77777777" w:rsidR="00241B21" w:rsidRDefault="00241B21" w:rsidP="00B349DD">
                <w:pPr>
                  <w:widowControl w:val="0"/>
                  <w:rPr>
                    <w:highlight w:val="white"/>
                  </w:rPr>
                </w:pPr>
                <w:r>
                  <w:rPr>
                    <w:highlight w:val="white"/>
                  </w:rPr>
                  <w:t>Online survey  with undergraduate university students</w:t>
                </w:r>
              </w:p>
            </w:tc>
            <w:tc>
              <w:tcPr>
                <w:tcW w:w="1830" w:type="dxa"/>
                <w:tcMar>
                  <w:top w:w="100" w:type="dxa"/>
                  <w:left w:w="100" w:type="dxa"/>
                  <w:bottom w:w="100" w:type="dxa"/>
                  <w:right w:w="100" w:type="dxa"/>
                </w:tcMar>
              </w:tcPr>
              <w:p w14:paraId="4EF9948B" w14:textId="77777777" w:rsidR="00241B21" w:rsidRDefault="00241B21" w:rsidP="00B349DD">
                <w:pPr>
                  <w:widowControl w:val="0"/>
                  <w:rPr>
                    <w:highlight w:val="white"/>
                  </w:rPr>
                </w:pPr>
                <w:r>
                  <w:rPr>
                    <w:highlight w:val="white"/>
                  </w:rPr>
                  <w:t xml:space="preserve">Statistical Analysis </w:t>
                </w:r>
              </w:p>
            </w:tc>
            <w:tc>
              <w:tcPr>
                <w:tcW w:w="1515" w:type="dxa"/>
                <w:tcMar>
                  <w:top w:w="100" w:type="dxa"/>
                  <w:left w:w="100" w:type="dxa"/>
                  <w:bottom w:w="100" w:type="dxa"/>
                  <w:right w:w="100" w:type="dxa"/>
                </w:tcMar>
              </w:tcPr>
              <w:p w14:paraId="57C474F5" w14:textId="77777777" w:rsidR="00241B21" w:rsidRDefault="00241B21" w:rsidP="00B349DD">
                <w:pPr>
                  <w:widowControl w:val="0"/>
                  <w:rPr>
                    <w:highlight w:val="white"/>
                  </w:rPr>
                </w:pPr>
                <w:r>
                  <w:rPr>
                    <w:highlight w:val="white"/>
                  </w:rPr>
                  <w:t>321</w:t>
                </w:r>
              </w:p>
            </w:tc>
            <w:tc>
              <w:tcPr>
                <w:tcW w:w="6540" w:type="dxa"/>
                <w:tcMar>
                  <w:top w:w="100" w:type="dxa"/>
                  <w:left w:w="100" w:type="dxa"/>
                  <w:bottom w:w="100" w:type="dxa"/>
                  <w:right w:w="100" w:type="dxa"/>
                </w:tcMar>
              </w:tcPr>
              <w:p w14:paraId="26C7BA64" w14:textId="77777777" w:rsidR="00241B21" w:rsidRDefault="00241B21" w:rsidP="00B349DD">
                <w:pPr>
                  <w:widowControl w:val="0"/>
                  <w:rPr>
                    <w:highlight w:val="white"/>
                  </w:rPr>
                </w:pPr>
                <w:r>
                  <w:rPr>
                    <w:highlight w:val="white"/>
                  </w:rPr>
                  <w:t xml:space="preserve">Students that had higher ACE scores tend to show more possibility of seeking both personal and professional assistance for their health considerations. However, they also showed low likelihood of finding interventions of any assistance and more likely to stop continuing with the treatment in the early phases. Stress, Anxiety, and Depression were the key reasons why they sought help. Depression was highly common with those who had high exposure to ACE. </w:t>
                </w:r>
              </w:p>
            </w:tc>
          </w:tr>
          <w:tr w:rsidR="00241B21" w14:paraId="642C2D4E" w14:textId="77777777" w:rsidTr="00B349DD">
            <w:tc>
              <w:tcPr>
                <w:tcW w:w="2055" w:type="dxa"/>
                <w:tcMar>
                  <w:top w:w="100" w:type="dxa"/>
                  <w:left w:w="100" w:type="dxa"/>
                  <w:bottom w:w="100" w:type="dxa"/>
                  <w:right w:w="100" w:type="dxa"/>
                </w:tcMar>
              </w:tcPr>
              <w:p w14:paraId="3EA79E61" w14:textId="77777777" w:rsidR="00241B21" w:rsidRDefault="00241B21" w:rsidP="00B349DD">
                <w:pPr>
                  <w:rPr>
                    <w:highlight w:val="white"/>
                  </w:rPr>
                </w:pPr>
                <w:r>
                  <w:rPr>
                    <w:highlight w:val="white"/>
                  </w:rPr>
                  <w:lastRenderedPageBreak/>
                  <w:t xml:space="preserve">Sahle </w:t>
                </w:r>
                <w:r>
                  <w:rPr>
                    <w:i/>
                    <w:iCs/>
                    <w:highlight w:val="white"/>
                  </w:rPr>
                  <w:t>et al.</w:t>
                </w:r>
                <w:r>
                  <w:rPr>
                    <w:highlight w:val="white"/>
                  </w:rPr>
                  <w:t xml:space="preserve"> (2022)</w:t>
                </w:r>
              </w:p>
            </w:tc>
            <w:tc>
              <w:tcPr>
                <w:tcW w:w="1785" w:type="dxa"/>
                <w:tcMar>
                  <w:top w:w="100" w:type="dxa"/>
                  <w:left w:w="100" w:type="dxa"/>
                  <w:bottom w:w="100" w:type="dxa"/>
                  <w:right w:w="100" w:type="dxa"/>
                </w:tcMar>
              </w:tcPr>
              <w:p w14:paraId="3F73B2D3" w14:textId="77777777" w:rsidR="00241B21" w:rsidRDefault="00241B21" w:rsidP="00B349DD">
                <w:pPr>
                  <w:widowControl w:val="0"/>
                  <w:rPr>
                    <w:highlight w:val="white"/>
                  </w:rPr>
                </w:pPr>
                <w:r>
                  <w:rPr>
                    <w:highlight w:val="white"/>
                  </w:rPr>
                  <w:t>Umbrella review of meta analyses and systematic reviews</w:t>
                </w:r>
              </w:p>
            </w:tc>
            <w:tc>
              <w:tcPr>
                <w:tcW w:w="1620" w:type="dxa"/>
                <w:tcMar>
                  <w:top w:w="100" w:type="dxa"/>
                  <w:left w:w="100" w:type="dxa"/>
                  <w:bottom w:w="100" w:type="dxa"/>
                  <w:right w:w="100" w:type="dxa"/>
                </w:tcMar>
              </w:tcPr>
              <w:p w14:paraId="54A01C59" w14:textId="77777777" w:rsidR="00241B21" w:rsidRDefault="00241B21" w:rsidP="00B349DD">
                <w:pPr>
                  <w:widowControl w:val="0"/>
                  <w:rPr>
                    <w:highlight w:val="white"/>
                  </w:rPr>
                </w:pPr>
                <w:r>
                  <w:rPr>
                    <w:highlight w:val="white"/>
                  </w:rPr>
                  <w:t xml:space="preserve">Secondary analysis </w:t>
                </w:r>
              </w:p>
            </w:tc>
            <w:tc>
              <w:tcPr>
                <w:tcW w:w="1830" w:type="dxa"/>
                <w:tcMar>
                  <w:top w:w="100" w:type="dxa"/>
                  <w:left w:w="100" w:type="dxa"/>
                  <w:bottom w:w="100" w:type="dxa"/>
                  <w:right w:w="100" w:type="dxa"/>
                </w:tcMar>
              </w:tcPr>
              <w:p w14:paraId="1D6C580D" w14:textId="77777777" w:rsidR="00241B21" w:rsidRDefault="00241B21" w:rsidP="00B349DD">
                <w:pPr>
                  <w:widowControl w:val="0"/>
                  <w:rPr>
                    <w:highlight w:val="white"/>
                  </w:rPr>
                </w:pPr>
                <w:r>
                  <w:rPr>
                    <w:highlight w:val="white"/>
                  </w:rPr>
                  <w:t>Meta-analysis and meta-regression</w:t>
                </w:r>
              </w:p>
            </w:tc>
            <w:tc>
              <w:tcPr>
                <w:tcW w:w="1515" w:type="dxa"/>
                <w:tcMar>
                  <w:top w:w="100" w:type="dxa"/>
                  <w:left w:w="100" w:type="dxa"/>
                  <w:bottom w:w="100" w:type="dxa"/>
                  <w:right w:w="100" w:type="dxa"/>
                </w:tcMar>
              </w:tcPr>
              <w:p w14:paraId="607ABCC4" w14:textId="77777777" w:rsidR="00241B21" w:rsidRDefault="00241B21" w:rsidP="00B349DD">
                <w:pPr>
                  <w:widowControl w:val="0"/>
                  <w:rPr>
                    <w:highlight w:val="white"/>
                  </w:rPr>
                </w:pPr>
                <w:r>
                  <w:rPr>
                    <w:highlight w:val="white"/>
                  </w:rPr>
                  <w:t>68 systematic reviews</w:t>
                </w:r>
              </w:p>
            </w:tc>
            <w:tc>
              <w:tcPr>
                <w:tcW w:w="6540" w:type="dxa"/>
                <w:tcMar>
                  <w:top w:w="100" w:type="dxa"/>
                  <w:left w:w="100" w:type="dxa"/>
                  <w:bottom w:w="100" w:type="dxa"/>
                  <w:right w:w="100" w:type="dxa"/>
                </w:tcMar>
              </w:tcPr>
              <w:p w14:paraId="5FA8A76F" w14:textId="77777777" w:rsidR="00241B21" w:rsidRDefault="00241B21" w:rsidP="00B349DD">
                <w:pPr>
                  <w:widowControl w:val="0"/>
                  <w:rPr>
                    <w:highlight w:val="white"/>
                  </w:rPr>
                </w:pPr>
                <w:r>
                  <w:rPr>
                    <w:highlight w:val="white"/>
                  </w:rPr>
                  <w:t xml:space="preserve">The review has recognised robust and consistent link between ACEs and common mental considerations. People with high ACE exposure were twice as likely to get anxiety (OR 1.94), depression (OR 2.01), suicidality (OR 2.33) and internalising ailments (OR 1.76). There was not much variance based on gender or age, indicating consistent mental health threats associated with ACEs. </w:t>
                </w:r>
              </w:p>
            </w:tc>
          </w:tr>
          <w:tr w:rsidR="00241B21" w14:paraId="12435DF5" w14:textId="77777777" w:rsidTr="00B349DD">
            <w:tc>
              <w:tcPr>
                <w:tcW w:w="2055" w:type="dxa"/>
                <w:tcMar>
                  <w:top w:w="100" w:type="dxa"/>
                  <w:left w:w="100" w:type="dxa"/>
                  <w:bottom w:w="100" w:type="dxa"/>
                  <w:right w:w="100" w:type="dxa"/>
                </w:tcMar>
              </w:tcPr>
              <w:p w14:paraId="0DD2FD54" w14:textId="77777777" w:rsidR="00241B21" w:rsidRDefault="00241B21" w:rsidP="00B349DD">
                <w:pPr>
                  <w:rPr>
                    <w:highlight w:val="white"/>
                  </w:rPr>
                </w:pPr>
                <w:r>
                  <w:rPr>
                    <w:highlight w:val="white"/>
                  </w:rPr>
                  <w:t xml:space="preserve">Wilson-Genderson </w:t>
                </w:r>
                <w:r>
                  <w:rPr>
                    <w:i/>
                    <w:iCs/>
                    <w:highlight w:val="white"/>
                  </w:rPr>
                  <w:t>et al.</w:t>
                </w:r>
                <w:r>
                  <w:rPr>
                    <w:highlight w:val="white"/>
                  </w:rPr>
                  <w:t xml:space="preserve"> (2022)</w:t>
                </w:r>
              </w:p>
            </w:tc>
            <w:tc>
              <w:tcPr>
                <w:tcW w:w="1785" w:type="dxa"/>
                <w:tcMar>
                  <w:top w:w="100" w:type="dxa"/>
                  <w:left w:w="100" w:type="dxa"/>
                  <w:bottom w:w="100" w:type="dxa"/>
                  <w:right w:w="100" w:type="dxa"/>
                </w:tcMar>
              </w:tcPr>
              <w:p w14:paraId="724D39E2" w14:textId="77777777" w:rsidR="00241B21" w:rsidRDefault="00241B21" w:rsidP="00B349DD">
                <w:pPr>
                  <w:widowControl w:val="0"/>
                  <w:rPr>
                    <w:highlight w:val="white"/>
                  </w:rPr>
                </w:pPr>
                <w:r>
                  <w:rPr>
                    <w:highlight w:val="white"/>
                  </w:rPr>
                  <w:t>Longitudinal cohort study</w:t>
                </w:r>
              </w:p>
            </w:tc>
            <w:tc>
              <w:tcPr>
                <w:tcW w:w="1620" w:type="dxa"/>
                <w:tcMar>
                  <w:top w:w="100" w:type="dxa"/>
                  <w:left w:w="100" w:type="dxa"/>
                  <w:bottom w:w="100" w:type="dxa"/>
                  <w:right w:w="100" w:type="dxa"/>
                </w:tcMar>
              </w:tcPr>
              <w:p w14:paraId="17B2800D" w14:textId="77777777" w:rsidR="00241B21" w:rsidRDefault="00241B21" w:rsidP="00B349DD">
                <w:pPr>
                  <w:widowControl w:val="0"/>
                  <w:rPr>
                    <w:highlight w:val="white"/>
                  </w:rPr>
                </w:pPr>
                <w:r>
                  <w:rPr>
                    <w:highlight w:val="white"/>
                  </w:rPr>
                  <w:t xml:space="preserve">Secondary analysis </w:t>
                </w:r>
              </w:p>
            </w:tc>
            <w:tc>
              <w:tcPr>
                <w:tcW w:w="1830" w:type="dxa"/>
                <w:tcMar>
                  <w:top w:w="100" w:type="dxa"/>
                  <w:left w:w="100" w:type="dxa"/>
                  <w:bottom w:w="100" w:type="dxa"/>
                  <w:right w:w="100" w:type="dxa"/>
                </w:tcMar>
              </w:tcPr>
              <w:p w14:paraId="35E72A65" w14:textId="77777777" w:rsidR="00241B21" w:rsidRDefault="00241B21" w:rsidP="00B349DD">
                <w:pPr>
                  <w:widowControl w:val="0"/>
                  <w:rPr>
                    <w:highlight w:val="white"/>
                  </w:rPr>
                </w:pPr>
                <w:r>
                  <w:rPr>
                    <w:highlight w:val="white"/>
                  </w:rPr>
                  <w:t>Mixed-effective statistical modelling</w:t>
                </w:r>
              </w:p>
            </w:tc>
            <w:tc>
              <w:tcPr>
                <w:tcW w:w="1515" w:type="dxa"/>
                <w:tcMar>
                  <w:top w:w="100" w:type="dxa"/>
                  <w:left w:w="100" w:type="dxa"/>
                  <w:bottom w:w="100" w:type="dxa"/>
                  <w:right w:w="100" w:type="dxa"/>
                </w:tcMar>
              </w:tcPr>
              <w:p w14:paraId="00523CF6" w14:textId="77777777" w:rsidR="00241B21" w:rsidRDefault="00241B21" w:rsidP="00B349DD">
                <w:pPr>
                  <w:widowControl w:val="0"/>
                  <w:rPr>
                    <w:highlight w:val="white"/>
                  </w:rPr>
                </w:pPr>
                <w:r>
                  <w:rPr>
                    <w:highlight w:val="white"/>
                  </w:rPr>
                  <w:t>5,688 individuals between the afe of 50 to 74 years</w:t>
                </w:r>
              </w:p>
            </w:tc>
            <w:tc>
              <w:tcPr>
                <w:tcW w:w="6540" w:type="dxa"/>
                <w:tcMar>
                  <w:top w:w="100" w:type="dxa"/>
                  <w:left w:w="100" w:type="dxa"/>
                  <w:bottom w:w="100" w:type="dxa"/>
                  <w:right w:w="100" w:type="dxa"/>
                </w:tcMar>
              </w:tcPr>
              <w:p w14:paraId="6DF95BCB" w14:textId="77777777" w:rsidR="00241B21" w:rsidRDefault="00241B21" w:rsidP="00B349DD">
                <w:pPr>
                  <w:widowControl w:val="0"/>
                  <w:rPr>
                    <w:highlight w:val="white"/>
                  </w:rPr>
                </w:pPr>
                <w:r>
                  <w:rPr>
                    <w:highlight w:val="white"/>
                  </w:rPr>
                  <w:t xml:space="preserve">People who were exposed to SCEs tend to show more trajectories of signs and symptoms of depression in their later life and compared to those with no ACEs. Respondents who had more than 2 ACEs also showed more probability of experiencing distress and fear during Hurricane Sandy, indicating how ACE increased vulnerability to trauma and stress in later life. </w:t>
                </w:r>
              </w:p>
            </w:tc>
          </w:tr>
          <w:tr w:rsidR="00241B21" w14:paraId="67C7F4C1" w14:textId="77777777" w:rsidTr="00B349DD">
            <w:tc>
              <w:tcPr>
                <w:tcW w:w="2055" w:type="dxa"/>
                <w:tcMar>
                  <w:top w:w="100" w:type="dxa"/>
                  <w:left w:w="100" w:type="dxa"/>
                  <w:bottom w:w="100" w:type="dxa"/>
                  <w:right w:w="100" w:type="dxa"/>
                </w:tcMar>
              </w:tcPr>
              <w:p w14:paraId="3D782E63" w14:textId="77777777" w:rsidR="00241B21" w:rsidRDefault="00241B21" w:rsidP="00B349DD">
                <w:pPr>
                  <w:rPr>
                    <w:highlight w:val="white"/>
                  </w:rPr>
                </w:pPr>
                <w:r>
                  <w:t>Wang</w:t>
                </w:r>
                <w:r>
                  <w:rPr>
                    <w:highlight w:val="white"/>
                  </w:rPr>
                  <w:t>, Keyworth and O'Connor (2025)</w:t>
                </w:r>
              </w:p>
            </w:tc>
            <w:tc>
              <w:tcPr>
                <w:tcW w:w="1785" w:type="dxa"/>
                <w:tcMar>
                  <w:top w:w="100" w:type="dxa"/>
                  <w:left w:w="100" w:type="dxa"/>
                  <w:bottom w:w="100" w:type="dxa"/>
                  <w:right w:w="100" w:type="dxa"/>
                </w:tcMar>
              </w:tcPr>
              <w:p w14:paraId="46985026" w14:textId="77777777" w:rsidR="00241B21" w:rsidRDefault="00241B21" w:rsidP="00B349DD">
                <w:pPr>
                  <w:widowControl w:val="0"/>
                  <w:rPr>
                    <w:highlight w:val="white"/>
                  </w:rPr>
                </w:pPr>
                <w:r>
                  <w:rPr>
                    <w:highlight w:val="white"/>
                  </w:rPr>
                  <w:t xml:space="preserve">Quantitative study </w:t>
                </w:r>
              </w:p>
            </w:tc>
            <w:tc>
              <w:tcPr>
                <w:tcW w:w="1620" w:type="dxa"/>
                <w:tcMar>
                  <w:top w:w="100" w:type="dxa"/>
                  <w:left w:w="100" w:type="dxa"/>
                  <w:bottom w:w="100" w:type="dxa"/>
                  <w:right w:w="100" w:type="dxa"/>
                </w:tcMar>
              </w:tcPr>
              <w:p w14:paraId="5C47A6E2" w14:textId="77777777" w:rsidR="00241B21" w:rsidRDefault="00241B21" w:rsidP="00B349DD">
                <w:pPr>
                  <w:widowControl w:val="0"/>
                  <w:rPr>
                    <w:highlight w:val="white"/>
                  </w:rPr>
                </w:pPr>
                <w:r>
                  <w:rPr>
                    <w:highlight w:val="white"/>
                  </w:rPr>
                  <w:t xml:space="preserve">Online survey </w:t>
                </w:r>
              </w:p>
            </w:tc>
            <w:tc>
              <w:tcPr>
                <w:tcW w:w="1830" w:type="dxa"/>
                <w:tcMar>
                  <w:top w:w="100" w:type="dxa"/>
                  <w:left w:w="100" w:type="dxa"/>
                  <w:bottom w:w="100" w:type="dxa"/>
                  <w:right w:w="100" w:type="dxa"/>
                </w:tcMar>
              </w:tcPr>
              <w:p w14:paraId="43DA0737" w14:textId="77777777" w:rsidR="00241B21" w:rsidRDefault="00241B21" w:rsidP="00B349DD">
                <w:pPr>
                  <w:widowControl w:val="0"/>
                  <w:rPr>
                    <w:highlight w:val="white"/>
                  </w:rPr>
                </w:pPr>
                <w:r>
                  <w:rPr>
                    <w:highlight w:val="white"/>
                  </w:rPr>
                  <w:t xml:space="preserve">Mediation analysis </w:t>
                </w:r>
              </w:p>
            </w:tc>
            <w:tc>
              <w:tcPr>
                <w:tcW w:w="1515" w:type="dxa"/>
                <w:tcMar>
                  <w:top w:w="100" w:type="dxa"/>
                  <w:left w:w="100" w:type="dxa"/>
                  <w:bottom w:w="100" w:type="dxa"/>
                  <w:right w:w="100" w:type="dxa"/>
                </w:tcMar>
              </w:tcPr>
              <w:p w14:paraId="1E539E07" w14:textId="77777777" w:rsidR="00241B21" w:rsidRDefault="00241B21" w:rsidP="00B349DD">
                <w:pPr>
                  <w:widowControl w:val="0"/>
                  <w:rPr>
                    <w:highlight w:val="white"/>
                  </w:rPr>
                </w:pPr>
                <w:r>
                  <w:rPr>
                    <w:highlight w:val="white"/>
                  </w:rPr>
                  <w:t xml:space="preserve">273 </w:t>
                </w:r>
              </w:p>
            </w:tc>
            <w:tc>
              <w:tcPr>
                <w:tcW w:w="6540" w:type="dxa"/>
                <w:tcMar>
                  <w:top w:w="100" w:type="dxa"/>
                  <w:left w:w="100" w:type="dxa"/>
                  <w:bottom w:w="100" w:type="dxa"/>
                  <w:right w:w="100" w:type="dxa"/>
                </w:tcMar>
              </w:tcPr>
              <w:p w14:paraId="08E22C3E" w14:textId="77777777" w:rsidR="00241B21" w:rsidRDefault="00241B21" w:rsidP="00B349DD">
                <w:pPr>
                  <w:widowControl w:val="0"/>
                  <w:rPr>
                    <w:highlight w:val="white"/>
                  </w:rPr>
                </w:pPr>
                <w:r>
                  <w:rPr>
                    <w:highlight w:val="white"/>
                  </w:rPr>
                  <w:t xml:space="preserve">Trauma in childhood strongly connected with higher rates of anxiety, depression, entrapment, defeat, perceived stress and stress appraisal. The mediating elements were perceived stress and stress appraisal, indicating the way early traumatic experiences dictated the way people process and react to stressful events. This increases vulnerability to mental health problems and suicidality in later life. </w:t>
                </w:r>
              </w:p>
            </w:tc>
          </w:tr>
          <w:tr w:rsidR="00241B21" w14:paraId="13D53E29" w14:textId="77777777" w:rsidTr="00B349DD">
            <w:tc>
              <w:tcPr>
                <w:tcW w:w="2055" w:type="dxa"/>
                <w:tcMar>
                  <w:top w:w="100" w:type="dxa"/>
                  <w:left w:w="100" w:type="dxa"/>
                  <w:bottom w:w="100" w:type="dxa"/>
                  <w:right w:w="100" w:type="dxa"/>
                </w:tcMar>
              </w:tcPr>
              <w:p w14:paraId="7D056CB9" w14:textId="77777777" w:rsidR="00241B21" w:rsidRDefault="00241B21" w:rsidP="00B349DD">
                <w:pPr>
                  <w:rPr>
                    <w:highlight w:val="white"/>
                  </w:rPr>
                </w:pPr>
                <w:r>
                  <w:rPr>
                    <w:highlight w:val="white"/>
                  </w:rPr>
                  <w:t xml:space="preserve">Mercer </w:t>
                </w:r>
                <w:r>
                  <w:rPr>
                    <w:i/>
                    <w:iCs/>
                    <w:highlight w:val="white"/>
                  </w:rPr>
                  <w:t>et al.</w:t>
                </w:r>
                <w:r>
                  <w:rPr>
                    <w:highlight w:val="white"/>
                  </w:rPr>
                  <w:t xml:space="preserve"> (2023)</w:t>
                </w:r>
              </w:p>
            </w:tc>
            <w:tc>
              <w:tcPr>
                <w:tcW w:w="1785" w:type="dxa"/>
                <w:tcMar>
                  <w:top w:w="100" w:type="dxa"/>
                  <w:left w:w="100" w:type="dxa"/>
                  <w:bottom w:w="100" w:type="dxa"/>
                  <w:right w:w="100" w:type="dxa"/>
                </w:tcMar>
              </w:tcPr>
              <w:p w14:paraId="5428E287" w14:textId="77777777" w:rsidR="00241B21" w:rsidRDefault="00241B21" w:rsidP="00B349DD">
                <w:pPr>
                  <w:widowControl w:val="0"/>
                  <w:rPr>
                    <w:highlight w:val="white"/>
                  </w:rPr>
                </w:pPr>
                <w:r>
                  <w:rPr>
                    <w:highlight w:val="white"/>
                  </w:rPr>
                  <w:t>Systematic review</w:t>
                </w:r>
              </w:p>
            </w:tc>
            <w:tc>
              <w:tcPr>
                <w:tcW w:w="1620" w:type="dxa"/>
                <w:tcMar>
                  <w:top w:w="100" w:type="dxa"/>
                  <w:left w:w="100" w:type="dxa"/>
                  <w:bottom w:w="100" w:type="dxa"/>
                  <w:right w:w="100" w:type="dxa"/>
                </w:tcMar>
              </w:tcPr>
              <w:p w14:paraId="3F872F7B" w14:textId="77777777" w:rsidR="00241B21" w:rsidRDefault="00241B21" w:rsidP="00B349DD">
                <w:pPr>
                  <w:widowControl w:val="0"/>
                  <w:rPr>
                    <w:highlight w:val="white"/>
                  </w:rPr>
                </w:pPr>
                <w:r>
                  <w:rPr>
                    <w:highlight w:val="white"/>
                  </w:rPr>
                  <w:t>Study reviews</w:t>
                </w:r>
              </w:p>
            </w:tc>
            <w:tc>
              <w:tcPr>
                <w:tcW w:w="1830" w:type="dxa"/>
                <w:tcMar>
                  <w:top w:w="100" w:type="dxa"/>
                  <w:left w:w="100" w:type="dxa"/>
                  <w:bottom w:w="100" w:type="dxa"/>
                  <w:right w:w="100" w:type="dxa"/>
                </w:tcMar>
              </w:tcPr>
              <w:p w14:paraId="403564BD" w14:textId="77777777" w:rsidR="00241B21" w:rsidRDefault="00241B21" w:rsidP="00B349DD">
                <w:pPr>
                  <w:widowControl w:val="0"/>
                  <w:rPr>
                    <w:highlight w:val="white"/>
                  </w:rPr>
                </w:pPr>
                <w:r>
                  <w:rPr>
                    <w:highlight w:val="white"/>
                  </w:rPr>
                  <w:t xml:space="preserve">Thematic and descriptive </w:t>
                </w:r>
                <w:r>
                  <w:rPr>
                    <w:highlight w:val="white"/>
                  </w:rPr>
                  <w:lastRenderedPageBreak/>
                  <w:t xml:space="preserve">analysis </w:t>
                </w:r>
              </w:p>
            </w:tc>
            <w:tc>
              <w:tcPr>
                <w:tcW w:w="1515" w:type="dxa"/>
                <w:tcMar>
                  <w:top w:w="100" w:type="dxa"/>
                  <w:left w:w="100" w:type="dxa"/>
                  <w:bottom w:w="100" w:type="dxa"/>
                  <w:right w:w="100" w:type="dxa"/>
                </w:tcMar>
              </w:tcPr>
              <w:p w14:paraId="5B668571" w14:textId="77777777" w:rsidR="00241B21" w:rsidRDefault="00241B21" w:rsidP="00B349DD">
                <w:pPr>
                  <w:widowControl w:val="0"/>
                  <w:rPr>
                    <w:highlight w:val="white"/>
                  </w:rPr>
                </w:pPr>
                <w:r>
                  <w:rPr>
                    <w:highlight w:val="white"/>
                  </w:rPr>
                  <w:lastRenderedPageBreak/>
                  <w:t xml:space="preserve">17 studies </w:t>
                </w:r>
              </w:p>
            </w:tc>
            <w:tc>
              <w:tcPr>
                <w:tcW w:w="6540" w:type="dxa"/>
                <w:tcMar>
                  <w:top w:w="100" w:type="dxa"/>
                  <w:left w:w="100" w:type="dxa"/>
                  <w:bottom w:w="100" w:type="dxa"/>
                  <w:right w:w="100" w:type="dxa"/>
                </w:tcMar>
              </w:tcPr>
              <w:p w14:paraId="071A37A4" w14:textId="77777777" w:rsidR="00241B21" w:rsidRDefault="00241B21" w:rsidP="00B349DD">
                <w:pPr>
                  <w:widowControl w:val="0"/>
                  <w:rPr>
                    <w:highlight w:val="white"/>
                  </w:rPr>
                </w:pPr>
                <w:r>
                  <w:rPr>
                    <w:highlight w:val="white"/>
                  </w:rPr>
                  <w:t xml:space="preserve">Health and social care workers reported and experienced more ACEs as compared to the general public. Higher exposure to ACE </w:t>
                </w:r>
                <w:r>
                  <w:rPr>
                    <w:highlight w:val="white"/>
                  </w:rPr>
                  <w:lastRenderedPageBreak/>
                  <w:t xml:space="preserve">was also linked with worse physical and mental health conditions, stress in the workplace and professional pressures. This indicates that firms that have systems that can effectively respond to trauma could be more efficient in promoting the welfare of the workers. </w:t>
                </w:r>
              </w:p>
            </w:tc>
          </w:tr>
          <w:tr w:rsidR="00241B21" w14:paraId="14B39E5C" w14:textId="77777777" w:rsidTr="00B349DD">
            <w:tc>
              <w:tcPr>
                <w:tcW w:w="2055" w:type="dxa"/>
                <w:tcMar>
                  <w:top w:w="100" w:type="dxa"/>
                  <w:left w:w="100" w:type="dxa"/>
                  <w:bottom w:w="100" w:type="dxa"/>
                  <w:right w:w="100" w:type="dxa"/>
                </w:tcMar>
              </w:tcPr>
              <w:p w14:paraId="76BE6B7B" w14:textId="77777777" w:rsidR="00241B21" w:rsidRDefault="00241B21" w:rsidP="00B349DD">
                <w:pPr>
                  <w:rPr>
                    <w:highlight w:val="white"/>
                  </w:rPr>
                </w:pPr>
                <w:r>
                  <w:rPr>
                    <w:highlight w:val="white"/>
                  </w:rPr>
                  <w:t xml:space="preserve">McCutchen </w:t>
                </w:r>
                <w:r>
                  <w:rPr>
                    <w:i/>
                    <w:iCs/>
                    <w:highlight w:val="white"/>
                  </w:rPr>
                  <w:t>et al.</w:t>
                </w:r>
                <w:r>
                  <w:rPr>
                    <w:highlight w:val="white"/>
                  </w:rPr>
                  <w:t xml:space="preserve"> (2023)</w:t>
                </w:r>
              </w:p>
            </w:tc>
            <w:tc>
              <w:tcPr>
                <w:tcW w:w="1785" w:type="dxa"/>
                <w:tcMar>
                  <w:top w:w="100" w:type="dxa"/>
                  <w:left w:w="100" w:type="dxa"/>
                  <w:bottom w:w="100" w:type="dxa"/>
                  <w:right w:w="100" w:type="dxa"/>
                </w:tcMar>
              </w:tcPr>
              <w:p w14:paraId="022E3D8E" w14:textId="77777777" w:rsidR="00241B21" w:rsidRDefault="00241B21" w:rsidP="00B349DD">
                <w:pPr>
                  <w:widowControl w:val="0"/>
                  <w:rPr>
                    <w:highlight w:val="white"/>
                  </w:rPr>
                </w:pPr>
                <w:r>
                  <w:rPr>
                    <w:highlight w:val="white"/>
                  </w:rPr>
                  <w:t>Quantitative cross-sectional study</w:t>
                </w:r>
              </w:p>
            </w:tc>
            <w:tc>
              <w:tcPr>
                <w:tcW w:w="1620" w:type="dxa"/>
                <w:tcMar>
                  <w:top w:w="100" w:type="dxa"/>
                  <w:left w:w="100" w:type="dxa"/>
                  <w:bottom w:w="100" w:type="dxa"/>
                  <w:right w:w="100" w:type="dxa"/>
                </w:tcMar>
              </w:tcPr>
              <w:p w14:paraId="42FC2B68" w14:textId="77777777" w:rsidR="00241B21" w:rsidRDefault="00241B21" w:rsidP="00B349DD">
                <w:pPr>
                  <w:widowControl w:val="0"/>
                  <w:rPr>
                    <w:highlight w:val="white"/>
                  </w:rPr>
                </w:pPr>
                <w:r>
                  <w:rPr>
                    <w:highlight w:val="white"/>
                  </w:rPr>
                  <w:t>Survey questionnaires</w:t>
                </w:r>
              </w:p>
            </w:tc>
            <w:tc>
              <w:tcPr>
                <w:tcW w:w="1830" w:type="dxa"/>
                <w:tcMar>
                  <w:top w:w="100" w:type="dxa"/>
                  <w:left w:w="100" w:type="dxa"/>
                  <w:bottom w:w="100" w:type="dxa"/>
                  <w:right w:w="100" w:type="dxa"/>
                </w:tcMar>
              </w:tcPr>
              <w:p w14:paraId="5F19FED0" w14:textId="77777777" w:rsidR="00241B21" w:rsidRDefault="00241B21" w:rsidP="00B349DD">
                <w:pPr>
                  <w:widowControl w:val="0"/>
                  <w:rPr>
                    <w:highlight w:val="white"/>
                  </w:rPr>
                </w:pPr>
                <w:r>
                  <w:rPr>
                    <w:highlight w:val="white"/>
                  </w:rPr>
                  <w:t xml:space="preserve">Moderated Regression Analysis </w:t>
                </w:r>
              </w:p>
            </w:tc>
            <w:tc>
              <w:tcPr>
                <w:tcW w:w="1515" w:type="dxa"/>
                <w:tcMar>
                  <w:top w:w="100" w:type="dxa"/>
                  <w:left w:w="100" w:type="dxa"/>
                  <w:bottom w:w="100" w:type="dxa"/>
                  <w:right w:w="100" w:type="dxa"/>
                </w:tcMar>
              </w:tcPr>
              <w:p w14:paraId="03514DBA" w14:textId="77777777" w:rsidR="00241B21" w:rsidRDefault="00241B21" w:rsidP="00B349DD">
                <w:pPr>
                  <w:widowControl w:val="0"/>
                  <w:rPr>
                    <w:highlight w:val="white"/>
                  </w:rPr>
                </w:pPr>
                <w:r>
                  <w:rPr>
                    <w:highlight w:val="white"/>
                  </w:rPr>
                  <w:t>535 Irish individuals over the age of 50 years</w:t>
                </w:r>
              </w:p>
            </w:tc>
            <w:tc>
              <w:tcPr>
                <w:tcW w:w="6540" w:type="dxa"/>
                <w:tcMar>
                  <w:top w:w="100" w:type="dxa"/>
                  <w:left w:w="100" w:type="dxa"/>
                  <w:bottom w:w="100" w:type="dxa"/>
                  <w:right w:w="100" w:type="dxa"/>
                </w:tcMar>
              </w:tcPr>
              <w:p w14:paraId="611F9C14" w14:textId="77777777" w:rsidR="00241B21" w:rsidRDefault="00241B21" w:rsidP="00B349DD">
                <w:pPr>
                  <w:widowControl w:val="0"/>
                  <w:rPr>
                    <w:highlight w:val="white"/>
                  </w:rPr>
                </w:pPr>
                <w:r>
                  <w:rPr>
                    <w:highlight w:val="white"/>
                  </w:rPr>
                  <w:t xml:space="preserve">ACEs were more linked with anxiety, PTSD signs and depression. Perceived social assistance operates as a mediating factor by lower adverse implications of ACEs on mental health. The findings highlight that reinforcing mechanisms for social assistance could help reduce psychological outcomes of adverse experiences in childhood. </w:t>
                </w:r>
              </w:p>
            </w:tc>
          </w:tr>
        </w:tbl>
      </w:sdtContent>
    </w:sdt>
    <w:p w14:paraId="29DF2206" w14:textId="49CEF9E6" w:rsidR="00922A16" w:rsidRDefault="00922A16"/>
    <w:p w14:paraId="70291538" w14:textId="77777777" w:rsidR="00922A16" w:rsidRDefault="00000000">
      <w:pPr>
        <w:pStyle w:val="Heading1"/>
      </w:pPr>
      <w:bookmarkStart w:id="8" w:name="_heading=h.b5tkx61o2vms" w:colFirst="0" w:colLast="0"/>
      <w:bookmarkEnd w:id="8"/>
      <w:r>
        <w:t xml:space="preserve">Results </w:t>
      </w:r>
    </w:p>
    <w:p w14:paraId="7E5F5889" w14:textId="67405724" w:rsidR="00922A16" w:rsidRPr="008055CC" w:rsidRDefault="00000000" w:rsidP="008055CC">
      <w:pPr>
        <w:rPr>
          <w:color w:val="FF0000"/>
          <w:highlight w:val="white"/>
        </w:rPr>
      </w:pPr>
      <w:r>
        <w:t>The results section is where the chosen peer-reviewed studies and sources are properly analysed with the help of thematic analysis. The sources that have been chosen are segregated based on three different themes which are presented in the structured thematic table.</w:t>
      </w:r>
      <w:r w:rsidR="00241B21">
        <w:rPr>
          <w:b/>
          <w:bCs/>
          <w:highlight w:val="white"/>
        </w:rPr>
        <w:br w:type="textWrapping" w:clear="all"/>
      </w:r>
    </w:p>
    <w:p w14:paraId="2AD46BD1" w14:textId="61B316A7" w:rsidR="00922A16" w:rsidRDefault="00000000">
      <w:pPr>
        <w:jc w:val="center"/>
        <w:rPr>
          <w:b/>
          <w:bCs/>
          <w:highlight w:val="white"/>
        </w:rPr>
      </w:pPr>
      <w:r>
        <w:rPr>
          <w:b/>
          <w:bCs/>
          <w:highlight w:val="white"/>
        </w:rPr>
        <w:t xml:space="preserve">Fig 1: Developing Themes </w:t>
      </w:r>
    </w:p>
    <w:p w14:paraId="32390812" w14:textId="2A5BF378" w:rsidR="00922A16" w:rsidRDefault="008055CC">
      <w:pPr>
        <w:jc w:val="center"/>
        <w:rPr>
          <w:highlight w:val="white"/>
        </w:rPr>
      </w:pPr>
      <w:r>
        <w:rPr>
          <w:b/>
          <w:bCs/>
          <w:noProof/>
          <w:highlight w:val="white"/>
        </w:rPr>
        <w:lastRenderedPageBreak/>
        <w:drawing>
          <wp:anchor distT="0" distB="0" distL="114300" distR="114300" simplePos="0" relativeHeight="251658240" behindDoc="0" locked="0" layoutInCell="1" allowOverlap="1" wp14:anchorId="56E1A3D5" wp14:editId="648DF4B6">
            <wp:simplePos x="0" y="0"/>
            <wp:positionH relativeFrom="column">
              <wp:posOffset>2324100</wp:posOffset>
            </wp:positionH>
            <wp:positionV relativeFrom="paragraph">
              <wp:posOffset>282575</wp:posOffset>
            </wp:positionV>
            <wp:extent cx="4848225" cy="4343400"/>
            <wp:effectExtent l="0" t="0" r="9525" b="0"/>
            <wp:wrapSquare wrapText="bothSides"/>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extLst>
                        <a:ext uri="{28A0092B-C50C-407E-A947-70E740481C1C}">
                          <a14:useLocalDpi xmlns:a14="http://schemas.microsoft.com/office/drawing/2010/main" val="0"/>
                        </a:ext>
                      </a:extLst>
                    </a:blip>
                    <a:srcRect/>
                    <a:stretch>
                      <a:fillRect/>
                    </a:stretch>
                  </pic:blipFill>
                  <pic:spPr>
                    <a:xfrm>
                      <a:off x="0" y="0"/>
                      <a:ext cx="4848225" cy="4343400"/>
                    </a:xfrm>
                    <a:prstGeom prst="rect">
                      <a:avLst/>
                    </a:prstGeom>
                    <a:ln/>
                  </pic:spPr>
                </pic:pic>
              </a:graphicData>
            </a:graphic>
          </wp:anchor>
        </w:drawing>
      </w:r>
      <w:r w:rsidR="00000000">
        <w:rPr>
          <w:highlight w:val="white"/>
        </w:rPr>
        <w:t>(Source: Learner)</w:t>
      </w:r>
    </w:p>
    <w:p w14:paraId="50F75788" w14:textId="77777777" w:rsidR="00922A16" w:rsidRDefault="00000000">
      <w:pPr>
        <w:jc w:val="center"/>
        <w:rPr>
          <w:highlight w:val="white"/>
        </w:rPr>
      </w:pPr>
      <w:r>
        <w:rPr>
          <w:noProof/>
          <w:highlight w:val="white"/>
        </w:rPr>
        <w:lastRenderedPageBreak/>
        <w:drawing>
          <wp:inline distT="114300" distB="114300" distL="114300" distR="114300" wp14:anchorId="09A67B8E" wp14:editId="52DE9B60">
            <wp:extent cx="4848225" cy="20955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848225" cy="2095500"/>
                    </a:xfrm>
                    <a:prstGeom prst="rect">
                      <a:avLst/>
                    </a:prstGeom>
                    <a:ln/>
                  </pic:spPr>
                </pic:pic>
              </a:graphicData>
            </a:graphic>
          </wp:inline>
        </w:drawing>
      </w:r>
    </w:p>
    <w:p w14:paraId="3BE5D0B3" w14:textId="77777777" w:rsidR="00922A16" w:rsidRDefault="00000000">
      <w:pPr>
        <w:jc w:val="center"/>
        <w:rPr>
          <w:b/>
          <w:bCs/>
          <w:highlight w:val="white"/>
        </w:rPr>
      </w:pPr>
      <w:r>
        <w:rPr>
          <w:b/>
          <w:bCs/>
          <w:highlight w:val="white"/>
        </w:rPr>
        <w:t>Fig 2: Identified Themes</w:t>
      </w:r>
    </w:p>
    <w:p w14:paraId="7A844A20" w14:textId="77777777" w:rsidR="00922A16" w:rsidRDefault="00000000">
      <w:pPr>
        <w:jc w:val="center"/>
        <w:rPr>
          <w:highlight w:val="white"/>
        </w:rPr>
      </w:pPr>
      <w:r>
        <w:rPr>
          <w:highlight w:val="white"/>
        </w:rPr>
        <w:t>(Source: Learner)</w:t>
      </w:r>
    </w:p>
    <w:p w14:paraId="401CAB6E" w14:textId="77777777" w:rsidR="00922A16" w:rsidRPr="00CA0C51" w:rsidRDefault="00922A16">
      <w:pPr>
        <w:jc w:val="center"/>
        <w:rPr>
          <w:rFonts w:ascii="Arial" w:hAnsi="Arial" w:cs="Arial"/>
          <w:b/>
          <w:bCs/>
          <w:color w:val="FF0000"/>
          <w:sz w:val="22"/>
          <w:szCs w:val="22"/>
          <w:highlight w:val="white"/>
        </w:rPr>
      </w:pPr>
    </w:p>
    <w:p w14:paraId="26E973E7" w14:textId="77777777" w:rsidR="00922A16" w:rsidRPr="00CA0C51" w:rsidRDefault="00000000">
      <w:pPr>
        <w:widowControl w:val="0"/>
        <w:rPr>
          <w:rFonts w:ascii="Arial" w:hAnsi="Arial" w:cs="Arial"/>
          <w:sz w:val="22"/>
          <w:szCs w:val="22"/>
        </w:rPr>
      </w:pPr>
      <w:r w:rsidRPr="00CA0C51">
        <w:rPr>
          <w:rFonts w:ascii="Arial" w:hAnsi="Arial" w:cs="Arial"/>
          <w:b/>
          <w:bCs/>
          <w:i/>
          <w:iCs/>
          <w:sz w:val="22"/>
          <w:szCs w:val="22"/>
        </w:rPr>
        <w:t>Theme 1: Common Psychological Issues Linked with ACEs</w:t>
      </w:r>
    </w:p>
    <w:p w14:paraId="65102FB2" w14:textId="77777777" w:rsidR="00922A16" w:rsidRPr="00CA0C51" w:rsidRDefault="00000000">
      <w:pPr>
        <w:rPr>
          <w:rFonts w:ascii="Arial" w:hAnsi="Arial" w:cs="Arial"/>
          <w:sz w:val="22"/>
          <w:szCs w:val="22"/>
        </w:rPr>
      </w:pPr>
      <w:proofErr w:type="spellStart"/>
      <w:r w:rsidRPr="00CA0C51">
        <w:rPr>
          <w:rFonts w:ascii="Arial" w:hAnsi="Arial" w:cs="Arial"/>
          <w:sz w:val="22"/>
          <w:szCs w:val="22"/>
          <w:highlight w:val="white"/>
        </w:rPr>
        <w:t>Karatekin</w:t>
      </w:r>
      <w:proofErr w:type="spellEnd"/>
      <w:r w:rsidRPr="00CA0C51">
        <w:rPr>
          <w:rFonts w:ascii="Arial" w:hAnsi="Arial" w:cs="Arial"/>
          <w:sz w:val="22"/>
          <w:szCs w:val="22"/>
          <w:highlight w:val="white"/>
        </w:rPr>
        <w:t xml:space="preserve"> (2024), has carried out an umbrella assessment of systematic reviews and meta-analysis that explored the connection between adverse childhood experiences and common mental disorders. The review is inclusive of 68 systematic reviews of different quality of methodologies. From the identified data, 24 different ACEs were linked with higher possibility of suicidal tendency or mental disorders. Pooled effect sizes highlighted that exposure to ACE was also associated with around two times the odds of anxiety disorders (OR 1.94), depression (OR 2.01), and internalising disorders (OR 1.76). The connection with suicidality or suicidal tendencies was even higher around (OR 2.3). Additionally, what was important to understand in this correlation was they did not change based on age of exposure or gender. The findings show there is a strong and consistent connection between adverse experiences in childhood and mental health issues in adulthood.</w:t>
      </w:r>
    </w:p>
    <w:p w14:paraId="3902A425" w14:textId="77777777" w:rsidR="00922A16" w:rsidRPr="00CA0C51" w:rsidRDefault="00000000">
      <w:pPr>
        <w:rPr>
          <w:rFonts w:ascii="Arial" w:hAnsi="Arial" w:cs="Arial"/>
          <w:sz w:val="22"/>
          <w:szCs w:val="22"/>
        </w:rPr>
      </w:pPr>
      <w:r w:rsidRPr="00CA0C51">
        <w:rPr>
          <w:rFonts w:ascii="Arial" w:hAnsi="Arial" w:cs="Arial"/>
          <w:sz w:val="22"/>
          <w:szCs w:val="22"/>
        </w:rPr>
        <w:t xml:space="preserve">In consonance with </w:t>
      </w:r>
      <w:r w:rsidRPr="00CA0C51">
        <w:rPr>
          <w:rFonts w:ascii="Arial" w:hAnsi="Arial" w:cs="Arial"/>
          <w:sz w:val="22"/>
          <w:szCs w:val="22"/>
          <w:highlight w:val="white"/>
        </w:rPr>
        <w:t xml:space="preserve">Sahle </w:t>
      </w:r>
      <w:r w:rsidRPr="00CA0C51">
        <w:rPr>
          <w:rFonts w:ascii="Arial" w:hAnsi="Arial" w:cs="Arial"/>
          <w:i/>
          <w:iCs/>
          <w:sz w:val="22"/>
          <w:szCs w:val="22"/>
          <w:highlight w:val="white"/>
        </w:rPr>
        <w:t>et al.</w:t>
      </w:r>
      <w:r w:rsidRPr="00CA0C51">
        <w:rPr>
          <w:rFonts w:ascii="Arial" w:hAnsi="Arial" w:cs="Arial"/>
          <w:sz w:val="22"/>
          <w:szCs w:val="22"/>
          <w:highlight w:val="white"/>
        </w:rPr>
        <w:t xml:space="preserve"> (2022), has conducted research on getting exposed to ACE and help-seeking activities among undergraduate students. The study was inclusive of 321 participants and indicated that people with higher scores of ACE had more possibility of seeking not just informal but also professional help for health-related issues. Some of the most common causes for </w:t>
      </w:r>
      <w:r w:rsidRPr="00CA0C51">
        <w:rPr>
          <w:rFonts w:ascii="Arial" w:hAnsi="Arial" w:cs="Arial"/>
          <w:sz w:val="22"/>
          <w:szCs w:val="22"/>
          <w:highlight w:val="white"/>
        </w:rPr>
        <w:lastRenderedPageBreak/>
        <w:t xml:space="preserve">seeking help were depression, anxiety, and stress. Among the three, depression turned out to be more prevalent among the students who had higher scores of being exposed to adverse childhood experiences. However, while the students having more ACE exposure showed more possibility of seeking help, they also indicated more likelihood of reporting unmet requirements, finding solutions less impactful, and being inconsistent with their treatment. </w:t>
      </w:r>
    </w:p>
    <w:p w14:paraId="355FE92C" w14:textId="77777777" w:rsidR="00922A16" w:rsidRPr="00CA0C51" w:rsidRDefault="00000000">
      <w:pPr>
        <w:widowControl w:val="0"/>
        <w:rPr>
          <w:rFonts w:ascii="Arial" w:hAnsi="Arial" w:cs="Arial"/>
          <w:sz w:val="22"/>
          <w:szCs w:val="22"/>
        </w:rPr>
      </w:pPr>
      <w:r w:rsidRPr="00CA0C51">
        <w:rPr>
          <w:rFonts w:ascii="Arial" w:hAnsi="Arial" w:cs="Arial"/>
          <w:b/>
          <w:bCs/>
          <w:i/>
          <w:iCs/>
          <w:sz w:val="22"/>
          <w:szCs w:val="22"/>
        </w:rPr>
        <w:t>Theme 2 Progressive Trauma and Harshness of Adult Mental Health Implications</w:t>
      </w:r>
    </w:p>
    <w:p w14:paraId="3B810CA2" w14:textId="77777777" w:rsidR="00922A16" w:rsidRPr="00CA0C51" w:rsidRDefault="00000000">
      <w:pPr>
        <w:rPr>
          <w:rFonts w:ascii="Arial" w:hAnsi="Arial" w:cs="Arial"/>
          <w:sz w:val="22"/>
          <w:szCs w:val="22"/>
        </w:rPr>
      </w:pPr>
      <w:r w:rsidRPr="00CA0C51">
        <w:rPr>
          <w:rFonts w:ascii="Arial" w:hAnsi="Arial" w:cs="Arial"/>
          <w:sz w:val="22"/>
          <w:szCs w:val="22"/>
          <w:highlight w:val="white"/>
        </w:rPr>
        <w:t>Wilson-</w:t>
      </w:r>
      <w:proofErr w:type="spellStart"/>
      <w:r w:rsidRPr="00CA0C51">
        <w:rPr>
          <w:rFonts w:ascii="Arial" w:hAnsi="Arial" w:cs="Arial"/>
          <w:sz w:val="22"/>
          <w:szCs w:val="22"/>
          <w:highlight w:val="white"/>
        </w:rPr>
        <w:t>Genderson</w:t>
      </w:r>
      <w:proofErr w:type="spellEnd"/>
      <w:r w:rsidRPr="00CA0C51">
        <w:rPr>
          <w:rFonts w:ascii="Arial" w:hAnsi="Arial" w:cs="Arial"/>
          <w:sz w:val="22"/>
          <w:szCs w:val="22"/>
          <w:highlight w:val="white"/>
        </w:rPr>
        <w:t xml:space="preserve"> </w:t>
      </w:r>
      <w:r w:rsidRPr="00CA0C51">
        <w:rPr>
          <w:rFonts w:ascii="Arial" w:hAnsi="Arial" w:cs="Arial"/>
          <w:i/>
          <w:iCs/>
          <w:sz w:val="22"/>
          <w:szCs w:val="22"/>
          <w:highlight w:val="white"/>
        </w:rPr>
        <w:t>et al.</w:t>
      </w:r>
      <w:r w:rsidRPr="00CA0C51">
        <w:rPr>
          <w:rFonts w:ascii="Arial" w:hAnsi="Arial" w:cs="Arial"/>
          <w:sz w:val="22"/>
          <w:szCs w:val="22"/>
          <w:highlight w:val="white"/>
        </w:rPr>
        <w:t xml:space="preserve"> (2022), have explored the ways negative experiences in childhood lead to depressive conditions across the later life of individuals. The research has relied on the longitudinal insights of 12 years from 5,688 adults who were between the age of 50 to 74. From the data, the research has highlighted that people who were exposed to adverse experiences in childhood showed more tendencies of being depressive as compared to those who developed without any kind of similar experiences. The trend was even more intense amongst those participants who have more than two ACEs. </w:t>
      </w:r>
    </w:p>
    <w:p w14:paraId="60CE7FE9" w14:textId="77777777" w:rsidR="00922A16" w:rsidRPr="00CA0C51" w:rsidRDefault="00000000">
      <w:pPr>
        <w:rPr>
          <w:rFonts w:ascii="Arial" w:hAnsi="Arial" w:cs="Arial"/>
          <w:sz w:val="22"/>
          <w:szCs w:val="22"/>
        </w:rPr>
      </w:pPr>
      <w:r w:rsidRPr="00CA0C51">
        <w:rPr>
          <w:rFonts w:ascii="Arial" w:hAnsi="Arial" w:cs="Arial"/>
          <w:sz w:val="22"/>
          <w:szCs w:val="22"/>
        </w:rPr>
        <w:t>Wang</w:t>
      </w:r>
      <w:r w:rsidRPr="00CA0C51">
        <w:rPr>
          <w:rFonts w:ascii="Arial" w:hAnsi="Arial" w:cs="Arial"/>
          <w:sz w:val="22"/>
          <w:szCs w:val="22"/>
          <w:highlight w:val="white"/>
        </w:rPr>
        <w:t xml:space="preserve">, Keyworth and O'Connor (2025), have identified that traumatic experiences during childhood were strongly connected with mental health issues in adulthood. These include tendencies such as entrapment, anxiety, stress appraisal, depressive and perceived distress. More importantly, perceived stress and stress appraisal worked as mediation between traumatic experiences in childhood and mental health implications. As a result, there was an increase in the rate of vulnerability of these individuals to psychological stress and risk factors related to suicide. </w:t>
      </w:r>
    </w:p>
    <w:p w14:paraId="6D0DFE69" w14:textId="77777777" w:rsidR="00922A16" w:rsidRPr="00CA0C51" w:rsidRDefault="00000000">
      <w:pPr>
        <w:widowControl w:val="0"/>
        <w:rPr>
          <w:rFonts w:ascii="Arial" w:hAnsi="Arial" w:cs="Arial"/>
          <w:sz w:val="22"/>
          <w:szCs w:val="22"/>
        </w:rPr>
      </w:pPr>
      <w:r w:rsidRPr="00CA0C51">
        <w:rPr>
          <w:rFonts w:ascii="Arial" w:hAnsi="Arial" w:cs="Arial"/>
          <w:b/>
          <w:bCs/>
          <w:i/>
          <w:iCs/>
          <w:sz w:val="22"/>
          <w:szCs w:val="22"/>
        </w:rPr>
        <w:t xml:space="preserve">Theme 3: Implications for Health and Social Care </w:t>
      </w:r>
    </w:p>
    <w:p w14:paraId="4CE5EA25" w14:textId="77777777" w:rsidR="00922A16" w:rsidRPr="00CA0C51" w:rsidRDefault="00000000">
      <w:pPr>
        <w:rPr>
          <w:rFonts w:ascii="Arial" w:hAnsi="Arial" w:cs="Arial"/>
          <w:sz w:val="22"/>
          <w:szCs w:val="22"/>
        </w:rPr>
      </w:pPr>
      <w:proofErr w:type="gramStart"/>
      <w:r w:rsidRPr="00CA0C51">
        <w:rPr>
          <w:rFonts w:ascii="Arial" w:hAnsi="Arial" w:cs="Arial"/>
          <w:sz w:val="22"/>
          <w:szCs w:val="22"/>
          <w:highlight w:val="white"/>
        </w:rPr>
        <w:t xml:space="preserve">Mercer </w:t>
      </w:r>
      <w:r w:rsidRPr="00CA0C51">
        <w:rPr>
          <w:rFonts w:ascii="Arial" w:hAnsi="Arial" w:cs="Arial"/>
          <w:i/>
          <w:iCs/>
          <w:sz w:val="22"/>
          <w:szCs w:val="22"/>
          <w:highlight w:val="white"/>
        </w:rPr>
        <w:t>et al.</w:t>
      </w:r>
      <w:r w:rsidRPr="00CA0C51">
        <w:rPr>
          <w:rFonts w:ascii="Arial" w:hAnsi="Arial" w:cs="Arial"/>
          <w:sz w:val="22"/>
          <w:szCs w:val="22"/>
          <w:highlight w:val="white"/>
        </w:rPr>
        <w:t xml:space="preserve"> (2023),</w:t>
      </w:r>
      <w:proofErr w:type="gramEnd"/>
      <w:r w:rsidRPr="00CA0C51">
        <w:rPr>
          <w:rFonts w:ascii="Arial" w:hAnsi="Arial" w:cs="Arial"/>
          <w:sz w:val="22"/>
          <w:szCs w:val="22"/>
          <w:highlight w:val="white"/>
        </w:rPr>
        <w:t xml:space="preserve"> have carried out a systematic review of 17 research and identified that the ACEs were more evident in the health and social care professionals. This was as compared to the general population. Those who were exposed to ACE often had poor mental and physical condition. Additionally, they also experienced more burnout, stress, and emotional fatigue. While the findings on compassion satisfaction were varied, higher scores in ACE </w:t>
      </w:r>
      <w:proofErr w:type="gramStart"/>
      <w:r w:rsidRPr="00CA0C51">
        <w:rPr>
          <w:rFonts w:ascii="Arial" w:hAnsi="Arial" w:cs="Arial"/>
          <w:sz w:val="22"/>
          <w:szCs w:val="22"/>
          <w:highlight w:val="white"/>
        </w:rPr>
        <w:t>was</w:t>
      </w:r>
      <w:proofErr w:type="gramEnd"/>
      <w:r w:rsidRPr="00CA0C51">
        <w:rPr>
          <w:rFonts w:ascii="Arial" w:hAnsi="Arial" w:cs="Arial"/>
          <w:sz w:val="22"/>
          <w:szCs w:val="22"/>
          <w:highlight w:val="white"/>
        </w:rPr>
        <w:t xml:space="preserve"> connected with higher possibility of experienced strain on occupation. </w:t>
      </w:r>
    </w:p>
    <w:p w14:paraId="2B546BC7" w14:textId="77777777" w:rsidR="00922A16" w:rsidRPr="00CA0C51" w:rsidRDefault="00000000">
      <w:pPr>
        <w:spacing w:before="200"/>
        <w:rPr>
          <w:rFonts w:ascii="Arial" w:hAnsi="Arial" w:cs="Arial"/>
          <w:color w:val="FF0000"/>
          <w:sz w:val="22"/>
          <w:szCs w:val="22"/>
          <w:highlight w:val="white"/>
        </w:rPr>
      </w:pPr>
      <w:r w:rsidRPr="00CA0C51">
        <w:rPr>
          <w:rFonts w:ascii="Arial" w:hAnsi="Arial" w:cs="Arial"/>
          <w:sz w:val="22"/>
          <w:szCs w:val="22"/>
          <w:highlight w:val="white"/>
        </w:rPr>
        <w:t xml:space="preserve">McCutchen </w:t>
      </w:r>
      <w:r w:rsidRPr="00CA0C51">
        <w:rPr>
          <w:rFonts w:ascii="Arial" w:hAnsi="Arial" w:cs="Arial"/>
          <w:i/>
          <w:iCs/>
          <w:sz w:val="22"/>
          <w:szCs w:val="22"/>
          <w:highlight w:val="white"/>
        </w:rPr>
        <w:t>et al.</w:t>
      </w:r>
      <w:r w:rsidRPr="00CA0C51">
        <w:rPr>
          <w:rFonts w:ascii="Arial" w:hAnsi="Arial" w:cs="Arial"/>
          <w:sz w:val="22"/>
          <w:szCs w:val="22"/>
          <w:highlight w:val="white"/>
        </w:rPr>
        <w:t xml:space="preserve"> (2023), had studied that perceived social assistance was a major moderator of the connection between ACEs and mental health implications in older individuals. Although ACEs predict symptoms such as anxiety, depression and PTSD, consistent perceived social assistance lowered the overall impact. The compassionate role played by social assistance highlights that relational and institutional elements could safeguard individuals from their ACEs. </w:t>
      </w:r>
    </w:p>
    <w:p w14:paraId="5C40A78B" w14:textId="77777777" w:rsidR="00922A16" w:rsidRPr="00CA0C51" w:rsidRDefault="00000000">
      <w:pPr>
        <w:pStyle w:val="Heading1"/>
        <w:rPr>
          <w:rFonts w:ascii="Arial" w:hAnsi="Arial" w:cs="Arial"/>
          <w:sz w:val="22"/>
          <w:szCs w:val="22"/>
        </w:rPr>
      </w:pPr>
      <w:bookmarkStart w:id="9" w:name="_heading=h.53skvw5am2ds" w:colFirst="0" w:colLast="0"/>
      <w:bookmarkEnd w:id="9"/>
      <w:r w:rsidRPr="00CA0C51">
        <w:rPr>
          <w:rFonts w:ascii="Arial" w:hAnsi="Arial" w:cs="Arial"/>
          <w:sz w:val="22"/>
          <w:szCs w:val="22"/>
        </w:rPr>
        <w:lastRenderedPageBreak/>
        <w:t>Discussion</w:t>
      </w:r>
    </w:p>
    <w:p w14:paraId="376865B3" w14:textId="77777777" w:rsidR="00922A16" w:rsidRPr="00CA0C51" w:rsidRDefault="00000000">
      <w:pPr>
        <w:rPr>
          <w:rFonts w:ascii="Arial" w:hAnsi="Arial" w:cs="Arial"/>
          <w:sz w:val="22"/>
          <w:szCs w:val="22"/>
        </w:rPr>
      </w:pPr>
      <w:r w:rsidRPr="00CA0C51">
        <w:rPr>
          <w:rFonts w:ascii="Arial" w:hAnsi="Arial" w:cs="Arial"/>
          <w:sz w:val="22"/>
          <w:szCs w:val="22"/>
        </w:rPr>
        <w:t>From the analysis, it is quite evident that adverse childhood experience is strongly linked with long-term difficulties in one's mental health, particularly during their adulthood. The studies that were selected highlighted that exposure to ACE was properly showing evidence which leads to key mental health such as complicated trauma responses, PTSD, anxiety, and depression. The trend was very evident in not just the clinical population but also from the general population. The result confirms the assumption that early adverse experiences influence the ability to regulate one's emotion and respond to stress across their lifespan. Trauma is not left as one becomes an adult. The first thing indicated the compounding impact of ACE towards the mental health implications. People who had higher ACE scores tend to indicate more severity in mental health symptoms, this properly explains that repeated or more than one adverse experience increases the rate of vulnerability in the person. It highlights that stress and trauma in childhood can impact or change the way people cope with stress in their later life. Over time, this could result in increased sensitivity to stressors. Distress in the short term becomes vulnerability in the long run for the individual (</w:t>
      </w:r>
      <w:r w:rsidRPr="00CA0C51">
        <w:rPr>
          <w:rFonts w:ascii="Arial" w:hAnsi="Arial" w:cs="Arial"/>
          <w:sz w:val="22"/>
          <w:szCs w:val="22"/>
          <w:highlight w:val="white"/>
        </w:rPr>
        <w:t>Akil and Nestler, 2023</w:t>
      </w:r>
      <w:r w:rsidRPr="00CA0C51">
        <w:rPr>
          <w:rFonts w:ascii="Arial" w:hAnsi="Arial" w:cs="Arial"/>
          <w:sz w:val="22"/>
          <w:szCs w:val="22"/>
        </w:rPr>
        <w:t>). However, not every person who was exposed to ACE turns out developing severe signs and symptoms. The rate of resilience in the person, along with environmental elements, can have a major influence on the mental health outcomes.</w:t>
      </w:r>
    </w:p>
    <w:p w14:paraId="3B125493" w14:textId="77777777" w:rsidR="00922A16" w:rsidRPr="00CA0C51" w:rsidRDefault="00000000">
      <w:pPr>
        <w:rPr>
          <w:rFonts w:ascii="Arial" w:hAnsi="Arial" w:cs="Arial"/>
          <w:sz w:val="22"/>
          <w:szCs w:val="22"/>
        </w:rPr>
      </w:pPr>
      <w:r w:rsidRPr="00CA0C51">
        <w:rPr>
          <w:rFonts w:ascii="Arial" w:hAnsi="Arial" w:cs="Arial"/>
          <w:sz w:val="22"/>
          <w:szCs w:val="22"/>
        </w:rPr>
        <w:t>Findings from the second team emphasised the connection between ACEs and trauma-specific conditions. The evidence linked ACEs with complicated PTSD, which offered depth to the overall research. It explained that traumatic experience in childhood generally takes place within the caregiving relationships. Consequently, people could experience consistent issues with trusting other people, having stable emotions, and their own identity. ACE exposure is linked with complicated PTSD responses in one's adult span of life. The outcomes seem to be more grave as compared to general stress responses. Due to the fact that complicated PTSD signs exist within such individuals, it highlights that traumatic experience in early phases of life could develop a multi-layered psychological difficulty (</w:t>
      </w:r>
      <w:proofErr w:type="spellStart"/>
      <w:r w:rsidRPr="00CA0C51">
        <w:rPr>
          <w:rFonts w:ascii="Arial" w:hAnsi="Arial" w:cs="Arial"/>
          <w:sz w:val="22"/>
          <w:szCs w:val="22"/>
          <w:highlight w:val="white"/>
        </w:rPr>
        <w:t>Maercker</w:t>
      </w:r>
      <w:proofErr w:type="spellEnd"/>
      <w:r w:rsidRPr="00CA0C51">
        <w:rPr>
          <w:rFonts w:ascii="Arial" w:hAnsi="Arial" w:cs="Arial"/>
          <w:sz w:val="22"/>
          <w:szCs w:val="22"/>
          <w:highlight w:val="white"/>
        </w:rPr>
        <w:t xml:space="preserve"> </w:t>
      </w:r>
      <w:r w:rsidRPr="00CA0C51">
        <w:rPr>
          <w:rFonts w:ascii="Arial" w:hAnsi="Arial" w:cs="Arial"/>
          <w:i/>
          <w:iCs/>
          <w:sz w:val="22"/>
          <w:szCs w:val="22"/>
          <w:highlight w:val="white"/>
        </w:rPr>
        <w:t>et al.,</w:t>
      </w:r>
      <w:r w:rsidRPr="00CA0C51">
        <w:rPr>
          <w:rFonts w:ascii="Arial" w:hAnsi="Arial" w:cs="Arial"/>
          <w:sz w:val="22"/>
          <w:szCs w:val="22"/>
          <w:highlight w:val="white"/>
        </w:rPr>
        <w:t xml:space="preserve"> 2022</w:t>
      </w:r>
      <w:r w:rsidRPr="00CA0C51">
        <w:rPr>
          <w:rFonts w:ascii="Arial" w:hAnsi="Arial" w:cs="Arial"/>
          <w:sz w:val="22"/>
          <w:szCs w:val="22"/>
        </w:rPr>
        <w:t>). The findings from the third theme offered insight about ACE and mental health issues in adulthood that went more than personal mental well-being and focused more on professional operations. The evidence highlighted that people who were working within the health institutional care settings tend to report higher scores of ACE. These people were also more vulnerable to workplace issues including emotional distress or job burnout. The findings are very important. Workers are required to properly maintain their feelings while also offering support to the patients (</w:t>
      </w:r>
      <w:r w:rsidRPr="00CA0C51">
        <w:rPr>
          <w:rFonts w:ascii="Arial" w:hAnsi="Arial" w:cs="Arial"/>
          <w:sz w:val="22"/>
          <w:szCs w:val="22"/>
          <w:highlight w:val="white"/>
        </w:rPr>
        <w:t xml:space="preserve">Hall </w:t>
      </w:r>
      <w:r w:rsidRPr="00CA0C51">
        <w:rPr>
          <w:rFonts w:ascii="Arial" w:hAnsi="Arial" w:cs="Arial"/>
          <w:i/>
          <w:iCs/>
          <w:sz w:val="22"/>
          <w:szCs w:val="22"/>
          <w:highlight w:val="white"/>
        </w:rPr>
        <w:t xml:space="preserve">et al., </w:t>
      </w:r>
      <w:r w:rsidRPr="00CA0C51">
        <w:rPr>
          <w:rFonts w:ascii="Arial" w:hAnsi="Arial" w:cs="Arial"/>
          <w:sz w:val="22"/>
          <w:szCs w:val="22"/>
          <w:highlight w:val="white"/>
        </w:rPr>
        <w:t>2024</w:t>
      </w:r>
      <w:r w:rsidRPr="00CA0C51">
        <w:rPr>
          <w:rFonts w:ascii="Arial" w:hAnsi="Arial" w:cs="Arial"/>
          <w:sz w:val="22"/>
          <w:szCs w:val="22"/>
        </w:rPr>
        <w:t xml:space="preserve">). For the workers who have unaddressed adverse experiences </w:t>
      </w:r>
      <w:r w:rsidRPr="00CA0C51">
        <w:rPr>
          <w:rFonts w:ascii="Arial" w:hAnsi="Arial" w:cs="Arial"/>
          <w:sz w:val="22"/>
          <w:szCs w:val="22"/>
        </w:rPr>
        <w:lastRenderedPageBreak/>
        <w:t xml:space="preserve">in childhood, the demand could further strain their emotional balance and mental well-being. However, the evidence from the findings also recognised protective elements. This highlights that relationships that offer proper support can help absorb psychological impact. Therefore, social connection is of great significance when it comes to dealing with adverse experiences in childhood. In addition to that, the culture of the organisation also matters. When the workers experience appreciation, value, and support in their workplace, the long-term implication of adverse childhood experiences could be lowered </w:t>
      </w:r>
      <w:r w:rsidRPr="00CA0C51">
        <w:rPr>
          <w:rFonts w:ascii="Arial" w:hAnsi="Arial" w:cs="Arial"/>
          <w:sz w:val="22"/>
          <w:szCs w:val="22"/>
          <w:highlight w:val="white"/>
        </w:rPr>
        <w:t>(Williamson</w:t>
      </w:r>
      <w:r w:rsidRPr="00CA0C51">
        <w:rPr>
          <w:rFonts w:ascii="Arial" w:hAnsi="Arial" w:cs="Arial"/>
          <w:i/>
          <w:iCs/>
          <w:sz w:val="22"/>
          <w:szCs w:val="22"/>
          <w:highlight w:val="white"/>
        </w:rPr>
        <w:t xml:space="preserve"> et al.,</w:t>
      </w:r>
      <w:r w:rsidRPr="00CA0C51">
        <w:rPr>
          <w:rFonts w:ascii="Arial" w:hAnsi="Arial" w:cs="Arial"/>
          <w:sz w:val="22"/>
          <w:szCs w:val="22"/>
          <w:highlight w:val="white"/>
        </w:rPr>
        <w:t xml:space="preserve"> 2025)</w:t>
      </w:r>
      <w:r w:rsidRPr="00CA0C51">
        <w:rPr>
          <w:rFonts w:ascii="Arial" w:hAnsi="Arial" w:cs="Arial"/>
          <w:sz w:val="22"/>
          <w:szCs w:val="22"/>
        </w:rPr>
        <w:t xml:space="preserve">. Overall, the discussion confirms that ACEs play a major role in dictating the mental health outcomes in adulthood. However, the findings also have significant complexity. While risk is directly proportional to the rate of exposure, the evidence also points out that the outcomes are influenced by the contextual elements. </w:t>
      </w:r>
    </w:p>
    <w:p w14:paraId="49436F5B" w14:textId="77777777" w:rsidR="00922A16" w:rsidRPr="00CA0C51" w:rsidRDefault="00000000">
      <w:pPr>
        <w:rPr>
          <w:rFonts w:ascii="Arial" w:hAnsi="Arial" w:cs="Arial"/>
          <w:b/>
          <w:bCs/>
          <w:sz w:val="22"/>
          <w:szCs w:val="22"/>
        </w:rPr>
      </w:pPr>
      <w:r w:rsidRPr="00CA0C51">
        <w:rPr>
          <w:rFonts w:ascii="Arial" w:hAnsi="Arial" w:cs="Arial"/>
          <w:b/>
          <w:bCs/>
          <w:sz w:val="22"/>
          <w:szCs w:val="22"/>
        </w:rPr>
        <w:t xml:space="preserve">Research Gaps </w:t>
      </w:r>
    </w:p>
    <w:p w14:paraId="3B13DBBD" w14:textId="77777777" w:rsidR="00922A16" w:rsidRPr="00CA0C51" w:rsidRDefault="00000000">
      <w:pPr>
        <w:rPr>
          <w:rFonts w:ascii="Arial" w:hAnsi="Arial" w:cs="Arial"/>
          <w:sz w:val="22"/>
          <w:szCs w:val="22"/>
        </w:rPr>
      </w:pPr>
      <w:r w:rsidRPr="00CA0C51">
        <w:rPr>
          <w:rFonts w:ascii="Arial" w:hAnsi="Arial" w:cs="Arial"/>
          <w:sz w:val="22"/>
          <w:szCs w:val="22"/>
        </w:rPr>
        <w:t xml:space="preserve">While the present literature indicates a strong connection between negative experiences in childhood and long-term mental health implications, there are still several gaps still remaining. The majority of the present research primarily relies on recognising the connection between being exposed to ACE and psychological implications including anxiety, depression and PTSD. However, very few studies evaluate the way these early negative experiences affect the long-term health and social care demand during the later phases of life such as adulthood. This lowers proper knowledge about the way individuals who have prior experiences with SCE tend to interact with health systems with time. </w:t>
      </w:r>
    </w:p>
    <w:p w14:paraId="03E1A7CC" w14:textId="77777777" w:rsidR="00922A16" w:rsidRPr="00CA0C51" w:rsidRDefault="00000000">
      <w:pPr>
        <w:rPr>
          <w:rFonts w:ascii="Arial" w:hAnsi="Arial" w:cs="Arial"/>
          <w:sz w:val="22"/>
          <w:szCs w:val="22"/>
        </w:rPr>
      </w:pPr>
      <w:r w:rsidRPr="00CA0C51">
        <w:rPr>
          <w:rFonts w:ascii="Arial" w:hAnsi="Arial" w:cs="Arial"/>
          <w:sz w:val="22"/>
          <w:szCs w:val="22"/>
        </w:rPr>
        <w:t xml:space="preserve">Another very evident gap in research is related to understanding the preventive forces and resilience. Although several literatures prioritise the risks associated with higher scores of ACE, limited priority is provided to the forces that enable people to manage psychological balance despite experiencing trauma in early phases. Factors including community network, supportive connection and institutional assistance are generally acknowledged widely but very limitedly explored. </w:t>
      </w:r>
    </w:p>
    <w:p w14:paraId="02EEF130" w14:textId="77777777" w:rsidR="00922A16" w:rsidRPr="00CA0C51" w:rsidRDefault="00000000">
      <w:pPr>
        <w:rPr>
          <w:rFonts w:ascii="Arial" w:hAnsi="Arial" w:cs="Arial"/>
          <w:sz w:val="22"/>
          <w:szCs w:val="22"/>
        </w:rPr>
      </w:pPr>
      <w:r w:rsidRPr="00CA0C51">
        <w:rPr>
          <w:rFonts w:ascii="Arial" w:hAnsi="Arial" w:cs="Arial"/>
          <w:sz w:val="22"/>
          <w:szCs w:val="22"/>
        </w:rPr>
        <w:t>Moreover, several studies use the self-reported evidence concerning adverse experiences in childhood which introduces the possibility of recalling subjectivity and impacting the overall reliability of the research insights. Therefore, there is a need for further studies to leverage context-driven and longitudinal research in order to generate deeper understanding of the long-term implications of ACEs.</w:t>
      </w:r>
    </w:p>
    <w:p w14:paraId="23A77B22" w14:textId="77777777" w:rsidR="00922A16" w:rsidRPr="00CA0C51" w:rsidRDefault="00000000">
      <w:pPr>
        <w:rPr>
          <w:rFonts w:ascii="Arial" w:hAnsi="Arial" w:cs="Arial"/>
          <w:sz w:val="22"/>
          <w:szCs w:val="22"/>
        </w:rPr>
      </w:pPr>
      <w:r w:rsidRPr="00CA0C51">
        <w:rPr>
          <w:rFonts w:ascii="Arial" w:hAnsi="Arial" w:cs="Arial"/>
          <w:b/>
          <w:bCs/>
          <w:sz w:val="22"/>
          <w:szCs w:val="22"/>
        </w:rPr>
        <w:t>Limitation of Research</w:t>
      </w:r>
    </w:p>
    <w:p w14:paraId="6B2B7FC6" w14:textId="77777777" w:rsidR="00922A16" w:rsidRPr="00CA0C51" w:rsidRDefault="00000000">
      <w:pPr>
        <w:rPr>
          <w:rFonts w:ascii="Arial" w:hAnsi="Arial" w:cs="Arial"/>
          <w:sz w:val="22"/>
          <w:szCs w:val="22"/>
        </w:rPr>
      </w:pPr>
      <w:r w:rsidRPr="00CA0C51">
        <w:rPr>
          <w:rFonts w:ascii="Arial" w:hAnsi="Arial" w:cs="Arial"/>
          <w:sz w:val="22"/>
          <w:szCs w:val="22"/>
        </w:rPr>
        <w:lastRenderedPageBreak/>
        <w:t xml:space="preserve">While the overall review introduced valuable evidence and insights into the connection between SCEs and mental health implication in adulthood, there is still a need to acknowledge various limitations in the research. Firstly, this research mainly relied on the secondary approach to gather information. This means that the findings and evidence used in this research related to ACEs and mental health outcomes in later life was extracted from already published sources. While this increased the rate of accessibility and volume of available sources, it also introduced the possibility of biased analysis. Moreover, the search strategy also only considered studies in the English language published not more than 5 years ago. </w:t>
      </w:r>
    </w:p>
    <w:p w14:paraId="7ED1B727" w14:textId="77777777" w:rsidR="00922A16" w:rsidRDefault="00000000">
      <w:pPr>
        <w:rPr>
          <w:color w:val="FF0000"/>
        </w:rPr>
      </w:pPr>
      <w:r w:rsidRPr="00CA0C51">
        <w:rPr>
          <w:rFonts w:ascii="Arial" w:hAnsi="Arial" w:cs="Arial"/>
          <w:sz w:val="22"/>
          <w:szCs w:val="22"/>
        </w:rPr>
        <w:t xml:space="preserve">Another limitation of this research was that it primarily relied on using Google Scholar, UNWTSD, PubMed and Sage Journals as primary databases for research. While this offers broader literature, excluding other databases such as JSTOR or Mintel would further elevate the credibility of the evidence and finding credibility. Moreover, most of the studies had outdated self-reported experiences of childhood, which could introduce recall bias. Consequently, the respondents could have unintentionally missed details of the previous experiences, impacting the reliability of the overall research. </w:t>
      </w:r>
      <w:r>
        <w:br w:type="page"/>
      </w:r>
    </w:p>
    <w:p w14:paraId="4E6C467B" w14:textId="05EE1EBA" w:rsidR="00922A16" w:rsidRPr="00CA0C51" w:rsidRDefault="00000000">
      <w:pPr>
        <w:pStyle w:val="Heading1"/>
        <w:rPr>
          <w:rFonts w:ascii="Arial" w:hAnsi="Arial" w:cs="Arial"/>
        </w:rPr>
      </w:pPr>
      <w:bookmarkStart w:id="10" w:name="_heading=h.x0fr8nh8cgix" w:colFirst="0" w:colLast="0"/>
      <w:bookmarkEnd w:id="10"/>
      <w:r w:rsidRPr="00CA0C51">
        <w:rPr>
          <w:rFonts w:ascii="Arial" w:hAnsi="Arial" w:cs="Arial"/>
        </w:rPr>
        <w:lastRenderedPageBreak/>
        <w:t>Conclusions</w:t>
      </w:r>
    </w:p>
    <w:p w14:paraId="3BCA6EC7" w14:textId="77777777" w:rsidR="00241B21" w:rsidRPr="00CA0C51" w:rsidRDefault="00241B21" w:rsidP="00241B21">
      <w:pPr>
        <w:rPr>
          <w:rFonts w:ascii="Arial" w:hAnsi="Arial" w:cs="Arial"/>
        </w:rPr>
      </w:pPr>
      <w:r w:rsidRPr="00CA0C51">
        <w:rPr>
          <w:rFonts w:ascii="Arial" w:hAnsi="Arial" w:cs="Arial"/>
        </w:rPr>
        <w:t xml:space="preserve">The scoping review has conducted a thorough assessment of the long-term implications of ACE towards mental health in adulthood and care services assistance. The findings offer consistent information in the way ACE exposure is connected with PTSD, anxiety, complicated trauma reactions and depression. The connections between ACE exposure and complicated mental health implications follows a compounding trend. Higher scores of ACE </w:t>
      </w:r>
      <w:proofErr w:type="gramStart"/>
      <w:r w:rsidRPr="00CA0C51">
        <w:rPr>
          <w:rFonts w:ascii="Arial" w:hAnsi="Arial" w:cs="Arial"/>
        </w:rPr>
        <w:t>was</w:t>
      </w:r>
      <w:proofErr w:type="gramEnd"/>
      <w:r w:rsidRPr="00CA0C51">
        <w:rPr>
          <w:rFonts w:ascii="Arial" w:hAnsi="Arial" w:cs="Arial"/>
        </w:rPr>
        <w:t xml:space="preserve"> associated with higher levels of psychological harm. Early stages of adverse experiences tend to influence emotional adjustments, sensitivity towards distress and interpersonal relationships across the lifespan of adults. </w:t>
      </w:r>
    </w:p>
    <w:p w14:paraId="0F07DD88" w14:textId="77777777" w:rsidR="00241B21" w:rsidRPr="00CA0C51" w:rsidRDefault="00241B21">
      <w:pPr>
        <w:rPr>
          <w:rFonts w:ascii="Arial" w:hAnsi="Arial" w:cs="Arial"/>
        </w:rPr>
      </w:pPr>
    </w:p>
    <w:p w14:paraId="61BA9B78" w14:textId="44EB83AF" w:rsidR="00922A16" w:rsidRPr="00CA0C51" w:rsidRDefault="00000000">
      <w:pPr>
        <w:rPr>
          <w:rFonts w:ascii="Arial" w:hAnsi="Arial" w:cs="Arial"/>
        </w:rPr>
      </w:pPr>
      <w:r w:rsidRPr="00CA0C51">
        <w:rPr>
          <w:rFonts w:ascii="Arial" w:hAnsi="Arial" w:cs="Arial"/>
        </w:rPr>
        <w:t xml:space="preserve">Overall, the </w:t>
      </w:r>
      <w:r w:rsidR="007A1C05" w:rsidRPr="00CA0C51">
        <w:rPr>
          <w:rFonts w:ascii="Arial" w:hAnsi="Arial" w:cs="Arial"/>
        </w:rPr>
        <w:t>conclusions</w:t>
      </w:r>
      <w:r w:rsidRPr="00CA0C51">
        <w:rPr>
          <w:rFonts w:ascii="Arial" w:hAnsi="Arial" w:cs="Arial"/>
        </w:rPr>
        <w:t xml:space="preserve"> </w:t>
      </w:r>
      <w:proofErr w:type="gramStart"/>
      <w:r w:rsidRPr="00CA0C51">
        <w:rPr>
          <w:rFonts w:ascii="Arial" w:hAnsi="Arial" w:cs="Arial"/>
        </w:rPr>
        <w:t>has</w:t>
      </w:r>
      <w:proofErr w:type="gramEnd"/>
      <w:r w:rsidRPr="00CA0C51">
        <w:rPr>
          <w:rFonts w:ascii="Arial" w:hAnsi="Arial" w:cs="Arial"/>
        </w:rPr>
        <w:t xml:space="preserve"> stated that ACE operates as a very impactful element, however, the outcome is not an inevitable outcome. Trauma-specific efforts and supportive settings operate as key elements to lower psychological impacts. Additionally, it fosters not just personal but also professional welfare. </w:t>
      </w:r>
    </w:p>
    <w:p w14:paraId="4EEB34FE" w14:textId="77777777" w:rsidR="00922A16" w:rsidRPr="00CA0C51" w:rsidRDefault="00000000">
      <w:pPr>
        <w:rPr>
          <w:rFonts w:ascii="Arial" w:hAnsi="Arial" w:cs="Arial"/>
        </w:rPr>
      </w:pPr>
      <w:r w:rsidRPr="00CA0C51">
        <w:rPr>
          <w:rFonts w:ascii="Arial" w:hAnsi="Arial" w:cs="Arial"/>
        </w:rPr>
        <w:t>Based on the findings, the following recommendations are suggested:</w:t>
      </w:r>
    </w:p>
    <w:p w14:paraId="305CCB6B" w14:textId="77777777" w:rsidR="00922A16" w:rsidRPr="00CA0C51" w:rsidRDefault="00000000">
      <w:pPr>
        <w:numPr>
          <w:ilvl w:val="0"/>
          <w:numId w:val="2"/>
        </w:numPr>
        <w:rPr>
          <w:rFonts w:ascii="Arial" w:hAnsi="Arial" w:cs="Arial"/>
        </w:rPr>
      </w:pPr>
      <w:r w:rsidRPr="00CA0C51">
        <w:rPr>
          <w:rFonts w:ascii="Arial" w:hAnsi="Arial" w:cs="Arial"/>
        </w:rPr>
        <w:t xml:space="preserve">Introduce trauma-specific efforts within the healthcare, social care and education environment to identify underlying ACE-specific concerns and vulnerabilities </w:t>
      </w:r>
      <w:r w:rsidRPr="00CA0C51">
        <w:rPr>
          <w:rFonts w:ascii="Arial" w:hAnsi="Arial" w:cs="Arial"/>
          <w:highlight w:val="white"/>
        </w:rPr>
        <w:t>(Trauma Therapist Institute, 2025)</w:t>
      </w:r>
      <w:r w:rsidRPr="00CA0C51">
        <w:rPr>
          <w:rFonts w:ascii="Arial" w:hAnsi="Arial" w:cs="Arial"/>
        </w:rPr>
        <w:t>.</w:t>
      </w:r>
    </w:p>
    <w:p w14:paraId="72F484DC" w14:textId="77777777" w:rsidR="00922A16" w:rsidRPr="00CA0C51" w:rsidRDefault="00000000">
      <w:pPr>
        <w:numPr>
          <w:ilvl w:val="0"/>
          <w:numId w:val="2"/>
        </w:numPr>
        <w:rPr>
          <w:rFonts w:ascii="Arial" w:hAnsi="Arial" w:cs="Arial"/>
        </w:rPr>
      </w:pPr>
      <w:r w:rsidRPr="00CA0C51">
        <w:rPr>
          <w:rFonts w:ascii="Arial" w:hAnsi="Arial" w:cs="Arial"/>
        </w:rPr>
        <w:t>Reinforce support for mental health in the workplace consistent with peer-supported mechanisms and private counselling sessions (</w:t>
      </w:r>
      <w:r w:rsidRPr="00CA0C51">
        <w:rPr>
          <w:rFonts w:ascii="Arial" w:hAnsi="Arial" w:cs="Arial"/>
          <w:highlight w:val="white"/>
        </w:rPr>
        <w:t xml:space="preserve">Gillard </w:t>
      </w:r>
      <w:r w:rsidRPr="00CA0C51">
        <w:rPr>
          <w:rFonts w:ascii="Arial" w:hAnsi="Arial" w:cs="Arial"/>
          <w:i/>
          <w:iCs/>
          <w:highlight w:val="white"/>
        </w:rPr>
        <w:t xml:space="preserve">et al., </w:t>
      </w:r>
      <w:r w:rsidRPr="00CA0C51">
        <w:rPr>
          <w:rFonts w:ascii="Arial" w:hAnsi="Arial" w:cs="Arial"/>
          <w:highlight w:val="white"/>
        </w:rPr>
        <w:t>2024</w:t>
      </w:r>
      <w:r w:rsidRPr="00CA0C51">
        <w:rPr>
          <w:rFonts w:ascii="Arial" w:hAnsi="Arial" w:cs="Arial"/>
        </w:rPr>
        <w:t>).</w:t>
      </w:r>
    </w:p>
    <w:p w14:paraId="2999E695" w14:textId="77777777" w:rsidR="00922A16" w:rsidRPr="00CA0C51" w:rsidRDefault="00000000">
      <w:pPr>
        <w:numPr>
          <w:ilvl w:val="0"/>
          <w:numId w:val="2"/>
        </w:numPr>
        <w:rPr>
          <w:rFonts w:ascii="Arial" w:hAnsi="Arial" w:cs="Arial"/>
        </w:rPr>
      </w:pPr>
      <w:r w:rsidRPr="00CA0C51">
        <w:rPr>
          <w:rFonts w:ascii="Arial" w:hAnsi="Arial" w:cs="Arial"/>
        </w:rPr>
        <w:t>Offer training for the health and social care professionals to comprehend the compounding influence of ACEs on their emotions and behaviour (</w:t>
      </w:r>
      <w:r w:rsidRPr="00CA0C51">
        <w:rPr>
          <w:rFonts w:ascii="Arial" w:hAnsi="Arial" w:cs="Arial"/>
          <w:highlight w:val="white"/>
        </w:rPr>
        <w:t>Olayemi, 2024</w:t>
      </w:r>
      <w:r w:rsidRPr="00CA0C51">
        <w:rPr>
          <w:rFonts w:ascii="Arial" w:hAnsi="Arial" w:cs="Arial"/>
        </w:rPr>
        <w:t xml:space="preserve">). </w:t>
      </w:r>
    </w:p>
    <w:p w14:paraId="69FB421B" w14:textId="71892E49" w:rsidR="00922A16" w:rsidRPr="00CA0C51" w:rsidRDefault="00000000" w:rsidP="00D647E8">
      <w:pPr>
        <w:numPr>
          <w:ilvl w:val="0"/>
          <w:numId w:val="2"/>
        </w:numPr>
        <w:rPr>
          <w:rFonts w:ascii="Arial" w:hAnsi="Arial" w:cs="Arial"/>
        </w:rPr>
      </w:pPr>
      <w:r w:rsidRPr="00CA0C51">
        <w:rPr>
          <w:rFonts w:ascii="Arial" w:hAnsi="Arial" w:cs="Arial"/>
        </w:rPr>
        <w:t xml:space="preserve">Foster community-focused networks for social assistance to lower isolation and absorb psychological harm </w:t>
      </w:r>
      <w:r w:rsidRPr="00CA0C51">
        <w:rPr>
          <w:rFonts w:ascii="Arial" w:hAnsi="Arial" w:cs="Arial"/>
          <w:highlight w:val="white"/>
        </w:rPr>
        <w:t>(Drageset, 2021)</w:t>
      </w:r>
      <w:r w:rsidRPr="00CA0C51">
        <w:rPr>
          <w:rFonts w:ascii="Arial" w:hAnsi="Arial" w:cs="Arial"/>
        </w:rPr>
        <w:t xml:space="preserve">. </w:t>
      </w:r>
      <w:bookmarkStart w:id="11" w:name="_heading=h.7p9m9r71greb" w:colFirst="0" w:colLast="0"/>
      <w:bookmarkStart w:id="12" w:name="_heading=h.gqmllbcsaews" w:colFirst="0" w:colLast="0"/>
      <w:bookmarkEnd w:id="11"/>
      <w:bookmarkEnd w:id="12"/>
    </w:p>
    <w:p w14:paraId="5686EAA0" w14:textId="77777777" w:rsidR="00922A16" w:rsidRDefault="00922A16">
      <w:pPr>
        <w:jc w:val="center"/>
        <w:rPr>
          <w:b/>
          <w:bCs/>
          <w:highlight w:val="white"/>
        </w:rPr>
      </w:pPr>
    </w:p>
    <w:p w14:paraId="11630196" w14:textId="37DE3A40" w:rsidR="00922A16" w:rsidRDefault="00000000" w:rsidP="00E34EC8">
      <w:pPr>
        <w:rPr>
          <w:highlight w:val="white"/>
        </w:rPr>
      </w:pPr>
      <w:r>
        <w:br w:type="page"/>
      </w:r>
    </w:p>
    <w:p w14:paraId="2E503A84" w14:textId="77777777" w:rsidR="00922A16" w:rsidRDefault="00922A16"/>
    <w:p w14:paraId="095BD0F1" w14:textId="77777777" w:rsidR="00467AAE" w:rsidRDefault="00467AAE"/>
    <w:p w14:paraId="0EC360B5" w14:textId="77777777" w:rsidR="00467AAE" w:rsidRDefault="00467AAE"/>
    <w:p w14:paraId="56F4D24E" w14:textId="77777777" w:rsidR="00467AAE" w:rsidRDefault="00467AAE"/>
    <w:p w14:paraId="41AC7B7C" w14:textId="77777777" w:rsidR="00467AAE" w:rsidRDefault="00467AAE" w:rsidP="00467AAE">
      <w:pPr>
        <w:pStyle w:val="Heading1"/>
      </w:pPr>
      <w:r>
        <w:t>References</w:t>
      </w:r>
    </w:p>
    <w:p w14:paraId="110A156C" w14:textId="77777777" w:rsidR="00467AAE" w:rsidRPr="00CA0C51" w:rsidRDefault="00467AAE" w:rsidP="00467AAE">
      <w:pPr>
        <w:rPr>
          <w:rFonts w:ascii="Arial" w:hAnsi="Arial" w:cs="Arial"/>
          <w:color w:val="000000" w:themeColor="text1"/>
        </w:rPr>
      </w:pPr>
      <w:r w:rsidRPr="00CA0C51">
        <w:rPr>
          <w:rFonts w:ascii="Arial" w:hAnsi="Arial" w:cs="Arial"/>
          <w:color w:val="000000" w:themeColor="text1"/>
          <w:highlight w:val="white"/>
        </w:rPr>
        <w:t xml:space="preserve">Akil, H. and Nestler, E.J., (2023). The neurobiology of stress: Vulnerability, resilience, and major depression. </w:t>
      </w:r>
      <w:r w:rsidRPr="00CA0C51">
        <w:rPr>
          <w:rFonts w:ascii="Arial" w:hAnsi="Arial" w:cs="Arial"/>
          <w:i/>
          <w:iCs/>
          <w:color w:val="000000" w:themeColor="text1"/>
          <w:highlight w:val="white"/>
        </w:rPr>
        <w:t>Proceedings of the National Academy of Sciences</w:t>
      </w:r>
      <w:r w:rsidRPr="00CA0C51">
        <w:rPr>
          <w:rFonts w:ascii="Arial" w:hAnsi="Arial" w:cs="Arial"/>
          <w:color w:val="000000" w:themeColor="text1"/>
          <w:highlight w:val="white"/>
        </w:rPr>
        <w:t xml:space="preserve">, </w:t>
      </w:r>
      <w:r w:rsidRPr="00CA0C51">
        <w:rPr>
          <w:rFonts w:ascii="Arial" w:hAnsi="Arial" w:cs="Arial"/>
          <w:i/>
          <w:iCs/>
          <w:color w:val="000000" w:themeColor="text1"/>
          <w:highlight w:val="white"/>
        </w:rPr>
        <w:t>120</w:t>
      </w:r>
      <w:r w:rsidRPr="00CA0C51">
        <w:rPr>
          <w:rFonts w:ascii="Arial" w:hAnsi="Arial" w:cs="Arial"/>
          <w:color w:val="000000" w:themeColor="text1"/>
          <w:highlight w:val="white"/>
        </w:rPr>
        <w:t xml:space="preserve">(49), </w:t>
      </w:r>
      <w:proofErr w:type="gramStart"/>
      <w:r w:rsidRPr="00CA0C51">
        <w:rPr>
          <w:rFonts w:ascii="Arial" w:hAnsi="Arial" w:cs="Arial"/>
          <w:color w:val="000000" w:themeColor="text1"/>
          <w:highlight w:val="white"/>
        </w:rPr>
        <w:t>p.e</w:t>
      </w:r>
      <w:proofErr w:type="gramEnd"/>
      <w:r w:rsidRPr="00CA0C51">
        <w:rPr>
          <w:rFonts w:ascii="Arial" w:hAnsi="Arial" w:cs="Arial"/>
          <w:color w:val="000000" w:themeColor="text1"/>
          <w:highlight w:val="white"/>
        </w:rPr>
        <w:t>2312662120.</w:t>
      </w:r>
      <w:r w:rsidRPr="00CA0C51">
        <w:rPr>
          <w:rFonts w:ascii="Arial" w:hAnsi="Arial" w:cs="Arial"/>
          <w:color w:val="000000" w:themeColor="text1"/>
        </w:rPr>
        <w:t>‌</w:t>
      </w:r>
    </w:p>
    <w:p w14:paraId="4AE48DC0" w14:textId="77777777" w:rsidR="00467AAE" w:rsidRPr="00CA0C51" w:rsidRDefault="00467AAE" w:rsidP="00467AAE">
      <w:pPr>
        <w:rPr>
          <w:rFonts w:ascii="Arial" w:hAnsi="Arial" w:cs="Arial"/>
          <w:color w:val="000000" w:themeColor="text1"/>
        </w:rPr>
      </w:pPr>
      <w:r w:rsidRPr="00CA0C51">
        <w:rPr>
          <w:rFonts w:ascii="Arial" w:hAnsi="Arial" w:cs="Arial"/>
          <w:color w:val="000000" w:themeColor="text1"/>
        </w:rPr>
        <w:t xml:space="preserve">Anxious Minds (2025). </w:t>
      </w:r>
      <w:r w:rsidRPr="00CA0C51">
        <w:rPr>
          <w:rFonts w:ascii="Arial" w:hAnsi="Arial" w:cs="Arial"/>
          <w:i/>
          <w:iCs/>
          <w:color w:val="000000" w:themeColor="text1"/>
        </w:rPr>
        <w:t>The Impact of Childhood Experiences on Adult Mental Health</w:t>
      </w:r>
      <w:r w:rsidRPr="00CA0C51">
        <w:rPr>
          <w:rFonts w:ascii="Arial" w:hAnsi="Arial" w:cs="Arial"/>
          <w:color w:val="000000" w:themeColor="text1"/>
        </w:rPr>
        <w:t xml:space="preserve">. [online] Anxious Minds. Available at: </w:t>
      </w:r>
      <w:hyperlink r:id="rId11">
        <w:r w:rsidRPr="00CA0C51">
          <w:rPr>
            <w:rFonts w:ascii="Arial" w:hAnsi="Arial" w:cs="Arial"/>
            <w:color w:val="000000" w:themeColor="text1"/>
            <w:u w:val="single"/>
          </w:rPr>
          <w:t>https://www.anxiousminds.co.uk/impact-childhood-experiences-mental-health/</w:t>
        </w:r>
      </w:hyperlink>
      <w:r w:rsidRPr="00CA0C51">
        <w:rPr>
          <w:rFonts w:ascii="Arial" w:hAnsi="Arial" w:cs="Arial"/>
          <w:color w:val="000000" w:themeColor="text1"/>
        </w:rPr>
        <w:t xml:space="preserve"> [Accessed 14 Feb. 2026].</w:t>
      </w:r>
    </w:p>
    <w:p w14:paraId="3D1EDD76" w14:textId="77777777" w:rsidR="00467AAE" w:rsidRPr="00CA0C51" w:rsidRDefault="00467AAE" w:rsidP="00467AAE">
      <w:pPr>
        <w:rPr>
          <w:rFonts w:ascii="Arial" w:hAnsi="Arial" w:cs="Arial"/>
          <w:color w:val="000000" w:themeColor="text1"/>
          <w:highlight w:val="white"/>
        </w:rPr>
      </w:pPr>
      <w:r w:rsidRPr="00CA0C51">
        <w:rPr>
          <w:rFonts w:ascii="Arial" w:hAnsi="Arial" w:cs="Arial"/>
          <w:color w:val="000000" w:themeColor="text1"/>
          <w:highlight w:val="white"/>
        </w:rPr>
        <w:t xml:space="preserve">Appleton, R., Gauly, J., Mughal, F., Singh, S.P. and Tuomainen, H., (2022). Perspectives of young people who access support for mental health in primary care: a systematic review of their experiences and needs. </w:t>
      </w:r>
      <w:r w:rsidRPr="00CA0C51">
        <w:rPr>
          <w:rFonts w:ascii="Arial" w:hAnsi="Arial" w:cs="Arial"/>
          <w:i/>
          <w:iCs/>
          <w:color w:val="000000" w:themeColor="text1"/>
          <w:highlight w:val="white"/>
        </w:rPr>
        <w:t>The British Journal of General Practice</w:t>
      </w:r>
      <w:r w:rsidRPr="00CA0C51">
        <w:rPr>
          <w:rFonts w:ascii="Arial" w:hAnsi="Arial" w:cs="Arial"/>
          <w:color w:val="000000" w:themeColor="text1"/>
          <w:highlight w:val="white"/>
        </w:rPr>
        <w:t xml:space="preserve">, </w:t>
      </w:r>
      <w:r w:rsidRPr="00CA0C51">
        <w:rPr>
          <w:rFonts w:ascii="Arial" w:hAnsi="Arial" w:cs="Arial"/>
          <w:i/>
          <w:iCs/>
          <w:color w:val="000000" w:themeColor="text1"/>
          <w:highlight w:val="white"/>
        </w:rPr>
        <w:t>72</w:t>
      </w:r>
      <w:r w:rsidRPr="00CA0C51">
        <w:rPr>
          <w:rFonts w:ascii="Arial" w:hAnsi="Arial" w:cs="Arial"/>
          <w:color w:val="000000" w:themeColor="text1"/>
          <w:highlight w:val="white"/>
        </w:rPr>
        <w:t>(716), p.e161.</w:t>
      </w:r>
    </w:p>
    <w:p w14:paraId="6422C21F" w14:textId="77777777" w:rsidR="00467AAE" w:rsidRPr="00CA0C51" w:rsidRDefault="00467AAE" w:rsidP="00467AAE">
      <w:pPr>
        <w:rPr>
          <w:rFonts w:ascii="Arial" w:hAnsi="Arial" w:cs="Arial"/>
          <w:color w:val="000000" w:themeColor="text1"/>
        </w:rPr>
      </w:pPr>
      <w:r w:rsidRPr="00CA0C51">
        <w:rPr>
          <w:rFonts w:ascii="Arial" w:hAnsi="Arial" w:cs="Arial"/>
          <w:color w:val="000000" w:themeColor="text1"/>
        </w:rPr>
        <w:t xml:space="preserve">Buus, N., Nygaard, L., Berring, L.L., Hybholt, L., </w:t>
      </w:r>
      <w:proofErr w:type="spellStart"/>
      <w:r w:rsidRPr="00CA0C51">
        <w:rPr>
          <w:rFonts w:ascii="Arial" w:hAnsi="Arial" w:cs="Arial"/>
          <w:color w:val="000000" w:themeColor="text1"/>
        </w:rPr>
        <w:t>Kamionka</w:t>
      </w:r>
      <w:proofErr w:type="spellEnd"/>
      <w:r w:rsidRPr="00CA0C51">
        <w:rPr>
          <w:rFonts w:ascii="Arial" w:hAnsi="Arial" w:cs="Arial"/>
          <w:color w:val="000000" w:themeColor="text1"/>
        </w:rPr>
        <w:t xml:space="preserve">, S.L., Rossen, C.B., Søndergaard, R. and Juel, A., (2022). Arksey and O′ </w:t>
      </w:r>
      <w:proofErr w:type="spellStart"/>
      <w:r w:rsidRPr="00CA0C51">
        <w:rPr>
          <w:rFonts w:ascii="Arial" w:hAnsi="Arial" w:cs="Arial"/>
          <w:color w:val="000000" w:themeColor="text1"/>
        </w:rPr>
        <w:t>Malleyʼs</w:t>
      </w:r>
      <w:proofErr w:type="spellEnd"/>
      <w:r w:rsidRPr="00CA0C51">
        <w:rPr>
          <w:rFonts w:ascii="Arial" w:hAnsi="Arial" w:cs="Arial"/>
          <w:color w:val="000000" w:themeColor="text1"/>
        </w:rPr>
        <w:t xml:space="preserve"> consultation exercise in scoping reviews: A critical review. </w:t>
      </w:r>
      <w:r w:rsidRPr="00CA0C51">
        <w:rPr>
          <w:rFonts w:ascii="Arial" w:hAnsi="Arial" w:cs="Arial"/>
          <w:i/>
          <w:iCs/>
          <w:color w:val="000000" w:themeColor="text1"/>
        </w:rPr>
        <w:t>Journal of advanced nursing</w:t>
      </w:r>
      <w:r w:rsidRPr="00CA0C51">
        <w:rPr>
          <w:rFonts w:ascii="Arial" w:hAnsi="Arial" w:cs="Arial"/>
          <w:color w:val="000000" w:themeColor="text1"/>
        </w:rPr>
        <w:t xml:space="preserve">, </w:t>
      </w:r>
      <w:r w:rsidRPr="00CA0C51">
        <w:rPr>
          <w:rFonts w:ascii="Arial" w:hAnsi="Arial" w:cs="Arial"/>
          <w:i/>
          <w:iCs/>
          <w:color w:val="000000" w:themeColor="text1"/>
        </w:rPr>
        <w:t>78</w:t>
      </w:r>
      <w:r w:rsidRPr="00CA0C51">
        <w:rPr>
          <w:rFonts w:ascii="Arial" w:hAnsi="Arial" w:cs="Arial"/>
          <w:color w:val="000000" w:themeColor="text1"/>
        </w:rPr>
        <w:t>(8), pp.2304-2312.</w:t>
      </w:r>
    </w:p>
    <w:p w14:paraId="247DF954" w14:textId="77777777" w:rsidR="00467AAE" w:rsidRPr="00CA0C51" w:rsidRDefault="00467AAE" w:rsidP="00467AAE">
      <w:pPr>
        <w:rPr>
          <w:rFonts w:ascii="Arial" w:hAnsi="Arial" w:cs="Arial"/>
          <w:color w:val="000000" w:themeColor="text1"/>
          <w:highlight w:val="white"/>
        </w:rPr>
      </w:pPr>
      <w:proofErr w:type="spellStart"/>
      <w:r w:rsidRPr="00CA0C51">
        <w:rPr>
          <w:rFonts w:ascii="Arial" w:hAnsi="Arial" w:cs="Arial"/>
          <w:color w:val="000000" w:themeColor="text1"/>
          <w:highlight w:val="white"/>
        </w:rPr>
        <w:t>Cernasev</w:t>
      </w:r>
      <w:proofErr w:type="spellEnd"/>
      <w:r w:rsidRPr="00CA0C51">
        <w:rPr>
          <w:rFonts w:ascii="Arial" w:hAnsi="Arial" w:cs="Arial"/>
          <w:color w:val="000000" w:themeColor="text1"/>
          <w:highlight w:val="white"/>
        </w:rPr>
        <w:t xml:space="preserve">, A. and Axon, D.R., (2023). Research and scholarly methods: Thematic analysis. </w:t>
      </w:r>
      <w:r w:rsidRPr="00CA0C51">
        <w:rPr>
          <w:rFonts w:ascii="Arial" w:hAnsi="Arial" w:cs="Arial"/>
          <w:i/>
          <w:iCs/>
          <w:color w:val="000000" w:themeColor="text1"/>
          <w:highlight w:val="white"/>
        </w:rPr>
        <w:t>Journal of the American College of Clinical Pharmacy</w:t>
      </w:r>
      <w:r w:rsidRPr="00CA0C51">
        <w:rPr>
          <w:rFonts w:ascii="Arial" w:hAnsi="Arial" w:cs="Arial"/>
          <w:color w:val="000000" w:themeColor="text1"/>
          <w:highlight w:val="white"/>
        </w:rPr>
        <w:t xml:space="preserve">, </w:t>
      </w:r>
      <w:r w:rsidRPr="00CA0C51">
        <w:rPr>
          <w:rFonts w:ascii="Arial" w:hAnsi="Arial" w:cs="Arial"/>
          <w:i/>
          <w:iCs/>
          <w:color w:val="000000" w:themeColor="text1"/>
          <w:highlight w:val="white"/>
        </w:rPr>
        <w:t>6</w:t>
      </w:r>
      <w:r w:rsidRPr="00CA0C51">
        <w:rPr>
          <w:rFonts w:ascii="Arial" w:hAnsi="Arial" w:cs="Arial"/>
          <w:color w:val="000000" w:themeColor="text1"/>
          <w:highlight w:val="white"/>
        </w:rPr>
        <w:t>(7), pp.751-755.</w:t>
      </w:r>
    </w:p>
    <w:p w14:paraId="0FD2CBBC" w14:textId="77777777" w:rsidR="00467AAE" w:rsidRPr="00CA0C51" w:rsidRDefault="00467AAE" w:rsidP="00467AAE">
      <w:pPr>
        <w:rPr>
          <w:rFonts w:ascii="Arial" w:hAnsi="Arial" w:cs="Arial"/>
          <w:color w:val="000000" w:themeColor="text1"/>
          <w:highlight w:val="white"/>
        </w:rPr>
      </w:pPr>
      <w:r w:rsidRPr="00CA0C51">
        <w:rPr>
          <w:rFonts w:ascii="Arial" w:hAnsi="Arial" w:cs="Arial"/>
          <w:color w:val="000000" w:themeColor="text1"/>
          <w:highlight w:val="white"/>
        </w:rPr>
        <w:t xml:space="preserve">Chima, T., Chawinga, W.D. and Chipeta, G.T., (2024). Use of online databases by undergraduate students at a health sciences college in Malawi. </w:t>
      </w:r>
      <w:r w:rsidRPr="00CA0C51">
        <w:rPr>
          <w:rFonts w:ascii="Arial" w:hAnsi="Arial" w:cs="Arial"/>
          <w:i/>
          <w:iCs/>
          <w:color w:val="000000" w:themeColor="text1"/>
          <w:highlight w:val="white"/>
        </w:rPr>
        <w:t>International Information &amp; Library Review</w:t>
      </w:r>
      <w:r w:rsidRPr="00CA0C51">
        <w:rPr>
          <w:rFonts w:ascii="Arial" w:hAnsi="Arial" w:cs="Arial"/>
          <w:color w:val="000000" w:themeColor="text1"/>
          <w:highlight w:val="white"/>
        </w:rPr>
        <w:t xml:space="preserve">, </w:t>
      </w:r>
      <w:r w:rsidRPr="00CA0C51">
        <w:rPr>
          <w:rFonts w:ascii="Arial" w:hAnsi="Arial" w:cs="Arial"/>
          <w:i/>
          <w:iCs/>
          <w:color w:val="000000" w:themeColor="text1"/>
          <w:highlight w:val="white"/>
        </w:rPr>
        <w:t>56</w:t>
      </w:r>
      <w:r w:rsidRPr="00CA0C51">
        <w:rPr>
          <w:rFonts w:ascii="Arial" w:hAnsi="Arial" w:cs="Arial"/>
          <w:color w:val="000000" w:themeColor="text1"/>
          <w:highlight w:val="white"/>
        </w:rPr>
        <w:t>(1), pp.1-18.</w:t>
      </w:r>
    </w:p>
    <w:p w14:paraId="24DE91F6" w14:textId="77777777" w:rsidR="00467AAE" w:rsidRPr="00CA0C51" w:rsidRDefault="00467AAE" w:rsidP="00467AAE">
      <w:pPr>
        <w:rPr>
          <w:rFonts w:ascii="Arial" w:hAnsi="Arial" w:cs="Arial"/>
          <w:color w:val="000000" w:themeColor="text1"/>
        </w:rPr>
      </w:pPr>
      <w:r w:rsidRPr="00CA0C51">
        <w:rPr>
          <w:rFonts w:ascii="Arial" w:hAnsi="Arial" w:cs="Arial"/>
          <w:color w:val="000000" w:themeColor="text1"/>
          <w:highlight w:val="white"/>
        </w:rPr>
        <w:t xml:space="preserve">Crellin, A., Manti, A.M., Tucker, H., Foulds, G. and McSherry, P., (2025). </w:t>
      </w:r>
      <w:proofErr w:type="spellStart"/>
      <w:r w:rsidRPr="00CA0C51">
        <w:rPr>
          <w:rFonts w:ascii="Arial" w:hAnsi="Arial" w:cs="Arial"/>
          <w:color w:val="000000" w:themeColor="text1"/>
          <w:highlight w:val="white"/>
        </w:rPr>
        <w:t>HomeFirst</w:t>
      </w:r>
      <w:proofErr w:type="spellEnd"/>
      <w:r w:rsidRPr="00CA0C51">
        <w:rPr>
          <w:rFonts w:ascii="Arial" w:hAnsi="Arial" w:cs="Arial"/>
          <w:color w:val="000000" w:themeColor="text1"/>
          <w:highlight w:val="white"/>
        </w:rPr>
        <w:t xml:space="preserve">: An Evaluation of a Multi-Agency Approach to Supporting People with Significant Mental Health Problems to Remain in the Community. </w:t>
      </w:r>
      <w:r w:rsidRPr="00CA0C51">
        <w:rPr>
          <w:rFonts w:ascii="Arial" w:hAnsi="Arial" w:cs="Arial"/>
          <w:i/>
          <w:iCs/>
          <w:color w:val="000000" w:themeColor="text1"/>
          <w:highlight w:val="white"/>
        </w:rPr>
        <w:t>Journal of Psychosocial Rehabilitation and Mental Health</w:t>
      </w:r>
      <w:r w:rsidRPr="00CA0C51">
        <w:rPr>
          <w:rFonts w:ascii="Arial" w:hAnsi="Arial" w:cs="Arial"/>
          <w:color w:val="000000" w:themeColor="text1"/>
          <w:highlight w:val="white"/>
        </w:rPr>
        <w:t>, pp.1-12.</w:t>
      </w:r>
      <w:r w:rsidRPr="00CA0C51">
        <w:rPr>
          <w:rFonts w:ascii="Arial" w:hAnsi="Arial" w:cs="Arial"/>
          <w:color w:val="000000" w:themeColor="text1"/>
        </w:rPr>
        <w:t>‌</w:t>
      </w:r>
    </w:p>
    <w:p w14:paraId="099259B8" w14:textId="77777777" w:rsidR="00467AAE" w:rsidRPr="00CA0C51" w:rsidRDefault="00467AAE" w:rsidP="00467AAE">
      <w:pPr>
        <w:rPr>
          <w:rFonts w:ascii="Arial" w:hAnsi="Arial" w:cs="Arial"/>
          <w:color w:val="000000" w:themeColor="text1"/>
          <w:highlight w:val="white"/>
        </w:rPr>
      </w:pPr>
      <w:r w:rsidRPr="00CA0C51">
        <w:rPr>
          <w:rFonts w:ascii="Arial" w:hAnsi="Arial" w:cs="Arial"/>
          <w:color w:val="000000" w:themeColor="text1"/>
          <w:highlight w:val="white"/>
        </w:rPr>
        <w:lastRenderedPageBreak/>
        <w:t>Daníelsdóttir, H.B., Aspelund, T., Shen, Q., Halldorsdottir, T., Jakobsdóttir, J., Song, H., Lu, D., Kuja-</w:t>
      </w:r>
      <w:proofErr w:type="spellStart"/>
      <w:r w:rsidRPr="00CA0C51">
        <w:rPr>
          <w:rFonts w:ascii="Arial" w:hAnsi="Arial" w:cs="Arial"/>
          <w:color w:val="000000" w:themeColor="text1"/>
          <w:highlight w:val="white"/>
        </w:rPr>
        <w:t>Halkola</w:t>
      </w:r>
      <w:proofErr w:type="spellEnd"/>
      <w:r w:rsidRPr="00CA0C51">
        <w:rPr>
          <w:rFonts w:ascii="Arial" w:hAnsi="Arial" w:cs="Arial"/>
          <w:color w:val="000000" w:themeColor="text1"/>
          <w:highlight w:val="white"/>
        </w:rPr>
        <w:t xml:space="preserve">, R., Larsson, H., Fall, K. and Magnusson, P.K., (2024). Adverse childhood experiences and adult mental health outcomes. </w:t>
      </w:r>
      <w:r w:rsidRPr="00CA0C51">
        <w:rPr>
          <w:rFonts w:ascii="Arial" w:hAnsi="Arial" w:cs="Arial"/>
          <w:i/>
          <w:iCs/>
          <w:color w:val="000000" w:themeColor="text1"/>
          <w:highlight w:val="white"/>
        </w:rPr>
        <w:t>JAMA psychiatry</w:t>
      </w:r>
      <w:r w:rsidRPr="00CA0C51">
        <w:rPr>
          <w:rFonts w:ascii="Arial" w:hAnsi="Arial" w:cs="Arial"/>
          <w:color w:val="000000" w:themeColor="text1"/>
          <w:highlight w:val="white"/>
        </w:rPr>
        <w:t xml:space="preserve">, </w:t>
      </w:r>
      <w:r w:rsidRPr="00CA0C51">
        <w:rPr>
          <w:rFonts w:ascii="Arial" w:hAnsi="Arial" w:cs="Arial"/>
          <w:i/>
          <w:iCs/>
          <w:color w:val="000000" w:themeColor="text1"/>
          <w:highlight w:val="white"/>
        </w:rPr>
        <w:t>81</w:t>
      </w:r>
      <w:r w:rsidRPr="00CA0C51">
        <w:rPr>
          <w:rFonts w:ascii="Arial" w:hAnsi="Arial" w:cs="Arial"/>
          <w:color w:val="000000" w:themeColor="text1"/>
          <w:highlight w:val="white"/>
        </w:rPr>
        <w:t>(6), pp.586-594.</w:t>
      </w:r>
    </w:p>
    <w:p w14:paraId="4E88A908" w14:textId="77777777" w:rsidR="00467AAE" w:rsidRPr="00CA0C51" w:rsidRDefault="00467AAE" w:rsidP="00467AAE">
      <w:pPr>
        <w:rPr>
          <w:rFonts w:ascii="Arial" w:hAnsi="Arial" w:cs="Arial"/>
          <w:sz w:val="22"/>
          <w:szCs w:val="22"/>
          <w:highlight w:val="white"/>
        </w:rPr>
      </w:pPr>
      <w:r w:rsidRPr="00CA0C51">
        <w:rPr>
          <w:rFonts w:ascii="Arial" w:hAnsi="Arial" w:cs="Arial"/>
          <w:sz w:val="22"/>
          <w:szCs w:val="22"/>
          <w:highlight w:val="white"/>
        </w:rPr>
        <w:t xml:space="preserve">Drageset, J. (2021). Social Support. </w:t>
      </w:r>
      <w:r w:rsidRPr="00CA0C51">
        <w:rPr>
          <w:rFonts w:ascii="Arial" w:hAnsi="Arial" w:cs="Arial"/>
          <w:i/>
          <w:iCs/>
          <w:sz w:val="22"/>
          <w:szCs w:val="22"/>
          <w:highlight w:val="white"/>
        </w:rPr>
        <w:t>Health Promotion in Health Care – Vital Theories and Research</w:t>
      </w:r>
      <w:r w:rsidRPr="00CA0C51">
        <w:rPr>
          <w:rFonts w:ascii="Arial" w:hAnsi="Arial" w:cs="Arial"/>
          <w:sz w:val="22"/>
          <w:szCs w:val="22"/>
          <w:highlight w:val="white"/>
        </w:rPr>
        <w:t xml:space="preserve">, [online] pp.137–144. </w:t>
      </w:r>
      <w:proofErr w:type="spellStart"/>
      <w:r w:rsidRPr="00CA0C51">
        <w:rPr>
          <w:rFonts w:ascii="Arial" w:hAnsi="Arial" w:cs="Arial"/>
          <w:sz w:val="22"/>
          <w:szCs w:val="22"/>
          <w:highlight w:val="white"/>
        </w:rPr>
        <w:t>doi:</w:t>
      </w:r>
      <w:hyperlink r:id="rId12">
        <w:r w:rsidRPr="00CA0C51">
          <w:rPr>
            <w:rFonts w:ascii="Arial" w:hAnsi="Arial" w:cs="Arial"/>
            <w:sz w:val="22"/>
            <w:szCs w:val="22"/>
            <w:highlight w:val="white"/>
            <w:u w:val="single"/>
          </w:rPr>
          <w:t>https</w:t>
        </w:r>
        <w:proofErr w:type="spellEnd"/>
        <w:r w:rsidRPr="00CA0C51">
          <w:rPr>
            <w:rFonts w:ascii="Arial" w:hAnsi="Arial" w:cs="Arial"/>
            <w:sz w:val="22"/>
            <w:szCs w:val="22"/>
            <w:highlight w:val="white"/>
            <w:u w:val="single"/>
          </w:rPr>
          <w:t>://doi.org/10.1007/978-3-030-63135-2_11</w:t>
        </w:r>
      </w:hyperlink>
      <w:r w:rsidRPr="00CA0C51">
        <w:rPr>
          <w:rFonts w:ascii="Arial" w:hAnsi="Arial" w:cs="Arial"/>
          <w:sz w:val="22"/>
          <w:szCs w:val="22"/>
          <w:highlight w:val="white"/>
        </w:rPr>
        <w:t xml:space="preserve">. </w:t>
      </w:r>
    </w:p>
    <w:p w14:paraId="6BC972CB" w14:textId="77777777" w:rsidR="00467AAE" w:rsidRPr="00CA0C51" w:rsidRDefault="00467AAE" w:rsidP="00467AAE">
      <w:pPr>
        <w:rPr>
          <w:rFonts w:ascii="Arial" w:hAnsi="Arial" w:cs="Arial"/>
          <w:sz w:val="22"/>
          <w:szCs w:val="22"/>
          <w:highlight w:val="white"/>
        </w:rPr>
      </w:pPr>
      <w:r w:rsidRPr="00CA0C51">
        <w:rPr>
          <w:rFonts w:ascii="Arial" w:hAnsi="Arial" w:cs="Arial"/>
          <w:sz w:val="22"/>
          <w:szCs w:val="22"/>
          <w:highlight w:val="white"/>
        </w:rPr>
        <w:t xml:space="preserve">Gillard, S., Foster, R., White, S., Bhattacharya, R., Binfield, P., </w:t>
      </w:r>
      <w:proofErr w:type="spellStart"/>
      <w:r w:rsidRPr="00CA0C51">
        <w:rPr>
          <w:rFonts w:ascii="Arial" w:hAnsi="Arial" w:cs="Arial"/>
          <w:sz w:val="22"/>
          <w:szCs w:val="22"/>
          <w:highlight w:val="white"/>
        </w:rPr>
        <w:t>Eborall</w:t>
      </w:r>
      <w:proofErr w:type="spellEnd"/>
      <w:r w:rsidRPr="00CA0C51">
        <w:rPr>
          <w:rFonts w:ascii="Arial" w:hAnsi="Arial" w:cs="Arial"/>
          <w:sz w:val="22"/>
          <w:szCs w:val="22"/>
          <w:highlight w:val="white"/>
        </w:rPr>
        <w:t xml:space="preserve">, R., Gibson, S.L., Harnett, D., Simpson, A., Lucock, M. and Marks, J., (2024). Implementing peer support into practice in mental health services: a qualitative comparative case study. </w:t>
      </w:r>
      <w:r w:rsidRPr="00CA0C51">
        <w:rPr>
          <w:rFonts w:ascii="Arial" w:hAnsi="Arial" w:cs="Arial"/>
          <w:i/>
          <w:iCs/>
          <w:sz w:val="22"/>
          <w:szCs w:val="22"/>
          <w:highlight w:val="white"/>
        </w:rPr>
        <w:t>BMC health services research</w:t>
      </w:r>
      <w:r w:rsidRPr="00CA0C51">
        <w:rPr>
          <w:rFonts w:ascii="Arial" w:hAnsi="Arial" w:cs="Arial"/>
          <w:sz w:val="22"/>
          <w:szCs w:val="22"/>
          <w:highlight w:val="white"/>
        </w:rPr>
        <w:t xml:space="preserve">, </w:t>
      </w:r>
      <w:r w:rsidRPr="00CA0C51">
        <w:rPr>
          <w:rFonts w:ascii="Arial" w:hAnsi="Arial" w:cs="Arial"/>
          <w:i/>
          <w:iCs/>
          <w:sz w:val="22"/>
          <w:szCs w:val="22"/>
          <w:highlight w:val="white"/>
        </w:rPr>
        <w:t>24</w:t>
      </w:r>
      <w:r w:rsidRPr="00CA0C51">
        <w:rPr>
          <w:rFonts w:ascii="Arial" w:hAnsi="Arial" w:cs="Arial"/>
          <w:sz w:val="22"/>
          <w:szCs w:val="22"/>
          <w:highlight w:val="white"/>
        </w:rPr>
        <w:t>(1), p.1050.</w:t>
      </w:r>
    </w:p>
    <w:p w14:paraId="2A45BC40" w14:textId="77777777" w:rsidR="00467AAE" w:rsidRPr="00CA0C51" w:rsidRDefault="00467AAE" w:rsidP="00467AAE">
      <w:pPr>
        <w:rPr>
          <w:rFonts w:ascii="Arial" w:hAnsi="Arial" w:cs="Arial"/>
          <w:sz w:val="22"/>
          <w:szCs w:val="22"/>
          <w:highlight w:val="white"/>
        </w:rPr>
      </w:pPr>
      <w:r w:rsidRPr="00CA0C51">
        <w:rPr>
          <w:rFonts w:ascii="Arial" w:hAnsi="Arial" w:cs="Arial"/>
          <w:sz w:val="22"/>
          <w:szCs w:val="22"/>
          <w:highlight w:val="white"/>
        </w:rPr>
        <w:t xml:space="preserve">Hall, A.J., Goodwin, V.A., </w:t>
      </w:r>
      <w:proofErr w:type="spellStart"/>
      <w:r w:rsidRPr="00CA0C51">
        <w:rPr>
          <w:rFonts w:ascii="Arial" w:hAnsi="Arial" w:cs="Arial"/>
          <w:sz w:val="22"/>
          <w:szCs w:val="22"/>
          <w:highlight w:val="white"/>
        </w:rPr>
        <w:t>Allchurch</w:t>
      </w:r>
      <w:proofErr w:type="spellEnd"/>
      <w:r w:rsidRPr="00CA0C51">
        <w:rPr>
          <w:rFonts w:ascii="Arial" w:hAnsi="Arial" w:cs="Arial"/>
          <w:sz w:val="22"/>
          <w:szCs w:val="22"/>
          <w:highlight w:val="white"/>
        </w:rPr>
        <w:t xml:space="preserve">, L., Capon, L., Farrell, V., Olufunmilayo, O. and Griffin, R., (2024). Feeling valued at work: a qualitative exploration of allied health profession support workers. </w:t>
      </w:r>
      <w:r w:rsidRPr="00CA0C51">
        <w:rPr>
          <w:rFonts w:ascii="Arial" w:hAnsi="Arial" w:cs="Arial"/>
          <w:i/>
          <w:iCs/>
          <w:sz w:val="22"/>
          <w:szCs w:val="22"/>
          <w:highlight w:val="white"/>
        </w:rPr>
        <w:t>BMC health services research</w:t>
      </w:r>
      <w:r w:rsidRPr="00CA0C51">
        <w:rPr>
          <w:rFonts w:ascii="Arial" w:hAnsi="Arial" w:cs="Arial"/>
          <w:sz w:val="22"/>
          <w:szCs w:val="22"/>
          <w:highlight w:val="white"/>
        </w:rPr>
        <w:t xml:space="preserve">, </w:t>
      </w:r>
      <w:r w:rsidRPr="00CA0C51">
        <w:rPr>
          <w:rFonts w:ascii="Arial" w:hAnsi="Arial" w:cs="Arial"/>
          <w:i/>
          <w:iCs/>
          <w:sz w:val="22"/>
          <w:szCs w:val="22"/>
          <w:highlight w:val="white"/>
        </w:rPr>
        <w:t>24</w:t>
      </w:r>
      <w:r w:rsidRPr="00CA0C51">
        <w:rPr>
          <w:rFonts w:ascii="Arial" w:hAnsi="Arial" w:cs="Arial"/>
          <w:sz w:val="22"/>
          <w:szCs w:val="22"/>
          <w:highlight w:val="white"/>
        </w:rPr>
        <w:t>(1), p.1511.</w:t>
      </w:r>
    </w:p>
    <w:p w14:paraId="5053A94F" w14:textId="77777777" w:rsidR="00467AAE" w:rsidRPr="00CA0C51" w:rsidRDefault="00467AAE" w:rsidP="00467AAE">
      <w:pPr>
        <w:rPr>
          <w:rFonts w:ascii="Arial" w:hAnsi="Arial" w:cs="Arial"/>
          <w:sz w:val="22"/>
          <w:szCs w:val="22"/>
          <w:highlight w:val="white"/>
        </w:rPr>
      </w:pPr>
      <w:r w:rsidRPr="00CA0C51">
        <w:rPr>
          <w:rFonts w:ascii="Arial" w:hAnsi="Arial" w:cs="Arial"/>
          <w:sz w:val="22"/>
          <w:szCs w:val="22"/>
          <w:highlight w:val="white"/>
        </w:rPr>
        <w:t xml:space="preserve">Hess, C., Abdulla, Z., Finzel, L., </w:t>
      </w:r>
      <w:proofErr w:type="spellStart"/>
      <w:r w:rsidRPr="00CA0C51">
        <w:rPr>
          <w:rFonts w:ascii="Arial" w:hAnsi="Arial" w:cs="Arial"/>
          <w:sz w:val="22"/>
          <w:szCs w:val="22"/>
          <w:highlight w:val="white"/>
        </w:rPr>
        <w:t>Semkina</w:t>
      </w:r>
      <w:proofErr w:type="spellEnd"/>
      <w:r w:rsidRPr="00CA0C51">
        <w:rPr>
          <w:rFonts w:ascii="Arial" w:hAnsi="Arial" w:cs="Arial"/>
          <w:sz w:val="22"/>
          <w:szCs w:val="22"/>
          <w:highlight w:val="white"/>
        </w:rPr>
        <w:t xml:space="preserve">, A., Harris, J., Boaz, A. and Manthorpe, J., (2025). A systematic narrative review of the research evidence of the impact of intersectionality on service engagement and help-seeking across different groups of women, trans women, and non-binary individuals experiencing homelessness and housing exclusion. </w:t>
      </w:r>
      <w:proofErr w:type="spellStart"/>
      <w:r w:rsidRPr="00CA0C51">
        <w:rPr>
          <w:rFonts w:ascii="Arial" w:hAnsi="Arial" w:cs="Arial"/>
          <w:i/>
          <w:iCs/>
          <w:sz w:val="22"/>
          <w:szCs w:val="22"/>
          <w:highlight w:val="white"/>
        </w:rPr>
        <w:t>PLoS</w:t>
      </w:r>
      <w:proofErr w:type="spellEnd"/>
      <w:r w:rsidRPr="00CA0C51">
        <w:rPr>
          <w:rFonts w:ascii="Arial" w:hAnsi="Arial" w:cs="Arial"/>
          <w:i/>
          <w:iCs/>
          <w:sz w:val="22"/>
          <w:szCs w:val="22"/>
          <w:highlight w:val="white"/>
        </w:rPr>
        <w:t xml:space="preserve"> One</w:t>
      </w:r>
      <w:r w:rsidRPr="00CA0C51">
        <w:rPr>
          <w:rFonts w:ascii="Arial" w:hAnsi="Arial" w:cs="Arial"/>
          <w:sz w:val="22"/>
          <w:szCs w:val="22"/>
          <w:highlight w:val="white"/>
        </w:rPr>
        <w:t xml:space="preserve">, </w:t>
      </w:r>
      <w:r w:rsidRPr="00CA0C51">
        <w:rPr>
          <w:rFonts w:ascii="Arial" w:hAnsi="Arial" w:cs="Arial"/>
          <w:i/>
          <w:iCs/>
          <w:sz w:val="22"/>
          <w:szCs w:val="22"/>
          <w:highlight w:val="white"/>
        </w:rPr>
        <w:t>20</w:t>
      </w:r>
      <w:r w:rsidRPr="00CA0C51">
        <w:rPr>
          <w:rFonts w:ascii="Arial" w:hAnsi="Arial" w:cs="Arial"/>
          <w:sz w:val="22"/>
          <w:szCs w:val="22"/>
          <w:highlight w:val="white"/>
        </w:rPr>
        <w:t>(4), p.e0321300.</w:t>
      </w:r>
    </w:p>
    <w:p w14:paraId="34930F2C" w14:textId="77777777" w:rsidR="00467AAE" w:rsidRPr="00CA0C51" w:rsidRDefault="00467AAE" w:rsidP="00467AAE">
      <w:pPr>
        <w:rPr>
          <w:rFonts w:ascii="Arial" w:hAnsi="Arial" w:cs="Arial"/>
          <w:sz w:val="22"/>
          <w:szCs w:val="22"/>
        </w:rPr>
      </w:pPr>
      <w:r w:rsidRPr="00CA0C51">
        <w:rPr>
          <w:rFonts w:ascii="Arial" w:hAnsi="Arial" w:cs="Arial"/>
          <w:sz w:val="22"/>
          <w:szCs w:val="22"/>
          <w:highlight w:val="white"/>
        </w:rPr>
        <w:t xml:space="preserve">Karatekin, C., (2024). Adverse childhood experiences (ACEs) and help-seeking for health-related interventions in young adults. In </w:t>
      </w:r>
      <w:r w:rsidRPr="00CA0C51">
        <w:rPr>
          <w:rFonts w:ascii="Arial" w:hAnsi="Arial" w:cs="Arial"/>
          <w:i/>
          <w:iCs/>
          <w:sz w:val="22"/>
          <w:szCs w:val="22"/>
          <w:highlight w:val="white"/>
        </w:rPr>
        <w:t>The Psychology of Health and Illness</w:t>
      </w:r>
      <w:r w:rsidRPr="00CA0C51">
        <w:rPr>
          <w:rFonts w:ascii="Arial" w:hAnsi="Arial" w:cs="Arial"/>
          <w:sz w:val="22"/>
          <w:szCs w:val="22"/>
          <w:highlight w:val="white"/>
        </w:rPr>
        <w:t xml:space="preserve"> (pp. 5-21). Routledge.</w:t>
      </w:r>
    </w:p>
    <w:p w14:paraId="08B9CBCD" w14:textId="77777777" w:rsidR="00467AAE" w:rsidRPr="00CA0C51" w:rsidRDefault="00467AAE" w:rsidP="00467AAE">
      <w:pPr>
        <w:rPr>
          <w:rFonts w:ascii="Arial" w:hAnsi="Arial" w:cs="Arial"/>
          <w:sz w:val="22"/>
          <w:szCs w:val="22"/>
        </w:rPr>
      </w:pPr>
      <w:r w:rsidRPr="00CA0C51">
        <w:rPr>
          <w:rFonts w:ascii="Arial" w:hAnsi="Arial" w:cs="Arial"/>
          <w:sz w:val="22"/>
          <w:szCs w:val="22"/>
          <w:highlight w:val="white"/>
        </w:rPr>
        <w:t>Kurdi, Z., (2025). Measuring Adverse Childhood Experiences (ACEs) and deprivation during early childhood and its link to self-reported victimisation during adolescence among young adults in the UK.</w:t>
      </w:r>
    </w:p>
    <w:p w14:paraId="5ACC2F85" w14:textId="77777777" w:rsidR="00467AAE" w:rsidRPr="00CA0C51" w:rsidRDefault="00467AAE" w:rsidP="00467AAE">
      <w:pPr>
        <w:rPr>
          <w:rFonts w:ascii="Arial" w:hAnsi="Arial" w:cs="Arial"/>
          <w:sz w:val="22"/>
          <w:szCs w:val="22"/>
          <w:highlight w:val="white"/>
        </w:rPr>
      </w:pPr>
      <w:proofErr w:type="spellStart"/>
      <w:r w:rsidRPr="00CA0C51">
        <w:rPr>
          <w:rFonts w:ascii="Arial" w:hAnsi="Arial" w:cs="Arial"/>
          <w:sz w:val="22"/>
          <w:szCs w:val="22"/>
          <w:highlight w:val="white"/>
        </w:rPr>
        <w:t>Maercker</w:t>
      </w:r>
      <w:proofErr w:type="spellEnd"/>
      <w:r w:rsidRPr="00CA0C51">
        <w:rPr>
          <w:rFonts w:ascii="Arial" w:hAnsi="Arial" w:cs="Arial"/>
          <w:sz w:val="22"/>
          <w:szCs w:val="22"/>
          <w:highlight w:val="white"/>
        </w:rPr>
        <w:t xml:space="preserve">, A., </w:t>
      </w:r>
      <w:proofErr w:type="spellStart"/>
      <w:r w:rsidRPr="00CA0C51">
        <w:rPr>
          <w:rFonts w:ascii="Arial" w:hAnsi="Arial" w:cs="Arial"/>
          <w:sz w:val="22"/>
          <w:szCs w:val="22"/>
          <w:highlight w:val="white"/>
        </w:rPr>
        <w:t>Cloitre</w:t>
      </w:r>
      <w:proofErr w:type="spellEnd"/>
      <w:r w:rsidRPr="00CA0C51">
        <w:rPr>
          <w:rFonts w:ascii="Arial" w:hAnsi="Arial" w:cs="Arial"/>
          <w:sz w:val="22"/>
          <w:szCs w:val="22"/>
          <w:highlight w:val="white"/>
        </w:rPr>
        <w:t xml:space="preserve">, M., </w:t>
      </w:r>
      <w:proofErr w:type="spellStart"/>
      <w:r w:rsidRPr="00CA0C51">
        <w:rPr>
          <w:rFonts w:ascii="Arial" w:hAnsi="Arial" w:cs="Arial"/>
          <w:sz w:val="22"/>
          <w:szCs w:val="22"/>
          <w:highlight w:val="white"/>
        </w:rPr>
        <w:t>Bachem</w:t>
      </w:r>
      <w:proofErr w:type="spellEnd"/>
      <w:r w:rsidRPr="00CA0C51">
        <w:rPr>
          <w:rFonts w:ascii="Arial" w:hAnsi="Arial" w:cs="Arial"/>
          <w:sz w:val="22"/>
          <w:szCs w:val="22"/>
          <w:highlight w:val="white"/>
        </w:rPr>
        <w:t xml:space="preserve">, R., Schlumpf, Y.R., Khoury, B., Hitchcock, C. and Bohus, M., (2022). Complex post-traumatic stress disorder. </w:t>
      </w:r>
      <w:r w:rsidRPr="00CA0C51">
        <w:rPr>
          <w:rFonts w:ascii="Arial" w:hAnsi="Arial" w:cs="Arial"/>
          <w:i/>
          <w:iCs/>
          <w:sz w:val="22"/>
          <w:szCs w:val="22"/>
          <w:highlight w:val="white"/>
        </w:rPr>
        <w:t>The lancet</w:t>
      </w:r>
      <w:r w:rsidRPr="00CA0C51">
        <w:rPr>
          <w:rFonts w:ascii="Arial" w:hAnsi="Arial" w:cs="Arial"/>
          <w:sz w:val="22"/>
          <w:szCs w:val="22"/>
          <w:highlight w:val="white"/>
        </w:rPr>
        <w:t xml:space="preserve">, </w:t>
      </w:r>
      <w:r w:rsidRPr="00CA0C51">
        <w:rPr>
          <w:rFonts w:ascii="Arial" w:hAnsi="Arial" w:cs="Arial"/>
          <w:i/>
          <w:iCs/>
          <w:sz w:val="22"/>
          <w:szCs w:val="22"/>
          <w:highlight w:val="white"/>
        </w:rPr>
        <w:t>400</w:t>
      </w:r>
      <w:r w:rsidRPr="00CA0C51">
        <w:rPr>
          <w:rFonts w:ascii="Arial" w:hAnsi="Arial" w:cs="Arial"/>
          <w:sz w:val="22"/>
          <w:szCs w:val="22"/>
          <w:highlight w:val="white"/>
        </w:rPr>
        <w:t>(10345), pp.60-72.</w:t>
      </w:r>
    </w:p>
    <w:p w14:paraId="6647D60F" w14:textId="77777777" w:rsidR="00467AAE" w:rsidRPr="00CA0C51" w:rsidRDefault="00467AAE" w:rsidP="00467AAE">
      <w:pPr>
        <w:rPr>
          <w:rFonts w:ascii="Arial" w:hAnsi="Arial" w:cs="Arial"/>
          <w:sz w:val="22"/>
          <w:szCs w:val="22"/>
          <w:highlight w:val="white"/>
        </w:rPr>
      </w:pPr>
      <w:r w:rsidRPr="00CA0C51">
        <w:rPr>
          <w:rFonts w:ascii="Arial" w:hAnsi="Arial" w:cs="Arial"/>
          <w:sz w:val="22"/>
          <w:szCs w:val="22"/>
          <w:highlight w:val="white"/>
        </w:rPr>
        <w:t xml:space="preserve">Malvaso, C.G., Cale, J., Whitten, T., Day, A., Singh, S., Hackett, L., </w:t>
      </w:r>
      <w:proofErr w:type="spellStart"/>
      <w:r w:rsidRPr="00CA0C51">
        <w:rPr>
          <w:rFonts w:ascii="Arial" w:hAnsi="Arial" w:cs="Arial"/>
          <w:sz w:val="22"/>
          <w:szCs w:val="22"/>
          <w:highlight w:val="white"/>
        </w:rPr>
        <w:t>Delfabbro</w:t>
      </w:r>
      <w:proofErr w:type="spellEnd"/>
      <w:r w:rsidRPr="00CA0C51">
        <w:rPr>
          <w:rFonts w:ascii="Arial" w:hAnsi="Arial" w:cs="Arial"/>
          <w:sz w:val="22"/>
          <w:szCs w:val="22"/>
          <w:highlight w:val="white"/>
        </w:rPr>
        <w:t xml:space="preserve">, P.H. and Ross, S., (2022). Associations between adverse childhood experiences and trauma among young people who offend: A systematic literature review. </w:t>
      </w:r>
      <w:r w:rsidRPr="00CA0C51">
        <w:rPr>
          <w:rFonts w:ascii="Arial" w:hAnsi="Arial" w:cs="Arial"/>
          <w:i/>
          <w:iCs/>
          <w:sz w:val="22"/>
          <w:szCs w:val="22"/>
          <w:highlight w:val="white"/>
        </w:rPr>
        <w:t>Trauma, Violence, &amp; Abuse</w:t>
      </w:r>
      <w:r w:rsidRPr="00CA0C51">
        <w:rPr>
          <w:rFonts w:ascii="Arial" w:hAnsi="Arial" w:cs="Arial"/>
          <w:sz w:val="22"/>
          <w:szCs w:val="22"/>
          <w:highlight w:val="white"/>
        </w:rPr>
        <w:t xml:space="preserve">, </w:t>
      </w:r>
      <w:r w:rsidRPr="00CA0C51">
        <w:rPr>
          <w:rFonts w:ascii="Arial" w:hAnsi="Arial" w:cs="Arial"/>
          <w:i/>
          <w:iCs/>
          <w:sz w:val="22"/>
          <w:szCs w:val="22"/>
          <w:highlight w:val="white"/>
        </w:rPr>
        <w:t>23</w:t>
      </w:r>
      <w:r w:rsidRPr="00CA0C51">
        <w:rPr>
          <w:rFonts w:ascii="Arial" w:hAnsi="Arial" w:cs="Arial"/>
          <w:sz w:val="22"/>
          <w:szCs w:val="22"/>
          <w:highlight w:val="white"/>
        </w:rPr>
        <w:t>(5), pp.1677-1694.</w:t>
      </w:r>
    </w:p>
    <w:p w14:paraId="6CEBE7FF" w14:textId="77777777" w:rsidR="00467AAE" w:rsidRPr="00CA0C51" w:rsidRDefault="00467AAE" w:rsidP="00467AAE">
      <w:pPr>
        <w:rPr>
          <w:rFonts w:ascii="Arial" w:hAnsi="Arial" w:cs="Arial"/>
          <w:sz w:val="22"/>
          <w:szCs w:val="22"/>
          <w:highlight w:val="white"/>
        </w:rPr>
      </w:pPr>
      <w:r w:rsidRPr="00CA0C51">
        <w:rPr>
          <w:rFonts w:ascii="Arial" w:hAnsi="Arial" w:cs="Arial"/>
          <w:sz w:val="22"/>
          <w:szCs w:val="22"/>
          <w:highlight w:val="white"/>
        </w:rPr>
        <w:t xml:space="preserve">McCutchen, C., Hyland, P., Maercker, A., </w:t>
      </w:r>
      <w:proofErr w:type="spellStart"/>
      <w:r w:rsidRPr="00CA0C51">
        <w:rPr>
          <w:rFonts w:ascii="Arial" w:hAnsi="Arial" w:cs="Arial"/>
          <w:sz w:val="22"/>
          <w:szCs w:val="22"/>
          <w:highlight w:val="white"/>
        </w:rPr>
        <w:t>Thoma</w:t>
      </w:r>
      <w:proofErr w:type="spellEnd"/>
      <w:r w:rsidRPr="00CA0C51">
        <w:rPr>
          <w:rFonts w:ascii="Arial" w:hAnsi="Arial" w:cs="Arial"/>
          <w:sz w:val="22"/>
          <w:szCs w:val="22"/>
          <w:highlight w:val="white"/>
        </w:rPr>
        <w:t xml:space="preserve">, M.V. and Rohner, S.L., (2023). The effects of social support on ACEs and mental health in Ireland. </w:t>
      </w:r>
      <w:r w:rsidRPr="00CA0C51">
        <w:rPr>
          <w:rFonts w:ascii="Arial" w:hAnsi="Arial" w:cs="Arial"/>
          <w:i/>
          <w:iCs/>
          <w:sz w:val="22"/>
          <w:szCs w:val="22"/>
          <w:highlight w:val="white"/>
        </w:rPr>
        <w:t>Journal of Loss and Trauma</w:t>
      </w:r>
      <w:r w:rsidRPr="00CA0C51">
        <w:rPr>
          <w:rFonts w:ascii="Arial" w:hAnsi="Arial" w:cs="Arial"/>
          <w:sz w:val="22"/>
          <w:szCs w:val="22"/>
          <w:highlight w:val="white"/>
        </w:rPr>
        <w:t xml:space="preserve">, </w:t>
      </w:r>
      <w:r w:rsidRPr="00CA0C51">
        <w:rPr>
          <w:rFonts w:ascii="Arial" w:hAnsi="Arial" w:cs="Arial"/>
          <w:i/>
          <w:iCs/>
          <w:sz w:val="22"/>
          <w:szCs w:val="22"/>
          <w:highlight w:val="white"/>
        </w:rPr>
        <w:t>28</w:t>
      </w:r>
      <w:r w:rsidRPr="00CA0C51">
        <w:rPr>
          <w:rFonts w:ascii="Arial" w:hAnsi="Arial" w:cs="Arial"/>
          <w:sz w:val="22"/>
          <w:szCs w:val="22"/>
          <w:highlight w:val="white"/>
        </w:rPr>
        <w:t>(4), pp.377-388.</w:t>
      </w:r>
    </w:p>
    <w:p w14:paraId="313006B7" w14:textId="77777777" w:rsidR="00467AAE" w:rsidRPr="00CA0C51" w:rsidRDefault="00467AAE" w:rsidP="00467AAE">
      <w:pPr>
        <w:rPr>
          <w:rFonts w:ascii="Arial" w:hAnsi="Arial" w:cs="Arial"/>
          <w:sz w:val="22"/>
          <w:szCs w:val="22"/>
          <w:highlight w:val="white"/>
        </w:rPr>
      </w:pPr>
      <w:r w:rsidRPr="00CA0C51">
        <w:rPr>
          <w:rFonts w:ascii="Arial" w:hAnsi="Arial" w:cs="Arial"/>
          <w:sz w:val="22"/>
          <w:szCs w:val="22"/>
          <w:highlight w:val="white"/>
        </w:rPr>
        <w:lastRenderedPageBreak/>
        <w:t xml:space="preserve">Mercer, L., Cookson, A., Simpson-Adkins, G. and van Vuuren, J., (2023). </w:t>
      </w:r>
      <w:r w:rsidRPr="00CA0C51">
        <w:rPr>
          <w:rFonts w:ascii="Arial" w:hAnsi="Arial" w:cs="Arial"/>
          <w:i/>
          <w:iCs/>
          <w:sz w:val="22"/>
          <w:szCs w:val="22"/>
          <w:highlight w:val="white"/>
        </w:rPr>
        <w:t>Prevalence of adverse childhood experiences and associations with personal and professional factors in health and social care workers: A systematic review</w:t>
      </w:r>
      <w:r w:rsidRPr="00CA0C51">
        <w:rPr>
          <w:rFonts w:ascii="Arial" w:hAnsi="Arial" w:cs="Arial"/>
          <w:sz w:val="22"/>
          <w:szCs w:val="22"/>
          <w:highlight w:val="white"/>
        </w:rPr>
        <w:t xml:space="preserve"> (Vol. 15, No. S2, p. S231). Educational Publishing Foundation.</w:t>
      </w:r>
    </w:p>
    <w:p w14:paraId="1A7E75AC" w14:textId="77777777" w:rsidR="00467AAE" w:rsidRPr="00CA0C51" w:rsidRDefault="00467AAE" w:rsidP="00467AAE">
      <w:pPr>
        <w:spacing w:line="240" w:lineRule="auto"/>
        <w:rPr>
          <w:rFonts w:ascii="Arial" w:hAnsi="Arial" w:cs="Arial"/>
          <w:color w:val="000000" w:themeColor="text1"/>
          <w:sz w:val="22"/>
          <w:szCs w:val="22"/>
        </w:rPr>
      </w:pPr>
      <w:r w:rsidRPr="00CA0C51">
        <w:rPr>
          <w:rFonts w:ascii="Arial" w:hAnsi="Arial" w:cs="Arial"/>
          <w:color w:val="000000" w:themeColor="text1"/>
          <w:sz w:val="22"/>
          <w:szCs w:val="22"/>
        </w:rPr>
        <w:t>National Care Forum. (2024). </w:t>
      </w:r>
      <w:r w:rsidRPr="00CA0C51">
        <w:rPr>
          <w:rFonts w:ascii="Arial" w:hAnsi="Arial" w:cs="Arial"/>
          <w:i/>
          <w:iCs/>
          <w:color w:val="000000" w:themeColor="text1"/>
          <w:sz w:val="22"/>
          <w:szCs w:val="22"/>
        </w:rPr>
        <w:t>Workforce Pressures - National Care Forum</w:t>
      </w:r>
      <w:r w:rsidRPr="00CA0C51">
        <w:rPr>
          <w:rFonts w:ascii="Arial" w:hAnsi="Arial" w:cs="Arial"/>
          <w:color w:val="000000" w:themeColor="text1"/>
          <w:sz w:val="22"/>
          <w:szCs w:val="22"/>
        </w:rPr>
        <w:t xml:space="preserve">. [online] Available at: </w:t>
      </w:r>
      <w:hyperlink r:id="rId13">
        <w:r w:rsidRPr="00CA0C51">
          <w:rPr>
            <w:rFonts w:ascii="Arial" w:hAnsi="Arial" w:cs="Arial"/>
            <w:color w:val="000000" w:themeColor="text1"/>
            <w:sz w:val="22"/>
            <w:szCs w:val="22"/>
            <w:u w:val="single"/>
          </w:rPr>
          <w:t>https://www.nationalcareforum.org.uk/voice/workforce-pressures/</w:t>
        </w:r>
      </w:hyperlink>
      <w:r w:rsidRPr="00CA0C51">
        <w:rPr>
          <w:rFonts w:ascii="Arial" w:hAnsi="Arial" w:cs="Arial"/>
          <w:color w:val="000000" w:themeColor="text1"/>
          <w:sz w:val="22"/>
          <w:szCs w:val="22"/>
        </w:rPr>
        <w:t xml:space="preserve"> [Accessed 9 Mar. 2026].</w:t>
      </w:r>
    </w:p>
    <w:p w14:paraId="0074FD23" w14:textId="77777777" w:rsidR="00467AAE" w:rsidRPr="00CA0C51" w:rsidRDefault="00467AAE" w:rsidP="00467AAE">
      <w:pPr>
        <w:rPr>
          <w:rFonts w:ascii="Arial" w:hAnsi="Arial" w:cs="Arial"/>
          <w:color w:val="000000" w:themeColor="text1"/>
          <w:sz w:val="22"/>
          <w:szCs w:val="22"/>
        </w:rPr>
      </w:pPr>
      <w:r w:rsidRPr="00CA0C51">
        <w:rPr>
          <w:rFonts w:ascii="Arial" w:hAnsi="Arial" w:cs="Arial"/>
          <w:color w:val="000000" w:themeColor="text1"/>
          <w:sz w:val="22"/>
          <w:szCs w:val="22"/>
        </w:rPr>
        <w:t xml:space="preserve">NSPCC Learning. (2025). </w:t>
      </w:r>
      <w:r w:rsidRPr="00CA0C51">
        <w:rPr>
          <w:rFonts w:ascii="Arial" w:hAnsi="Arial" w:cs="Arial"/>
          <w:i/>
          <w:iCs/>
          <w:color w:val="000000" w:themeColor="text1"/>
          <w:sz w:val="22"/>
          <w:szCs w:val="22"/>
        </w:rPr>
        <w:t>Statistics about physical abuse | NSPCC Learning</w:t>
      </w:r>
      <w:r w:rsidRPr="00CA0C51">
        <w:rPr>
          <w:rFonts w:ascii="Arial" w:hAnsi="Arial" w:cs="Arial"/>
          <w:color w:val="000000" w:themeColor="text1"/>
          <w:sz w:val="22"/>
          <w:szCs w:val="22"/>
        </w:rPr>
        <w:t xml:space="preserve">. [online] Available at: </w:t>
      </w:r>
      <w:hyperlink r:id="rId14">
        <w:r w:rsidRPr="00CA0C51">
          <w:rPr>
            <w:rFonts w:ascii="Arial" w:hAnsi="Arial" w:cs="Arial"/>
            <w:color w:val="000000" w:themeColor="text1"/>
            <w:sz w:val="22"/>
            <w:szCs w:val="22"/>
            <w:u w:val="single"/>
          </w:rPr>
          <w:t>https://learning.nspcc.org.uk/research-resources/statistics-briefings/physical-abuse</w:t>
        </w:r>
      </w:hyperlink>
      <w:r w:rsidRPr="00CA0C51">
        <w:rPr>
          <w:rFonts w:ascii="Arial" w:hAnsi="Arial" w:cs="Arial"/>
          <w:color w:val="000000" w:themeColor="text1"/>
          <w:sz w:val="22"/>
          <w:szCs w:val="22"/>
        </w:rPr>
        <w:t xml:space="preserve"> [Accessed 14 Feb. 2026].</w:t>
      </w:r>
    </w:p>
    <w:p w14:paraId="231FDD4A" w14:textId="77777777" w:rsidR="00467AAE" w:rsidRPr="00CA0C51" w:rsidRDefault="00467AAE" w:rsidP="00467AAE">
      <w:pPr>
        <w:rPr>
          <w:rFonts w:ascii="Arial" w:hAnsi="Arial" w:cs="Arial"/>
          <w:color w:val="000000" w:themeColor="text1"/>
          <w:sz w:val="22"/>
          <w:szCs w:val="22"/>
          <w:highlight w:val="white"/>
        </w:rPr>
      </w:pPr>
      <w:r w:rsidRPr="00CA0C51">
        <w:rPr>
          <w:rFonts w:ascii="Arial" w:hAnsi="Arial" w:cs="Arial"/>
          <w:color w:val="000000" w:themeColor="text1"/>
          <w:sz w:val="22"/>
          <w:szCs w:val="22"/>
          <w:highlight w:val="white"/>
        </w:rPr>
        <w:t>Olayemi, J.O., (2024). Program Curricula for Preparing Medical Professionals on Early Childhood Mental Health, Socio-Emotional Development, and Adverse Childhood Experiences in Primary Care Settings: A Phenomenological Study.</w:t>
      </w:r>
    </w:p>
    <w:p w14:paraId="187934DB" w14:textId="77777777" w:rsidR="00467AAE" w:rsidRPr="00CA0C51" w:rsidRDefault="00467AAE" w:rsidP="00467AAE">
      <w:pPr>
        <w:rPr>
          <w:rFonts w:ascii="Arial" w:hAnsi="Arial" w:cs="Arial"/>
          <w:color w:val="000000" w:themeColor="text1"/>
          <w:sz w:val="22"/>
          <w:szCs w:val="22"/>
        </w:rPr>
      </w:pPr>
      <w:r w:rsidRPr="00CA0C51">
        <w:rPr>
          <w:rFonts w:ascii="Arial" w:hAnsi="Arial" w:cs="Arial"/>
          <w:color w:val="000000" w:themeColor="text1"/>
          <w:sz w:val="22"/>
          <w:szCs w:val="22"/>
        </w:rPr>
        <w:t xml:space="preserve">ONS UK (2025). </w:t>
      </w:r>
      <w:r w:rsidRPr="00CA0C51">
        <w:rPr>
          <w:rFonts w:ascii="Arial" w:hAnsi="Arial" w:cs="Arial"/>
          <w:i/>
          <w:iCs/>
          <w:color w:val="000000" w:themeColor="text1"/>
          <w:sz w:val="22"/>
          <w:szCs w:val="22"/>
        </w:rPr>
        <w:t>Abuse during childhood in England and Wales</w:t>
      </w:r>
      <w:r w:rsidRPr="00CA0C51">
        <w:rPr>
          <w:rFonts w:ascii="Arial" w:hAnsi="Arial" w:cs="Arial"/>
          <w:color w:val="000000" w:themeColor="text1"/>
          <w:sz w:val="22"/>
          <w:szCs w:val="22"/>
        </w:rPr>
        <w:t xml:space="preserve">. [online] Ons.gov.uk. Available at: </w:t>
      </w:r>
      <w:hyperlink r:id="rId15">
        <w:r w:rsidRPr="00CA0C51">
          <w:rPr>
            <w:rFonts w:ascii="Arial" w:hAnsi="Arial" w:cs="Arial"/>
            <w:color w:val="000000" w:themeColor="text1"/>
            <w:sz w:val="22"/>
            <w:szCs w:val="22"/>
            <w:u w:val="single"/>
          </w:rPr>
          <w:t>https://www.ons.gov.uk/peoplepopulationandcommunity/crimeandjustice/bulletins/abuseduringchildhoodinenglandandwales/march2024</w:t>
        </w:r>
      </w:hyperlink>
      <w:r w:rsidRPr="00CA0C51">
        <w:rPr>
          <w:rFonts w:ascii="Arial" w:hAnsi="Arial" w:cs="Arial"/>
          <w:color w:val="000000" w:themeColor="text1"/>
          <w:sz w:val="22"/>
          <w:szCs w:val="22"/>
        </w:rPr>
        <w:t xml:space="preserve"> [Accessed 14 Feb. 2026].</w:t>
      </w:r>
    </w:p>
    <w:p w14:paraId="7CED73C8" w14:textId="77777777" w:rsidR="00467AAE" w:rsidRPr="00CA0C51" w:rsidRDefault="00467AAE" w:rsidP="00467AAE">
      <w:pPr>
        <w:rPr>
          <w:rFonts w:ascii="Arial" w:hAnsi="Arial" w:cs="Arial"/>
          <w:color w:val="000000" w:themeColor="text1"/>
          <w:sz w:val="22"/>
          <w:szCs w:val="22"/>
          <w:highlight w:val="white"/>
        </w:rPr>
      </w:pPr>
      <w:r w:rsidRPr="00CA0C51">
        <w:rPr>
          <w:rFonts w:ascii="Arial" w:hAnsi="Arial" w:cs="Arial"/>
          <w:color w:val="000000" w:themeColor="text1"/>
          <w:sz w:val="22"/>
          <w:szCs w:val="22"/>
          <w:highlight w:val="white"/>
        </w:rPr>
        <w:t xml:space="preserve">Peters, M.D., Godfrey, C., McInerney, P., Khalil, H., Larsen, P., Marnie, C., Pollock, D., </w:t>
      </w:r>
      <w:proofErr w:type="spellStart"/>
      <w:r w:rsidRPr="00CA0C51">
        <w:rPr>
          <w:rFonts w:ascii="Arial" w:hAnsi="Arial" w:cs="Arial"/>
          <w:color w:val="000000" w:themeColor="text1"/>
          <w:sz w:val="22"/>
          <w:szCs w:val="22"/>
          <w:highlight w:val="white"/>
        </w:rPr>
        <w:t>Tricco</w:t>
      </w:r>
      <w:proofErr w:type="spellEnd"/>
      <w:r w:rsidRPr="00CA0C51">
        <w:rPr>
          <w:rFonts w:ascii="Arial" w:hAnsi="Arial" w:cs="Arial"/>
          <w:color w:val="000000" w:themeColor="text1"/>
          <w:sz w:val="22"/>
          <w:szCs w:val="22"/>
          <w:highlight w:val="white"/>
        </w:rPr>
        <w:t xml:space="preserve">, A.C. and Munn, Z., (2022). Best practice guidance and reporting items for the development of scoping review protocols. </w:t>
      </w:r>
      <w:r w:rsidRPr="00CA0C51">
        <w:rPr>
          <w:rFonts w:ascii="Arial" w:hAnsi="Arial" w:cs="Arial"/>
          <w:i/>
          <w:iCs/>
          <w:color w:val="000000" w:themeColor="text1"/>
          <w:sz w:val="22"/>
          <w:szCs w:val="22"/>
          <w:highlight w:val="white"/>
        </w:rPr>
        <w:t>JBI evidence synthesis</w:t>
      </w:r>
      <w:r w:rsidRPr="00CA0C51">
        <w:rPr>
          <w:rFonts w:ascii="Arial" w:hAnsi="Arial" w:cs="Arial"/>
          <w:color w:val="000000" w:themeColor="text1"/>
          <w:sz w:val="22"/>
          <w:szCs w:val="22"/>
          <w:highlight w:val="white"/>
        </w:rPr>
        <w:t xml:space="preserve">, </w:t>
      </w:r>
      <w:r w:rsidRPr="00CA0C51">
        <w:rPr>
          <w:rFonts w:ascii="Arial" w:hAnsi="Arial" w:cs="Arial"/>
          <w:i/>
          <w:iCs/>
          <w:color w:val="000000" w:themeColor="text1"/>
          <w:sz w:val="22"/>
          <w:szCs w:val="22"/>
          <w:highlight w:val="white"/>
        </w:rPr>
        <w:t>20</w:t>
      </w:r>
      <w:r w:rsidRPr="00CA0C51">
        <w:rPr>
          <w:rFonts w:ascii="Arial" w:hAnsi="Arial" w:cs="Arial"/>
          <w:color w:val="000000" w:themeColor="text1"/>
          <w:sz w:val="22"/>
          <w:szCs w:val="22"/>
          <w:highlight w:val="white"/>
        </w:rPr>
        <w:t>(4), pp.953-968.</w:t>
      </w:r>
    </w:p>
    <w:p w14:paraId="3C7FCD62" w14:textId="77777777" w:rsidR="00467AAE" w:rsidRPr="00CA0C51" w:rsidRDefault="00467AAE" w:rsidP="00467AAE">
      <w:pPr>
        <w:rPr>
          <w:rFonts w:ascii="Arial" w:hAnsi="Arial" w:cs="Arial"/>
          <w:color w:val="000000" w:themeColor="text1"/>
          <w:sz w:val="22"/>
          <w:szCs w:val="22"/>
          <w:highlight w:val="white"/>
        </w:rPr>
      </w:pPr>
      <w:r w:rsidRPr="00CA0C51">
        <w:rPr>
          <w:rFonts w:ascii="Arial" w:hAnsi="Arial" w:cs="Arial"/>
          <w:color w:val="000000" w:themeColor="text1"/>
          <w:sz w:val="22"/>
          <w:szCs w:val="22"/>
          <w:highlight w:val="white"/>
        </w:rPr>
        <w:t xml:space="preserve">Sahle, B.W., Reavley, N.J., Li, W., Morgan, A.J., Yap, M.B.H., Reupert, A. and </w:t>
      </w:r>
      <w:proofErr w:type="spellStart"/>
      <w:r w:rsidRPr="00CA0C51">
        <w:rPr>
          <w:rFonts w:ascii="Arial" w:hAnsi="Arial" w:cs="Arial"/>
          <w:color w:val="000000" w:themeColor="text1"/>
          <w:sz w:val="22"/>
          <w:szCs w:val="22"/>
          <w:highlight w:val="white"/>
        </w:rPr>
        <w:t>Jorm</w:t>
      </w:r>
      <w:proofErr w:type="spellEnd"/>
      <w:r w:rsidRPr="00CA0C51">
        <w:rPr>
          <w:rFonts w:ascii="Arial" w:hAnsi="Arial" w:cs="Arial"/>
          <w:color w:val="000000" w:themeColor="text1"/>
          <w:sz w:val="22"/>
          <w:szCs w:val="22"/>
          <w:highlight w:val="white"/>
        </w:rPr>
        <w:t xml:space="preserve">, A.F., (2022). The association between adverse childhood experiences and common mental disorders and suicidality: an umbrella review of systematic reviews and meta-analyses. </w:t>
      </w:r>
      <w:r w:rsidRPr="00CA0C51">
        <w:rPr>
          <w:rFonts w:ascii="Arial" w:hAnsi="Arial" w:cs="Arial"/>
          <w:i/>
          <w:iCs/>
          <w:color w:val="000000" w:themeColor="text1"/>
          <w:sz w:val="22"/>
          <w:szCs w:val="22"/>
          <w:highlight w:val="white"/>
        </w:rPr>
        <w:t>European child &amp; adolescent psychiatry</w:t>
      </w:r>
      <w:r w:rsidRPr="00CA0C51">
        <w:rPr>
          <w:rFonts w:ascii="Arial" w:hAnsi="Arial" w:cs="Arial"/>
          <w:color w:val="000000" w:themeColor="text1"/>
          <w:sz w:val="22"/>
          <w:szCs w:val="22"/>
          <w:highlight w:val="white"/>
        </w:rPr>
        <w:t xml:space="preserve">, </w:t>
      </w:r>
      <w:r w:rsidRPr="00CA0C51">
        <w:rPr>
          <w:rFonts w:ascii="Arial" w:hAnsi="Arial" w:cs="Arial"/>
          <w:i/>
          <w:iCs/>
          <w:color w:val="000000" w:themeColor="text1"/>
          <w:sz w:val="22"/>
          <w:szCs w:val="22"/>
          <w:highlight w:val="white"/>
        </w:rPr>
        <w:t>31</w:t>
      </w:r>
      <w:r w:rsidRPr="00CA0C51">
        <w:rPr>
          <w:rFonts w:ascii="Arial" w:hAnsi="Arial" w:cs="Arial"/>
          <w:color w:val="000000" w:themeColor="text1"/>
          <w:sz w:val="22"/>
          <w:szCs w:val="22"/>
          <w:highlight w:val="white"/>
        </w:rPr>
        <w:t>(10), pp.1489-1499.</w:t>
      </w:r>
    </w:p>
    <w:p w14:paraId="0DF7054B" w14:textId="77777777" w:rsidR="00467AAE" w:rsidRPr="00CA0C51" w:rsidRDefault="00467AAE" w:rsidP="00467AAE">
      <w:pPr>
        <w:rPr>
          <w:rFonts w:ascii="Arial" w:hAnsi="Arial" w:cs="Arial"/>
          <w:color w:val="000000" w:themeColor="text1"/>
          <w:sz w:val="22"/>
          <w:szCs w:val="22"/>
          <w:highlight w:val="white"/>
        </w:rPr>
      </w:pPr>
      <w:r w:rsidRPr="00CA0C51">
        <w:rPr>
          <w:rFonts w:ascii="Arial" w:hAnsi="Arial" w:cs="Arial"/>
          <w:color w:val="000000" w:themeColor="text1"/>
          <w:sz w:val="22"/>
          <w:szCs w:val="22"/>
          <w:highlight w:val="white"/>
        </w:rPr>
        <w:t xml:space="preserve">Starns, B., (2025). </w:t>
      </w:r>
      <w:r w:rsidRPr="00CA0C51">
        <w:rPr>
          <w:rFonts w:ascii="Arial" w:hAnsi="Arial" w:cs="Arial"/>
          <w:i/>
          <w:iCs/>
          <w:color w:val="000000" w:themeColor="text1"/>
          <w:sz w:val="22"/>
          <w:szCs w:val="22"/>
          <w:highlight w:val="white"/>
        </w:rPr>
        <w:t>Safeguarding Adults Together under the Care Act 2014: A multi-agency practice guide</w:t>
      </w:r>
      <w:r w:rsidRPr="00CA0C51">
        <w:rPr>
          <w:rFonts w:ascii="Arial" w:hAnsi="Arial" w:cs="Arial"/>
          <w:color w:val="000000" w:themeColor="text1"/>
          <w:sz w:val="22"/>
          <w:szCs w:val="22"/>
          <w:highlight w:val="white"/>
        </w:rPr>
        <w:t>. Routledge.</w:t>
      </w:r>
    </w:p>
    <w:p w14:paraId="5892B5CF" w14:textId="77777777" w:rsidR="00467AAE" w:rsidRPr="00CA0C51" w:rsidRDefault="00467AAE" w:rsidP="00467AAE">
      <w:pPr>
        <w:spacing w:line="240" w:lineRule="auto"/>
        <w:rPr>
          <w:rFonts w:ascii="Arial" w:hAnsi="Arial" w:cs="Arial"/>
          <w:color w:val="000000" w:themeColor="text1"/>
          <w:sz w:val="22"/>
          <w:szCs w:val="22"/>
        </w:rPr>
      </w:pPr>
      <w:r w:rsidRPr="00CA0C51">
        <w:rPr>
          <w:rFonts w:ascii="Arial" w:hAnsi="Arial" w:cs="Arial"/>
          <w:color w:val="000000" w:themeColor="text1"/>
          <w:sz w:val="22"/>
          <w:szCs w:val="22"/>
        </w:rPr>
        <w:t>The King’s Fund. (2024). </w:t>
      </w:r>
      <w:r w:rsidRPr="00CA0C51">
        <w:rPr>
          <w:rFonts w:ascii="Arial" w:hAnsi="Arial" w:cs="Arial"/>
          <w:i/>
          <w:iCs/>
          <w:color w:val="000000" w:themeColor="text1"/>
          <w:sz w:val="22"/>
          <w:szCs w:val="22"/>
        </w:rPr>
        <w:t>Staff shortages</w:t>
      </w:r>
      <w:r w:rsidRPr="00CA0C51">
        <w:rPr>
          <w:rFonts w:ascii="Arial" w:hAnsi="Arial" w:cs="Arial"/>
          <w:color w:val="000000" w:themeColor="text1"/>
          <w:sz w:val="22"/>
          <w:szCs w:val="22"/>
        </w:rPr>
        <w:t xml:space="preserve">. [online] Available at: </w:t>
      </w:r>
      <w:hyperlink r:id="rId16">
        <w:r w:rsidRPr="00CA0C51">
          <w:rPr>
            <w:rFonts w:ascii="Arial" w:hAnsi="Arial" w:cs="Arial"/>
            <w:color w:val="000000" w:themeColor="text1"/>
            <w:sz w:val="22"/>
            <w:szCs w:val="22"/>
            <w:u w:val="single"/>
          </w:rPr>
          <w:t>https://www.kingsfund.org.uk/insight-and-analysis/data-and-charts/staff-shortages</w:t>
        </w:r>
      </w:hyperlink>
      <w:r w:rsidRPr="00CA0C51">
        <w:rPr>
          <w:rFonts w:ascii="Arial" w:hAnsi="Arial" w:cs="Arial"/>
          <w:color w:val="000000" w:themeColor="text1"/>
          <w:sz w:val="22"/>
          <w:szCs w:val="22"/>
        </w:rPr>
        <w:t xml:space="preserve"> [Accessed 9 Mar. 2026].</w:t>
      </w:r>
    </w:p>
    <w:p w14:paraId="0F559C72" w14:textId="77777777" w:rsidR="00467AAE" w:rsidRPr="00CA0C51" w:rsidRDefault="00467AAE" w:rsidP="00467AAE">
      <w:pPr>
        <w:rPr>
          <w:color w:val="000000" w:themeColor="text1"/>
          <w:highlight w:val="white"/>
        </w:rPr>
      </w:pPr>
      <w:r w:rsidRPr="00CA0C51">
        <w:rPr>
          <w:rFonts w:ascii="Arial" w:hAnsi="Arial" w:cs="Arial"/>
          <w:color w:val="000000" w:themeColor="text1"/>
          <w:sz w:val="22"/>
          <w:szCs w:val="22"/>
          <w:highlight w:val="white"/>
        </w:rPr>
        <w:t xml:space="preserve">‌Trauma Therapist Institute (2025). </w:t>
      </w:r>
      <w:r w:rsidRPr="00CA0C51">
        <w:rPr>
          <w:rFonts w:ascii="Arial" w:hAnsi="Arial" w:cs="Arial"/>
          <w:i/>
          <w:iCs/>
          <w:color w:val="000000" w:themeColor="text1"/>
          <w:sz w:val="22"/>
          <w:szCs w:val="22"/>
          <w:highlight w:val="white"/>
        </w:rPr>
        <w:t>Trauma-Informed Care and ACEs: Strategies for Therapists</w:t>
      </w:r>
      <w:r w:rsidRPr="00CA0C51">
        <w:rPr>
          <w:rFonts w:ascii="Arial" w:hAnsi="Arial" w:cs="Arial"/>
          <w:color w:val="000000" w:themeColor="text1"/>
          <w:sz w:val="22"/>
          <w:szCs w:val="22"/>
          <w:highlight w:val="white"/>
        </w:rPr>
        <w:t xml:space="preserve">. [online] Traumatherapistinstitute.com. Available at: </w:t>
      </w:r>
      <w:hyperlink r:id="rId17" w:anchor=":~:text=Adverse%20Childhood%20Experiences%20(ACEs)%20refer,health%20care%20and%20social%20services">
        <w:r w:rsidRPr="00CA0C51">
          <w:rPr>
            <w:rFonts w:ascii="Arial" w:hAnsi="Arial" w:cs="Arial"/>
            <w:color w:val="000000" w:themeColor="text1"/>
            <w:sz w:val="22"/>
            <w:szCs w:val="22"/>
            <w:highlight w:val="white"/>
            <w:u w:val="single"/>
          </w:rPr>
          <w:t>https://www.traumatherapistinstitute.com/blog/Trauma-Informed-Care-and-ACEs-Strategies-for-Mental-Health-Professionals#:~:text=Adverse%20Childhood%20Experiences%20(ACEs)%20refer,health%20care%20and%20social%20services</w:t>
        </w:r>
      </w:hyperlink>
      <w:r w:rsidRPr="00CA0C51">
        <w:rPr>
          <w:rFonts w:ascii="Arial" w:hAnsi="Arial" w:cs="Arial"/>
          <w:color w:val="000000" w:themeColor="text1"/>
          <w:sz w:val="22"/>
          <w:szCs w:val="22"/>
          <w:highlight w:val="white"/>
        </w:rPr>
        <w:t>.</w:t>
      </w:r>
      <w:r w:rsidRPr="00CA0C51">
        <w:rPr>
          <w:color w:val="000000" w:themeColor="text1"/>
          <w:highlight w:val="white"/>
        </w:rPr>
        <w:t xml:space="preserve"> [Accessed 14 Feb. 2026].</w:t>
      </w:r>
    </w:p>
    <w:p w14:paraId="625F7783" w14:textId="77777777" w:rsidR="00467AAE" w:rsidRPr="00CA0C51" w:rsidRDefault="00467AAE" w:rsidP="00467AAE">
      <w:pPr>
        <w:rPr>
          <w:color w:val="000000" w:themeColor="text1"/>
          <w:highlight w:val="white"/>
        </w:rPr>
      </w:pPr>
      <w:r w:rsidRPr="00CA0C51">
        <w:rPr>
          <w:color w:val="000000" w:themeColor="text1"/>
          <w:highlight w:val="white"/>
        </w:rPr>
        <w:t xml:space="preserve">Wang, L., Keyworth, C. and O'Connor, D.B., (2025). Effects of childhood trauma on mental health outcomes, suicide risk factors and stress appraisals in adulthood. </w:t>
      </w:r>
      <w:proofErr w:type="spellStart"/>
      <w:r w:rsidRPr="00CA0C51">
        <w:rPr>
          <w:i/>
          <w:iCs/>
          <w:color w:val="000000" w:themeColor="text1"/>
          <w:highlight w:val="white"/>
        </w:rPr>
        <w:t>PLoS</w:t>
      </w:r>
      <w:proofErr w:type="spellEnd"/>
      <w:r w:rsidRPr="00CA0C51">
        <w:rPr>
          <w:i/>
          <w:iCs/>
          <w:color w:val="000000" w:themeColor="text1"/>
          <w:highlight w:val="white"/>
        </w:rPr>
        <w:t xml:space="preserve"> One</w:t>
      </w:r>
      <w:r w:rsidRPr="00CA0C51">
        <w:rPr>
          <w:color w:val="000000" w:themeColor="text1"/>
          <w:highlight w:val="white"/>
        </w:rPr>
        <w:t xml:space="preserve">, </w:t>
      </w:r>
      <w:r w:rsidRPr="00CA0C51">
        <w:rPr>
          <w:i/>
          <w:iCs/>
          <w:color w:val="000000" w:themeColor="text1"/>
          <w:highlight w:val="white"/>
        </w:rPr>
        <w:t>20</w:t>
      </w:r>
      <w:r w:rsidRPr="00CA0C51">
        <w:rPr>
          <w:color w:val="000000" w:themeColor="text1"/>
          <w:highlight w:val="white"/>
        </w:rPr>
        <w:t>(6), p.e0326120.</w:t>
      </w:r>
    </w:p>
    <w:p w14:paraId="0378BBFA" w14:textId="77777777" w:rsidR="00467AAE" w:rsidRDefault="00467AAE" w:rsidP="00467AAE">
      <w:pPr>
        <w:rPr>
          <w:highlight w:val="white"/>
        </w:rPr>
      </w:pPr>
      <w:r>
        <w:rPr>
          <w:highlight w:val="white"/>
        </w:rPr>
        <w:lastRenderedPageBreak/>
        <w:t xml:space="preserve">Williamson, L., Daniel, S.S., Carter, J., Ridenhour, A., Pulgar, C.A., Gay, Y. and Debinski, B. (2025). Negative effects of adverse childhood experiences and absence of positive childhood experiences on healthcare employees: survey findings built on 10 years of trauma-informed development. </w:t>
      </w:r>
      <w:r>
        <w:rPr>
          <w:i/>
          <w:iCs/>
          <w:highlight w:val="white"/>
        </w:rPr>
        <w:t>Frontiers in Public Health</w:t>
      </w:r>
      <w:r>
        <w:rPr>
          <w:highlight w:val="white"/>
        </w:rPr>
        <w:t xml:space="preserve">, [online] 12. </w:t>
      </w:r>
      <w:proofErr w:type="spellStart"/>
      <w:r>
        <w:rPr>
          <w:highlight w:val="white"/>
        </w:rPr>
        <w:t>doi:</w:t>
      </w:r>
      <w:hyperlink r:id="rId18">
        <w:r>
          <w:rPr>
            <w:highlight w:val="white"/>
            <w:u w:val="single"/>
          </w:rPr>
          <w:t>https</w:t>
        </w:r>
        <w:proofErr w:type="spellEnd"/>
        <w:r>
          <w:rPr>
            <w:highlight w:val="white"/>
            <w:u w:val="single"/>
          </w:rPr>
          <w:t>://doi.org/10.3389/fpubh.2024.1494587</w:t>
        </w:r>
      </w:hyperlink>
      <w:r>
        <w:rPr>
          <w:highlight w:val="white"/>
        </w:rPr>
        <w:t xml:space="preserve">. </w:t>
      </w:r>
    </w:p>
    <w:p w14:paraId="49AE602D" w14:textId="49D02210" w:rsidR="00467AAE" w:rsidRDefault="00467AAE" w:rsidP="00467AAE">
      <w:r>
        <w:rPr>
          <w:highlight w:val="white"/>
        </w:rPr>
        <w:t>Wilson-</w:t>
      </w:r>
      <w:proofErr w:type="spellStart"/>
      <w:r>
        <w:rPr>
          <w:highlight w:val="white"/>
        </w:rPr>
        <w:t>Genderson</w:t>
      </w:r>
      <w:proofErr w:type="spellEnd"/>
      <w:r>
        <w:rPr>
          <w:highlight w:val="white"/>
        </w:rPr>
        <w:t xml:space="preserve">, M., Heid, A.R., Cartwright, F. and </w:t>
      </w:r>
      <w:proofErr w:type="spellStart"/>
      <w:r>
        <w:rPr>
          <w:highlight w:val="white"/>
        </w:rPr>
        <w:t>Pruchno</w:t>
      </w:r>
      <w:proofErr w:type="spellEnd"/>
      <w:r>
        <w:rPr>
          <w:highlight w:val="white"/>
        </w:rPr>
        <w:t xml:space="preserve">, R., (2022). Adverse childhood experiences, adult trauma, and depressive symptom trajectories. </w:t>
      </w:r>
      <w:r>
        <w:rPr>
          <w:i/>
          <w:iCs/>
          <w:highlight w:val="white"/>
        </w:rPr>
        <w:t>Aging &amp; Mental Health</w:t>
      </w:r>
      <w:r>
        <w:rPr>
          <w:highlight w:val="white"/>
        </w:rPr>
        <w:t xml:space="preserve">, </w:t>
      </w:r>
      <w:r>
        <w:rPr>
          <w:i/>
          <w:iCs/>
          <w:highlight w:val="white"/>
        </w:rPr>
        <w:t>26</w:t>
      </w:r>
      <w:r>
        <w:rPr>
          <w:highlight w:val="white"/>
        </w:rPr>
        <w:t>(11), pp.2170-2178.</w:t>
      </w:r>
    </w:p>
    <w:sectPr w:rsidR="00467AAE">
      <w:footerReference w:type="default" r:id="rId19"/>
      <w:pgSz w:w="15840" w:h="12240"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63A35" w14:textId="77777777" w:rsidR="00AE45F6" w:rsidRDefault="00AE45F6">
      <w:pPr>
        <w:spacing w:line="240" w:lineRule="auto"/>
      </w:pPr>
      <w:r>
        <w:separator/>
      </w:r>
    </w:p>
  </w:endnote>
  <w:endnote w:type="continuationSeparator" w:id="0">
    <w:p w14:paraId="42C33932" w14:textId="77777777" w:rsidR="00AE45F6" w:rsidRDefault="00AE45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D1063C4F-889A-4D96-B953-F45931F29B78}"/>
  </w:font>
  <w:font w:name="Calibri">
    <w:panose1 w:val="020F0502020204030204"/>
    <w:charset w:val="00"/>
    <w:family w:val="swiss"/>
    <w:pitch w:val="variable"/>
    <w:sig w:usb0="E4002EFF" w:usb1="C200247B" w:usb2="00000009" w:usb3="00000000" w:csb0="000001FF" w:csb1="00000000"/>
    <w:embedRegular r:id="rId2" w:fontKey="{E5AD185F-D600-48E6-BC1C-45574CA4AC2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1A2882" w14:textId="77777777" w:rsidR="00922A16" w:rsidRDefault="00000000">
    <w:pPr>
      <w:jc w:val="right"/>
    </w:pPr>
    <w:r>
      <w:fldChar w:fldCharType="begin"/>
    </w:r>
    <w:r>
      <w:instrText>PAGE</w:instrText>
    </w:r>
    <w:r>
      <w:fldChar w:fldCharType="separate"/>
    </w:r>
    <w:r w:rsidR="00467AA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9D314" w14:textId="77777777" w:rsidR="00AE45F6" w:rsidRDefault="00AE45F6">
      <w:pPr>
        <w:spacing w:line="240" w:lineRule="auto"/>
      </w:pPr>
      <w:r>
        <w:separator/>
      </w:r>
    </w:p>
  </w:footnote>
  <w:footnote w:type="continuationSeparator" w:id="0">
    <w:p w14:paraId="0C6C999B" w14:textId="77777777" w:rsidR="00AE45F6" w:rsidRDefault="00AE45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03627"/>
    <w:multiLevelType w:val="multilevel"/>
    <w:tmpl w:val="5DBEDA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3C1815"/>
    <w:multiLevelType w:val="multilevel"/>
    <w:tmpl w:val="0C0A2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1960792">
    <w:abstractNumId w:val="0"/>
  </w:num>
  <w:num w:numId="2" w16cid:durableId="44773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2A16"/>
    <w:rsid w:val="00241B21"/>
    <w:rsid w:val="00467AAE"/>
    <w:rsid w:val="004A08A6"/>
    <w:rsid w:val="00674E93"/>
    <w:rsid w:val="007A1C05"/>
    <w:rsid w:val="008055CC"/>
    <w:rsid w:val="00922A16"/>
    <w:rsid w:val="009312CA"/>
    <w:rsid w:val="00AE45F6"/>
    <w:rsid w:val="00CA0C51"/>
    <w:rsid w:val="00D647E8"/>
    <w:rsid w:val="00E176BC"/>
    <w:rsid w:val="00E34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2E527"/>
  <w15:docId w15:val="{54171742-CE69-474A-9B83-68F505A9D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a">
    <w:basedOn w:val="TableNormal4"/>
    <w:tblPr>
      <w:tblStyleRowBandSize w:val="1"/>
      <w:tblStyleColBandSize w:val="1"/>
    </w:tblPr>
  </w:style>
  <w:style w:type="paragraph" w:styleId="TOC1">
    <w:name w:val="toc 1"/>
    <w:basedOn w:val="Normal"/>
    <w:next w:val="Normal"/>
    <w:autoRedefine/>
    <w:uiPriority w:val="39"/>
    <w:unhideWhenUsed/>
    <w:rsid w:val="005B60E5"/>
    <w:pPr>
      <w:spacing w:after="100"/>
    </w:pPr>
  </w:style>
  <w:style w:type="character" w:styleId="Hyperlink">
    <w:name w:val="Hyperlink"/>
    <w:basedOn w:val="DefaultParagraphFont"/>
    <w:uiPriority w:val="99"/>
    <w:unhideWhenUsed/>
    <w:rsid w:val="005B60E5"/>
    <w:rPr>
      <w:color w:val="0000FF" w:themeColor="hyperlink"/>
      <w:u w:val="single"/>
    </w:rPr>
  </w:style>
  <w:style w:type="table" w:customStyle="1" w:styleId="a0">
    <w:basedOn w:val="TableNormal"/>
    <w:tblPr>
      <w:tblStyleRowBandSize w:val="1"/>
      <w:tblStyleColBandSize w:val="1"/>
    </w:tblPr>
  </w:style>
  <w:style w:type="paragraph" w:styleId="ListParagraph">
    <w:name w:val="List Paragraph"/>
    <w:basedOn w:val="Normal"/>
    <w:uiPriority w:val="34"/>
    <w:qFormat/>
    <w:rsid w:val="005E515B"/>
    <w:pPr>
      <w:ind w:left="720"/>
      <w:contextualSpacing/>
    </w:p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ationalcareforum.org.uk/voice/workforce-pressures/" TargetMode="External"/><Relationship Id="rId18" Type="http://schemas.openxmlformats.org/officeDocument/2006/relationships/hyperlink" Target="https://doi.org/10.3389/fpubh.2024.1494587"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007/978-3-030-63135-2_11" TargetMode="External"/><Relationship Id="rId17" Type="http://schemas.openxmlformats.org/officeDocument/2006/relationships/hyperlink" Target="https://www.traumatherapistinstitute.com/blog/Trauma-Informed-Care-and-ACEs-Strategies-for-Mental-Health-Professionals" TargetMode="External"/><Relationship Id="rId2" Type="http://schemas.openxmlformats.org/officeDocument/2006/relationships/customXml" Target="../customXml/item2.xml"/><Relationship Id="rId16" Type="http://schemas.openxmlformats.org/officeDocument/2006/relationships/hyperlink" Target="https://www.kingsfund.org.uk/insight-and-analysis/data-and-charts/staff-shortag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nxiousminds.co.uk/impact-childhood-experiences-mental-health/" TargetMode="External"/><Relationship Id="rId5" Type="http://schemas.openxmlformats.org/officeDocument/2006/relationships/settings" Target="settings.xml"/><Relationship Id="rId15" Type="http://schemas.openxmlformats.org/officeDocument/2006/relationships/hyperlink" Target="https://www.ons.gov.uk/peoplepopulationandcommunity/crimeandjustice/bulletins/abuseduringchildhoodinenglandandwales/march2024"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earning.nspcc.org.uk/research-resources/statistics-briefings/physical-abuse"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cfMqeYJkN6vZPwVNGm0G9xyQ4Q==">CgMxLjAaHwoBMBIaChgICVIUChJ0YWJsZS4ydXIzem9sZXAzaW8aHwoBMRIaChgICVIUChJ0YWJsZS45c2lrZjVhbWdnYWwaHwoBMhIaChgICVIUChJ0YWJsZS5kaWhuYXEybms3dnMyDmguaThhM2Q1dmQ1bGtrMg5oLjdxejFmdWU2NzhmZzIOaC4xMXJhZXVxYzlwaWUyDmgucTN1ZG0wNnlrcGdpMg5oLmhjaG15enJrbGVobDIOaC5zZ3B2M3dwOGU4ZGcyDmguZGxxZG9iZm9tNXFsMg5oLnE1bTA4OGVwam92MDIOaC5iNXRreDYxbzJ2bXMyDmguNTNza3Z3NWFtMmRzMg5oLngwZnI4bmg4Y2dpeDIOaC43cDltOXI3MWdyZWIyDmguZ3FtbGxiY3NhZXdzOAByITEtMTZHWS11Vm1Vei1SbV9GdEZaYTN1YUttNEJMcC10d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5D739DE-3F02-4E95-8DB4-D391C7470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20</Pages>
  <Words>5546</Words>
  <Characters>31617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kasim mahmood</dc:creator>
  <cp:lastModifiedBy>kasim mahmood</cp:lastModifiedBy>
  <cp:revision>5</cp:revision>
  <dcterms:created xsi:type="dcterms:W3CDTF">2026-03-26T11:46:00Z</dcterms:created>
  <dcterms:modified xsi:type="dcterms:W3CDTF">2026-03-27T11:13:00Z</dcterms:modified>
</cp:coreProperties>
</file>