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02207AC" w:rsidR="00E46DC9" w:rsidRDefault="5DBCBD4B" w:rsidP="5DBCBD4B">
      <w:pPr>
        <w:jc w:val="center"/>
      </w:pPr>
      <w:r w:rsidRPr="5DBCBD4B">
        <w:rPr>
          <w:sz w:val="32"/>
          <w:szCs w:val="32"/>
        </w:rPr>
        <w:t>Graveyard survey report:</w:t>
      </w:r>
      <w:r w:rsidRPr="5DBCBD4B">
        <w:rPr>
          <w:sz w:val="28"/>
          <w:szCs w:val="28"/>
        </w:rPr>
        <w:t xml:space="preserve"> </w:t>
      </w:r>
    </w:p>
    <w:p w14:paraId="5B18687C" w14:textId="03E72196" w:rsidR="5DBCBD4B" w:rsidRDefault="5DBCBD4B" w:rsidP="5DBCBD4B">
      <w:pPr>
        <w:jc w:val="center"/>
        <w:rPr>
          <w:sz w:val="28"/>
          <w:szCs w:val="28"/>
        </w:rPr>
      </w:pPr>
      <w:r w:rsidRPr="5DBCBD4B">
        <w:rPr>
          <w:sz w:val="28"/>
          <w:szCs w:val="28"/>
        </w:rPr>
        <w:t>A Comparative analysis of graveyard/</w:t>
      </w:r>
      <w:proofErr w:type="spellStart"/>
      <w:r w:rsidRPr="5DBCBD4B">
        <w:rPr>
          <w:sz w:val="28"/>
          <w:szCs w:val="28"/>
        </w:rPr>
        <w:t>Cemetry</w:t>
      </w:r>
      <w:proofErr w:type="spellEnd"/>
      <w:r w:rsidRPr="5DBCBD4B">
        <w:rPr>
          <w:sz w:val="28"/>
          <w:szCs w:val="28"/>
        </w:rPr>
        <w:t xml:space="preserve"> monuments through the ages.</w:t>
      </w:r>
    </w:p>
    <w:p w14:paraId="59AAF9E4" w14:textId="536665B3" w:rsidR="5DBCBD4B" w:rsidRDefault="5DBCBD4B" w:rsidP="5DBCBD4B">
      <w:pPr>
        <w:jc w:val="center"/>
        <w:rPr>
          <w:b/>
          <w:bCs/>
          <w:sz w:val="28"/>
          <w:szCs w:val="28"/>
          <w:u w:val="single"/>
        </w:rPr>
      </w:pPr>
      <w:r w:rsidRPr="5DBCBD4B">
        <w:rPr>
          <w:b/>
          <w:bCs/>
          <w:sz w:val="28"/>
          <w:szCs w:val="28"/>
          <w:u w:val="single"/>
        </w:rPr>
        <w:t>Introduction</w:t>
      </w:r>
    </w:p>
    <w:p w14:paraId="1B4D40D1" w14:textId="7F246350" w:rsidR="5DBCBD4B" w:rsidRDefault="5DBCBD4B" w:rsidP="5DBCBD4B">
      <w:pPr>
        <w:rPr>
          <w:sz w:val="28"/>
          <w:szCs w:val="28"/>
        </w:rPr>
      </w:pPr>
      <w:r w:rsidRPr="5DBCBD4B">
        <w:rPr>
          <w:sz w:val="28"/>
          <w:szCs w:val="28"/>
        </w:rPr>
        <w:t xml:space="preserve">In this report I will be focussing on the graveyard located at my local church, St. Peters Church </w:t>
      </w:r>
      <w:proofErr w:type="spellStart"/>
      <w:r w:rsidRPr="5DBCBD4B">
        <w:rPr>
          <w:sz w:val="28"/>
          <w:szCs w:val="28"/>
        </w:rPr>
        <w:t>Maesllan</w:t>
      </w:r>
      <w:proofErr w:type="spellEnd"/>
      <w:r w:rsidRPr="5DBCBD4B">
        <w:rPr>
          <w:sz w:val="28"/>
          <w:szCs w:val="28"/>
        </w:rPr>
        <w:t>, Lampeter, Ceredigion.</w:t>
      </w:r>
    </w:p>
    <w:p w14:paraId="6B8085BA" w14:textId="0C07712C" w:rsidR="5DBCBD4B" w:rsidRDefault="5DBCBD4B" w:rsidP="5DBCBD4B">
      <w:pPr>
        <w:rPr>
          <w:sz w:val="28"/>
          <w:szCs w:val="28"/>
        </w:rPr>
      </w:pPr>
      <w:r w:rsidRPr="5DBCBD4B">
        <w:rPr>
          <w:sz w:val="28"/>
          <w:szCs w:val="28"/>
        </w:rPr>
        <w:t>Although the monuments are varied and, in some cases, not as grand as those seen in cemeteries and graveyards in larger cities, St. Peters still offers enough variety in monuments to demonstrate my theory in this comparative study.</w:t>
      </w:r>
    </w:p>
    <w:p w14:paraId="79FAC2CD" w14:textId="09F08E8E" w:rsidR="5DBCBD4B" w:rsidRDefault="5DBCBD4B" w:rsidP="5DBCBD4B">
      <w:pPr>
        <w:rPr>
          <w:sz w:val="28"/>
          <w:szCs w:val="28"/>
        </w:rPr>
      </w:pPr>
      <w:r w:rsidRPr="5DBCBD4B">
        <w:rPr>
          <w:sz w:val="28"/>
          <w:szCs w:val="28"/>
        </w:rPr>
        <w:t xml:space="preserve">During my initial research I found there was a distinction between graveyards and cemeteries. Graveyards are attached to churches, whereas cemeteries are open spaces generally on the outskirts of major towns and cities and used as a final resting place for the deceased. </w:t>
      </w:r>
      <w:proofErr w:type="spellStart"/>
      <w:r w:rsidRPr="5DBCBD4B">
        <w:rPr>
          <w:sz w:val="28"/>
          <w:szCs w:val="28"/>
        </w:rPr>
        <w:t>Cemetries</w:t>
      </w:r>
      <w:proofErr w:type="spellEnd"/>
      <w:r w:rsidRPr="5DBCBD4B">
        <w:rPr>
          <w:sz w:val="28"/>
          <w:szCs w:val="28"/>
        </w:rPr>
        <w:t xml:space="preserve"> where once seen more like parks to be walked around and enjoyed containing huge and ornate monuments to pay tribute to the deceased, but also demonstrate the affluence of those family members still living, but this was in stark contrast to the headstones of less affluent families. I will be discussing this further in the body of my report as this contrast between affluence and non-affluence will form part of my argument.</w:t>
      </w:r>
    </w:p>
    <w:p w14:paraId="3F4A80E6" w14:textId="05A412F2" w:rsidR="5DBCBD4B" w:rsidRDefault="5DBCBD4B" w:rsidP="5DBCBD4B">
      <w:pPr>
        <w:rPr>
          <w:sz w:val="28"/>
          <w:szCs w:val="28"/>
        </w:rPr>
      </w:pPr>
      <w:r w:rsidRPr="5DBCBD4B">
        <w:rPr>
          <w:sz w:val="28"/>
          <w:szCs w:val="28"/>
        </w:rPr>
        <w:t>In this report I will be looking at the size and grandeur of monuments and headstones from the early 20</w:t>
      </w:r>
      <w:r w:rsidRPr="5DBCBD4B">
        <w:rPr>
          <w:sz w:val="28"/>
          <w:szCs w:val="28"/>
          <w:vertAlign w:val="superscript"/>
        </w:rPr>
        <w:t>th</w:t>
      </w:r>
      <w:r w:rsidRPr="5DBCBD4B">
        <w:rPr>
          <w:sz w:val="28"/>
          <w:szCs w:val="28"/>
        </w:rPr>
        <w:t xml:space="preserve"> century in comparison to the monuments and headstones of recent times. I will be looking to see if this is purely down to fashion or whether the change in monuments is down too legislative influence. I feel that the stark contrast between the monuments and headstones of the past compared to the monuments and headstones of the present day has an interesting story to be told. In this paper I will be looking to try to unfold aspects of that story. </w:t>
      </w:r>
    </w:p>
    <w:p w14:paraId="5F297AE0" w14:textId="7960BA86" w:rsidR="5DBCBD4B" w:rsidRDefault="5DBCBD4B" w:rsidP="5DBCBD4B">
      <w:pPr>
        <w:rPr>
          <w:sz w:val="28"/>
          <w:szCs w:val="28"/>
        </w:rPr>
      </w:pPr>
    </w:p>
    <w:p w14:paraId="3D49D0D7" w14:textId="195D0D00" w:rsidR="5DBCBD4B" w:rsidRDefault="5DBCBD4B" w:rsidP="5DBCBD4B">
      <w:pPr>
        <w:ind w:left="1440"/>
        <w:jc w:val="center"/>
        <w:rPr>
          <w:b/>
          <w:bCs/>
          <w:sz w:val="28"/>
          <w:szCs w:val="28"/>
          <w:u w:val="single"/>
        </w:rPr>
      </w:pPr>
      <w:r w:rsidRPr="5DBCBD4B">
        <w:rPr>
          <w:b/>
          <w:bCs/>
          <w:sz w:val="28"/>
          <w:szCs w:val="28"/>
          <w:u w:val="single"/>
        </w:rPr>
        <w:t>Ethical approach used to compile this report</w:t>
      </w:r>
    </w:p>
    <w:p w14:paraId="344AF093" w14:textId="04A299F6" w:rsidR="5DBCBD4B" w:rsidRDefault="5DBCBD4B" w:rsidP="5DBCBD4B">
      <w:pPr>
        <w:ind w:left="1440"/>
        <w:jc w:val="center"/>
        <w:rPr>
          <w:b/>
          <w:bCs/>
          <w:sz w:val="28"/>
          <w:szCs w:val="28"/>
          <w:u w:val="single"/>
        </w:rPr>
      </w:pPr>
    </w:p>
    <w:p w14:paraId="6107D1B9" w14:textId="508ABA8F" w:rsidR="5DBCBD4B" w:rsidRDefault="5DBCBD4B" w:rsidP="5DBCBD4B">
      <w:pPr>
        <w:rPr>
          <w:sz w:val="28"/>
          <w:szCs w:val="28"/>
        </w:rPr>
      </w:pPr>
      <w:r w:rsidRPr="5DBCBD4B">
        <w:rPr>
          <w:sz w:val="28"/>
          <w:szCs w:val="28"/>
        </w:rPr>
        <w:t>Due to the nature of this report, I have approached my collection of data ethically. Explaining my intensions to mourners visiting graves, explaining that I was recording data for a university assignment. I allowed people space to mourn, keeping my distance, and revisiting the grave I wanted to analyse after the mourners had left. Graveyards although being places of historical interest also carry huge emotional connections with those who have lost loved ones. I considered this at length and wrote out a basic code of practice to follow prior to visiting the graveyard and collating any data. My list of considerations set out before embarking on this report are:</w:t>
      </w:r>
    </w:p>
    <w:p w14:paraId="77179378" w14:textId="54479AB8" w:rsidR="5DBCBD4B" w:rsidRDefault="5DBCBD4B" w:rsidP="5DBCBD4B">
      <w:pPr>
        <w:rPr>
          <w:sz w:val="28"/>
          <w:szCs w:val="28"/>
        </w:rPr>
      </w:pPr>
      <w:r w:rsidRPr="5DBCBD4B">
        <w:rPr>
          <w:sz w:val="28"/>
          <w:szCs w:val="28"/>
        </w:rPr>
        <w:t>Give people space to mourn and keep away from graves that have members of the public close by until they have left.</w:t>
      </w:r>
    </w:p>
    <w:p w14:paraId="72C9EA75" w14:textId="06A1C368" w:rsidR="5DBCBD4B" w:rsidRDefault="5DBCBD4B" w:rsidP="5DBCBD4B">
      <w:pPr>
        <w:rPr>
          <w:sz w:val="28"/>
          <w:szCs w:val="28"/>
        </w:rPr>
      </w:pPr>
      <w:r w:rsidRPr="5DBCBD4B">
        <w:rPr>
          <w:sz w:val="28"/>
          <w:szCs w:val="28"/>
        </w:rPr>
        <w:t>To recognise that I was working in an extremely sensitive place, and the importance was not to get the data I needed as quickly as possible, but to be prepared to wait or come back another time should the circumstances regarding collecting my data dictate that.</w:t>
      </w:r>
    </w:p>
    <w:p w14:paraId="5137B6B6" w14:textId="419DE6EE" w:rsidR="5DBCBD4B" w:rsidRDefault="5DBCBD4B" w:rsidP="5DBCBD4B">
      <w:pPr>
        <w:rPr>
          <w:sz w:val="28"/>
          <w:szCs w:val="28"/>
        </w:rPr>
      </w:pPr>
      <w:r w:rsidRPr="5DBCBD4B">
        <w:rPr>
          <w:sz w:val="28"/>
          <w:szCs w:val="28"/>
        </w:rPr>
        <w:t>Be prepared to answer questions regarding my data collection within the graveyard.</w:t>
      </w:r>
    </w:p>
    <w:p w14:paraId="166138D1" w14:textId="4C9AE980" w:rsidR="5DBCBD4B" w:rsidRDefault="5DBCBD4B" w:rsidP="5DBCBD4B">
      <w:pPr>
        <w:rPr>
          <w:sz w:val="28"/>
          <w:szCs w:val="28"/>
        </w:rPr>
      </w:pPr>
      <w:r w:rsidRPr="5DBCBD4B">
        <w:rPr>
          <w:sz w:val="28"/>
          <w:szCs w:val="28"/>
        </w:rPr>
        <w:t xml:space="preserve">Due to some </w:t>
      </w:r>
      <w:r w:rsidR="2B921E64" w:rsidRPr="202D4586">
        <w:rPr>
          <w:sz w:val="28"/>
          <w:szCs w:val="28"/>
        </w:rPr>
        <w:t>monuments</w:t>
      </w:r>
      <w:r w:rsidRPr="5DBCBD4B">
        <w:rPr>
          <w:sz w:val="28"/>
          <w:szCs w:val="28"/>
        </w:rPr>
        <w:t xml:space="preserve"> being either vandalised or laid flat as they presented a risk to the public, I was vigilant to avoid potential accidents to either myself or my partner who assisted me in taking photographs. The two days we spend at St. Peters graveyard the weather was luckily sunny but cold, however, we observed many potential hazards including deep holes in the ground that without vigilance and careful observation could cause serious harm.</w:t>
      </w:r>
    </w:p>
    <w:p w14:paraId="400CF6E7" w14:textId="2DB7932B" w:rsidR="5DBCBD4B" w:rsidRDefault="5DBCBD4B" w:rsidP="5DBCBD4B">
      <w:pPr>
        <w:rPr>
          <w:sz w:val="28"/>
          <w:szCs w:val="28"/>
        </w:rPr>
      </w:pPr>
    </w:p>
    <w:p w14:paraId="522C7C23" w14:textId="361E6E8B" w:rsidR="5DBCBD4B" w:rsidRDefault="5DBCBD4B" w:rsidP="5DBCBD4B">
      <w:pPr>
        <w:jc w:val="center"/>
        <w:rPr>
          <w:b/>
          <w:bCs/>
          <w:sz w:val="28"/>
          <w:szCs w:val="28"/>
          <w:u w:val="single"/>
        </w:rPr>
      </w:pPr>
      <w:r w:rsidRPr="5DBCBD4B">
        <w:rPr>
          <w:b/>
          <w:bCs/>
          <w:sz w:val="28"/>
          <w:szCs w:val="28"/>
          <w:u w:val="single"/>
        </w:rPr>
        <w:t>Method</w:t>
      </w:r>
    </w:p>
    <w:p w14:paraId="0B60F43F" w14:textId="3CFBC82C" w:rsidR="5DBCBD4B" w:rsidRDefault="5DBCBD4B" w:rsidP="5DBCBD4B">
      <w:pPr>
        <w:jc w:val="center"/>
        <w:rPr>
          <w:b/>
          <w:bCs/>
          <w:sz w:val="28"/>
          <w:szCs w:val="28"/>
          <w:u w:val="single"/>
        </w:rPr>
      </w:pPr>
    </w:p>
    <w:p w14:paraId="6E098C7F" w14:textId="5665B6D9" w:rsidR="5DBCBD4B" w:rsidRDefault="5DBCBD4B" w:rsidP="5DBCBD4B">
      <w:pPr>
        <w:rPr>
          <w:sz w:val="28"/>
          <w:szCs w:val="28"/>
        </w:rPr>
      </w:pPr>
      <w:r w:rsidRPr="1057FFF6">
        <w:rPr>
          <w:sz w:val="28"/>
          <w:szCs w:val="28"/>
        </w:rPr>
        <w:t xml:space="preserve">My method involved walking around the graveyard and analysing the size of the larger monuments and headstones and dates there were erected. I took measurements of the monuments and the headstones and numbered the findings in relation to photographs. I also took measurements and photographs of headstones from more recent times, to compare with the monuments and headstones of an earlier date (see appendix A). For example, approaching the front of the church one can see a clear difference in the type of monument and headstone used. I also recorded the </w:t>
      </w:r>
      <w:r w:rsidR="2B921E64" w:rsidRPr="202D4586">
        <w:rPr>
          <w:sz w:val="28"/>
          <w:szCs w:val="28"/>
        </w:rPr>
        <w:t>headstones</w:t>
      </w:r>
      <w:r w:rsidRPr="1057FFF6">
        <w:rPr>
          <w:sz w:val="28"/>
          <w:szCs w:val="28"/>
        </w:rPr>
        <w:t xml:space="preserve"> and monuments that had either been laid down due to health and safety reasons (see appendix B) (as graveyards and cemeteries are responsible for any accidents to the public due to unsafe monuments and headstones, every caution is taken to ensure that they are safe – a method known as the topple test is used to signify safety of monuments and headstones, especially the larger type erected in previous times. this is a significant issue as there has been many accidents and even fatalities due to falling monuments and </w:t>
      </w:r>
      <w:r w:rsidR="2B921E64" w:rsidRPr="202D4586">
        <w:rPr>
          <w:sz w:val="28"/>
          <w:szCs w:val="28"/>
        </w:rPr>
        <w:t>headstones</w:t>
      </w:r>
      <w:r w:rsidRPr="1057FFF6">
        <w:rPr>
          <w:sz w:val="28"/>
          <w:szCs w:val="28"/>
        </w:rPr>
        <w:t xml:space="preserve">, especially on small children playing in cemeteries and graveyards). I also recorded what looked like acts of vandalism, leaving the </w:t>
      </w:r>
      <w:r w:rsidR="2B921E64" w:rsidRPr="202D4586">
        <w:rPr>
          <w:sz w:val="28"/>
          <w:szCs w:val="28"/>
        </w:rPr>
        <w:t>monuments</w:t>
      </w:r>
      <w:r w:rsidRPr="1057FFF6">
        <w:rPr>
          <w:sz w:val="28"/>
          <w:szCs w:val="28"/>
        </w:rPr>
        <w:t xml:space="preserve"> or </w:t>
      </w:r>
      <w:r w:rsidR="2B921E64" w:rsidRPr="202D4586">
        <w:rPr>
          <w:sz w:val="28"/>
          <w:szCs w:val="28"/>
        </w:rPr>
        <w:t>gravestones</w:t>
      </w:r>
      <w:r w:rsidRPr="1057FFF6">
        <w:rPr>
          <w:sz w:val="28"/>
          <w:szCs w:val="28"/>
        </w:rPr>
        <w:t xml:space="preserve"> in a state of disrepair. I was advised by my lecturer, Quentin Drew, that there was a spate of vandalism in the graveyard some years back, mainly due to the local youth having little to do in the Lampeter area (see appendix C). </w:t>
      </w:r>
    </w:p>
    <w:p w14:paraId="02678C4D" w14:textId="421C43FF" w:rsidR="1057FFF6" w:rsidRDefault="1057FFF6" w:rsidP="1057FFF6">
      <w:pPr>
        <w:rPr>
          <w:sz w:val="28"/>
          <w:szCs w:val="28"/>
        </w:rPr>
      </w:pPr>
    </w:p>
    <w:p w14:paraId="4B699D54" w14:textId="13C00D87" w:rsidR="1057FFF6" w:rsidRDefault="202D4586" w:rsidP="1057FFF6">
      <w:pPr>
        <w:jc w:val="center"/>
        <w:rPr>
          <w:sz w:val="28"/>
          <w:szCs w:val="28"/>
        </w:rPr>
      </w:pPr>
      <w:r w:rsidRPr="202D4586">
        <w:rPr>
          <w:b/>
          <w:bCs/>
          <w:sz w:val="28"/>
          <w:szCs w:val="28"/>
          <w:u w:val="single"/>
        </w:rPr>
        <w:t>Results</w:t>
      </w:r>
    </w:p>
    <w:p w14:paraId="1C94E734" w14:textId="586842D5" w:rsidR="202D4586" w:rsidRDefault="202D4586" w:rsidP="202D4586">
      <w:pPr>
        <w:rPr>
          <w:rFonts w:ascii="Helvetica" w:eastAsia="Helvetica" w:hAnsi="Helvetica" w:cs="Helvetica"/>
          <w:sz w:val="28"/>
          <w:szCs w:val="28"/>
        </w:rPr>
      </w:pPr>
    </w:p>
    <w:p w14:paraId="48C40689" w14:textId="438374E2" w:rsidR="202D4586" w:rsidRDefault="202D4586" w:rsidP="202D4586">
      <w:pPr>
        <w:pStyle w:val="Heading1"/>
      </w:pPr>
      <w:r w:rsidRPr="202D4586">
        <w:rPr>
          <w:rFonts w:ascii="Arial" w:eastAsia="Arial" w:hAnsi="Arial" w:cs="Arial"/>
          <w:sz w:val="28"/>
          <w:szCs w:val="28"/>
        </w:rPr>
        <w:t>“Cemeteries Clauses Act 1847</w:t>
      </w:r>
    </w:p>
    <w:p w14:paraId="0153BFCA" w14:textId="30B96AC4" w:rsidR="202D4586" w:rsidRDefault="202D4586" w:rsidP="202D4586">
      <w:pPr>
        <w:pStyle w:val="Heading1"/>
      </w:pPr>
      <w:r w:rsidRPr="202D4586">
        <w:rPr>
          <w:rFonts w:ascii="Arial" w:eastAsia="Arial" w:hAnsi="Arial" w:cs="Arial"/>
          <w:sz w:val="28"/>
          <w:szCs w:val="28"/>
        </w:rPr>
        <w:t xml:space="preserve">1847 CHAPTER 65 10 and 11 </w:t>
      </w:r>
      <w:proofErr w:type="spellStart"/>
      <w:r w:rsidRPr="202D4586">
        <w:rPr>
          <w:rFonts w:ascii="Arial" w:eastAsia="Arial" w:hAnsi="Arial" w:cs="Arial"/>
          <w:sz w:val="28"/>
          <w:szCs w:val="28"/>
        </w:rPr>
        <w:t>Vict</w:t>
      </w:r>
      <w:proofErr w:type="spellEnd"/>
    </w:p>
    <w:p w14:paraId="20FD5F0A" w14:textId="3A95DED6" w:rsidR="202D4586" w:rsidRDefault="202D4586" w:rsidP="202D4586">
      <w:pPr>
        <w:jc w:val="both"/>
      </w:pPr>
      <w:r w:rsidRPr="202D4586">
        <w:rPr>
          <w:rFonts w:ascii="Arial" w:eastAsia="Arial" w:hAnsi="Arial" w:cs="Arial"/>
          <w:sz w:val="28"/>
          <w:szCs w:val="28"/>
        </w:rPr>
        <w:t xml:space="preserve">An Act for consolidating in One Act certain Provisions usually contained in Acts </w:t>
      </w:r>
      <w:proofErr w:type="spellStart"/>
      <w:r w:rsidRPr="202D4586">
        <w:rPr>
          <w:rFonts w:ascii="Arial" w:eastAsia="Arial" w:hAnsi="Arial" w:cs="Arial"/>
          <w:sz w:val="28"/>
          <w:szCs w:val="28"/>
        </w:rPr>
        <w:t>authorizing</w:t>
      </w:r>
      <w:proofErr w:type="spellEnd"/>
      <w:r w:rsidRPr="202D4586">
        <w:rPr>
          <w:rFonts w:ascii="Arial" w:eastAsia="Arial" w:hAnsi="Arial" w:cs="Arial"/>
          <w:sz w:val="28"/>
          <w:szCs w:val="28"/>
        </w:rPr>
        <w:t xml:space="preserve"> the making of Cemeteries.</w:t>
      </w:r>
    </w:p>
    <w:p w14:paraId="398EAA73" w14:textId="3CB9AF1B" w:rsidR="202D4586" w:rsidRDefault="202D4586" w:rsidP="202D4586">
      <w:r>
        <w:br/>
      </w:r>
    </w:p>
    <w:p w14:paraId="160570FD" w14:textId="3976600C" w:rsidR="202D4586" w:rsidRDefault="202D4586" w:rsidP="202D4586">
      <w:r w:rsidRPr="202D4586">
        <w:rPr>
          <w:rFonts w:ascii="Helvetica" w:eastAsia="Helvetica" w:hAnsi="Helvetica" w:cs="Helvetica"/>
          <w:sz w:val="28"/>
          <w:szCs w:val="28"/>
        </w:rPr>
        <w:t>Making of cemetery</w:t>
      </w:r>
    </w:p>
    <w:p w14:paraId="2054EB7D" w14:textId="326A03E3" w:rsidR="202D4586" w:rsidRDefault="202D4586" w:rsidP="202D4586">
      <w:pPr>
        <w:jc w:val="both"/>
      </w:pPr>
      <w:r w:rsidRPr="202D4586">
        <w:rPr>
          <w:rFonts w:ascii="Arial" w:eastAsia="Arial" w:hAnsi="Arial" w:cs="Arial"/>
          <w:sz w:val="28"/>
          <w:szCs w:val="28"/>
        </w:rPr>
        <w:t>And with respect to the making of the cemetery, be it enacted as follows:</w:t>
      </w:r>
    </w:p>
    <w:p w14:paraId="1265261B" w14:textId="08880CDA" w:rsidR="202D4586" w:rsidRDefault="202D4586" w:rsidP="202D4586">
      <w:pPr>
        <w:pStyle w:val="Heading3"/>
        <w:rPr>
          <w:rFonts w:ascii="Arial" w:eastAsia="Arial" w:hAnsi="Arial" w:cs="Arial"/>
          <w:sz w:val="28"/>
          <w:szCs w:val="28"/>
        </w:rPr>
      </w:pPr>
      <w:r w:rsidRPr="202D4586">
        <w:rPr>
          <w:rFonts w:ascii="Arial" w:eastAsia="Arial" w:hAnsi="Arial" w:cs="Arial"/>
          <w:sz w:val="28"/>
          <w:szCs w:val="28"/>
        </w:rPr>
        <w:t>6 Construction of cemetery to be subject to the provisions of this and the Land Clauses Consolidation Act 1845.</w:t>
      </w:r>
    </w:p>
    <w:p w14:paraId="11DB1722" w14:textId="07AA2237" w:rsidR="202D4586" w:rsidRDefault="202D4586" w:rsidP="202D4586">
      <w:pPr>
        <w:jc w:val="both"/>
        <w:rPr>
          <w:rFonts w:ascii="Arial" w:eastAsia="Arial" w:hAnsi="Arial" w:cs="Arial"/>
          <w:sz w:val="28"/>
          <w:szCs w:val="28"/>
        </w:rPr>
      </w:pPr>
      <w:r w:rsidRPr="202D4586">
        <w:rPr>
          <w:rFonts w:ascii="Arial" w:eastAsia="Arial" w:hAnsi="Arial" w:cs="Arial"/>
          <w:sz w:val="28"/>
          <w:szCs w:val="28"/>
        </w:rPr>
        <w:t xml:space="preserve">Where by the special Act the company shall be empowered for the purpose of making the cemetery, to take or use any lands otherwise than with the consent of the owners and occupiers thereof, they shall, in exercising the power so given to them, be subject to the provisions and restrictions contained in this Act and the </w:t>
      </w:r>
      <w:hyperlink r:id="rId5" w:anchor="commentary-c6401281">
        <w:r w:rsidRPr="202D4586">
          <w:rPr>
            <w:rStyle w:val="Hyperlink"/>
            <w:rFonts w:ascii="Arial" w:eastAsia="Arial" w:hAnsi="Arial" w:cs="Arial"/>
            <w:b/>
            <w:bCs/>
            <w:sz w:val="27"/>
            <w:szCs w:val="27"/>
          </w:rPr>
          <w:t>M1</w:t>
        </w:r>
      </w:hyperlink>
      <w:r w:rsidRPr="202D4586">
        <w:rPr>
          <w:rFonts w:ascii="Arial" w:eastAsia="Arial" w:hAnsi="Arial" w:cs="Arial"/>
          <w:sz w:val="28"/>
          <w:szCs w:val="28"/>
        </w:rPr>
        <w:t xml:space="preserve">Lands Clauses Consolidation Act 1845 and shall make to the owners and occupiers of and all other parties interested in any lands taken or used for the purposes of the special Act, or injuriously affected by the construction of the works thereby </w:t>
      </w:r>
      <w:proofErr w:type="spellStart"/>
      <w:r w:rsidRPr="202D4586">
        <w:rPr>
          <w:rFonts w:ascii="Arial" w:eastAsia="Arial" w:hAnsi="Arial" w:cs="Arial"/>
          <w:sz w:val="28"/>
          <w:szCs w:val="28"/>
        </w:rPr>
        <w:t>authorized</w:t>
      </w:r>
      <w:proofErr w:type="spellEnd"/>
      <w:r w:rsidRPr="202D4586">
        <w:rPr>
          <w:rFonts w:ascii="Arial" w:eastAsia="Arial" w:hAnsi="Arial" w:cs="Arial"/>
          <w:sz w:val="28"/>
          <w:szCs w:val="28"/>
        </w:rPr>
        <w:t>, full compensation for the value of the lands so taken or used, and for all damage sustained by such owners, occupiers, or other parties, by reason of the exercise, as regards such lands, of the powers vested in the company by this or the special Act, or any Act incorporated therewith; and, except where otherwise provided by this or the special Act, the amount of such compensation shall be determined in the manner provided by the Lands Clauses Consolidation Act, 1845, for determining questions of compensation with regard to lands purchased or taken under the provisions thereof, and all the provisions of the last-mentioned Act shall be applicable to determine the amount of such compensation, and to enforce payment or other satisfaction.” (</w:t>
      </w:r>
      <w:hyperlink r:id="rId6">
        <w:r w:rsidRPr="202D4586">
          <w:rPr>
            <w:rStyle w:val="Hyperlink"/>
            <w:rFonts w:ascii="Arial" w:eastAsia="Arial" w:hAnsi="Arial" w:cs="Arial"/>
            <w:sz w:val="28"/>
            <w:szCs w:val="28"/>
          </w:rPr>
          <w:t>https://www.legislation.gov.uk/ukpga/Vict/10-11/65</w:t>
        </w:r>
      </w:hyperlink>
      <w:r w:rsidRPr="202D4586">
        <w:rPr>
          <w:rFonts w:ascii="Arial" w:eastAsia="Arial" w:hAnsi="Arial" w:cs="Arial"/>
          <w:sz w:val="28"/>
          <w:szCs w:val="28"/>
        </w:rPr>
        <w:t>). The safety of memorials and headstones is not a new thing. As the act from 1847 states above, there was a requirement for an act to be passed to ensure public safety and make clear where the responsibility lies in the event of an unsafe monument or headstone causing harm to the public. This had an obvious bearing on the size and type of monuments used as no cemetery or graveyard would want to be held accountable for personal injury or even death due to unsafe structures under their jurisdiction. This tension between what individuals would like to erect as a tribute to their loved ones and what is in the public interest, health and safety wise, is a continued discussion to this day.</w:t>
      </w:r>
    </w:p>
    <w:p w14:paraId="36A14D3F" w14:textId="14333ED5" w:rsidR="202D4586" w:rsidRDefault="202D4586" w:rsidP="202D4586">
      <w:pPr>
        <w:rPr>
          <w:rFonts w:ascii="Arial" w:eastAsia="Arial" w:hAnsi="Arial" w:cs="Arial"/>
          <w:sz w:val="28"/>
          <w:szCs w:val="28"/>
        </w:rPr>
      </w:pPr>
      <w:r w:rsidRPr="202D4586">
        <w:rPr>
          <w:rFonts w:ascii="Arial" w:eastAsia="Arial" w:hAnsi="Arial" w:cs="Arial"/>
          <w:sz w:val="28"/>
          <w:szCs w:val="28"/>
        </w:rPr>
        <w:t xml:space="preserve">From the house of commons library:   </w:t>
      </w:r>
    </w:p>
    <w:p w14:paraId="3FEED988" w14:textId="14314A7A" w:rsidR="202D4586" w:rsidRDefault="202D4586" w:rsidP="202D4586">
      <w:pPr>
        <w:jc w:val="center"/>
        <w:rPr>
          <w:rFonts w:ascii="Arial" w:eastAsia="Arial" w:hAnsi="Arial" w:cs="Arial"/>
          <w:sz w:val="28"/>
          <w:szCs w:val="28"/>
        </w:rPr>
      </w:pPr>
      <w:r w:rsidRPr="202D4586">
        <w:rPr>
          <w:rFonts w:ascii="Arial" w:eastAsia="Arial" w:hAnsi="Arial" w:cs="Arial"/>
          <w:b/>
          <w:bCs/>
          <w:sz w:val="28"/>
          <w:szCs w:val="28"/>
        </w:rPr>
        <w:t>“Unsafe memorials in cemeteries</w:t>
      </w:r>
      <w:r w:rsidRPr="202D4586">
        <w:rPr>
          <w:rFonts w:ascii="Arial" w:eastAsia="Arial" w:hAnsi="Arial" w:cs="Arial"/>
          <w:sz w:val="28"/>
          <w:szCs w:val="28"/>
        </w:rPr>
        <w:t xml:space="preserve">  </w:t>
      </w:r>
    </w:p>
    <w:p w14:paraId="7B78BE9C" w14:textId="0AF089C6" w:rsidR="202D4586" w:rsidRDefault="202D4586" w:rsidP="202D4586">
      <w:r w:rsidRPr="202D4586">
        <w:rPr>
          <w:rFonts w:ascii="Helvetica" w:eastAsia="Helvetica" w:hAnsi="Helvetica" w:cs="Helvetica"/>
        </w:rPr>
        <w:t>his briefing paper deals with the position in England and Wales except where otherwise stated.</w:t>
      </w:r>
    </w:p>
    <w:p w14:paraId="7DA8640E" w14:textId="7C71C37F" w:rsidR="202D4586" w:rsidRDefault="202D4586" w:rsidP="202D4586">
      <w:r w:rsidRPr="202D4586">
        <w:rPr>
          <w:rFonts w:ascii="Helvetica" w:eastAsia="Helvetica" w:hAnsi="Helvetica" w:cs="Helvetica"/>
        </w:rPr>
        <w:t>Memorials in cemeteries</w:t>
      </w:r>
    </w:p>
    <w:p w14:paraId="16508834" w14:textId="7B737CD2" w:rsidR="202D4586" w:rsidRDefault="202D4586" w:rsidP="202D4586">
      <w:r w:rsidRPr="202D4586">
        <w:rPr>
          <w:rFonts w:ascii="Helvetica" w:eastAsia="Helvetica" w:hAnsi="Helvetica" w:cs="Helvetica"/>
        </w:rPr>
        <w:t>Memorials, in this context, are sometimes referred to using a number of different terms including headstone, tombstone and gravestone.</w:t>
      </w:r>
    </w:p>
    <w:p w14:paraId="5DFCA940" w14:textId="10AF6A83" w:rsidR="202D4586" w:rsidRDefault="202D4586" w:rsidP="202D4586">
      <w:r w:rsidRPr="202D4586">
        <w:rPr>
          <w:rFonts w:ascii="Helvetica" w:eastAsia="Helvetica" w:hAnsi="Helvetica" w:cs="Helvetica"/>
        </w:rPr>
        <w:t>Accidents in cemeteries</w:t>
      </w:r>
    </w:p>
    <w:p w14:paraId="2CC6565A" w14:textId="38B8F5AF" w:rsidR="202D4586" w:rsidRDefault="202D4586" w:rsidP="202D4586">
      <w:r w:rsidRPr="202D4586">
        <w:rPr>
          <w:rFonts w:ascii="Helvetica" w:eastAsia="Helvetica" w:hAnsi="Helvetica" w:cs="Helvetica"/>
        </w:rPr>
        <w:t>The issue of memorial safety was brought to a head following cases where memorials toppled over and caused injuries, sometimes fatal, to members of the public. In particular, the death of a child in Yorkshire in 2000 highlighted the problem of unstable memorials.</w:t>
      </w:r>
    </w:p>
    <w:p w14:paraId="1E2A48C7" w14:textId="44A9A25A" w:rsidR="202D4586" w:rsidRDefault="202D4586" w:rsidP="202D4586">
      <w:r w:rsidRPr="202D4586">
        <w:rPr>
          <w:rFonts w:ascii="Helvetica" w:eastAsia="Helvetica" w:hAnsi="Helvetica" w:cs="Helvetica"/>
        </w:rPr>
        <w:t>Responsibility for maintaining memorials</w:t>
      </w:r>
    </w:p>
    <w:p w14:paraId="511EE468" w14:textId="3740E8A2" w:rsidR="202D4586" w:rsidRDefault="202D4586" w:rsidP="202D4586">
      <w:r w:rsidRPr="202D4586">
        <w:rPr>
          <w:rFonts w:ascii="Helvetica" w:eastAsia="Helvetica" w:hAnsi="Helvetica" w:cs="Helvetica"/>
        </w:rPr>
        <w:t>Responsibility for maintaining individual memorials generally remains primarily with those who erected them. Local authorities, acting as burial authorities, have general powers of management in relation to public cemeteries. This includes power to take any action necessary to remove a danger which arises because of the condition of a vault, tombstone or memorial. Burial authorities also have a duty of care under health and safety legislation and under the principles of occupier’s liability.</w:t>
      </w:r>
    </w:p>
    <w:p w14:paraId="43837EE0" w14:textId="4FDC897A" w:rsidR="202D4586" w:rsidRDefault="202D4586" w:rsidP="202D4586">
      <w:r w:rsidRPr="202D4586">
        <w:rPr>
          <w:rFonts w:ascii="Helvetica" w:eastAsia="Helvetica" w:hAnsi="Helvetica" w:cs="Helvetica"/>
        </w:rPr>
        <w:t>Local authority testing of memorials</w:t>
      </w:r>
    </w:p>
    <w:p w14:paraId="4F5BEEA8" w14:textId="3AC3A7F3" w:rsidR="202D4586" w:rsidRDefault="202D4586" w:rsidP="202D4586">
      <w:r w:rsidRPr="202D4586">
        <w:rPr>
          <w:rFonts w:ascii="Helvetica" w:eastAsia="Helvetica" w:hAnsi="Helvetica" w:cs="Helvetica"/>
        </w:rPr>
        <w:t>In the light of concerns about public safety, many local authorities started to carry out an inspection programme in order to identify unsafe memorials, and to ensure that they were made safe by whichever method they considered appropriate. In many cases this involved the use of a mechanical test instrument.</w:t>
      </w:r>
    </w:p>
    <w:p w14:paraId="4CCA5D98" w14:textId="1DC5D92C" w:rsidR="202D4586" w:rsidRDefault="202D4586" w:rsidP="202D4586">
      <w:r w:rsidRPr="202D4586">
        <w:rPr>
          <w:rFonts w:ascii="Helvetica" w:eastAsia="Helvetica" w:hAnsi="Helvetica" w:cs="Helvetica"/>
        </w:rPr>
        <w:t>The inspections resulted in some memorials being laid flat or cordoned off, and relatives were notified that they must pay to make them safe. This sometimes caused distress to bereaved relatives who felt that the graves were being desecrated and some argued that the tests themselves were making the memorials unsafe.</w:t>
      </w:r>
    </w:p>
    <w:p w14:paraId="467E30EF" w14:textId="372D27BD" w:rsidR="202D4586" w:rsidRDefault="202D4586" w:rsidP="202D4586">
      <w:r w:rsidRPr="202D4586">
        <w:rPr>
          <w:rFonts w:ascii="Helvetica" w:eastAsia="Helvetica" w:hAnsi="Helvetica" w:cs="Helvetica"/>
        </w:rPr>
        <w:t>In 2006, the Local Government Ombudsman and the Public Services Ombudsman for Wales expressed the view that “it should not be necessary for burial authorities to lay down grave memorials on any large scale”. The Ministry of Justice reiterated the need for great sensitivity and careful planning in the way that work relating to memorials was undertaken.</w:t>
      </w:r>
    </w:p>
    <w:p w14:paraId="6405B979" w14:textId="1B28023E" w:rsidR="202D4586" w:rsidRDefault="202D4586" w:rsidP="202D4586">
      <w:r w:rsidRPr="202D4586">
        <w:rPr>
          <w:rFonts w:ascii="Helvetica" w:eastAsia="Helvetica" w:hAnsi="Helvetica" w:cs="Helvetica"/>
        </w:rPr>
        <w:t>Guidance on managing the safety of memorials in cemeteries</w:t>
      </w:r>
    </w:p>
    <w:p w14:paraId="243D7F0F" w14:textId="1B8E6320" w:rsidR="202D4586" w:rsidRDefault="202D4586" w:rsidP="202D4586">
      <w:r w:rsidRPr="202D4586">
        <w:rPr>
          <w:rFonts w:ascii="Helvetica" w:eastAsia="Helvetica" w:hAnsi="Helvetica" w:cs="Helvetica"/>
        </w:rPr>
        <w:t>In January 2009, the Ministry of Justice published guidance, Managing the safety of Burial Ground Memorials. This sets out good practice on the standard expected in the risk management of memorials in all types of burial grounds, public or private. The guidance states that the risk of any injury is extremely low and that any precautions should be proportionate to the level of risk. The routine use of mechanical test instruments is not recommended.</w:t>
      </w:r>
    </w:p>
    <w:p w14:paraId="74B06D3D" w14:textId="41EC57A8" w:rsidR="202D4586" w:rsidRDefault="202D4586" w:rsidP="202D4586">
      <w:r w:rsidRPr="202D4586">
        <w:rPr>
          <w:rFonts w:ascii="Helvetica" w:eastAsia="Helvetica" w:hAnsi="Helvetica" w:cs="Helvetica"/>
        </w:rPr>
        <w:t>The Institute of Cemetery and Crematorium Management (ICCM) has also published guidance. In 2009, following the publication of the Ministry of Justice guidance, the ICCM indicated two dilemmas for burial authorities that it considered would need careful consideration by those with a responsibility for health and safety matters.</w:t>
      </w:r>
    </w:p>
    <w:p w14:paraId="3E890EAA" w14:textId="5E8953CD" w:rsidR="202D4586" w:rsidRDefault="202D4586" w:rsidP="202D4586">
      <w:pPr>
        <w:rPr>
          <w:rFonts w:ascii="Helvetica" w:eastAsia="Helvetica" w:hAnsi="Helvetica" w:cs="Helvetica"/>
        </w:rPr>
      </w:pPr>
      <w:r w:rsidRPr="202D4586">
        <w:rPr>
          <w:rFonts w:ascii="Helvetica" w:eastAsia="Helvetica" w:hAnsi="Helvetica" w:cs="Helvetica"/>
        </w:rPr>
        <w:t>A revised British Standard 8415, Memorials within burial grounds and memorial sites, specification, was published on 26 July 2018.”</w:t>
      </w:r>
    </w:p>
    <w:p w14:paraId="1BD76B78" w14:textId="13FDAE03" w:rsidR="202D4586" w:rsidRDefault="202D4586" w:rsidP="202D4586">
      <w:r>
        <w:t>(</w:t>
      </w:r>
      <w:hyperlink r:id="rId7">
        <w:r w:rsidRPr="202D4586">
          <w:rPr>
            <w:rStyle w:val="Hyperlink"/>
            <w:rFonts w:ascii="Calibri" w:eastAsia="Calibri" w:hAnsi="Calibri" w:cs="Calibri"/>
          </w:rPr>
          <w:t>https://researchbriefings.files.parliament.uk/documents/SN03634/SN03634.pdf</w:t>
        </w:r>
      </w:hyperlink>
      <w:r>
        <w:t>).</w:t>
      </w:r>
    </w:p>
    <w:p w14:paraId="46C23DAF" w14:textId="098B9258" w:rsidR="202D4586" w:rsidRDefault="202D4586" w:rsidP="202D4586">
      <w:pPr>
        <w:jc w:val="center"/>
      </w:pPr>
      <w:r w:rsidRPr="202D4586">
        <w:rPr>
          <w:b/>
          <w:bCs/>
          <w:u w:val="single"/>
        </w:rPr>
        <w:t>Discussion</w:t>
      </w:r>
    </w:p>
    <w:p w14:paraId="1E5B0DB3" w14:textId="7AA3E1D9" w:rsidR="202D4586" w:rsidRDefault="202D4586" w:rsidP="202D4586">
      <w:r>
        <w:t xml:space="preserve">It seems clear to me that the reduction in the size of headstone s and memorials permitted in cemeteries and graveyards has more to do with legislation than trends in memorials. There would obviously be those who would want to show the opulence of the family associated with the deceased by erecting large structure that dominate the landscape of a graveyard, but modern legislation has created a level of equality between those deceased and the living </w:t>
      </w:r>
      <w:proofErr w:type="spellStart"/>
      <w:r>
        <w:t>risiting</w:t>
      </w:r>
      <w:proofErr w:type="spellEnd"/>
      <w:r>
        <w:t xml:space="preserve"> the graveside     </w:t>
      </w:r>
      <w:r>
        <w:br/>
      </w:r>
    </w:p>
    <w:p w14:paraId="685219AE" w14:textId="1400346C" w:rsidR="202D4586" w:rsidRDefault="202D4586" w:rsidP="202D4586">
      <w:pPr>
        <w:rPr>
          <w:b/>
          <w:bCs/>
          <w:sz w:val="28"/>
          <w:szCs w:val="28"/>
          <w:u w:val="single"/>
        </w:rPr>
      </w:pPr>
    </w:p>
    <w:p w14:paraId="36B5EC12" w14:textId="53319082" w:rsidR="5DBCBD4B" w:rsidRDefault="5DBCBD4B" w:rsidP="5DBCBD4B">
      <w:pPr>
        <w:rPr>
          <w:sz w:val="28"/>
          <w:szCs w:val="28"/>
        </w:rPr>
      </w:pPr>
    </w:p>
    <w:p w14:paraId="05BF5C01" w14:textId="6935BB15" w:rsidR="5DBCBD4B" w:rsidRDefault="5DBCBD4B" w:rsidP="5DBCBD4B">
      <w:pPr>
        <w:rPr>
          <w:sz w:val="28"/>
          <w:szCs w:val="28"/>
        </w:rPr>
      </w:pPr>
    </w:p>
    <w:p w14:paraId="6B6809F5" w14:textId="5C1C7A1F" w:rsidR="5DBCBD4B" w:rsidRDefault="5DBCBD4B" w:rsidP="5DBCBD4B">
      <w:pPr>
        <w:rPr>
          <w:sz w:val="28"/>
          <w:szCs w:val="28"/>
        </w:rPr>
      </w:pPr>
    </w:p>
    <w:p w14:paraId="2E5D2FEC" w14:textId="03C9CA6B" w:rsidR="5DBCBD4B" w:rsidRDefault="006D7153" w:rsidP="5DBCBD4B">
      <w:pPr>
        <w:rPr>
          <w:sz w:val="28"/>
          <w:szCs w:val="28"/>
        </w:rPr>
      </w:pPr>
      <w:r>
        <w:rPr>
          <w:b/>
          <w:bCs/>
          <w:noProof/>
          <w:sz w:val="28"/>
          <w:szCs w:val="28"/>
          <w:u w:val="single"/>
        </w:rPr>
        <w:drawing>
          <wp:anchor distT="0" distB="0" distL="114300" distR="114300" simplePos="0" relativeHeight="251658240" behindDoc="0" locked="0" layoutInCell="1" allowOverlap="1" wp14:anchorId="682DF235" wp14:editId="6F672D54">
            <wp:simplePos x="0" y="0"/>
            <wp:positionH relativeFrom="column">
              <wp:posOffset>88900</wp:posOffset>
            </wp:positionH>
            <wp:positionV relativeFrom="paragraph">
              <wp:posOffset>462280</wp:posOffset>
            </wp:positionV>
            <wp:extent cx="5730875" cy="3820795"/>
            <wp:effectExtent l="0" t="0" r="0" b="190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8" cstate="print">
                      <a:extLst>
                        <a:ext uri="{28A0092B-C50C-407E-A947-70E740481C1C}">
                          <a14:useLocalDpi xmlns:a14="http://schemas.microsoft.com/office/drawing/2010/main" val="0"/>
                        </a:ext>
                      </a:extLst>
                    </a:blip>
                    <a:srcRect t="25001" b="25001"/>
                    <a:stretch/>
                  </pic:blipFill>
                  <pic:spPr bwMode="auto">
                    <a:xfrm>
                      <a:off x="0" y="0"/>
                      <a:ext cx="5730875" cy="382079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E174C79" w14:textId="06072B95" w:rsidR="5DBCBD4B" w:rsidRDefault="5DBCBD4B" w:rsidP="5DBCBD4B">
      <w:pPr>
        <w:jc w:val="center"/>
        <w:rPr>
          <w:b/>
          <w:bCs/>
          <w:sz w:val="28"/>
          <w:szCs w:val="28"/>
          <w:u w:val="single"/>
        </w:rPr>
      </w:pPr>
      <w:r w:rsidRPr="1057FFF6">
        <w:rPr>
          <w:b/>
          <w:bCs/>
          <w:sz w:val="28"/>
          <w:szCs w:val="28"/>
          <w:u w:val="single"/>
        </w:rPr>
        <w:t>Appendix A</w:t>
      </w:r>
    </w:p>
    <w:p w14:paraId="5129E152" w14:textId="1C3011EA" w:rsidR="00450A79" w:rsidRDefault="008418EF" w:rsidP="5DBCBD4B">
      <w:pPr>
        <w:jc w:val="center"/>
        <w:rPr>
          <w:sz w:val="28"/>
          <w:szCs w:val="28"/>
        </w:rPr>
      </w:pPr>
      <w:r>
        <w:rPr>
          <w:sz w:val="28"/>
          <w:szCs w:val="28"/>
        </w:rPr>
        <w:t xml:space="preserve">To the left is the </w:t>
      </w:r>
      <w:r w:rsidR="00D624EF">
        <w:rPr>
          <w:sz w:val="28"/>
          <w:szCs w:val="28"/>
        </w:rPr>
        <w:t xml:space="preserve">monument of the former Dean of </w:t>
      </w:r>
      <w:r w:rsidR="00BE04A0">
        <w:rPr>
          <w:sz w:val="28"/>
          <w:szCs w:val="28"/>
        </w:rPr>
        <w:t>St. Thomas</w:t>
      </w:r>
      <w:r w:rsidR="005A22F3">
        <w:rPr>
          <w:sz w:val="28"/>
          <w:szCs w:val="28"/>
        </w:rPr>
        <w:t xml:space="preserve"> (1878)</w:t>
      </w:r>
      <w:r w:rsidR="00BE04A0">
        <w:rPr>
          <w:sz w:val="28"/>
          <w:szCs w:val="28"/>
        </w:rPr>
        <w:t xml:space="preserve"> height of the monument </w:t>
      </w:r>
      <w:r w:rsidR="002C441A">
        <w:rPr>
          <w:sz w:val="28"/>
          <w:szCs w:val="28"/>
        </w:rPr>
        <w:t>is 1.86cm</w:t>
      </w:r>
    </w:p>
    <w:p w14:paraId="49FBDC07" w14:textId="645C5142" w:rsidR="002C441A" w:rsidRDefault="002C441A" w:rsidP="5DBCBD4B">
      <w:pPr>
        <w:jc w:val="center"/>
        <w:rPr>
          <w:sz w:val="28"/>
          <w:szCs w:val="28"/>
        </w:rPr>
      </w:pPr>
      <w:r>
        <w:rPr>
          <w:sz w:val="28"/>
          <w:szCs w:val="28"/>
        </w:rPr>
        <w:t xml:space="preserve">To the right is the headstone of </w:t>
      </w:r>
      <w:proofErr w:type="spellStart"/>
      <w:r>
        <w:rPr>
          <w:sz w:val="28"/>
          <w:szCs w:val="28"/>
        </w:rPr>
        <w:t>Dai</w:t>
      </w:r>
      <w:proofErr w:type="spellEnd"/>
      <w:r>
        <w:rPr>
          <w:sz w:val="28"/>
          <w:szCs w:val="28"/>
        </w:rPr>
        <w:t xml:space="preserve"> Phi</w:t>
      </w:r>
      <w:r w:rsidR="005A22F3">
        <w:rPr>
          <w:sz w:val="28"/>
          <w:szCs w:val="28"/>
        </w:rPr>
        <w:t>llips (20</w:t>
      </w:r>
      <w:r w:rsidR="002B4EF5">
        <w:rPr>
          <w:sz w:val="28"/>
          <w:szCs w:val="28"/>
        </w:rPr>
        <w:t>16) height of the headstone is 74cm.</w:t>
      </w:r>
    </w:p>
    <w:p w14:paraId="24A4C7B8" w14:textId="77777777" w:rsidR="00D07BA8" w:rsidRDefault="00D07BA8" w:rsidP="5DBCBD4B">
      <w:pPr>
        <w:jc w:val="center"/>
        <w:rPr>
          <w:sz w:val="28"/>
          <w:szCs w:val="28"/>
        </w:rPr>
      </w:pPr>
    </w:p>
    <w:p w14:paraId="08CC3206" w14:textId="2976A206" w:rsidR="00D40744" w:rsidRDefault="00FE1C5B" w:rsidP="5DBCBD4B">
      <w:pPr>
        <w:jc w:val="center"/>
        <w:rPr>
          <w:sz w:val="28"/>
          <w:szCs w:val="28"/>
        </w:rPr>
      </w:pPr>
      <w:r>
        <w:rPr>
          <w:noProof/>
          <w:sz w:val="28"/>
          <w:szCs w:val="28"/>
        </w:rPr>
        <w:drawing>
          <wp:anchor distT="0" distB="0" distL="114300" distR="114300" simplePos="0" relativeHeight="251658241" behindDoc="0" locked="0" layoutInCell="1" allowOverlap="1" wp14:anchorId="4732912D" wp14:editId="2BC3C043">
            <wp:simplePos x="0" y="0"/>
            <wp:positionH relativeFrom="column">
              <wp:posOffset>95250</wp:posOffset>
            </wp:positionH>
            <wp:positionV relativeFrom="paragraph">
              <wp:posOffset>0</wp:posOffset>
            </wp:positionV>
            <wp:extent cx="5731510" cy="76422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5E5AF518" w14:textId="340F197C" w:rsidR="1057FFF6" w:rsidRDefault="1057FFF6" w:rsidP="1057FFF6">
      <w:pPr>
        <w:jc w:val="center"/>
        <w:rPr>
          <w:b/>
          <w:bCs/>
          <w:i/>
          <w:iCs/>
          <w:sz w:val="28"/>
          <w:szCs w:val="28"/>
        </w:rPr>
      </w:pPr>
      <w:r w:rsidRPr="1057FFF6">
        <w:rPr>
          <w:b/>
          <w:bCs/>
          <w:sz w:val="28"/>
          <w:szCs w:val="28"/>
          <w:u w:val="single"/>
        </w:rPr>
        <w:t>Appendix B</w:t>
      </w:r>
    </w:p>
    <w:p w14:paraId="6D543B51" w14:textId="06219530" w:rsidR="00D40744" w:rsidRPr="008418EF" w:rsidRDefault="00E56A8E" w:rsidP="5DBCBD4B">
      <w:pPr>
        <w:jc w:val="center"/>
        <w:rPr>
          <w:sz w:val="28"/>
          <w:szCs w:val="28"/>
        </w:rPr>
      </w:pPr>
      <w:r>
        <w:rPr>
          <w:sz w:val="28"/>
          <w:szCs w:val="28"/>
        </w:rPr>
        <w:t>This is an example</w:t>
      </w:r>
      <w:r w:rsidR="00194B5D">
        <w:rPr>
          <w:sz w:val="28"/>
          <w:szCs w:val="28"/>
        </w:rPr>
        <w:t xml:space="preserve"> of a </w:t>
      </w:r>
      <w:r w:rsidR="00B153D2">
        <w:rPr>
          <w:sz w:val="28"/>
          <w:szCs w:val="28"/>
        </w:rPr>
        <w:t xml:space="preserve">headstone being laid down due to health and safety issues. </w:t>
      </w:r>
      <w:r w:rsidR="009567A1">
        <w:rPr>
          <w:sz w:val="28"/>
          <w:szCs w:val="28"/>
        </w:rPr>
        <w:t xml:space="preserve">Monuments and headstones in graveyard and cemeteries are </w:t>
      </w:r>
      <w:r w:rsidR="00100BF0">
        <w:rPr>
          <w:sz w:val="28"/>
          <w:szCs w:val="28"/>
        </w:rPr>
        <w:t>topple tested to make sure they are safe to the pub</w:t>
      </w:r>
      <w:r w:rsidR="00ED1343">
        <w:rPr>
          <w:sz w:val="28"/>
          <w:szCs w:val="28"/>
        </w:rPr>
        <w:t>lic visiting the gra</w:t>
      </w:r>
      <w:r w:rsidR="00321A1A">
        <w:rPr>
          <w:sz w:val="28"/>
          <w:szCs w:val="28"/>
        </w:rPr>
        <w:t>veyard . </w:t>
      </w:r>
    </w:p>
    <w:p w14:paraId="29BECC3A" w14:textId="0DA29F63" w:rsidR="002B5B9F" w:rsidRPr="00D9600C" w:rsidRDefault="002B5B9F" w:rsidP="5DBCBD4B">
      <w:pPr>
        <w:jc w:val="center"/>
        <w:rPr>
          <w:b/>
          <w:bCs/>
          <w:sz w:val="28"/>
          <w:szCs w:val="28"/>
          <w:u w:val="single"/>
        </w:rPr>
      </w:pPr>
    </w:p>
    <w:p w14:paraId="028AA553" w14:textId="5CDB62B4" w:rsidR="5DBCBD4B" w:rsidRDefault="5DBCBD4B" w:rsidP="5DBCBD4B">
      <w:pPr>
        <w:jc w:val="center"/>
        <w:rPr>
          <w:b/>
          <w:bCs/>
          <w:sz w:val="28"/>
          <w:szCs w:val="28"/>
          <w:u w:val="single"/>
        </w:rPr>
      </w:pPr>
    </w:p>
    <w:p w14:paraId="38958D7F" w14:textId="0A1D0ED6" w:rsidR="5DBCBD4B" w:rsidRDefault="00E56A8E" w:rsidP="1057FFF6">
      <w:pPr>
        <w:jc w:val="center"/>
        <w:rPr>
          <w:b/>
          <w:bCs/>
          <w:sz w:val="28"/>
          <w:szCs w:val="28"/>
          <w:u w:val="single"/>
        </w:rPr>
      </w:pPr>
      <w:r>
        <w:rPr>
          <w:noProof/>
          <w:sz w:val="28"/>
          <w:szCs w:val="28"/>
        </w:rPr>
        <w:drawing>
          <wp:anchor distT="0" distB="0" distL="114300" distR="114300" simplePos="0" relativeHeight="251658242" behindDoc="0" locked="0" layoutInCell="1" allowOverlap="1" wp14:anchorId="17CEF05A" wp14:editId="3333B4CE">
            <wp:simplePos x="0" y="0"/>
            <wp:positionH relativeFrom="column">
              <wp:posOffset>95250</wp:posOffset>
            </wp:positionH>
            <wp:positionV relativeFrom="paragraph">
              <wp:posOffset>1758315</wp:posOffset>
            </wp:positionV>
            <wp:extent cx="5731510" cy="4298950"/>
            <wp:effectExtent l="0" t="0" r="0" b="63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1057FFF6" w:rsidRPr="1057FFF6">
        <w:rPr>
          <w:b/>
          <w:bCs/>
          <w:sz w:val="28"/>
          <w:szCs w:val="28"/>
          <w:u w:val="single"/>
        </w:rPr>
        <w:t>Appendix C</w:t>
      </w:r>
    </w:p>
    <w:p w14:paraId="6CA3DAF6" w14:textId="52B37590" w:rsidR="1057FFF6" w:rsidRDefault="1057FFF6" w:rsidP="1057FFF6">
      <w:pPr>
        <w:rPr>
          <w:sz w:val="28"/>
          <w:szCs w:val="28"/>
        </w:rPr>
      </w:pPr>
      <w:r w:rsidRPr="1057FFF6">
        <w:rPr>
          <w:sz w:val="28"/>
          <w:szCs w:val="28"/>
        </w:rPr>
        <w:t xml:space="preserve">An example of presumed vandalism. I concluded that this was vandalism as when the graves are made safe by those working at the graveyard the monument or headstone is left in a respectful way. This looks as if it has been pushed over as the base is still in good order. </w:t>
      </w:r>
    </w:p>
    <w:p w14:paraId="61EA7B77" w14:textId="21545AD1" w:rsidR="00B22491" w:rsidRDefault="00B22491" w:rsidP="00E25745">
      <w:pPr>
        <w:rPr>
          <w:sz w:val="28"/>
          <w:szCs w:val="28"/>
        </w:rPr>
      </w:pPr>
    </w:p>
    <w:p w14:paraId="3C2CC377" w14:textId="77777777" w:rsidR="00B22491" w:rsidRDefault="00B22491">
      <w:pPr>
        <w:rPr>
          <w:sz w:val="28"/>
          <w:szCs w:val="28"/>
        </w:rPr>
      </w:pPr>
      <w:r>
        <w:rPr>
          <w:sz w:val="28"/>
          <w:szCs w:val="28"/>
        </w:rPr>
        <w:br w:type="page"/>
      </w:r>
    </w:p>
    <w:p w14:paraId="68DA7F59" w14:textId="5084F7D2" w:rsidR="00B565F0" w:rsidRDefault="007A746A" w:rsidP="00E25745">
      <w:pPr>
        <w:rPr>
          <w:sz w:val="28"/>
          <w:szCs w:val="28"/>
        </w:rPr>
      </w:pPr>
      <w:r>
        <w:rPr>
          <w:noProof/>
          <w:sz w:val="28"/>
          <w:szCs w:val="28"/>
        </w:rPr>
        <w:drawing>
          <wp:anchor distT="0" distB="0" distL="114300" distR="114300" simplePos="0" relativeHeight="251659266" behindDoc="0" locked="0" layoutInCell="1" allowOverlap="1" wp14:anchorId="6501CB81" wp14:editId="6FD5055B">
            <wp:simplePos x="0" y="0"/>
            <wp:positionH relativeFrom="column">
              <wp:posOffset>-88900</wp:posOffset>
            </wp:positionH>
            <wp:positionV relativeFrom="paragraph">
              <wp:posOffset>0</wp:posOffset>
            </wp:positionV>
            <wp:extent cx="5731510" cy="76422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51675E3D" w14:textId="77777777" w:rsidR="003144E5" w:rsidRDefault="00DF6110">
      <w:pPr>
        <w:rPr>
          <w:b/>
          <w:bCs/>
          <w:sz w:val="28"/>
          <w:szCs w:val="28"/>
          <w:u w:val="single"/>
        </w:rPr>
      </w:pPr>
      <w:r>
        <w:rPr>
          <w:b/>
          <w:bCs/>
          <w:sz w:val="28"/>
          <w:szCs w:val="28"/>
          <w:u w:val="single"/>
        </w:rPr>
        <w:t>A</w:t>
      </w:r>
      <w:r w:rsidR="00966CBC">
        <w:rPr>
          <w:b/>
          <w:bCs/>
          <w:sz w:val="28"/>
          <w:szCs w:val="28"/>
          <w:u w:val="single"/>
        </w:rPr>
        <w:t xml:space="preserve">ppendix </w:t>
      </w:r>
      <w:r w:rsidR="00FF465E">
        <w:rPr>
          <w:b/>
          <w:bCs/>
          <w:sz w:val="28"/>
          <w:szCs w:val="28"/>
          <w:u w:val="single"/>
        </w:rPr>
        <w:t>D.</w:t>
      </w:r>
    </w:p>
    <w:p w14:paraId="01511BA6" w14:textId="02C686C3" w:rsidR="006A39B1" w:rsidRPr="006A39B1" w:rsidRDefault="00F6755D">
      <w:pPr>
        <w:rPr>
          <w:sz w:val="28"/>
          <w:szCs w:val="28"/>
        </w:rPr>
      </w:pPr>
      <w:r>
        <w:rPr>
          <w:sz w:val="28"/>
          <w:szCs w:val="28"/>
        </w:rPr>
        <w:t xml:space="preserve">This </w:t>
      </w:r>
      <w:r w:rsidR="004D2659">
        <w:rPr>
          <w:sz w:val="28"/>
          <w:szCs w:val="28"/>
        </w:rPr>
        <w:t>is an e</w:t>
      </w:r>
      <w:r w:rsidR="00211D45">
        <w:rPr>
          <w:sz w:val="28"/>
          <w:szCs w:val="28"/>
        </w:rPr>
        <w:t xml:space="preserve">xample </w:t>
      </w:r>
      <w:r w:rsidR="00271A9D">
        <w:rPr>
          <w:sz w:val="28"/>
          <w:szCs w:val="28"/>
        </w:rPr>
        <w:t>of</w:t>
      </w:r>
      <w:r w:rsidR="003724A0">
        <w:rPr>
          <w:sz w:val="28"/>
          <w:szCs w:val="28"/>
        </w:rPr>
        <w:t xml:space="preserve"> ear</w:t>
      </w:r>
      <w:r w:rsidR="00A3157B">
        <w:rPr>
          <w:sz w:val="28"/>
          <w:szCs w:val="28"/>
        </w:rPr>
        <w:t xml:space="preserve">ly </w:t>
      </w:r>
      <w:r w:rsidR="0086776D">
        <w:rPr>
          <w:sz w:val="28"/>
          <w:szCs w:val="28"/>
        </w:rPr>
        <w:t>twent</w:t>
      </w:r>
      <w:r w:rsidR="00747E6B">
        <w:rPr>
          <w:sz w:val="28"/>
          <w:szCs w:val="28"/>
        </w:rPr>
        <w:t xml:space="preserve">ieth </w:t>
      </w:r>
      <w:r w:rsidR="0094120D">
        <w:rPr>
          <w:sz w:val="28"/>
          <w:szCs w:val="28"/>
        </w:rPr>
        <w:t>century</w:t>
      </w:r>
      <w:r w:rsidR="00B35996">
        <w:rPr>
          <w:sz w:val="28"/>
          <w:szCs w:val="28"/>
        </w:rPr>
        <w:t xml:space="preserve"> </w:t>
      </w:r>
      <w:r w:rsidR="00123D3B">
        <w:rPr>
          <w:sz w:val="28"/>
          <w:szCs w:val="28"/>
        </w:rPr>
        <w:t>be</w:t>
      </w:r>
      <w:r w:rsidR="0057439E">
        <w:rPr>
          <w:sz w:val="28"/>
          <w:szCs w:val="28"/>
        </w:rPr>
        <w:t xml:space="preserve">ing </w:t>
      </w:r>
      <w:r w:rsidR="006001F9">
        <w:rPr>
          <w:sz w:val="28"/>
          <w:szCs w:val="28"/>
        </w:rPr>
        <w:t>placed</w:t>
      </w:r>
      <w:r w:rsidR="00471D38">
        <w:rPr>
          <w:sz w:val="28"/>
          <w:szCs w:val="28"/>
        </w:rPr>
        <w:t xml:space="preserve"> close</w:t>
      </w:r>
      <w:r w:rsidR="00E77B0B">
        <w:rPr>
          <w:sz w:val="28"/>
          <w:szCs w:val="28"/>
        </w:rPr>
        <w:t xml:space="preserve"> to the chu</w:t>
      </w:r>
      <w:r w:rsidR="003465F8">
        <w:rPr>
          <w:sz w:val="28"/>
          <w:szCs w:val="28"/>
        </w:rPr>
        <w:t>rch</w:t>
      </w:r>
      <w:r w:rsidR="00F9689D">
        <w:rPr>
          <w:sz w:val="28"/>
          <w:szCs w:val="28"/>
        </w:rPr>
        <w:t xml:space="preserve">. </w:t>
      </w:r>
      <w:r w:rsidR="002230D9">
        <w:rPr>
          <w:sz w:val="28"/>
          <w:szCs w:val="28"/>
        </w:rPr>
        <w:t>The avera</w:t>
      </w:r>
      <w:r w:rsidR="002C2676">
        <w:rPr>
          <w:sz w:val="28"/>
          <w:szCs w:val="28"/>
        </w:rPr>
        <w:t>ge height</w:t>
      </w:r>
      <w:r w:rsidR="001141B3">
        <w:rPr>
          <w:sz w:val="28"/>
          <w:szCs w:val="28"/>
        </w:rPr>
        <w:t xml:space="preserve"> </w:t>
      </w:r>
      <w:r w:rsidR="00A93E38">
        <w:rPr>
          <w:sz w:val="28"/>
          <w:szCs w:val="28"/>
        </w:rPr>
        <w:t xml:space="preserve">of </w:t>
      </w:r>
      <w:r w:rsidR="00912D31">
        <w:rPr>
          <w:sz w:val="28"/>
          <w:szCs w:val="28"/>
        </w:rPr>
        <w:t xml:space="preserve">close </w:t>
      </w:r>
      <w:r w:rsidR="00597FB9">
        <w:rPr>
          <w:sz w:val="28"/>
          <w:szCs w:val="28"/>
        </w:rPr>
        <w:t>to</w:t>
      </w:r>
      <w:r w:rsidR="00E74EE9">
        <w:rPr>
          <w:sz w:val="28"/>
          <w:szCs w:val="28"/>
        </w:rPr>
        <w:t xml:space="preserve"> </w:t>
      </w:r>
      <w:r w:rsidR="00417279">
        <w:rPr>
          <w:sz w:val="28"/>
          <w:szCs w:val="28"/>
        </w:rPr>
        <w:t>2</w:t>
      </w:r>
      <w:r w:rsidR="00B4446C">
        <w:rPr>
          <w:sz w:val="28"/>
          <w:szCs w:val="28"/>
        </w:rPr>
        <w:t>m</w:t>
      </w:r>
      <w:r w:rsidR="00676F5B">
        <w:rPr>
          <w:sz w:val="28"/>
          <w:szCs w:val="28"/>
        </w:rPr>
        <w:t xml:space="preserve"> and ab</w:t>
      </w:r>
      <w:r w:rsidR="00FE40E1">
        <w:rPr>
          <w:sz w:val="28"/>
          <w:szCs w:val="28"/>
        </w:rPr>
        <w:t>ove.</w:t>
      </w:r>
      <w:r w:rsidR="00256FD1">
        <w:rPr>
          <w:sz w:val="28"/>
          <w:szCs w:val="28"/>
        </w:rPr>
        <w:t xml:space="preserve"> Whereas</w:t>
      </w:r>
      <w:r w:rsidR="00C66DD0">
        <w:rPr>
          <w:sz w:val="28"/>
          <w:szCs w:val="28"/>
        </w:rPr>
        <w:t xml:space="preserve"> he</w:t>
      </w:r>
      <w:r w:rsidR="009572F1">
        <w:rPr>
          <w:sz w:val="28"/>
          <w:szCs w:val="28"/>
        </w:rPr>
        <w:t>adstones</w:t>
      </w:r>
      <w:r w:rsidR="006243B1">
        <w:rPr>
          <w:sz w:val="28"/>
          <w:szCs w:val="28"/>
        </w:rPr>
        <w:t xml:space="preserve"> from the </w:t>
      </w:r>
      <w:r w:rsidR="00056022">
        <w:rPr>
          <w:sz w:val="28"/>
          <w:szCs w:val="28"/>
        </w:rPr>
        <w:t>late 1950</w:t>
      </w:r>
      <w:r w:rsidR="00427B92">
        <w:rPr>
          <w:sz w:val="28"/>
          <w:szCs w:val="28"/>
        </w:rPr>
        <w:t>’s onwa</w:t>
      </w:r>
      <w:r w:rsidR="00DA6D6C">
        <w:rPr>
          <w:sz w:val="28"/>
          <w:szCs w:val="28"/>
        </w:rPr>
        <w:t>rds</w:t>
      </w:r>
      <w:r w:rsidR="005D4B87">
        <w:rPr>
          <w:sz w:val="28"/>
          <w:szCs w:val="28"/>
        </w:rPr>
        <w:t xml:space="preserve"> have</w:t>
      </w:r>
      <w:r w:rsidR="00E85457">
        <w:rPr>
          <w:sz w:val="28"/>
          <w:szCs w:val="28"/>
        </w:rPr>
        <w:t xml:space="preserve"> an aver</w:t>
      </w:r>
      <w:r w:rsidR="003C6B4B">
        <w:rPr>
          <w:sz w:val="28"/>
          <w:szCs w:val="28"/>
        </w:rPr>
        <w:t>age</w:t>
      </w:r>
      <w:r w:rsidR="00D93709">
        <w:rPr>
          <w:sz w:val="28"/>
          <w:szCs w:val="28"/>
        </w:rPr>
        <w:t xml:space="preserve"> height</w:t>
      </w:r>
      <w:r w:rsidR="003A725B">
        <w:rPr>
          <w:sz w:val="28"/>
          <w:szCs w:val="28"/>
        </w:rPr>
        <w:t xml:space="preserve"> </w:t>
      </w:r>
      <w:r w:rsidR="00A3426B">
        <w:rPr>
          <w:sz w:val="28"/>
          <w:szCs w:val="28"/>
        </w:rPr>
        <w:t>of 90</w:t>
      </w:r>
      <w:r w:rsidR="006F0C2E">
        <w:rPr>
          <w:sz w:val="28"/>
          <w:szCs w:val="28"/>
        </w:rPr>
        <w:t>cm.</w:t>
      </w:r>
      <w:r w:rsidR="00EC79F8">
        <w:rPr>
          <w:sz w:val="28"/>
          <w:szCs w:val="28"/>
        </w:rPr>
        <w:t xml:space="preserve"> </w:t>
      </w:r>
      <w:r w:rsidR="00351E59">
        <w:rPr>
          <w:sz w:val="28"/>
          <w:szCs w:val="28"/>
        </w:rPr>
        <w:t>A</w:t>
      </w:r>
      <w:r w:rsidR="00480408">
        <w:rPr>
          <w:sz w:val="28"/>
          <w:szCs w:val="28"/>
        </w:rPr>
        <w:t>lthough f</w:t>
      </w:r>
      <w:r w:rsidR="005135D2">
        <w:rPr>
          <w:sz w:val="28"/>
          <w:szCs w:val="28"/>
        </w:rPr>
        <w:t xml:space="preserve">or some </w:t>
      </w:r>
      <w:r w:rsidR="00986BCA">
        <w:rPr>
          <w:sz w:val="28"/>
          <w:szCs w:val="28"/>
        </w:rPr>
        <w:t>this may mea</w:t>
      </w:r>
      <w:r w:rsidR="00C03722">
        <w:rPr>
          <w:sz w:val="28"/>
          <w:szCs w:val="28"/>
        </w:rPr>
        <w:t>n sa</w:t>
      </w:r>
      <w:r w:rsidR="00E72031">
        <w:rPr>
          <w:sz w:val="28"/>
          <w:szCs w:val="28"/>
        </w:rPr>
        <w:t>c</w:t>
      </w:r>
      <w:r w:rsidR="0074446E">
        <w:rPr>
          <w:sz w:val="28"/>
          <w:szCs w:val="28"/>
        </w:rPr>
        <w:t>rificing</w:t>
      </w:r>
      <w:r w:rsidR="0076441A">
        <w:rPr>
          <w:sz w:val="28"/>
          <w:szCs w:val="28"/>
        </w:rPr>
        <w:t xml:space="preserve"> t</w:t>
      </w:r>
      <w:r w:rsidR="0083196D">
        <w:rPr>
          <w:sz w:val="28"/>
          <w:szCs w:val="28"/>
        </w:rPr>
        <w:t>heir abilit</w:t>
      </w:r>
      <w:r w:rsidR="00E82892">
        <w:rPr>
          <w:sz w:val="28"/>
          <w:szCs w:val="28"/>
        </w:rPr>
        <w:t>y of we</w:t>
      </w:r>
      <w:r w:rsidR="00F306C8">
        <w:rPr>
          <w:sz w:val="28"/>
          <w:szCs w:val="28"/>
        </w:rPr>
        <w:t>alth</w:t>
      </w:r>
      <w:r w:rsidR="00683616">
        <w:rPr>
          <w:sz w:val="28"/>
          <w:szCs w:val="28"/>
        </w:rPr>
        <w:t xml:space="preserve"> </w:t>
      </w:r>
      <w:r w:rsidR="004D19D5">
        <w:rPr>
          <w:sz w:val="28"/>
          <w:szCs w:val="28"/>
        </w:rPr>
        <w:t>it does how</w:t>
      </w:r>
      <w:r w:rsidR="001B5146">
        <w:rPr>
          <w:sz w:val="28"/>
          <w:szCs w:val="28"/>
        </w:rPr>
        <w:t>ever</w:t>
      </w:r>
      <w:r w:rsidR="004F6D50">
        <w:rPr>
          <w:sz w:val="28"/>
          <w:szCs w:val="28"/>
        </w:rPr>
        <w:t xml:space="preserve"> </w:t>
      </w:r>
      <w:r w:rsidR="00583F6A">
        <w:rPr>
          <w:sz w:val="28"/>
          <w:szCs w:val="28"/>
        </w:rPr>
        <w:t>provide more safe</w:t>
      </w:r>
      <w:r w:rsidR="00E27EEC">
        <w:rPr>
          <w:sz w:val="28"/>
          <w:szCs w:val="28"/>
        </w:rPr>
        <w:t>ty and a</w:t>
      </w:r>
      <w:r w:rsidR="00C1419D">
        <w:rPr>
          <w:sz w:val="28"/>
          <w:szCs w:val="28"/>
        </w:rPr>
        <w:t xml:space="preserve"> greater feel</w:t>
      </w:r>
      <w:r w:rsidR="00653C98">
        <w:rPr>
          <w:sz w:val="28"/>
          <w:szCs w:val="28"/>
        </w:rPr>
        <w:t>ing of equa</w:t>
      </w:r>
      <w:r w:rsidR="00ED0471">
        <w:rPr>
          <w:sz w:val="28"/>
          <w:szCs w:val="28"/>
        </w:rPr>
        <w:t xml:space="preserve">lity in </w:t>
      </w:r>
      <w:r w:rsidR="002126BD">
        <w:rPr>
          <w:sz w:val="28"/>
          <w:szCs w:val="28"/>
        </w:rPr>
        <w:t xml:space="preserve">the modern </w:t>
      </w:r>
      <w:r w:rsidR="00E01D5C">
        <w:rPr>
          <w:sz w:val="28"/>
          <w:szCs w:val="28"/>
        </w:rPr>
        <w:t>part of the gra</w:t>
      </w:r>
      <w:r w:rsidR="00340C2B">
        <w:rPr>
          <w:sz w:val="28"/>
          <w:szCs w:val="28"/>
        </w:rPr>
        <w:t>veyard.</w:t>
      </w:r>
    </w:p>
    <w:p w14:paraId="6B3E4FB6" w14:textId="247F9F19" w:rsidR="00E25745" w:rsidRDefault="00D56011" w:rsidP="00E25745">
      <w:pPr>
        <w:rPr>
          <w:sz w:val="28"/>
          <w:szCs w:val="28"/>
        </w:rPr>
      </w:pPr>
      <w:r>
        <w:rPr>
          <w:noProof/>
          <w:sz w:val="28"/>
          <w:szCs w:val="28"/>
        </w:rPr>
        <w:drawing>
          <wp:anchor distT="0" distB="0" distL="114300" distR="114300" simplePos="0" relativeHeight="251660290" behindDoc="0" locked="0" layoutInCell="1" allowOverlap="1" wp14:anchorId="4F07484A" wp14:editId="6635E3B1">
            <wp:simplePos x="0" y="0"/>
            <wp:positionH relativeFrom="column">
              <wp:posOffset>0</wp:posOffset>
            </wp:positionH>
            <wp:positionV relativeFrom="paragraph">
              <wp:posOffset>336550</wp:posOffset>
            </wp:positionV>
            <wp:extent cx="5731510" cy="42989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r w:rsidR="00E25745">
        <w:rPr>
          <w:sz w:val="28"/>
          <w:szCs w:val="28"/>
        </w:rPr>
      </w:r>
    </w:p>
    <w:sectPr w:rsidR="00E2574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7717F3"/>
    <w:rsid w:val="00015174"/>
    <w:rsid w:val="00056022"/>
    <w:rsid w:val="00065140"/>
    <w:rsid w:val="0007165F"/>
    <w:rsid w:val="000E6B07"/>
    <w:rsid w:val="00100BF0"/>
    <w:rsid w:val="001141B3"/>
    <w:rsid w:val="00123D3B"/>
    <w:rsid w:val="00142534"/>
    <w:rsid w:val="001625AF"/>
    <w:rsid w:val="00194B5D"/>
    <w:rsid w:val="001B5146"/>
    <w:rsid w:val="00211D45"/>
    <w:rsid w:val="002126BD"/>
    <w:rsid w:val="002230D9"/>
    <w:rsid w:val="00236E3B"/>
    <w:rsid w:val="00256FD1"/>
    <w:rsid w:val="00271A9D"/>
    <w:rsid w:val="00291B7E"/>
    <w:rsid w:val="00292B7B"/>
    <w:rsid w:val="002B4EF5"/>
    <w:rsid w:val="002B5B9F"/>
    <w:rsid w:val="002C2676"/>
    <w:rsid w:val="002C441A"/>
    <w:rsid w:val="002F7988"/>
    <w:rsid w:val="003144E5"/>
    <w:rsid w:val="00321A1A"/>
    <w:rsid w:val="00340C2B"/>
    <w:rsid w:val="003465F8"/>
    <w:rsid w:val="00351E59"/>
    <w:rsid w:val="00361AC0"/>
    <w:rsid w:val="003647D1"/>
    <w:rsid w:val="003724A0"/>
    <w:rsid w:val="003871D6"/>
    <w:rsid w:val="003A725B"/>
    <w:rsid w:val="003C5D23"/>
    <w:rsid w:val="003C6B4B"/>
    <w:rsid w:val="00413A32"/>
    <w:rsid w:val="00417279"/>
    <w:rsid w:val="00427B92"/>
    <w:rsid w:val="00432763"/>
    <w:rsid w:val="00450A79"/>
    <w:rsid w:val="00471D38"/>
    <w:rsid w:val="0047792C"/>
    <w:rsid w:val="00480408"/>
    <w:rsid w:val="004C4A92"/>
    <w:rsid w:val="004D19D5"/>
    <w:rsid w:val="004D2659"/>
    <w:rsid w:val="004E654A"/>
    <w:rsid w:val="004F339E"/>
    <w:rsid w:val="004F6D50"/>
    <w:rsid w:val="005135D2"/>
    <w:rsid w:val="00531CDD"/>
    <w:rsid w:val="005548E2"/>
    <w:rsid w:val="00567D08"/>
    <w:rsid w:val="0057439E"/>
    <w:rsid w:val="00583F6A"/>
    <w:rsid w:val="00594D9E"/>
    <w:rsid w:val="00597FB9"/>
    <w:rsid w:val="005A10C7"/>
    <w:rsid w:val="005A22F3"/>
    <w:rsid w:val="005D4B87"/>
    <w:rsid w:val="005E1E86"/>
    <w:rsid w:val="006001F9"/>
    <w:rsid w:val="00616129"/>
    <w:rsid w:val="00617CFC"/>
    <w:rsid w:val="006243B1"/>
    <w:rsid w:val="00632EFF"/>
    <w:rsid w:val="00653C98"/>
    <w:rsid w:val="00667230"/>
    <w:rsid w:val="00676F5B"/>
    <w:rsid w:val="00683616"/>
    <w:rsid w:val="00686CC2"/>
    <w:rsid w:val="00687BF3"/>
    <w:rsid w:val="006A39B1"/>
    <w:rsid w:val="006B5E3A"/>
    <w:rsid w:val="006D7153"/>
    <w:rsid w:val="006D72C3"/>
    <w:rsid w:val="006F0C2E"/>
    <w:rsid w:val="006F6C30"/>
    <w:rsid w:val="0074446E"/>
    <w:rsid w:val="00747E6B"/>
    <w:rsid w:val="0076441A"/>
    <w:rsid w:val="00775BDC"/>
    <w:rsid w:val="007A746A"/>
    <w:rsid w:val="007B68F3"/>
    <w:rsid w:val="00806D05"/>
    <w:rsid w:val="0083196D"/>
    <w:rsid w:val="008418EF"/>
    <w:rsid w:val="0086776D"/>
    <w:rsid w:val="008854A7"/>
    <w:rsid w:val="00885C1F"/>
    <w:rsid w:val="00912D31"/>
    <w:rsid w:val="0092775B"/>
    <w:rsid w:val="0094120D"/>
    <w:rsid w:val="009567A1"/>
    <w:rsid w:val="009572F1"/>
    <w:rsid w:val="00961F30"/>
    <w:rsid w:val="00966CBC"/>
    <w:rsid w:val="00981D3E"/>
    <w:rsid w:val="00986BCA"/>
    <w:rsid w:val="009900E9"/>
    <w:rsid w:val="00994528"/>
    <w:rsid w:val="009A3924"/>
    <w:rsid w:val="009D638A"/>
    <w:rsid w:val="00A038D9"/>
    <w:rsid w:val="00A17AE7"/>
    <w:rsid w:val="00A3157B"/>
    <w:rsid w:val="00A3426B"/>
    <w:rsid w:val="00A52263"/>
    <w:rsid w:val="00A93E38"/>
    <w:rsid w:val="00AB14C0"/>
    <w:rsid w:val="00AB23BE"/>
    <w:rsid w:val="00AB34FB"/>
    <w:rsid w:val="00AE49E2"/>
    <w:rsid w:val="00B14C97"/>
    <w:rsid w:val="00B153D2"/>
    <w:rsid w:val="00B22491"/>
    <w:rsid w:val="00B35996"/>
    <w:rsid w:val="00B37485"/>
    <w:rsid w:val="00B4446C"/>
    <w:rsid w:val="00B565F0"/>
    <w:rsid w:val="00BE04A0"/>
    <w:rsid w:val="00BF1CCB"/>
    <w:rsid w:val="00BF4C37"/>
    <w:rsid w:val="00C03722"/>
    <w:rsid w:val="00C1419D"/>
    <w:rsid w:val="00C145E2"/>
    <w:rsid w:val="00C40102"/>
    <w:rsid w:val="00C51DF7"/>
    <w:rsid w:val="00C66DD0"/>
    <w:rsid w:val="00C873C9"/>
    <w:rsid w:val="00C9178D"/>
    <w:rsid w:val="00CA17E2"/>
    <w:rsid w:val="00D02B5B"/>
    <w:rsid w:val="00D07BA8"/>
    <w:rsid w:val="00D40744"/>
    <w:rsid w:val="00D56011"/>
    <w:rsid w:val="00D624EF"/>
    <w:rsid w:val="00D93709"/>
    <w:rsid w:val="00D9600C"/>
    <w:rsid w:val="00DA2A40"/>
    <w:rsid w:val="00DA6D6C"/>
    <w:rsid w:val="00DF6110"/>
    <w:rsid w:val="00E01D5C"/>
    <w:rsid w:val="00E25745"/>
    <w:rsid w:val="00E27EEC"/>
    <w:rsid w:val="00E46DC9"/>
    <w:rsid w:val="00E56A8E"/>
    <w:rsid w:val="00E677F8"/>
    <w:rsid w:val="00E72031"/>
    <w:rsid w:val="00E74EE9"/>
    <w:rsid w:val="00E77B0B"/>
    <w:rsid w:val="00E82892"/>
    <w:rsid w:val="00E85457"/>
    <w:rsid w:val="00E8659E"/>
    <w:rsid w:val="00EC79F8"/>
    <w:rsid w:val="00ED0471"/>
    <w:rsid w:val="00ED1343"/>
    <w:rsid w:val="00F14F25"/>
    <w:rsid w:val="00F306C8"/>
    <w:rsid w:val="00F44677"/>
    <w:rsid w:val="00F6755D"/>
    <w:rsid w:val="00F9689D"/>
    <w:rsid w:val="00FB0974"/>
    <w:rsid w:val="00FE1C5B"/>
    <w:rsid w:val="00FE40E1"/>
    <w:rsid w:val="00FE642A"/>
    <w:rsid w:val="00FF465E"/>
    <w:rsid w:val="019CCE53"/>
    <w:rsid w:val="02FCBCC5"/>
    <w:rsid w:val="03050DF7"/>
    <w:rsid w:val="03605491"/>
    <w:rsid w:val="03E06C18"/>
    <w:rsid w:val="03F99475"/>
    <w:rsid w:val="042DE330"/>
    <w:rsid w:val="04A0DE58"/>
    <w:rsid w:val="04C283FA"/>
    <w:rsid w:val="04CC818F"/>
    <w:rsid w:val="057C3C79"/>
    <w:rsid w:val="058D7750"/>
    <w:rsid w:val="05C9B391"/>
    <w:rsid w:val="06345D87"/>
    <w:rsid w:val="06B11DB0"/>
    <w:rsid w:val="07D3CBCB"/>
    <w:rsid w:val="08042251"/>
    <w:rsid w:val="080C0FD7"/>
    <w:rsid w:val="09744F7B"/>
    <w:rsid w:val="0B95279A"/>
    <w:rsid w:val="0F65E6C5"/>
    <w:rsid w:val="0F858F54"/>
    <w:rsid w:val="0FFCB95C"/>
    <w:rsid w:val="1057FFF6"/>
    <w:rsid w:val="1191788E"/>
    <w:rsid w:val="13231F47"/>
    <w:rsid w:val="140FB83F"/>
    <w:rsid w:val="14321E80"/>
    <w:rsid w:val="14590077"/>
    <w:rsid w:val="14BEEFA8"/>
    <w:rsid w:val="14EA92DF"/>
    <w:rsid w:val="15CDEEE1"/>
    <w:rsid w:val="165AC009"/>
    <w:rsid w:val="166CFAD9"/>
    <w:rsid w:val="16866340"/>
    <w:rsid w:val="16DBA37F"/>
    <w:rsid w:val="18959F03"/>
    <w:rsid w:val="18CA0105"/>
    <w:rsid w:val="198A7345"/>
    <w:rsid w:val="1A65D166"/>
    <w:rsid w:val="1A7F763B"/>
    <w:rsid w:val="1B8DE314"/>
    <w:rsid w:val="1C01110D"/>
    <w:rsid w:val="1C1B469C"/>
    <w:rsid w:val="1C8F370E"/>
    <w:rsid w:val="1D97FB4E"/>
    <w:rsid w:val="1E5DE468"/>
    <w:rsid w:val="1F38B1CF"/>
    <w:rsid w:val="1F6C0FBB"/>
    <w:rsid w:val="1F9BB31E"/>
    <w:rsid w:val="202D4586"/>
    <w:rsid w:val="218284E6"/>
    <w:rsid w:val="2270E34B"/>
    <w:rsid w:val="22D353E0"/>
    <w:rsid w:val="240CB3AC"/>
    <w:rsid w:val="2500769F"/>
    <w:rsid w:val="253343D1"/>
    <w:rsid w:val="265F2297"/>
    <w:rsid w:val="2744546E"/>
    <w:rsid w:val="27C898A1"/>
    <w:rsid w:val="27FAF2F8"/>
    <w:rsid w:val="285B2B45"/>
    <w:rsid w:val="28E024CF"/>
    <w:rsid w:val="2912F201"/>
    <w:rsid w:val="29646902"/>
    <w:rsid w:val="29746E6E"/>
    <w:rsid w:val="29F6FBA6"/>
    <w:rsid w:val="2B003963"/>
    <w:rsid w:val="2B103ECF"/>
    <w:rsid w:val="2B568FC6"/>
    <w:rsid w:val="2B6FB823"/>
    <w:rsid w:val="2B921E64"/>
    <w:rsid w:val="2C7A3626"/>
    <w:rsid w:val="2CFA4DAD"/>
    <w:rsid w:val="2D42298C"/>
    <w:rsid w:val="2DB395F2"/>
    <w:rsid w:val="2DCBFAC4"/>
    <w:rsid w:val="2DD3E84A"/>
    <w:rsid w:val="2FE3AFF2"/>
    <w:rsid w:val="31521297"/>
    <w:rsid w:val="32870715"/>
    <w:rsid w:val="342A0171"/>
    <w:rsid w:val="343B3C48"/>
    <w:rsid w:val="3455A4A8"/>
    <w:rsid w:val="34FD720C"/>
    <w:rsid w:val="3552D6AA"/>
    <w:rsid w:val="35C5D1D2"/>
    <w:rsid w:val="36A12FF3"/>
    <w:rsid w:val="36CC0F9F"/>
    <w:rsid w:val="36D57EAE"/>
    <w:rsid w:val="37BCE8CD"/>
    <w:rsid w:val="390EAD6B"/>
    <w:rsid w:val="392E55FA"/>
    <w:rsid w:val="39D8D0B5"/>
    <w:rsid w:val="3B44AA62"/>
    <w:rsid w:val="3BE05EFC"/>
    <w:rsid w:val="3D6AF486"/>
    <w:rsid w:val="3EAC41D8"/>
    <w:rsid w:val="3EBD7CAF"/>
    <w:rsid w:val="3F06C4E7"/>
    <w:rsid w:val="3F6CB418"/>
    <w:rsid w:val="3F75315D"/>
    <w:rsid w:val="41E3E29A"/>
    <w:rsid w:val="437FB2FB"/>
    <w:rsid w:val="43E22390"/>
    <w:rsid w:val="457DF3F1"/>
    <w:rsid w:val="4A21C1B1"/>
    <w:rsid w:val="4A7B5098"/>
    <w:rsid w:val="4AC88F1C"/>
    <w:rsid w:val="4BA469B5"/>
    <w:rsid w:val="4BE547EF"/>
    <w:rsid w:val="4C1720F9"/>
    <w:rsid w:val="4DB2F15A"/>
    <w:rsid w:val="4E012FD7"/>
    <w:rsid w:val="4EBA781C"/>
    <w:rsid w:val="4EC265A2"/>
    <w:rsid w:val="4F24D637"/>
    <w:rsid w:val="4F56AF41"/>
    <w:rsid w:val="5056487D"/>
    <w:rsid w:val="50F27FA2"/>
    <w:rsid w:val="5138D099"/>
    <w:rsid w:val="51D7C94A"/>
    <w:rsid w:val="5213AB39"/>
    <w:rsid w:val="528E5003"/>
    <w:rsid w:val="5308EFB5"/>
    <w:rsid w:val="5395133A"/>
    <w:rsid w:val="542A2064"/>
    <w:rsid w:val="545748FE"/>
    <w:rsid w:val="5530E39B"/>
    <w:rsid w:val="559417BB"/>
    <w:rsid w:val="584AA8B1"/>
    <w:rsid w:val="586947E8"/>
    <w:rsid w:val="59801EBF"/>
    <w:rsid w:val="5A0454BE"/>
    <w:rsid w:val="5A051849"/>
    <w:rsid w:val="5A5F9B58"/>
    <w:rsid w:val="5A895C7C"/>
    <w:rsid w:val="5B1BEF20"/>
    <w:rsid w:val="5BA0251F"/>
    <w:rsid w:val="5BA8A264"/>
    <w:rsid w:val="5C03593F"/>
    <w:rsid w:val="5C353249"/>
    <w:rsid w:val="5CA662EC"/>
    <w:rsid w:val="5CB7BF81"/>
    <w:rsid w:val="5D3BF580"/>
    <w:rsid w:val="5D9F29A0"/>
    <w:rsid w:val="5DBCBD4B"/>
    <w:rsid w:val="5E538FE2"/>
    <w:rsid w:val="5EF22E41"/>
    <w:rsid w:val="5F330C7B"/>
    <w:rsid w:val="5F43A542"/>
    <w:rsid w:val="5F99FBA5"/>
    <w:rsid w:val="5FEF6043"/>
    <w:rsid w:val="60159497"/>
    <w:rsid w:val="60CEDCDC"/>
    <w:rsid w:val="618B30A4"/>
    <w:rsid w:val="62729AC3"/>
    <w:rsid w:val="63270105"/>
    <w:rsid w:val="63340CFC"/>
    <w:rsid w:val="634D3559"/>
    <w:rsid w:val="63AB3704"/>
    <w:rsid w:val="6440442E"/>
    <w:rsid w:val="647D8068"/>
    <w:rsid w:val="649EF9F7"/>
    <w:rsid w:val="663C0A5B"/>
    <w:rsid w:val="67D7DABC"/>
    <w:rsid w:val="687EA827"/>
    <w:rsid w:val="68E1DC47"/>
    <w:rsid w:val="6A1A7888"/>
    <w:rsid w:val="6A33A0E5"/>
    <w:rsid w:val="6A34E0E8"/>
    <w:rsid w:val="6A7DACA8"/>
    <w:rsid w:val="6B28A3DB"/>
    <w:rsid w:val="6B5059B8"/>
    <w:rsid w:val="6BB648E9"/>
    <w:rsid w:val="6C197D09"/>
    <w:rsid w:val="6C6F69F0"/>
    <w:rsid w:val="6CDAEF42"/>
    <w:rsid w:val="6E600493"/>
    <w:rsid w:val="6EC1C10A"/>
    <w:rsid w:val="6EFE5476"/>
    <w:rsid w:val="70129004"/>
    <w:rsid w:val="702BB861"/>
    <w:rsid w:val="7272A0B8"/>
    <w:rsid w:val="7288BE8D"/>
    <w:rsid w:val="733275BD"/>
    <w:rsid w:val="737717F3"/>
    <w:rsid w:val="73C94854"/>
    <w:rsid w:val="73ECBDFB"/>
    <w:rsid w:val="74B65DC4"/>
    <w:rsid w:val="76388950"/>
    <w:rsid w:val="763FE61C"/>
    <w:rsid w:val="797786DE"/>
    <w:rsid w:val="7989CEE7"/>
    <w:rsid w:val="79C15FD0"/>
    <w:rsid w:val="7D0A3B69"/>
    <w:rsid w:val="7E5D400A"/>
    <w:rsid w:val="7E766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717F3"/>
  <w15:chartTrackingRefBased/>
  <w15:docId w15:val="{EA1B0EC5-E1F4-4DD2-951D-748F6F4F0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C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14C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C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14C9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14C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briefings.files.parliament.uk/documents/SN03634/SN03634.pdf" TargetMode="Externa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Vict/10-11/65" TargetMode="External"/><Relationship Id="rId11" Type="http://schemas.openxmlformats.org/officeDocument/2006/relationships/image" Target="media/image4.jpeg"/><Relationship Id="rId5" Type="http://schemas.openxmlformats.org/officeDocument/2006/relationships/hyperlink" Target="https://www.legislation.gov.uk/ukpga/Vict/10-11/65"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1853</Words>
  <Characters>10567</Characters>
  <Application>Microsoft Office Word</Application>
  <DocSecurity>4</DocSecurity>
  <Lines>88</Lines>
  <Paragraphs>24</Paragraphs>
  <ScaleCrop>false</ScaleCrop>
  <Company/>
  <LinksUpToDate>false</LinksUpToDate>
  <CharactersWithSpaces>12396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 Onstwedder (2114344)</dc:creator>
  <cp:keywords/>
  <dc:description/>
  <cp:lastModifiedBy>Rosemary Onstwedder (2114344)</cp:lastModifiedBy>
  <cp:revision>170</cp:revision>
  <dcterms:created xsi:type="dcterms:W3CDTF">2022-02-25T02:57:00Z</dcterms:created>
  <dcterms:modified xsi:type="dcterms:W3CDTF">2022-02-27T02:43:00Z</dcterms:modified>
</cp:coreProperties>
</file>