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D5AE8" w14:textId="01D9EE4D" w:rsidR="00C76CBD" w:rsidRPr="00EB612B" w:rsidRDefault="00DF1529" w:rsidP="001619FB">
      <w:pPr>
        <w:rPr>
          <w:b/>
          <w:bCs/>
          <w:u w:val="single"/>
        </w:rPr>
      </w:pPr>
      <w:r w:rsidRPr="009E2F53">
        <w:rPr>
          <w:b/>
          <w:bCs/>
          <w:u w:val="single"/>
        </w:rPr>
        <w:t>Literature review</w:t>
      </w:r>
    </w:p>
    <w:p w14:paraId="13DB84B3" w14:textId="5600BAD0" w:rsidR="00C76CBD" w:rsidRDefault="00C76CBD" w:rsidP="001619FB">
      <w:pPr>
        <w:rPr>
          <w:rFonts w:cs="Arial"/>
        </w:rPr>
      </w:pPr>
      <w:r w:rsidRPr="00C76CBD">
        <w:rPr>
          <w:rFonts w:cs="Arial"/>
        </w:rPr>
        <w:t xml:space="preserve">The question will be broken down into three objectives to study and investigate </w:t>
      </w:r>
      <w:proofErr w:type="gramStart"/>
      <w:r w:rsidRPr="00C76CBD">
        <w:rPr>
          <w:rFonts w:cs="Arial"/>
        </w:rPr>
        <w:t>in order to</w:t>
      </w:r>
      <w:proofErr w:type="gramEnd"/>
      <w:r w:rsidRPr="00C76CBD">
        <w:rPr>
          <w:rFonts w:cs="Arial"/>
        </w:rPr>
        <w:t xml:space="preserve"> maintain the focus on the goal of this dissertation.</w:t>
      </w:r>
    </w:p>
    <w:p w14:paraId="5A267CE8" w14:textId="77777777" w:rsidR="00C76CBD" w:rsidRPr="00C76CBD" w:rsidRDefault="00C76CBD" w:rsidP="00C76CBD">
      <w:pPr>
        <w:numPr>
          <w:ilvl w:val="0"/>
          <w:numId w:val="1"/>
        </w:numPr>
        <w:spacing w:after="0" w:line="240" w:lineRule="auto"/>
        <w:contextualSpacing/>
        <w:jc w:val="both"/>
        <w:rPr>
          <w:rFonts w:ascii="Arial" w:eastAsia="Times New Roman" w:hAnsi="Arial" w:cs="Arial"/>
          <w:bCs/>
        </w:rPr>
      </w:pPr>
      <w:r w:rsidRPr="00C76CBD">
        <w:rPr>
          <w:rFonts w:ascii="Arial" w:eastAsia="Times New Roman" w:hAnsi="Arial" w:cs="Arial"/>
          <w:bCs/>
        </w:rPr>
        <w:t>To identify the common characteristics displayed by perpetrators of sexual crimes.</w:t>
      </w:r>
    </w:p>
    <w:p w14:paraId="1192B6F0" w14:textId="77777777" w:rsidR="00C76CBD" w:rsidRPr="00C76CBD" w:rsidRDefault="00C76CBD" w:rsidP="00C76CBD">
      <w:pPr>
        <w:spacing w:after="0" w:line="240" w:lineRule="auto"/>
        <w:ind w:left="720"/>
        <w:contextualSpacing/>
        <w:jc w:val="both"/>
        <w:rPr>
          <w:rFonts w:ascii="Arial" w:eastAsia="Times New Roman" w:hAnsi="Arial" w:cs="Arial"/>
          <w:bCs/>
        </w:rPr>
      </w:pPr>
    </w:p>
    <w:p w14:paraId="5F238B2C" w14:textId="77777777" w:rsidR="00C76CBD" w:rsidRDefault="00C76CBD" w:rsidP="00C76CBD">
      <w:pPr>
        <w:numPr>
          <w:ilvl w:val="0"/>
          <w:numId w:val="1"/>
        </w:numPr>
        <w:spacing w:after="0" w:line="240" w:lineRule="auto"/>
        <w:contextualSpacing/>
        <w:jc w:val="both"/>
        <w:rPr>
          <w:rFonts w:ascii="Arial" w:eastAsia="Times New Roman" w:hAnsi="Arial" w:cs="Arial"/>
          <w:bCs/>
        </w:rPr>
      </w:pPr>
      <w:r w:rsidRPr="00C76CBD">
        <w:rPr>
          <w:rFonts w:ascii="Arial" w:eastAsia="Times New Roman" w:hAnsi="Arial" w:cs="Arial"/>
          <w:bCs/>
        </w:rPr>
        <w:t>To evaluate how these characteristics can be identified and recorded.</w:t>
      </w:r>
    </w:p>
    <w:p w14:paraId="719F0666" w14:textId="77777777" w:rsidR="00C76CBD" w:rsidRDefault="00C76CBD" w:rsidP="00C76CBD">
      <w:pPr>
        <w:pStyle w:val="ListParagraph"/>
        <w:rPr>
          <w:rFonts w:cs="Arial"/>
          <w:bCs/>
        </w:rPr>
      </w:pPr>
    </w:p>
    <w:p w14:paraId="750B929A" w14:textId="7CC57B13" w:rsidR="00C76CBD" w:rsidRDefault="00C76CBD" w:rsidP="00C76CBD">
      <w:pPr>
        <w:numPr>
          <w:ilvl w:val="0"/>
          <w:numId w:val="1"/>
        </w:numPr>
        <w:spacing w:after="0" w:line="240" w:lineRule="auto"/>
        <w:contextualSpacing/>
        <w:jc w:val="both"/>
        <w:rPr>
          <w:rFonts w:ascii="Arial" w:eastAsia="Times New Roman" w:hAnsi="Arial" w:cs="Arial"/>
          <w:bCs/>
        </w:rPr>
      </w:pPr>
      <w:r w:rsidRPr="00C76CBD">
        <w:rPr>
          <w:rFonts w:ascii="Arial" w:eastAsia="Times New Roman" w:hAnsi="Arial" w:cs="Arial"/>
          <w:bCs/>
        </w:rPr>
        <w:t>To research how prevention of further sexual crimes could be imposed following the identification of the relevant characteristics</w:t>
      </w:r>
    </w:p>
    <w:p w14:paraId="5235C1EF" w14:textId="77777777" w:rsidR="00C76CBD" w:rsidRDefault="00C76CBD" w:rsidP="00C76CBD">
      <w:pPr>
        <w:pStyle w:val="ListParagraph"/>
        <w:rPr>
          <w:rFonts w:cs="Arial"/>
          <w:bCs/>
        </w:rPr>
      </w:pPr>
    </w:p>
    <w:p w14:paraId="3F0F8A34" w14:textId="77777777" w:rsidR="00C76CBD" w:rsidRPr="00C76CBD" w:rsidRDefault="00C76CBD" w:rsidP="00C76CBD">
      <w:pPr>
        <w:spacing w:after="0" w:line="240" w:lineRule="auto"/>
        <w:ind w:left="720"/>
        <w:contextualSpacing/>
        <w:jc w:val="both"/>
        <w:rPr>
          <w:rFonts w:ascii="Arial" w:eastAsia="Times New Roman" w:hAnsi="Arial" w:cs="Arial"/>
          <w:bCs/>
        </w:rPr>
      </w:pPr>
    </w:p>
    <w:p w14:paraId="5054DBC6" w14:textId="2D86AD0F" w:rsidR="004709E4" w:rsidRPr="004A33BF" w:rsidRDefault="004A33BF" w:rsidP="001619FB">
      <w:pPr>
        <w:rPr>
          <w:rFonts w:cs="Arial"/>
        </w:rPr>
      </w:pPr>
      <w:r w:rsidRPr="004A33BF">
        <w:rPr>
          <w:rFonts w:cs="Arial"/>
        </w:rPr>
        <w:t>Sexual violence is defined by the World Health Organization (WHO) as follows:</w:t>
      </w:r>
      <w:r>
        <w:rPr>
          <w:rFonts w:cs="Arial"/>
        </w:rPr>
        <w:t xml:space="preserve"> </w:t>
      </w:r>
      <w:r w:rsidRPr="004A33BF">
        <w:rPr>
          <w:rFonts w:cs="Arial"/>
          <w:i/>
          <w:iCs/>
        </w:rPr>
        <w:t>‘Any sexual act, attempt to obtain a sexual act, unwanted sexual comments or advances, or acts to traffic or otherwise directed against a person’s sexuality using coercion, by any person regardless of their relationship to the victim, in any setting, including but not limited to home and work’</w:t>
      </w:r>
      <w:r w:rsidR="00C76CBD">
        <w:rPr>
          <w:rFonts w:cs="Arial"/>
          <w:i/>
          <w:iCs/>
        </w:rPr>
        <w:t xml:space="preserve"> </w:t>
      </w:r>
      <w:sdt>
        <w:sdtPr>
          <w:rPr>
            <w:rFonts w:cs="Arial"/>
            <w:i/>
            <w:iCs/>
          </w:rPr>
          <w:id w:val="-340085808"/>
          <w:citation/>
        </w:sdtPr>
        <w:sdtContent>
          <w:r w:rsidR="00C76CBD">
            <w:rPr>
              <w:rFonts w:cs="Arial"/>
              <w:i/>
              <w:iCs/>
            </w:rPr>
            <w:fldChar w:fldCharType="begin"/>
          </w:r>
          <w:r w:rsidR="00C76CBD">
            <w:rPr>
              <w:rFonts w:cs="Arial"/>
            </w:rPr>
            <w:instrText xml:space="preserve"> CITATION Wor21 \l 2057 </w:instrText>
          </w:r>
          <w:r w:rsidR="00C76CBD">
            <w:rPr>
              <w:rFonts w:cs="Arial"/>
              <w:i/>
              <w:iCs/>
            </w:rPr>
            <w:fldChar w:fldCharType="separate"/>
          </w:r>
          <w:r w:rsidR="00C76CBD" w:rsidRPr="00C76CBD">
            <w:rPr>
              <w:rFonts w:cs="Arial"/>
              <w:noProof/>
            </w:rPr>
            <w:t>(World Health Organization, 2021)</w:t>
          </w:r>
          <w:r w:rsidR="00C76CBD">
            <w:rPr>
              <w:rFonts w:cs="Arial"/>
              <w:i/>
              <w:iCs/>
            </w:rPr>
            <w:fldChar w:fldCharType="end"/>
          </w:r>
        </w:sdtContent>
      </w:sdt>
      <w:r>
        <w:rPr>
          <w:rFonts w:cs="Arial"/>
          <w:i/>
          <w:iCs/>
        </w:rPr>
        <w:t xml:space="preserve">. </w:t>
      </w:r>
    </w:p>
    <w:p w14:paraId="0F81AADE" w14:textId="0B582A21" w:rsidR="004709E4" w:rsidRDefault="001619FB" w:rsidP="001619FB">
      <w:pPr>
        <w:rPr>
          <w:rFonts w:cs="Arial"/>
        </w:rPr>
      </w:pPr>
      <w:r w:rsidRPr="00073076">
        <w:rPr>
          <w:rFonts w:cs="Arial"/>
        </w:rPr>
        <w:t xml:space="preserve">Sexual assaults have been chronicled for almost </w:t>
      </w:r>
      <w:proofErr w:type="gramStart"/>
      <w:r w:rsidRPr="00073076">
        <w:rPr>
          <w:rFonts w:cs="Arial"/>
        </w:rPr>
        <w:t>as long as</w:t>
      </w:r>
      <w:proofErr w:type="gramEnd"/>
      <w:r w:rsidRPr="00073076">
        <w:rPr>
          <w:rFonts w:cs="Arial"/>
        </w:rPr>
        <w:t xml:space="preserve"> history has been written. Sexual assault has always been a cruel aspect of the human tale, from the texts of ancient Greece to the Bible to the letters of early explorers</w:t>
      </w:r>
      <w:sdt>
        <w:sdtPr>
          <w:rPr>
            <w:rFonts w:cs="Arial"/>
          </w:rPr>
          <w:id w:val="-1856560805"/>
          <w:citation/>
        </w:sdtPr>
        <w:sdtContent>
          <w:r>
            <w:rPr>
              <w:rFonts w:cs="Arial"/>
            </w:rPr>
            <w:fldChar w:fldCharType="begin"/>
          </w:r>
          <w:r>
            <w:rPr>
              <w:rFonts w:cs="Arial"/>
            </w:rPr>
            <w:instrText xml:space="preserve">CITATION Sky18 \l 2057 </w:instrText>
          </w:r>
          <w:r>
            <w:rPr>
              <w:rFonts w:cs="Arial"/>
            </w:rPr>
            <w:fldChar w:fldCharType="separate"/>
          </w:r>
          <w:r>
            <w:rPr>
              <w:rFonts w:cs="Arial"/>
              <w:noProof/>
            </w:rPr>
            <w:t xml:space="preserve"> </w:t>
          </w:r>
          <w:r w:rsidRPr="00D675F8">
            <w:rPr>
              <w:rFonts w:cs="Arial"/>
              <w:noProof/>
            </w:rPr>
            <w:t>(Gartner &amp; McCarthy, 2014)</w:t>
          </w:r>
          <w:r>
            <w:rPr>
              <w:rFonts w:cs="Arial"/>
            </w:rPr>
            <w:fldChar w:fldCharType="end"/>
          </w:r>
        </w:sdtContent>
      </w:sdt>
      <w:r w:rsidRPr="00073076">
        <w:rPr>
          <w:rFonts w:cs="Arial"/>
        </w:rPr>
        <w:t>. </w:t>
      </w:r>
      <w:r w:rsidRPr="001949F8">
        <w:rPr>
          <w:rFonts w:cs="Arial"/>
        </w:rPr>
        <w:t>There were just eight rape prosecutions in 1805. If the matter made it to court, obtaining a conviction was difficult owing to the proof necessary. To maximise the chances of the case being heard in court, urgent action was required to notify authorities that the offence had happened. One of the easiest ways to achieve this was with bloody or ripped clothes, which meant that due to the demonstrated violence were more likely to reach the trial</w:t>
      </w:r>
      <w:r>
        <w:rPr>
          <w:rFonts w:cs="Arial"/>
        </w:rPr>
        <w:t xml:space="preserve"> </w:t>
      </w:r>
      <w:sdt>
        <w:sdtPr>
          <w:rPr>
            <w:rFonts w:cs="Arial"/>
          </w:rPr>
          <w:id w:val="1248614891"/>
          <w:citation/>
        </w:sdtPr>
        <w:sdtContent>
          <w:r>
            <w:rPr>
              <w:rFonts w:cs="Arial"/>
            </w:rPr>
            <w:fldChar w:fldCharType="begin"/>
          </w:r>
          <w:r>
            <w:rPr>
              <w:rFonts w:cs="Arial"/>
            </w:rPr>
            <w:instrText xml:space="preserve"> CITATION Kin17 \l 2057 </w:instrText>
          </w:r>
          <w:r>
            <w:rPr>
              <w:rFonts w:cs="Arial"/>
            </w:rPr>
            <w:fldChar w:fldCharType="separate"/>
          </w:r>
          <w:r w:rsidRPr="001949F8">
            <w:rPr>
              <w:rFonts w:cs="Arial"/>
              <w:noProof/>
            </w:rPr>
            <w:t>(King, 2017)</w:t>
          </w:r>
          <w:r>
            <w:rPr>
              <w:rFonts w:cs="Arial"/>
            </w:rPr>
            <w:fldChar w:fldCharType="end"/>
          </w:r>
        </w:sdtContent>
      </w:sdt>
      <w:r w:rsidRPr="001949F8">
        <w:rPr>
          <w:rFonts w:cs="Arial"/>
        </w:rPr>
        <w:t>.</w:t>
      </w:r>
      <w:r>
        <w:rPr>
          <w:rFonts w:cs="Arial"/>
        </w:rPr>
        <w:t xml:space="preserve"> </w:t>
      </w:r>
      <w:r w:rsidRPr="001949F8">
        <w:rPr>
          <w:rFonts w:cs="Arial"/>
        </w:rPr>
        <w:t>In 1863, an accused rapist was acquitted of raping a woman in some hop fields not because the jury did not believe he had committed the act, but “because she had acted foolishly in going with the prisoner through the gardens.” In 1879, a young man accused of raping a woman was acquitted because she had agreed to let him walk her home</w:t>
      </w:r>
      <w:r>
        <w:rPr>
          <w:rFonts w:cs="Arial"/>
        </w:rPr>
        <w:t xml:space="preserve"> (Ibid.)</w:t>
      </w:r>
      <w:r w:rsidRPr="001949F8">
        <w:rPr>
          <w:rFonts w:cs="Arial"/>
        </w:rPr>
        <w:t>.</w:t>
      </w:r>
    </w:p>
    <w:p w14:paraId="6B32753E" w14:textId="42E22047" w:rsidR="001619FB" w:rsidRDefault="001619FB" w:rsidP="001619FB">
      <w:pPr>
        <w:rPr>
          <w:rFonts w:cs="Arial"/>
        </w:rPr>
      </w:pPr>
      <w:r w:rsidRPr="001949F8">
        <w:rPr>
          <w:rFonts w:cs="Arial"/>
        </w:rPr>
        <w:t>Rape, according to feminist ideology, is "a pseudosexual act" committed by men to intimidate and subjugate women. According to the social learning hypothesis, rape occurs from male adoption of attitudes and vicarious learning experiences conducive to guys behaving aggressively toward women</w:t>
      </w:r>
      <w:sdt>
        <w:sdtPr>
          <w:rPr>
            <w:rFonts w:cs="Arial"/>
          </w:rPr>
          <w:id w:val="-1053613957"/>
          <w:citation/>
        </w:sdtPr>
        <w:sdtContent>
          <w:r>
            <w:rPr>
              <w:rFonts w:cs="Arial"/>
            </w:rPr>
            <w:fldChar w:fldCharType="begin"/>
          </w:r>
          <w:r>
            <w:rPr>
              <w:rFonts w:cs="Arial"/>
            </w:rPr>
            <w:instrText xml:space="preserve"> CITATION Ell89 \l 2057 </w:instrText>
          </w:r>
          <w:r>
            <w:rPr>
              <w:rFonts w:cs="Arial"/>
            </w:rPr>
            <w:fldChar w:fldCharType="separate"/>
          </w:r>
          <w:r>
            <w:rPr>
              <w:rFonts w:cs="Arial"/>
              <w:noProof/>
            </w:rPr>
            <w:t xml:space="preserve"> </w:t>
          </w:r>
          <w:r w:rsidRPr="000609D1">
            <w:rPr>
              <w:rFonts w:cs="Arial"/>
              <w:noProof/>
            </w:rPr>
            <w:t>(Ellis, 1989)</w:t>
          </w:r>
          <w:r>
            <w:rPr>
              <w:rFonts w:cs="Arial"/>
            </w:rPr>
            <w:fldChar w:fldCharType="end"/>
          </w:r>
        </w:sdtContent>
      </w:sdt>
      <w:r w:rsidRPr="001949F8">
        <w:rPr>
          <w:rFonts w:cs="Arial"/>
        </w:rPr>
        <w:t>. Rape, according to evolutionary theory, is an extreme reaction to natural selection pressure that has promoted male aggressiveness in seeking to copulate with multiple sex partners and has favoured females who oppose male attempts to restrict their sexual activity</w:t>
      </w:r>
      <w:r>
        <w:rPr>
          <w:rFonts w:cs="Arial"/>
        </w:rPr>
        <w:t xml:space="preserve"> (Ibid.)</w:t>
      </w:r>
      <w:r w:rsidRPr="001949F8">
        <w:rPr>
          <w:rFonts w:cs="Arial"/>
        </w:rPr>
        <w:t>.</w:t>
      </w:r>
      <w:r>
        <w:rPr>
          <w:rFonts w:cs="Arial"/>
        </w:rPr>
        <w:t xml:space="preserve"> </w:t>
      </w:r>
      <w:r w:rsidRPr="000609D1">
        <w:rPr>
          <w:rFonts w:cs="Arial"/>
        </w:rPr>
        <w:t xml:space="preserve">According to </w:t>
      </w:r>
      <w:proofErr w:type="gramStart"/>
      <w:r w:rsidRPr="000609D1">
        <w:rPr>
          <w:rFonts w:cs="Arial"/>
        </w:rPr>
        <w:t>a research</w:t>
      </w:r>
      <w:proofErr w:type="gramEnd"/>
      <w:r w:rsidRPr="000609D1">
        <w:rPr>
          <w:rFonts w:cs="Arial"/>
        </w:rPr>
        <w:t xml:space="preserve"> conducted, rape, like sexual behaviour in general, is driven by two mostly unlearned and closely related drives: the sex drive and the desire to own and dominate (especially regarding sex partners). Although this theory holds that the impulse to rape is generally unlearned, the skills and strategies involved in committing rape are learnt, mostly through operant conditioning rather than attitudes and imitation</w:t>
      </w:r>
      <w:r>
        <w:rPr>
          <w:rFonts w:cs="Arial"/>
        </w:rPr>
        <w:t xml:space="preserve"> (Ibid.)</w:t>
      </w:r>
      <w:r w:rsidRPr="000609D1">
        <w:rPr>
          <w:rFonts w:cs="Arial"/>
        </w:rPr>
        <w:t>.</w:t>
      </w:r>
    </w:p>
    <w:p w14:paraId="70E8F712" w14:textId="7BAA1028" w:rsidR="00895E7F" w:rsidRDefault="009E2F53" w:rsidP="001619FB">
      <w:pPr>
        <w:rPr>
          <w:rFonts w:cs="Arial"/>
        </w:rPr>
      </w:pPr>
      <w:r w:rsidRPr="009E2F53">
        <w:rPr>
          <w:rFonts w:cs="Arial"/>
        </w:rPr>
        <w:t xml:space="preserve">The Association for the Treatment of Sexual Abusers is a global organisation dedicated to the prevention of sexual abuse via rigorous research and data-driven information. Sexual abusers come from all social, educational, gender, age, and cultural backgrounds. There is currently no conventional characteristics of a perpetrator of sexual abuse. However, the preponderance of sexually offending adolescents are men. Women execute around 5% of all sexual crimes. </w:t>
      </w:r>
      <w:proofErr w:type="gramStart"/>
      <w:r w:rsidRPr="009E2F53">
        <w:rPr>
          <w:rFonts w:cs="Arial"/>
        </w:rPr>
        <w:t>Typically</w:t>
      </w:r>
      <w:proofErr w:type="gramEnd"/>
      <w:r w:rsidRPr="009E2F53">
        <w:rPr>
          <w:rFonts w:cs="Arial"/>
        </w:rPr>
        <w:t xml:space="preserve"> sexual abusers operate from positions of trust or authority within families, groups of friends, or professional positions. Sexual assault</w:t>
      </w:r>
      <w:r w:rsidR="00895E7F">
        <w:rPr>
          <w:rFonts w:cs="Arial"/>
        </w:rPr>
        <w:t>s</w:t>
      </w:r>
      <w:r w:rsidRPr="009E2F53">
        <w:rPr>
          <w:rFonts w:cs="Arial"/>
        </w:rPr>
        <w:t xml:space="preserve"> between unknown people </w:t>
      </w:r>
      <w:proofErr w:type="gramStart"/>
      <w:r w:rsidRPr="009E2F53">
        <w:rPr>
          <w:rFonts w:cs="Arial"/>
        </w:rPr>
        <w:t>is</w:t>
      </w:r>
      <w:proofErr w:type="gramEnd"/>
      <w:r w:rsidRPr="009E2F53">
        <w:rPr>
          <w:rFonts w:cs="Arial"/>
        </w:rPr>
        <w:t xml:space="preserve"> relatively rare</w:t>
      </w:r>
      <w:sdt>
        <w:sdtPr>
          <w:rPr>
            <w:rFonts w:cs="Arial"/>
          </w:rPr>
          <w:id w:val="-595319558"/>
          <w:citation/>
        </w:sdtPr>
        <w:sdtContent>
          <w:r w:rsidR="00066810">
            <w:rPr>
              <w:rFonts w:cs="Arial"/>
            </w:rPr>
            <w:fldChar w:fldCharType="begin"/>
          </w:r>
          <w:r w:rsidR="00066810">
            <w:rPr>
              <w:rFonts w:cs="Arial"/>
            </w:rPr>
            <w:instrText xml:space="preserve"> CITATION NAR18 \l 2057 </w:instrText>
          </w:r>
          <w:r w:rsidR="00066810">
            <w:rPr>
              <w:rFonts w:cs="Arial"/>
            </w:rPr>
            <w:fldChar w:fldCharType="separate"/>
          </w:r>
          <w:r w:rsidR="00066810">
            <w:rPr>
              <w:rFonts w:cs="Arial"/>
              <w:noProof/>
            </w:rPr>
            <w:t xml:space="preserve"> </w:t>
          </w:r>
          <w:r w:rsidR="00066810" w:rsidRPr="00066810">
            <w:rPr>
              <w:rFonts w:cs="Arial"/>
              <w:noProof/>
            </w:rPr>
            <w:t>(NARSOL, 2018)</w:t>
          </w:r>
          <w:r w:rsidR="00066810">
            <w:rPr>
              <w:rFonts w:cs="Arial"/>
            </w:rPr>
            <w:fldChar w:fldCharType="end"/>
          </w:r>
        </w:sdtContent>
      </w:sdt>
      <w:r w:rsidRPr="009E2F53">
        <w:rPr>
          <w:rFonts w:cs="Arial"/>
        </w:rPr>
        <w:t xml:space="preserve">. </w:t>
      </w:r>
    </w:p>
    <w:p w14:paraId="481125BF" w14:textId="77777777" w:rsidR="00066810" w:rsidRDefault="00066810" w:rsidP="00066810">
      <w:pPr>
        <w:rPr>
          <w:rFonts w:cs="Arial"/>
        </w:rPr>
      </w:pPr>
      <w:proofErr w:type="spellStart"/>
      <w:r w:rsidRPr="00601CDB">
        <w:rPr>
          <w:rFonts w:cs="Arial"/>
        </w:rPr>
        <w:lastRenderedPageBreak/>
        <w:t>Dr.</w:t>
      </w:r>
      <w:proofErr w:type="spellEnd"/>
      <w:r w:rsidRPr="00601CDB">
        <w:rPr>
          <w:rFonts w:cs="Arial"/>
        </w:rPr>
        <w:t xml:space="preserve"> Patrick Tidmarsh has overseen jail treatment programmes</w:t>
      </w:r>
      <w:r>
        <w:rPr>
          <w:rFonts w:cs="Arial"/>
        </w:rPr>
        <w:t xml:space="preserve"> in Australia</w:t>
      </w:r>
      <w:r w:rsidRPr="00601CDB">
        <w:rPr>
          <w:rFonts w:cs="Arial"/>
        </w:rPr>
        <w:t xml:space="preserve"> for all sorts of abusers and feels that eliminating stereotype misconceptions is critical to the prevention of sexual offences.</w:t>
      </w:r>
      <w:r>
        <w:rPr>
          <w:rFonts w:cs="Arial"/>
        </w:rPr>
        <w:t xml:space="preserve"> </w:t>
      </w:r>
      <w:r w:rsidRPr="00601CDB">
        <w:rPr>
          <w:rFonts w:cs="Arial"/>
        </w:rPr>
        <w:t>He stated that a male sex offender is most likely to begin offending throughout four major phases of his life: puberty, late adolescence, middle age, and the conclusion of his working years</w:t>
      </w:r>
      <w:r>
        <w:rPr>
          <w:rFonts w:cs="Arial"/>
        </w:rPr>
        <w:t xml:space="preserve"> </w:t>
      </w:r>
      <w:sdt>
        <w:sdtPr>
          <w:rPr>
            <w:rFonts w:cs="Arial"/>
          </w:rPr>
          <w:id w:val="817847448"/>
          <w:citation/>
        </w:sdtPr>
        <w:sdtContent>
          <w:r>
            <w:rPr>
              <w:rFonts w:cs="Arial"/>
            </w:rPr>
            <w:fldChar w:fldCharType="begin"/>
          </w:r>
          <w:r>
            <w:rPr>
              <w:rFonts w:cs="Arial"/>
            </w:rPr>
            <w:instrText xml:space="preserve"> CITATION Smi21 \l 2057 </w:instrText>
          </w:r>
          <w:r>
            <w:rPr>
              <w:rFonts w:cs="Arial"/>
            </w:rPr>
            <w:fldChar w:fldCharType="separate"/>
          </w:r>
          <w:r w:rsidRPr="009E2F53">
            <w:rPr>
              <w:rFonts w:cs="Arial"/>
              <w:noProof/>
            </w:rPr>
            <w:t>(Smith, 2021)</w:t>
          </w:r>
          <w:r>
            <w:rPr>
              <w:rFonts w:cs="Arial"/>
            </w:rPr>
            <w:fldChar w:fldCharType="end"/>
          </w:r>
        </w:sdtContent>
      </w:sdt>
      <w:r w:rsidRPr="00601CDB">
        <w:rPr>
          <w:rFonts w:cs="Arial"/>
        </w:rPr>
        <w:t>.</w:t>
      </w:r>
      <w:r>
        <w:rPr>
          <w:rFonts w:cs="Arial"/>
        </w:rPr>
        <w:t xml:space="preserve"> </w:t>
      </w:r>
      <w:r w:rsidRPr="00601CDB">
        <w:rPr>
          <w:rFonts w:cs="Arial"/>
        </w:rPr>
        <w:t>Tidmarsh has seen five similar characteristics in the sex offenders he has met over the last three decades. The list of characteristics comprises of refusal to take culpability, challenges managing adulthood, a perception of self-entitlement, objectification of women or children, and harm minimization</w:t>
      </w:r>
      <w:r>
        <w:rPr>
          <w:rFonts w:cs="Arial"/>
        </w:rPr>
        <w:t xml:space="preserve"> (Ibid.)</w:t>
      </w:r>
      <w:r w:rsidRPr="00601CDB">
        <w:rPr>
          <w:rFonts w:cs="Arial"/>
        </w:rPr>
        <w:t>.</w:t>
      </w:r>
    </w:p>
    <w:p w14:paraId="2313A44B" w14:textId="687413DE" w:rsidR="009E2F53" w:rsidRDefault="009E2F53" w:rsidP="001619FB">
      <w:pPr>
        <w:rPr>
          <w:rFonts w:cs="Arial"/>
        </w:rPr>
      </w:pPr>
      <w:r w:rsidRPr="009E2F53">
        <w:rPr>
          <w:rFonts w:cs="Arial"/>
        </w:rPr>
        <w:t>There is no one reason people sexually assault another.</w:t>
      </w:r>
      <w:r w:rsidR="00895E7F">
        <w:rPr>
          <w:rFonts w:cs="Arial"/>
        </w:rPr>
        <w:t xml:space="preserve"> </w:t>
      </w:r>
      <w:r w:rsidR="00895E7F" w:rsidRPr="00895E7F">
        <w:rPr>
          <w:rFonts w:cs="Arial"/>
        </w:rPr>
        <w:t>General criminality and criminal mindsets, emotion regulation and immoral behaviours, relationship deficiencies and loneliness, sexual preferences, sexual arousal to violence, hypersexuality, and/or a desire for power and control are all possible motivations</w:t>
      </w:r>
      <w:sdt>
        <w:sdtPr>
          <w:rPr>
            <w:rFonts w:cs="Arial"/>
          </w:rPr>
          <w:id w:val="1993213420"/>
          <w:citation/>
        </w:sdtPr>
        <w:sdtContent>
          <w:r w:rsidR="00066810">
            <w:rPr>
              <w:rFonts w:cs="Arial"/>
            </w:rPr>
            <w:fldChar w:fldCharType="begin"/>
          </w:r>
          <w:r w:rsidR="00066810">
            <w:rPr>
              <w:rFonts w:cs="Arial"/>
            </w:rPr>
            <w:instrText xml:space="preserve"> CITATION NAR18 \l 2057 </w:instrText>
          </w:r>
          <w:r w:rsidR="00066810">
            <w:rPr>
              <w:rFonts w:cs="Arial"/>
            </w:rPr>
            <w:fldChar w:fldCharType="separate"/>
          </w:r>
          <w:r w:rsidR="00066810">
            <w:rPr>
              <w:rFonts w:cs="Arial"/>
              <w:noProof/>
            </w:rPr>
            <w:t xml:space="preserve"> </w:t>
          </w:r>
          <w:r w:rsidR="00066810" w:rsidRPr="00066810">
            <w:rPr>
              <w:rFonts w:cs="Arial"/>
              <w:noProof/>
            </w:rPr>
            <w:t>(NARSOL, 2018)</w:t>
          </w:r>
          <w:r w:rsidR="00066810">
            <w:rPr>
              <w:rFonts w:cs="Arial"/>
            </w:rPr>
            <w:fldChar w:fldCharType="end"/>
          </w:r>
        </w:sdtContent>
      </w:sdt>
      <w:r w:rsidR="00895E7F" w:rsidRPr="00895E7F">
        <w:rPr>
          <w:rFonts w:cs="Arial"/>
        </w:rPr>
        <w:t>.</w:t>
      </w:r>
      <w:r w:rsidR="00066810">
        <w:rPr>
          <w:rFonts w:cs="Arial"/>
        </w:rPr>
        <w:t xml:space="preserve"> </w:t>
      </w:r>
      <w:r w:rsidR="00895E7F" w:rsidRPr="00895E7F">
        <w:rPr>
          <w:rFonts w:cs="Arial"/>
        </w:rPr>
        <w:t>Individuals who commit sexual abuse may or may not be attracted to the victims. Individuals who have been indoctrinated to embrace typical gender stereotyped views about women where the man is dominating, display hatred against women, are aroused by images of sexual violence, and are part of a peer group that supports these ideas are more inclined to commit sex crim</w:t>
      </w:r>
      <w:r w:rsidR="00066810">
        <w:rPr>
          <w:rFonts w:cs="Arial"/>
        </w:rPr>
        <w:t>es (Ibid.)</w:t>
      </w:r>
      <w:r w:rsidR="00895E7F" w:rsidRPr="00895E7F">
        <w:rPr>
          <w:rFonts w:cs="Arial"/>
        </w:rPr>
        <w:t>.</w:t>
      </w:r>
    </w:p>
    <w:p w14:paraId="3582757D" w14:textId="45ACA6C3" w:rsidR="00BA00BF" w:rsidRDefault="00FB3740" w:rsidP="002D5F61">
      <w:pPr>
        <w:rPr>
          <w:rFonts w:cs="Arial"/>
        </w:rPr>
      </w:pPr>
      <w:r w:rsidRPr="00FB3740">
        <w:rPr>
          <w:rFonts w:cs="Arial"/>
        </w:rPr>
        <w:t>A study of 21,566 males convicted of rape and other sexual crimes throughout Sweden between 1973 and 2009 found a substantial hereditary component to sex offending, which appears to have a major effect on the probability of close male relatives committing a sex crime</w:t>
      </w:r>
      <w:r w:rsidR="00F413DE">
        <w:rPr>
          <w:rFonts w:cs="Arial"/>
        </w:rPr>
        <w:t xml:space="preserve"> </w:t>
      </w:r>
      <w:sdt>
        <w:sdtPr>
          <w:rPr>
            <w:rFonts w:cs="Arial"/>
          </w:rPr>
          <w:id w:val="1573314177"/>
          <w:citation/>
        </w:sdtPr>
        <w:sdtContent>
          <w:r w:rsidR="00F413DE">
            <w:rPr>
              <w:rFonts w:cs="Arial"/>
            </w:rPr>
            <w:fldChar w:fldCharType="begin"/>
          </w:r>
          <w:r w:rsidR="00F413DE">
            <w:rPr>
              <w:rFonts w:cs="Arial"/>
            </w:rPr>
            <w:instrText xml:space="preserve"> CITATION Lån15 \l 2057 </w:instrText>
          </w:r>
          <w:r w:rsidR="00F413DE">
            <w:rPr>
              <w:rFonts w:cs="Arial"/>
            </w:rPr>
            <w:fldChar w:fldCharType="separate"/>
          </w:r>
          <w:r w:rsidR="00F413DE" w:rsidRPr="00F413DE">
            <w:rPr>
              <w:rFonts w:cs="Arial"/>
              <w:noProof/>
            </w:rPr>
            <w:t>(Långström, et al., 2015)</w:t>
          </w:r>
          <w:r w:rsidR="00F413DE">
            <w:rPr>
              <w:rFonts w:cs="Arial"/>
            </w:rPr>
            <w:fldChar w:fldCharType="end"/>
          </w:r>
        </w:sdtContent>
      </w:sdt>
      <w:r w:rsidRPr="00FB3740">
        <w:rPr>
          <w:rFonts w:cs="Arial"/>
        </w:rPr>
        <w:t>. According to the study, around 2.5 percent of criminals' brothers or dads are convicted of sexual crimes, compared to 0.5 percent of the overall male demographic which have been convicted of sexual offences</w:t>
      </w:r>
      <w:r w:rsidR="00F413DE">
        <w:rPr>
          <w:rFonts w:cs="Arial"/>
        </w:rPr>
        <w:t xml:space="preserve">. </w:t>
      </w:r>
      <w:r w:rsidR="00F413DE" w:rsidRPr="00F413DE">
        <w:rPr>
          <w:rFonts w:cs="Arial"/>
        </w:rPr>
        <w:t>According to statistical modelling, genetic factors account for approximately 40% of the difference in risk between brothers and fathers of sexual offenders who have been found guilty and siblings and fathers of those who have not been found guilty</w:t>
      </w:r>
      <w:r w:rsidR="003516CE">
        <w:rPr>
          <w:rFonts w:cs="Arial"/>
        </w:rPr>
        <w:t xml:space="preserve"> (Ibid.)</w:t>
      </w:r>
      <w:r w:rsidR="00F413DE" w:rsidRPr="00F413DE">
        <w:rPr>
          <w:rFonts w:cs="Arial"/>
        </w:rPr>
        <w:t>. It suggests that 'non-shared' environmental factors (including neonatal problems, brain trauma, sexual abuse in childhood and peer group attitudes) account for around 58% of the variation in risk for an individual but not for other family members. Evidence showing a risk difference among maternal and paternal half-brothers, who were likely raised in different household settings, lends credence to the notion that heredity plays a significant role in increasing risk</w:t>
      </w:r>
      <w:r w:rsidR="00F413DE">
        <w:rPr>
          <w:rFonts w:cs="Arial"/>
        </w:rPr>
        <w:t xml:space="preserve"> </w:t>
      </w:r>
      <w:r w:rsidR="00F413DE" w:rsidRPr="00F413DE">
        <w:rPr>
          <w:rFonts w:cs="Arial"/>
        </w:rPr>
        <w:t xml:space="preserve"> </w:t>
      </w:r>
      <w:sdt>
        <w:sdtPr>
          <w:rPr>
            <w:rFonts w:cs="Arial"/>
          </w:rPr>
          <w:id w:val="790482064"/>
          <w:citation/>
        </w:sdtPr>
        <w:sdtContent>
          <w:r w:rsidR="00F413DE">
            <w:rPr>
              <w:rFonts w:cs="Arial"/>
            </w:rPr>
            <w:fldChar w:fldCharType="begin"/>
          </w:r>
          <w:r w:rsidR="00F413DE">
            <w:rPr>
              <w:rFonts w:cs="Arial"/>
            </w:rPr>
            <w:instrText xml:space="preserve"> CITATION Con15 \l 2057 </w:instrText>
          </w:r>
          <w:r w:rsidR="00F413DE">
            <w:rPr>
              <w:rFonts w:cs="Arial"/>
            </w:rPr>
            <w:fldChar w:fldCharType="separate"/>
          </w:r>
          <w:r w:rsidR="00F413DE" w:rsidRPr="00974BEB">
            <w:rPr>
              <w:rFonts w:cs="Arial"/>
              <w:noProof/>
            </w:rPr>
            <w:t>(Connor, 2015)</w:t>
          </w:r>
          <w:r w:rsidR="00F413DE">
            <w:rPr>
              <w:rFonts w:cs="Arial"/>
            </w:rPr>
            <w:fldChar w:fldCharType="end"/>
          </w:r>
        </w:sdtContent>
      </w:sdt>
      <w:r w:rsidR="00F413DE" w:rsidRPr="00F413DE">
        <w:rPr>
          <w:rFonts w:cs="Arial"/>
        </w:rPr>
        <w:t>.</w:t>
      </w:r>
    </w:p>
    <w:p w14:paraId="0B8652E5" w14:textId="055402EA" w:rsidR="00C710F9" w:rsidRDefault="00C710F9" w:rsidP="00C710F9">
      <w:pPr>
        <w:rPr>
          <w:rFonts w:cs="Arial"/>
        </w:rPr>
      </w:pPr>
      <w:r w:rsidRPr="00C710F9">
        <w:rPr>
          <w:rFonts w:cs="Arial"/>
        </w:rPr>
        <w:t xml:space="preserve">Sexual offences have been the subject of biological hypotheses that have focused on anomalies in brain structure, hormone production, genetic and chromosomal make-up, and intellectual functioning. Important scientific results about the reliability of many biological hypotheses are as follows: However, the data is unmistakable that certain anomalies do not occur </w:t>
      </w:r>
      <w:proofErr w:type="gramStart"/>
      <w:r w:rsidRPr="00C710F9">
        <w:rPr>
          <w:rFonts w:cs="Arial"/>
        </w:rPr>
        <w:t>in the majority of instances</w:t>
      </w:r>
      <w:proofErr w:type="gramEnd"/>
      <w:r>
        <w:rPr>
          <w:rFonts w:cs="Arial"/>
        </w:rPr>
        <w:t xml:space="preserve"> </w:t>
      </w:r>
      <w:sdt>
        <w:sdtPr>
          <w:rPr>
            <w:rFonts w:cs="Arial"/>
          </w:rPr>
          <w:id w:val="782618801"/>
          <w:citation/>
        </w:sdtPr>
        <w:sdtContent>
          <w:r>
            <w:rPr>
              <w:rFonts w:cs="Arial"/>
            </w:rPr>
            <w:fldChar w:fldCharType="begin"/>
          </w:r>
          <w:r>
            <w:rPr>
              <w:rFonts w:cs="Arial"/>
            </w:rPr>
            <w:instrText xml:space="preserve"> CITATION Fau10 \l 2057 </w:instrText>
          </w:r>
          <w:r>
            <w:rPr>
              <w:rFonts w:cs="Arial"/>
            </w:rPr>
            <w:fldChar w:fldCharType="separate"/>
          </w:r>
          <w:r w:rsidRPr="00C710F9">
            <w:rPr>
              <w:rFonts w:cs="Arial"/>
              <w:noProof/>
            </w:rPr>
            <w:t>(Faupel &amp; Prybylski, 2010)</w:t>
          </w:r>
          <w:r>
            <w:rPr>
              <w:rFonts w:cs="Arial"/>
            </w:rPr>
            <w:fldChar w:fldCharType="end"/>
          </w:r>
        </w:sdtContent>
      </w:sdt>
      <w:r w:rsidRPr="00C710F9">
        <w:rPr>
          <w:rFonts w:cs="Arial"/>
        </w:rPr>
        <w:t>. Several studies have shown anomalies in the minds of certain sexual offenders.</w:t>
      </w:r>
      <w:r>
        <w:rPr>
          <w:rFonts w:cs="Arial"/>
        </w:rPr>
        <w:t xml:space="preserve"> </w:t>
      </w:r>
      <w:r w:rsidRPr="00C710F9">
        <w:rPr>
          <w:rFonts w:cs="Arial"/>
        </w:rPr>
        <w:t xml:space="preserve">Studies looking at the connection between hormonal imbalances and sexual misconduct have centred on the function of certain hormones (such testosterone), which are known to be connected to physical changes in males. These </w:t>
      </w:r>
      <w:proofErr w:type="gramStart"/>
      <w:r w:rsidRPr="00C710F9">
        <w:rPr>
          <w:rFonts w:cs="Arial"/>
        </w:rPr>
        <w:t>researches</w:t>
      </w:r>
      <w:proofErr w:type="gramEnd"/>
      <w:r w:rsidRPr="00C710F9">
        <w:rPr>
          <w:rFonts w:cs="Arial"/>
        </w:rPr>
        <w:t xml:space="preserve"> have not yet discovered proof of a direct connection between hormone production and sexual misconduct</w:t>
      </w:r>
      <w:r w:rsidR="00F77659">
        <w:rPr>
          <w:rFonts w:cs="Arial"/>
        </w:rPr>
        <w:t xml:space="preserve"> (Ibid.)</w:t>
      </w:r>
      <w:r w:rsidRPr="00C710F9">
        <w:rPr>
          <w:rFonts w:cs="Arial"/>
        </w:rPr>
        <w:t>.</w:t>
      </w:r>
      <w:r>
        <w:rPr>
          <w:rFonts w:cs="Arial"/>
        </w:rPr>
        <w:t xml:space="preserve"> </w:t>
      </w:r>
      <w:r w:rsidRPr="00C710F9">
        <w:rPr>
          <w:rFonts w:cs="Arial"/>
        </w:rPr>
        <w:t xml:space="preserve">The idea that sex offenders may have a genetic abnormality that increases their propensity for violent sexual activity has also been </w:t>
      </w:r>
      <w:proofErr w:type="gramStart"/>
      <w:r w:rsidRPr="00C710F9">
        <w:rPr>
          <w:rFonts w:cs="Arial"/>
        </w:rPr>
        <w:t>taken into account</w:t>
      </w:r>
      <w:proofErr w:type="gramEnd"/>
      <w:r w:rsidRPr="00C710F9">
        <w:rPr>
          <w:rFonts w:cs="Arial"/>
        </w:rPr>
        <w:t>. Before inferences regarding a causal link to sex offence can be drawn from the limited studies that have looked at this problem, much more study is required.</w:t>
      </w:r>
      <w:r>
        <w:rPr>
          <w:rFonts w:cs="Arial"/>
        </w:rPr>
        <w:t xml:space="preserve"> </w:t>
      </w:r>
      <w:r w:rsidRPr="00C710F9">
        <w:rPr>
          <w:rFonts w:cs="Arial"/>
        </w:rPr>
        <w:t>There have also been speculations linking intellectual functioning deficiencies to sexual offences, however there is no concrete data to back up these theories. Furthermore, it needs to be understood that hostility is not typical of this community</w:t>
      </w:r>
      <w:r w:rsidR="00F77659">
        <w:rPr>
          <w:rFonts w:cs="Arial"/>
        </w:rPr>
        <w:t xml:space="preserve"> (Ibid.)</w:t>
      </w:r>
      <w:r w:rsidRPr="00C710F9">
        <w:rPr>
          <w:rFonts w:cs="Arial"/>
        </w:rPr>
        <w:t>.</w:t>
      </w:r>
      <w:r>
        <w:rPr>
          <w:rFonts w:cs="Arial"/>
        </w:rPr>
        <w:t xml:space="preserve"> </w:t>
      </w:r>
    </w:p>
    <w:p w14:paraId="4CEDE811" w14:textId="29BAAB1B" w:rsidR="007053E8" w:rsidRDefault="007053E8" w:rsidP="00C710F9">
      <w:pPr>
        <w:rPr>
          <w:rFonts w:cs="Arial"/>
        </w:rPr>
      </w:pPr>
      <w:r w:rsidRPr="007053E8">
        <w:rPr>
          <w:rFonts w:cs="Arial"/>
        </w:rPr>
        <w:t xml:space="preserve">According to Marshall and </w:t>
      </w:r>
      <w:proofErr w:type="spellStart"/>
      <w:r w:rsidRPr="007053E8">
        <w:rPr>
          <w:rFonts w:cs="Arial"/>
        </w:rPr>
        <w:t>Barbaree's</w:t>
      </w:r>
      <w:proofErr w:type="spellEnd"/>
      <w:r w:rsidRPr="007053E8">
        <w:rPr>
          <w:rFonts w:cs="Arial"/>
        </w:rPr>
        <w:t xml:space="preserve"> (1990) Integrated Theory, developmental experiences, biochemical characteristics, societal practices, and the emotional vulnerabilities that might come </w:t>
      </w:r>
      <w:r w:rsidRPr="007053E8">
        <w:rPr>
          <w:rFonts w:cs="Arial"/>
        </w:rPr>
        <w:lastRenderedPageBreak/>
        <w:t xml:space="preserve">from a confluence of these elements are the main causes of sexual offence.  Marshall and </w:t>
      </w:r>
      <w:proofErr w:type="spellStart"/>
      <w:r w:rsidRPr="007053E8">
        <w:rPr>
          <w:rFonts w:cs="Arial"/>
        </w:rPr>
        <w:t>Barbaree</w:t>
      </w:r>
      <w:proofErr w:type="spellEnd"/>
      <w:r w:rsidRPr="007053E8">
        <w:rPr>
          <w:rFonts w:cs="Arial"/>
        </w:rPr>
        <w:t xml:space="preserve"> suggested that, early adverse childhood experiences such as sexual assault, physical abuse, and neglect can make a </w:t>
      </w:r>
      <w:r w:rsidR="00A76400">
        <w:rPr>
          <w:rFonts w:cs="Arial"/>
        </w:rPr>
        <w:t>child</w:t>
      </w:r>
      <w:r w:rsidRPr="007053E8">
        <w:rPr>
          <w:rFonts w:cs="Arial"/>
        </w:rPr>
        <w:t xml:space="preserve"> believe that their caretakers are emotionally distant and that they are undeserving of being loved or protected</w:t>
      </w:r>
      <w:sdt>
        <w:sdtPr>
          <w:rPr>
            <w:rFonts w:cs="Arial"/>
          </w:rPr>
          <w:id w:val="264044692"/>
          <w:citation/>
        </w:sdtPr>
        <w:sdtContent>
          <w:r w:rsidR="00A76400">
            <w:rPr>
              <w:rFonts w:cs="Arial"/>
            </w:rPr>
            <w:fldChar w:fldCharType="begin"/>
          </w:r>
          <w:r w:rsidR="00A76400">
            <w:rPr>
              <w:rFonts w:cs="Arial"/>
            </w:rPr>
            <w:instrText xml:space="preserve"> CITATION Mar90 \l 2057 </w:instrText>
          </w:r>
          <w:r w:rsidR="00A76400">
            <w:rPr>
              <w:rFonts w:cs="Arial"/>
            </w:rPr>
            <w:fldChar w:fldCharType="separate"/>
          </w:r>
          <w:r w:rsidR="00A76400">
            <w:rPr>
              <w:rFonts w:cs="Arial"/>
              <w:noProof/>
            </w:rPr>
            <w:t xml:space="preserve"> </w:t>
          </w:r>
          <w:r w:rsidR="00A76400" w:rsidRPr="00A76400">
            <w:rPr>
              <w:rFonts w:cs="Arial"/>
              <w:noProof/>
            </w:rPr>
            <w:t>(Marshall &amp; Barbaree, 1990)</w:t>
          </w:r>
          <w:r w:rsidR="00A76400">
            <w:rPr>
              <w:rFonts w:cs="Arial"/>
            </w:rPr>
            <w:fldChar w:fldCharType="end"/>
          </w:r>
        </w:sdtContent>
      </w:sdt>
      <w:r w:rsidRPr="007053E8">
        <w:rPr>
          <w:rFonts w:cs="Arial"/>
        </w:rPr>
        <w:t>. Low self-esteem, poor social skills, and inadequate coping mechanisms are the outcomes of this. Home environments that are antisocial and misogynistic can be stressful.</w:t>
      </w:r>
      <w:r>
        <w:rPr>
          <w:rFonts w:cs="Arial"/>
        </w:rPr>
        <w:t xml:space="preserve"> </w:t>
      </w:r>
      <w:r w:rsidRPr="007053E8">
        <w:rPr>
          <w:rFonts w:cs="Arial"/>
        </w:rPr>
        <w:t>The idea contends that male adolescents are more prone to embrace narratives that promote men to statuses of authority and domination if they feel inadequate. Sex's ability to satisfy a variety of psychological demands in addition to sexual fulfilment is another important aspect of the idea</w:t>
      </w:r>
      <w:r w:rsidR="00A76400">
        <w:rPr>
          <w:rFonts w:cs="Arial"/>
        </w:rPr>
        <w:t xml:space="preserve"> (Ibid.)</w:t>
      </w:r>
      <w:r w:rsidRPr="007053E8">
        <w:rPr>
          <w:rFonts w:cs="Arial"/>
        </w:rPr>
        <w:t>. These could include a stronger sense of competence, more self-worth, a sense of personal fulfilment and connection, and a feeling of fulfilling the ideal representation of masculinity.</w:t>
      </w:r>
      <w:r>
        <w:rPr>
          <w:rFonts w:cs="Arial"/>
        </w:rPr>
        <w:t xml:space="preserve"> </w:t>
      </w:r>
      <w:r w:rsidRPr="007053E8">
        <w:rPr>
          <w:rFonts w:cs="Arial"/>
        </w:rPr>
        <w:t xml:space="preserve">Learning to differentiate between sexual desires and violence is a crucial developmental skill for teenage males, according to Marshall and </w:t>
      </w:r>
      <w:proofErr w:type="spellStart"/>
      <w:r w:rsidRPr="007053E8">
        <w:rPr>
          <w:rFonts w:cs="Arial"/>
        </w:rPr>
        <w:t>Barbaree</w:t>
      </w:r>
      <w:proofErr w:type="spellEnd"/>
      <w:r w:rsidRPr="007053E8">
        <w:rPr>
          <w:rFonts w:cs="Arial"/>
        </w:rPr>
        <w:t>. They said that this job was challenging since the same part of the brain produces both kinds of impulses. Adolescent males must learn to control their anger in sexual circumstances since it can be challenging for them to recognise when they are furious, sexually aroused, or both. These elements make the developing man prone to engaging in sex-offending behaviours when coupled with the hormonal changes that occur throughout adolescence</w:t>
      </w:r>
      <w:r w:rsidR="00A76400">
        <w:rPr>
          <w:rFonts w:cs="Arial"/>
        </w:rPr>
        <w:t xml:space="preserve"> (Ibid.)</w:t>
      </w:r>
      <w:r w:rsidRPr="007053E8">
        <w:rPr>
          <w:rFonts w:cs="Arial"/>
        </w:rPr>
        <w:t>. Teenagers may therefore be motivated to engage in sexual abuse by external circumstances like loneliness, social rejection, or the end of a relationship.</w:t>
      </w:r>
      <w:r>
        <w:rPr>
          <w:rFonts w:cs="Arial"/>
        </w:rPr>
        <w:t xml:space="preserve"> </w:t>
      </w:r>
      <w:r w:rsidRPr="007053E8">
        <w:rPr>
          <w:rFonts w:cs="Arial"/>
        </w:rPr>
        <w:t xml:space="preserve">The less acute these environmental encounters must be to set off sexually aggressive conduct, the more susceptible an individual is to </w:t>
      </w:r>
      <w:proofErr w:type="gramStart"/>
      <w:r w:rsidRPr="007053E8">
        <w:rPr>
          <w:rFonts w:cs="Arial"/>
        </w:rPr>
        <w:t>executing</w:t>
      </w:r>
      <w:proofErr w:type="gramEnd"/>
      <w:r w:rsidRPr="007053E8">
        <w:rPr>
          <w:rFonts w:cs="Arial"/>
        </w:rPr>
        <w:t xml:space="preserve"> a sexual crime.  The Marshall and </w:t>
      </w:r>
      <w:proofErr w:type="spellStart"/>
      <w:r w:rsidRPr="007053E8">
        <w:rPr>
          <w:rFonts w:cs="Arial"/>
        </w:rPr>
        <w:t>Barbaree</w:t>
      </w:r>
      <w:proofErr w:type="spellEnd"/>
      <w:r w:rsidRPr="007053E8">
        <w:rPr>
          <w:rFonts w:cs="Arial"/>
        </w:rPr>
        <w:t xml:space="preserve"> hypothesis was later expanded to include the idea that, via training, mood states that were initially linked to sexual arousal may eventually be able to generate sexual urges on their own. As an illustration, if a young person masturbates repeatedly to deal with his loneliness, ultimately the loneliness itself causes sexual excitement</w:t>
      </w:r>
      <w:r w:rsidR="00A76400">
        <w:rPr>
          <w:rFonts w:cs="Arial"/>
        </w:rPr>
        <w:t xml:space="preserve"> (Ibid.)</w:t>
      </w:r>
      <w:r w:rsidRPr="007053E8">
        <w:rPr>
          <w:rFonts w:cs="Arial"/>
        </w:rPr>
        <w:t>.</w:t>
      </w:r>
    </w:p>
    <w:p w14:paraId="493CBF86" w14:textId="4343B8F7" w:rsidR="00BA00BF" w:rsidRDefault="00BA00BF" w:rsidP="002D5F61">
      <w:pPr>
        <w:rPr>
          <w:rFonts w:cs="Arial"/>
        </w:rPr>
      </w:pPr>
      <w:r w:rsidRPr="00BA00BF">
        <w:rPr>
          <w:rFonts w:cs="Arial"/>
        </w:rPr>
        <w:t xml:space="preserve">Alcohol has been identified as one of key contributors to sexual violence because it has been found that situations where alcohol was ingested increased the likelihood of sexual assaults. Substance abuse must be viewed as a contributing component, not as the direct cause of sexual assault. Alcohol has the impact of lowering inhibitions, which results in behaviours that would typically be restrained in any </w:t>
      </w:r>
      <w:r w:rsidR="00922094" w:rsidRPr="00BA00BF">
        <w:rPr>
          <w:rFonts w:cs="Arial"/>
        </w:rPr>
        <w:t>setting</w:t>
      </w:r>
      <w:r w:rsidRPr="00BA00BF">
        <w:rPr>
          <w:rFonts w:cs="Arial"/>
        </w:rPr>
        <w:t>, clouding judgements, and making it more difficult to effectively read environmental cues</w:t>
      </w:r>
      <w:r w:rsidR="00922094">
        <w:rPr>
          <w:rFonts w:cs="Arial"/>
        </w:rPr>
        <w:t xml:space="preserve"> </w:t>
      </w:r>
      <w:sdt>
        <w:sdtPr>
          <w:rPr>
            <w:rFonts w:cs="Arial"/>
          </w:rPr>
          <w:id w:val="-718284440"/>
          <w:citation/>
        </w:sdtPr>
        <w:sdtContent>
          <w:r w:rsidR="00922094">
            <w:rPr>
              <w:rFonts w:cs="Arial"/>
            </w:rPr>
            <w:fldChar w:fldCharType="begin"/>
          </w:r>
          <w:r w:rsidR="00922094">
            <w:rPr>
              <w:rFonts w:cs="Arial"/>
            </w:rPr>
            <w:instrText xml:space="preserve"> CITATION Beh18 \l 2057 </w:instrText>
          </w:r>
          <w:r w:rsidR="00922094">
            <w:rPr>
              <w:rFonts w:cs="Arial"/>
            </w:rPr>
            <w:fldChar w:fldCharType="separate"/>
          </w:r>
          <w:r w:rsidR="00922094" w:rsidRPr="00922094">
            <w:rPr>
              <w:rFonts w:cs="Arial"/>
              <w:noProof/>
            </w:rPr>
            <w:t>(Behanan &amp; Bhadkamkar, 2018)</w:t>
          </w:r>
          <w:r w:rsidR="00922094">
            <w:rPr>
              <w:rFonts w:cs="Arial"/>
            </w:rPr>
            <w:fldChar w:fldCharType="end"/>
          </w:r>
        </w:sdtContent>
      </w:sdt>
      <w:r w:rsidRPr="00BA00BF">
        <w:rPr>
          <w:rFonts w:cs="Arial"/>
        </w:rPr>
        <w:t>.</w:t>
      </w:r>
      <w:r w:rsidR="00922094">
        <w:rPr>
          <w:rFonts w:cs="Arial"/>
        </w:rPr>
        <w:t xml:space="preserve"> </w:t>
      </w:r>
      <w:r w:rsidR="00922094" w:rsidRPr="00922094">
        <w:rPr>
          <w:rFonts w:cs="Arial"/>
        </w:rPr>
        <w:t xml:space="preserve">Alcohol may occasionally serve as a cultural "break-time," giving people a chance to act in ways that are not appropriate for society. Alcohol may also be used by perpetrators to minimise the level of responsibility or to rationalise their actions. Sexual assaults using alcohol were more serious than those involving other substances, and binge drinking was associated with these assaults. Some substances, including cocaine, have been observed to disinhibit some sorts of sexual </w:t>
      </w:r>
      <w:r w:rsidR="005E2684" w:rsidRPr="00922094">
        <w:rPr>
          <w:rFonts w:cs="Arial"/>
        </w:rPr>
        <w:t>assaul</w:t>
      </w:r>
      <w:r w:rsidR="005E2684">
        <w:rPr>
          <w:rFonts w:cs="Arial"/>
        </w:rPr>
        <w:t>t (Ibid.)</w:t>
      </w:r>
      <w:r w:rsidR="00922094" w:rsidRPr="00922094">
        <w:rPr>
          <w:rFonts w:cs="Arial"/>
        </w:rPr>
        <w:t>.</w:t>
      </w:r>
    </w:p>
    <w:p w14:paraId="60B46194" w14:textId="794300AC" w:rsidR="00E9452B" w:rsidRDefault="00E9452B" w:rsidP="002D5F61">
      <w:pPr>
        <w:rPr>
          <w:rFonts w:cs="Arial"/>
        </w:rPr>
      </w:pPr>
      <w:r w:rsidRPr="00E9452B">
        <w:rPr>
          <w:rFonts w:cs="Arial"/>
        </w:rPr>
        <w:t>According to research, sexual aggressiveness can define a man's masculinity in particular communities. Young men's sexually aggressive behaviour has been connected to gang participation and hanging out with troublemakers</w:t>
      </w:r>
      <w:r>
        <w:rPr>
          <w:rFonts w:cs="Arial"/>
        </w:rPr>
        <w:t xml:space="preserve"> </w:t>
      </w:r>
      <w:sdt>
        <w:sdtPr>
          <w:rPr>
            <w:rFonts w:cs="Arial"/>
          </w:rPr>
          <w:id w:val="-1097006854"/>
          <w:citation/>
        </w:sdtPr>
        <w:sdtContent>
          <w:r>
            <w:rPr>
              <w:rFonts w:cs="Arial"/>
            </w:rPr>
            <w:fldChar w:fldCharType="begin"/>
          </w:r>
          <w:r>
            <w:rPr>
              <w:rFonts w:cs="Arial"/>
            </w:rPr>
            <w:instrText xml:space="preserve"> CITATION Beh18 \l 2057 </w:instrText>
          </w:r>
          <w:r>
            <w:rPr>
              <w:rFonts w:cs="Arial"/>
            </w:rPr>
            <w:fldChar w:fldCharType="separate"/>
          </w:r>
          <w:r w:rsidRPr="00E9452B">
            <w:rPr>
              <w:rFonts w:cs="Arial"/>
              <w:noProof/>
            </w:rPr>
            <w:t>(Behanan &amp; Bhadkamkar, 2018)</w:t>
          </w:r>
          <w:r>
            <w:rPr>
              <w:rFonts w:cs="Arial"/>
            </w:rPr>
            <w:fldChar w:fldCharType="end"/>
          </w:r>
        </w:sdtContent>
      </w:sdt>
      <w:r w:rsidRPr="00E9452B">
        <w:rPr>
          <w:rFonts w:cs="Arial"/>
        </w:rPr>
        <w:t>. Additionally, studies have indicated that males with such peers are more likely than men without sexually aggressive peers to report forced sexual contact outside of gang environments. In certain cases, males saw gang rape as a legal way to punish women for engaging in "immoral" behaviour, such as wearing short skirts, being in a relationship, or drinking. Because of this, gang rape is not considered a crime and is frequently approved by the society's or a particular group's elders</w:t>
      </w:r>
      <w:r>
        <w:rPr>
          <w:rFonts w:cs="Arial"/>
        </w:rPr>
        <w:t xml:space="preserve"> (Ibid.)</w:t>
      </w:r>
      <w:r w:rsidRPr="00E9452B">
        <w:rPr>
          <w:rFonts w:cs="Arial"/>
        </w:rPr>
        <w:t>.</w:t>
      </w:r>
    </w:p>
    <w:p w14:paraId="62971C98" w14:textId="3E97C524" w:rsidR="00E9452B" w:rsidRDefault="00E9452B" w:rsidP="002D5F61">
      <w:pPr>
        <w:rPr>
          <w:rFonts w:cs="Arial"/>
        </w:rPr>
      </w:pPr>
      <w:r w:rsidRPr="00E9452B">
        <w:rPr>
          <w:rFonts w:cs="Arial"/>
        </w:rPr>
        <w:t xml:space="preserve">Credible knowledge of the root factors behind sexual offending and victimisation is necessary for the creation of successful preventative programmes. Prevention attempts are liable to be random and ineffective in the absence of reliable etiological understanding. Second, understanding the reasons </w:t>
      </w:r>
      <w:r w:rsidRPr="00E9452B">
        <w:rPr>
          <w:rFonts w:cs="Arial"/>
        </w:rPr>
        <w:lastRenderedPageBreak/>
        <w:t>can assist sex offender management specialists better manage and reduce risk. Simply put, understanding the origins and pathways to offending can offer crucial insights into the characteristics of different sex offending behaviours and the propensity for them to endure over time</w:t>
      </w:r>
      <w:r w:rsidR="00F77659">
        <w:rPr>
          <w:rFonts w:cs="Arial"/>
        </w:rPr>
        <w:t xml:space="preserve"> </w:t>
      </w:r>
      <w:sdt>
        <w:sdtPr>
          <w:rPr>
            <w:rFonts w:cs="Arial"/>
          </w:rPr>
          <w:id w:val="-858356504"/>
          <w:citation/>
        </w:sdtPr>
        <w:sdtContent>
          <w:r w:rsidR="00F77659">
            <w:rPr>
              <w:rFonts w:cs="Arial"/>
            </w:rPr>
            <w:fldChar w:fldCharType="begin"/>
          </w:r>
          <w:r w:rsidR="00F77659">
            <w:rPr>
              <w:rFonts w:cs="Arial"/>
            </w:rPr>
            <w:instrText xml:space="preserve"> CITATION Fau10 \l 2057 </w:instrText>
          </w:r>
          <w:r w:rsidR="00F77659">
            <w:rPr>
              <w:rFonts w:cs="Arial"/>
            </w:rPr>
            <w:fldChar w:fldCharType="separate"/>
          </w:r>
          <w:r w:rsidR="00F77659" w:rsidRPr="00F77659">
            <w:rPr>
              <w:rFonts w:cs="Arial"/>
              <w:noProof/>
            </w:rPr>
            <w:t>(Faupel &amp; Prybylski, 2010)</w:t>
          </w:r>
          <w:r w:rsidR="00F77659">
            <w:rPr>
              <w:rFonts w:cs="Arial"/>
            </w:rPr>
            <w:fldChar w:fldCharType="end"/>
          </w:r>
        </w:sdtContent>
      </w:sdt>
      <w:r w:rsidRPr="00E9452B">
        <w:rPr>
          <w:rFonts w:cs="Arial"/>
        </w:rPr>
        <w:t>. Third, understanding the root issues can assist sex offender management experts create more successful treatment plans.</w:t>
      </w:r>
      <w:r>
        <w:rPr>
          <w:rFonts w:cs="Arial"/>
        </w:rPr>
        <w:t xml:space="preserve"> </w:t>
      </w:r>
      <w:r w:rsidRPr="00E9452B">
        <w:rPr>
          <w:rFonts w:cs="Arial"/>
        </w:rPr>
        <w:t xml:space="preserve">Rehabilitation efforts can address the </w:t>
      </w:r>
      <w:proofErr w:type="gramStart"/>
      <w:r w:rsidRPr="00E9452B">
        <w:rPr>
          <w:rFonts w:cs="Arial"/>
        </w:rPr>
        <w:t>particular underlying</w:t>
      </w:r>
      <w:proofErr w:type="gramEnd"/>
      <w:r w:rsidRPr="00E9452B">
        <w:rPr>
          <w:rFonts w:cs="Arial"/>
        </w:rPr>
        <w:t xml:space="preserve"> reasons and routes to offending that pertain to the individual offender rather than concentrating on indicators or adopting a one-size-fits-all approach. Fourth, regardless of whether the focus is on punishment, community monitoring, civil commitment, or any other aspect of the criminal justice or society reaction to sexual offences, etiological knowledge can enrich discussion and judgement at the policy level. In summary, understanding the causes, routes, and antecedents of sexual offence can be vital to creating and implementing successful public safety plans</w:t>
      </w:r>
      <w:r w:rsidR="00F77659">
        <w:rPr>
          <w:rFonts w:cs="Arial"/>
        </w:rPr>
        <w:t xml:space="preserve"> (Ibid.)</w:t>
      </w:r>
      <w:r w:rsidRPr="00E9452B">
        <w:rPr>
          <w:rFonts w:cs="Arial"/>
        </w:rPr>
        <w:t>.</w:t>
      </w:r>
    </w:p>
    <w:p w14:paraId="34029A83" w14:textId="22A9E806" w:rsidR="006F48EC" w:rsidRDefault="006F48EC" w:rsidP="002D5F61">
      <w:pPr>
        <w:rPr>
          <w:rFonts w:cs="Arial"/>
        </w:rPr>
      </w:pPr>
      <w:r w:rsidRPr="006F48EC">
        <w:rPr>
          <w:rFonts w:cs="Arial"/>
        </w:rPr>
        <w:t>It is common practise to ask experts who deal with sexual offenders to assess the threat that the perpetrators pose. These evaluations typically focus on the likelihood of other sexual offences or the likelihood of subsequent violence of any type. The professional may employ clinical judgement or a quantitative risk predictor to complete this assignment. Actuarial tools are empirically derived, but they are fundamentally theoretical in nature because they do not identify the psychological risk elements that underpin risk, making it impossible to determine how risk might be decreased or if a reduction in risk has occurred</w:t>
      </w:r>
      <w:r w:rsidR="008745BB">
        <w:rPr>
          <w:rFonts w:cs="Arial"/>
        </w:rPr>
        <w:t xml:space="preserve"> </w:t>
      </w:r>
      <w:sdt>
        <w:sdtPr>
          <w:rPr>
            <w:rFonts w:cs="Arial"/>
          </w:rPr>
          <w:id w:val="1990211842"/>
          <w:citation/>
        </w:sdtPr>
        <w:sdtContent>
          <w:r w:rsidR="008745BB">
            <w:rPr>
              <w:rFonts w:cs="Arial"/>
            </w:rPr>
            <w:fldChar w:fldCharType="begin"/>
          </w:r>
          <w:r w:rsidR="008745BB">
            <w:rPr>
              <w:rFonts w:cs="Arial"/>
            </w:rPr>
            <w:instrText xml:space="preserve"> CITATION Bee03 \l 2057 </w:instrText>
          </w:r>
          <w:r w:rsidR="008745BB">
            <w:rPr>
              <w:rFonts w:cs="Arial"/>
            </w:rPr>
            <w:fldChar w:fldCharType="separate"/>
          </w:r>
          <w:r w:rsidR="008745BB" w:rsidRPr="008745BB">
            <w:rPr>
              <w:rFonts w:cs="Arial"/>
              <w:noProof/>
            </w:rPr>
            <w:t>(Beech, et al., 2003)</w:t>
          </w:r>
          <w:r w:rsidR="008745BB">
            <w:rPr>
              <w:rFonts w:cs="Arial"/>
            </w:rPr>
            <w:fldChar w:fldCharType="end"/>
          </w:r>
        </w:sdtContent>
      </w:sdt>
      <w:r w:rsidRPr="006F48EC">
        <w:rPr>
          <w:rFonts w:cs="Arial"/>
        </w:rPr>
        <w:t>.</w:t>
      </w:r>
      <w:r>
        <w:rPr>
          <w:rFonts w:cs="Arial"/>
        </w:rPr>
        <w:t xml:space="preserve"> </w:t>
      </w:r>
      <w:r w:rsidRPr="006F48EC">
        <w:rPr>
          <w:rFonts w:cs="Arial"/>
        </w:rPr>
        <w:t>Advancement of actuarial risk predictions for sexual predators has drawn more attention in recent years. These predictors make use of risk factors discovered via scientific studies and then design techniques to code their presence to generate a rating for an individual that indicates the likelihood that person would be convicted of a sexual offence again over a predetermined follow-up period</w:t>
      </w:r>
      <w:r w:rsidR="008745BB">
        <w:rPr>
          <w:rFonts w:cs="Arial"/>
        </w:rPr>
        <w:t xml:space="preserve"> </w:t>
      </w:r>
      <w:sdt>
        <w:sdtPr>
          <w:rPr>
            <w:rFonts w:cs="Arial"/>
          </w:rPr>
          <w:id w:val="-871377521"/>
          <w:citation/>
        </w:sdtPr>
        <w:sdtContent>
          <w:r w:rsidR="008745BB">
            <w:rPr>
              <w:rFonts w:cs="Arial"/>
            </w:rPr>
            <w:fldChar w:fldCharType="begin"/>
          </w:r>
          <w:r w:rsidR="008745BB">
            <w:rPr>
              <w:rFonts w:cs="Arial"/>
            </w:rPr>
            <w:instrText xml:space="preserve"> CITATION Bon96 \l 2057 </w:instrText>
          </w:r>
          <w:r w:rsidR="008745BB">
            <w:rPr>
              <w:rFonts w:cs="Arial"/>
            </w:rPr>
            <w:fldChar w:fldCharType="separate"/>
          </w:r>
          <w:r w:rsidR="008745BB" w:rsidRPr="008745BB">
            <w:rPr>
              <w:rFonts w:cs="Arial"/>
              <w:noProof/>
            </w:rPr>
            <w:t>(Bonta, 1996)</w:t>
          </w:r>
          <w:r w:rsidR="008745BB">
            <w:rPr>
              <w:rFonts w:cs="Arial"/>
            </w:rPr>
            <w:fldChar w:fldCharType="end"/>
          </w:r>
        </w:sdtContent>
      </w:sdt>
      <w:r w:rsidRPr="006F48EC">
        <w:rPr>
          <w:rFonts w:cs="Arial"/>
        </w:rPr>
        <w:t xml:space="preserve">. </w:t>
      </w:r>
      <w:proofErr w:type="gramStart"/>
      <w:r w:rsidRPr="006F48EC">
        <w:rPr>
          <w:rFonts w:cs="Arial"/>
        </w:rPr>
        <w:t>The majority of</w:t>
      </w:r>
      <w:proofErr w:type="gramEnd"/>
      <w:r w:rsidRPr="006F48EC">
        <w:rPr>
          <w:rFonts w:cs="Arial"/>
        </w:rPr>
        <w:t xml:space="preserve"> actuarial risk predictors for sexual offenders almost completely rely on static characteristics such as prior criminal history, a lack of committed long-term relationships, and overall crime. Prediction tools for general criminal behaviour have more recently added a dynamic</w:t>
      </w:r>
      <w:r>
        <w:rPr>
          <w:rFonts w:cs="Arial"/>
        </w:rPr>
        <w:t xml:space="preserve"> or </w:t>
      </w:r>
      <w:r w:rsidRPr="006F48EC">
        <w:rPr>
          <w:rFonts w:cs="Arial"/>
        </w:rPr>
        <w:t>variable component of risk</w:t>
      </w:r>
      <w:r w:rsidR="00C76CBD">
        <w:rPr>
          <w:rFonts w:cs="Arial"/>
        </w:rPr>
        <w:t xml:space="preserve"> (Ibid.)</w:t>
      </w:r>
      <w:r w:rsidRPr="006F48EC">
        <w:rPr>
          <w:rFonts w:cs="Arial"/>
        </w:rPr>
        <w:t>.</w:t>
      </w:r>
      <w:r>
        <w:rPr>
          <w:rFonts w:cs="Arial"/>
        </w:rPr>
        <w:t xml:space="preserve"> </w:t>
      </w:r>
      <w:r w:rsidRPr="006F48EC">
        <w:rPr>
          <w:rFonts w:cs="Arial"/>
        </w:rPr>
        <w:t xml:space="preserve">The </w:t>
      </w:r>
      <w:r w:rsidR="008745BB" w:rsidRPr="006F48EC">
        <w:rPr>
          <w:rFonts w:cs="Arial"/>
        </w:rPr>
        <w:t>Receiver</w:t>
      </w:r>
      <w:r w:rsidRPr="006F48EC">
        <w:rPr>
          <w:rFonts w:cs="Arial"/>
        </w:rPr>
        <w:t xml:space="preserve"> Operating Characteristics Analysis Area Under the Curve (AUC) provides the best measure of a technique of assessment's predictive accuracy. The benefit of this index is that it is not affected by changes in the benchmark of recurrence.  Generally, it can be understood as the likelihood that a randomly chosen repeat offender will have a higher deviance rank than a randomly chosen non-offender. </w:t>
      </w:r>
      <w:r w:rsidR="008745BB" w:rsidRPr="008745BB">
        <w:rPr>
          <w:rFonts w:cs="Arial"/>
        </w:rPr>
        <w:t>The most precise approach of risk prediction currently offered for use with sex predators is actuarial risk prediction</w:t>
      </w:r>
      <w:sdt>
        <w:sdtPr>
          <w:rPr>
            <w:rFonts w:cs="Arial"/>
          </w:rPr>
          <w:id w:val="-54699176"/>
          <w:citation/>
        </w:sdtPr>
        <w:sdtContent>
          <w:r w:rsidR="00C76CBD">
            <w:rPr>
              <w:rFonts w:cs="Arial"/>
            </w:rPr>
            <w:fldChar w:fldCharType="begin"/>
          </w:r>
          <w:r w:rsidR="00C76CBD">
            <w:rPr>
              <w:rFonts w:cs="Arial"/>
            </w:rPr>
            <w:instrText xml:space="preserve"> CITATION Han82 \l 2057 </w:instrText>
          </w:r>
          <w:r w:rsidR="00C76CBD">
            <w:rPr>
              <w:rFonts w:cs="Arial"/>
            </w:rPr>
            <w:fldChar w:fldCharType="separate"/>
          </w:r>
          <w:r w:rsidR="00C76CBD">
            <w:rPr>
              <w:rFonts w:cs="Arial"/>
              <w:noProof/>
            </w:rPr>
            <w:t xml:space="preserve"> </w:t>
          </w:r>
          <w:r w:rsidR="00C76CBD" w:rsidRPr="00C76CBD">
            <w:rPr>
              <w:rFonts w:cs="Arial"/>
              <w:noProof/>
            </w:rPr>
            <w:t>(Hanley &amp; McNeil, 1982)</w:t>
          </w:r>
          <w:r w:rsidR="00C76CBD">
            <w:rPr>
              <w:rFonts w:cs="Arial"/>
            </w:rPr>
            <w:fldChar w:fldCharType="end"/>
          </w:r>
        </w:sdtContent>
      </w:sdt>
      <w:r w:rsidR="008745BB" w:rsidRPr="008745BB">
        <w:rPr>
          <w:rFonts w:cs="Arial"/>
        </w:rPr>
        <w:t>.</w:t>
      </w:r>
    </w:p>
    <w:p w14:paraId="6B370445" w14:textId="77D7D8BC" w:rsidR="00C76CBD" w:rsidRDefault="00C76CBD" w:rsidP="002D5F61">
      <w:pPr>
        <w:rPr>
          <w:rFonts w:cs="Arial"/>
        </w:rPr>
      </w:pPr>
      <w:r w:rsidRPr="00C76CBD">
        <w:rPr>
          <w:rFonts w:cs="Arial"/>
        </w:rPr>
        <w:t xml:space="preserve">Based on well-planned reviews, there is emerging data about what can be done to stop violence against women. RESPECT women </w:t>
      </w:r>
      <w:proofErr w:type="gramStart"/>
      <w:r w:rsidRPr="00C76CBD">
        <w:rPr>
          <w:rFonts w:cs="Arial"/>
        </w:rPr>
        <w:t>is</w:t>
      </w:r>
      <w:proofErr w:type="gramEnd"/>
      <w:r w:rsidRPr="00C76CBD">
        <w:rPr>
          <w:rFonts w:cs="Arial"/>
        </w:rPr>
        <w:t xml:space="preserve"> a framework for reducing violence against women that was produced in 2019 by WHO and UN Women with support from 12 other UN and bilateral organisations. It is intended at policy makers. One of seven tactics corresponds to each letter of the word respect: Strengthening interpersonal skills, empowering women, ensuring services, reducing poverty, creating supportive environments</w:t>
      </w:r>
      <w:r>
        <w:rPr>
          <w:rFonts w:cs="Arial"/>
        </w:rPr>
        <w:t xml:space="preserve">, </w:t>
      </w:r>
      <w:r w:rsidRPr="00C76CBD">
        <w:rPr>
          <w:rFonts w:cs="Arial"/>
        </w:rPr>
        <w:t>preventing child and adolescent abuse, and changing attitudes, beliefs, and conventions are just a few of the goals</w:t>
      </w:r>
      <w:r w:rsidR="00EB612B">
        <w:rPr>
          <w:rFonts w:cs="Arial"/>
        </w:rPr>
        <w:t xml:space="preserve"> </w:t>
      </w:r>
      <w:sdt>
        <w:sdtPr>
          <w:rPr>
            <w:rFonts w:cs="Arial"/>
          </w:rPr>
          <w:id w:val="662588493"/>
          <w:citation/>
        </w:sdtPr>
        <w:sdtContent>
          <w:r w:rsidR="00EB612B">
            <w:rPr>
              <w:rFonts w:cs="Arial"/>
            </w:rPr>
            <w:fldChar w:fldCharType="begin"/>
          </w:r>
          <w:r w:rsidR="00EB612B">
            <w:rPr>
              <w:rFonts w:cs="Arial"/>
            </w:rPr>
            <w:instrText xml:space="preserve"> CITATION Wor21 \l 2057 </w:instrText>
          </w:r>
          <w:r w:rsidR="00EB612B">
            <w:rPr>
              <w:rFonts w:cs="Arial"/>
            </w:rPr>
            <w:fldChar w:fldCharType="separate"/>
          </w:r>
          <w:r w:rsidR="00EB612B" w:rsidRPr="00EB612B">
            <w:rPr>
              <w:rFonts w:cs="Arial"/>
              <w:noProof/>
            </w:rPr>
            <w:t>(World Health Organization, 2021)</w:t>
          </w:r>
          <w:r w:rsidR="00EB612B">
            <w:rPr>
              <w:rFonts w:cs="Arial"/>
            </w:rPr>
            <w:fldChar w:fldCharType="end"/>
          </w:r>
        </w:sdtContent>
      </w:sdt>
      <w:r w:rsidRPr="00C76CBD">
        <w:rPr>
          <w:rFonts w:cs="Arial"/>
        </w:rPr>
        <w:t>.</w:t>
      </w:r>
      <w:r>
        <w:rPr>
          <w:rFonts w:cs="Arial"/>
        </w:rPr>
        <w:t xml:space="preserve"> </w:t>
      </w:r>
      <w:r w:rsidRPr="00C76CBD">
        <w:rPr>
          <w:rFonts w:cs="Arial"/>
        </w:rPr>
        <w:t xml:space="preserve">There are a variety of interventions in poor and rich resource settings based on each of these seven techniques, with various degrees of effectiveness evidence. Promising interventions include collaborating with couples to enhance relationship and communication skills, community mobilisation interventions to change unequal gender norms, school programmes that improve safety in schools, reduce/eliminate harsh punishment, and include challenging curricula, as well as psychosocial support and </w:t>
      </w:r>
      <w:r w:rsidR="00283BEC" w:rsidRPr="00C76CBD">
        <w:rPr>
          <w:rFonts w:cs="Arial"/>
        </w:rPr>
        <w:t>behavioural</w:t>
      </w:r>
      <w:r w:rsidRPr="00C76CBD">
        <w:rPr>
          <w:rFonts w:cs="Arial"/>
        </w:rPr>
        <w:t xml:space="preserve"> </w:t>
      </w:r>
      <w:r w:rsidR="00283BEC" w:rsidRPr="00C76CBD">
        <w:rPr>
          <w:rFonts w:cs="Arial"/>
        </w:rPr>
        <w:t>counselling</w:t>
      </w:r>
      <w:r w:rsidRPr="00C76CBD">
        <w:rPr>
          <w:rFonts w:cs="Arial"/>
        </w:rPr>
        <w:t xml:space="preserve"> for survivors of intimate partner violence.</w:t>
      </w:r>
      <w:r w:rsidR="00283BEC">
        <w:rPr>
          <w:rFonts w:cs="Arial"/>
        </w:rPr>
        <w:t xml:space="preserve"> </w:t>
      </w:r>
      <w:r w:rsidR="00283BEC" w:rsidRPr="00283BEC">
        <w:rPr>
          <w:rFonts w:cs="Arial"/>
        </w:rPr>
        <w:t xml:space="preserve">According to RESPECT, effective initiatives are those that prioritise the safety of women, challenge uneven gender power relationships at their core, are participatory, target various risk factors </w:t>
      </w:r>
      <w:r w:rsidR="00283BEC" w:rsidRPr="00283BEC">
        <w:rPr>
          <w:rFonts w:cs="Arial"/>
        </w:rPr>
        <w:lastRenderedPageBreak/>
        <w:t xml:space="preserve">through coordinated programming, and begin early in a person's life. Adopting and enforcing laws, </w:t>
      </w:r>
      <w:proofErr w:type="gramStart"/>
      <w:r w:rsidR="00283BEC" w:rsidRPr="00283BEC">
        <w:rPr>
          <w:rFonts w:cs="Arial"/>
        </w:rPr>
        <w:t>creating</w:t>
      </w:r>
      <w:proofErr w:type="gramEnd"/>
      <w:r w:rsidR="00283BEC" w:rsidRPr="00283BEC">
        <w:rPr>
          <w:rFonts w:cs="Arial"/>
        </w:rPr>
        <w:t xml:space="preserve"> and implementing policies that advance gender equality, allocating funds for prevention and response, and supporting organisations working for women's rights are all necessary steps to bring about long-lasting change</w:t>
      </w:r>
      <w:r w:rsidR="00EB612B">
        <w:rPr>
          <w:rFonts w:cs="Arial"/>
        </w:rPr>
        <w:t xml:space="preserve"> (Ibid.)</w:t>
      </w:r>
      <w:r w:rsidR="00283BEC" w:rsidRPr="00283BEC">
        <w:rPr>
          <w:rFonts w:cs="Arial"/>
        </w:rPr>
        <w:t>.</w:t>
      </w:r>
    </w:p>
    <w:p w14:paraId="2EA29E0F" w14:textId="2F965F5F" w:rsidR="00C54F3C" w:rsidRDefault="00C54F3C" w:rsidP="002D5F61">
      <w:pPr>
        <w:rPr>
          <w:rFonts w:cs="Arial"/>
        </w:rPr>
      </w:pPr>
    </w:p>
    <w:p w14:paraId="36D582A6" w14:textId="3801EA8E" w:rsidR="00C54F3C" w:rsidRDefault="00C54F3C" w:rsidP="002D5F61">
      <w:pPr>
        <w:rPr>
          <w:rFonts w:cs="Arial"/>
        </w:rPr>
      </w:pPr>
    </w:p>
    <w:p w14:paraId="3C9011AB" w14:textId="7E029CEB" w:rsidR="00C54F3C" w:rsidRDefault="00C54F3C" w:rsidP="002D5F61">
      <w:pPr>
        <w:rPr>
          <w:rFonts w:cs="Arial"/>
        </w:rPr>
      </w:pPr>
    </w:p>
    <w:p w14:paraId="454ACE5E" w14:textId="61DBD4AC" w:rsidR="00C54F3C" w:rsidRDefault="00C54F3C" w:rsidP="002D5F61">
      <w:pPr>
        <w:rPr>
          <w:rFonts w:cs="Arial"/>
        </w:rPr>
      </w:pPr>
    </w:p>
    <w:p w14:paraId="497AB33C" w14:textId="033ADC18" w:rsidR="00C54F3C" w:rsidRDefault="00C54F3C" w:rsidP="002D5F61">
      <w:pPr>
        <w:rPr>
          <w:rFonts w:cs="Arial"/>
        </w:rPr>
      </w:pPr>
    </w:p>
    <w:p w14:paraId="041A294A" w14:textId="7AAEA192" w:rsidR="00C54F3C" w:rsidRDefault="00C54F3C" w:rsidP="002D5F61">
      <w:pPr>
        <w:rPr>
          <w:rFonts w:cs="Arial"/>
        </w:rPr>
      </w:pPr>
    </w:p>
    <w:p w14:paraId="18795CE3" w14:textId="02ED2897" w:rsidR="00C54F3C" w:rsidRDefault="00C54F3C" w:rsidP="002D5F61">
      <w:pPr>
        <w:rPr>
          <w:rFonts w:cs="Arial"/>
        </w:rPr>
      </w:pPr>
    </w:p>
    <w:p w14:paraId="5F3ADE34" w14:textId="706B5751" w:rsidR="00C54F3C" w:rsidRDefault="00C54F3C" w:rsidP="002D5F61">
      <w:pPr>
        <w:rPr>
          <w:rFonts w:cs="Arial"/>
        </w:rPr>
      </w:pPr>
    </w:p>
    <w:p w14:paraId="6101BAE1" w14:textId="1A6B3EB4" w:rsidR="00C54F3C" w:rsidRDefault="00C54F3C" w:rsidP="002D5F61">
      <w:pPr>
        <w:rPr>
          <w:rFonts w:cs="Arial"/>
        </w:rPr>
      </w:pPr>
    </w:p>
    <w:p w14:paraId="1F5147A0" w14:textId="0C357C80" w:rsidR="00C54F3C" w:rsidRDefault="00C54F3C" w:rsidP="002D5F61">
      <w:pPr>
        <w:rPr>
          <w:rFonts w:cs="Arial"/>
        </w:rPr>
      </w:pPr>
    </w:p>
    <w:p w14:paraId="7AF5F6E4" w14:textId="490D721A" w:rsidR="00C54F3C" w:rsidRDefault="00C54F3C" w:rsidP="002D5F61">
      <w:pPr>
        <w:rPr>
          <w:rFonts w:cs="Arial"/>
        </w:rPr>
      </w:pPr>
    </w:p>
    <w:p w14:paraId="23DF313B" w14:textId="4470597C" w:rsidR="00C54F3C" w:rsidRDefault="00C54F3C" w:rsidP="002D5F61">
      <w:pPr>
        <w:rPr>
          <w:rFonts w:cs="Arial"/>
        </w:rPr>
      </w:pPr>
    </w:p>
    <w:p w14:paraId="2525B49A" w14:textId="328E4785" w:rsidR="00C54F3C" w:rsidRDefault="00C54F3C" w:rsidP="002D5F61">
      <w:pPr>
        <w:rPr>
          <w:rFonts w:cs="Arial"/>
        </w:rPr>
      </w:pPr>
    </w:p>
    <w:p w14:paraId="175A8F69" w14:textId="083C7DAC" w:rsidR="00C54F3C" w:rsidRDefault="00C54F3C" w:rsidP="002D5F61">
      <w:pPr>
        <w:rPr>
          <w:rFonts w:cs="Arial"/>
        </w:rPr>
      </w:pPr>
    </w:p>
    <w:p w14:paraId="13ADF0C0" w14:textId="12F9B13F" w:rsidR="00C54F3C" w:rsidRDefault="00C54F3C" w:rsidP="002D5F61">
      <w:pPr>
        <w:rPr>
          <w:rFonts w:cs="Arial"/>
        </w:rPr>
      </w:pPr>
    </w:p>
    <w:p w14:paraId="101179E8" w14:textId="097E7FB8" w:rsidR="00C54F3C" w:rsidRDefault="00C54F3C" w:rsidP="002D5F61">
      <w:pPr>
        <w:rPr>
          <w:rFonts w:cs="Arial"/>
        </w:rPr>
      </w:pPr>
    </w:p>
    <w:p w14:paraId="54F65F6E" w14:textId="0AB7D189" w:rsidR="00C54F3C" w:rsidRDefault="00C54F3C" w:rsidP="002D5F61">
      <w:pPr>
        <w:rPr>
          <w:rFonts w:cs="Arial"/>
        </w:rPr>
      </w:pPr>
    </w:p>
    <w:p w14:paraId="48EE2EB0" w14:textId="7481FF6F" w:rsidR="00C54F3C" w:rsidRDefault="00C54F3C" w:rsidP="002D5F61">
      <w:pPr>
        <w:rPr>
          <w:rFonts w:cs="Arial"/>
        </w:rPr>
      </w:pPr>
    </w:p>
    <w:p w14:paraId="3A313BF0" w14:textId="0DD52E59" w:rsidR="00C54F3C" w:rsidRDefault="00C54F3C" w:rsidP="002D5F61">
      <w:pPr>
        <w:rPr>
          <w:rFonts w:cs="Arial"/>
        </w:rPr>
      </w:pPr>
    </w:p>
    <w:p w14:paraId="465FBCBC" w14:textId="61D85F2C" w:rsidR="00C54F3C" w:rsidRDefault="00C54F3C" w:rsidP="002D5F61">
      <w:pPr>
        <w:rPr>
          <w:rFonts w:cs="Arial"/>
        </w:rPr>
      </w:pPr>
    </w:p>
    <w:p w14:paraId="44C803E2" w14:textId="4849DA54" w:rsidR="00C54F3C" w:rsidRDefault="00C54F3C" w:rsidP="002D5F61">
      <w:pPr>
        <w:rPr>
          <w:rFonts w:cs="Arial"/>
        </w:rPr>
      </w:pPr>
    </w:p>
    <w:p w14:paraId="5449B190" w14:textId="2A2DD47B" w:rsidR="00C54F3C" w:rsidRDefault="00C54F3C" w:rsidP="002D5F61">
      <w:pPr>
        <w:rPr>
          <w:rFonts w:cs="Arial"/>
        </w:rPr>
      </w:pPr>
    </w:p>
    <w:p w14:paraId="3B3D2D21" w14:textId="34F9188A" w:rsidR="00C54F3C" w:rsidRDefault="00C54F3C" w:rsidP="002D5F61">
      <w:pPr>
        <w:rPr>
          <w:rFonts w:cs="Arial"/>
        </w:rPr>
      </w:pPr>
    </w:p>
    <w:p w14:paraId="532F3FE5" w14:textId="56B32542" w:rsidR="00C54F3C" w:rsidRDefault="00C54F3C" w:rsidP="002D5F61">
      <w:pPr>
        <w:rPr>
          <w:rFonts w:cs="Arial"/>
        </w:rPr>
      </w:pPr>
    </w:p>
    <w:p w14:paraId="31A9327D" w14:textId="4302B343" w:rsidR="00C54F3C" w:rsidRDefault="00C54F3C" w:rsidP="002D5F61">
      <w:pPr>
        <w:rPr>
          <w:rFonts w:cs="Arial"/>
        </w:rPr>
      </w:pPr>
    </w:p>
    <w:p w14:paraId="59A3E09D" w14:textId="7EECC79D" w:rsidR="00C54F3C" w:rsidRDefault="00C54F3C" w:rsidP="002D5F61">
      <w:pPr>
        <w:rPr>
          <w:rFonts w:cs="Arial"/>
        </w:rPr>
      </w:pPr>
    </w:p>
    <w:p w14:paraId="5CB2D768" w14:textId="53FE96E8" w:rsidR="00C54F3C" w:rsidRDefault="00C54F3C" w:rsidP="002D5F61">
      <w:pPr>
        <w:rPr>
          <w:rFonts w:cs="Arial"/>
        </w:rPr>
      </w:pPr>
    </w:p>
    <w:p w14:paraId="272364D7" w14:textId="13E05144" w:rsidR="00C54F3C" w:rsidRDefault="00C54F3C" w:rsidP="002D5F61">
      <w:pPr>
        <w:rPr>
          <w:rFonts w:cs="Arial"/>
        </w:rPr>
      </w:pPr>
    </w:p>
    <w:sdt>
      <w:sdtPr>
        <w:id w:val="-101815717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5C50FBF" w14:textId="3CE6145F" w:rsidR="00C54F3C" w:rsidRDefault="00C54F3C">
          <w:pPr>
            <w:pStyle w:val="Heading1"/>
          </w:pPr>
          <w:r>
            <w:t>Bibliography</w:t>
          </w:r>
        </w:p>
        <w:sdt>
          <w:sdtPr>
            <w:id w:val="111145805"/>
            <w:bibliography/>
          </w:sdtPr>
          <w:sdtContent>
            <w:p w14:paraId="6650139B" w14:textId="77777777" w:rsidR="00C54F3C" w:rsidRDefault="00C54F3C" w:rsidP="00C54F3C">
              <w:pPr>
                <w:pStyle w:val="Bibliography"/>
                <w:rPr>
                  <w:noProof/>
                  <w:sz w:val="24"/>
                  <w:szCs w:val="24"/>
                  <w:lang w:val="en-US"/>
                </w:rPr>
              </w:pPr>
              <w:r>
                <w:fldChar w:fldCharType="begin"/>
              </w:r>
              <w:r>
                <w:instrText xml:space="preserve"> BIBLIOGRAPHY </w:instrText>
              </w:r>
              <w:r>
                <w:fldChar w:fldCharType="separate"/>
              </w:r>
              <w:r>
                <w:rPr>
                  <w:noProof/>
                  <w:lang w:val="en-US"/>
                </w:rPr>
                <w:t xml:space="preserve">Beech, A., Fisher, D. &amp; Thornton, D., 2003. Risk assessment of sex offenders. </w:t>
              </w:r>
              <w:r>
                <w:rPr>
                  <w:i/>
                  <w:iCs/>
                  <w:noProof/>
                  <w:lang w:val="en-US"/>
                </w:rPr>
                <w:t xml:space="preserve">Professional Psychology: Research and practice, </w:t>
              </w:r>
              <w:r>
                <w:rPr>
                  <w:noProof/>
                  <w:lang w:val="en-US"/>
                </w:rPr>
                <w:t>34(4), pp. 339-352.</w:t>
              </w:r>
            </w:p>
            <w:p w14:paraId="290D1586" w14:textId="77777777" w:rsidR="00C54F3C" w:rsidRDefault="00C54F3C" w:rsidP="00C54F3C">
              <w:pPr>
                <w:pStyle w:val="Bibliography"/>
                <w:rPr>
                  <w:noProof/>
                  <w:lang w:val="en-US"/>
                </w:rPr>
              </w:pPr>
              <w:r>
                <w:rPr>
                  <w:noProof/>
                  <w:lang w:val="en-US"/>
                </w:rPr>
                <w:t xml:space="preserve">Behanan, S. &amp; Bhadkamkar, M., 2018. Social, Psychological, and Forensic Perspectives on Sexual Abuse. In: R. Goplan, ed. </w:t>
              </w:r>
              <w:r>
                <w:rPr>
                  <w:i/>
                  <w:iCs/>
                  <w:noProof/>
                  <w:lang w:val="en-US"/>
                </w:rPr>
                <w:t xml:space="preserve">Causes of Sexual Abuse: Psycho-Social Factors of Sexual Offence and Psychological Theories of Sexual Abuse. </w:t>
              </w:r>
              <w:r>
                <w:rPr>
                  <w:noProof/>
                  <w:lang w:val="en-US"/>
                </w:rPr>
                <w:t>Hershey: IGI Global, pp. 45-53.</w:t>
              </w:r>
            </w:p>
            <w:p w14:paraId="75FF84F3" w14:textId="77777777" w:rsidR="00C54F3C" w:rsidRDefault="00C54F3C" w:rsidP="00C54F3C">
              <w:pPr>
                <w:pStyle w:val="Bibliography"/>
                <w:rPr>
                  <w:noProof/>
                  <w:lang w:val="en-US"/>
                </w:rPr>
              </w:pPr>
              <w:r>
                <w:rPr>
                  <w:noProof/>
                  <w:lang w:val="en-US"/>
                </w:rPr>
                <w:t xml:space="preserve">Bonta, J., 1996. Risk-needs assessment and treatment.. In: T. Harland, ed. </w:t>
              </w:r>
              <w:r>
                <w:rPr>
                  <w:i/>
                  <w:iCs/>
                  <w:noProof/>
                  <w:lang w:val="en-US"/>
                </w:rPr>
                <w:t xml:space="preserve">Choosing correctional options that work. </w:t>
              </w:r>
              <w:r>
                <w:rPr>
                  <w:noProof/>
                  <w:lang w:val="en-US"/>
                </w:rPr>
                <w:t>California: Sage, pp. 18-32.</w:t>
              </w:r>
            </w:p>
            <w:p w14:paraId="669C6539" w14:textId="77777777" w:rsidR="00C54F3C" w:rsidRDefault="00C54F3C" w:rsidP="00C54F3C">
              <w:pPr>
                <w:pStyle w:val="Bibliography"/>
                <w:rPr>
                  <w:noProof/>
                  <w:lang w:val="en-US"/>
                </w:rPr>
              </w:pPr>
              <w:r>
                <w:rPr>
                  <w:noProof/>
                  <w:lang w:val="en-US"/>
                </w:rPr>
                <w:t xml:space="preserve">Connor, S., 2015. Men up to five times more likely to commit sex crimes than the average male if they have brother or father convicted of a sex offence. </w:t>
              </w:r>
              <w:r>
                <w:rPr>
                  <w:i/>
                  <w:iCs/>
                  <w:noProof/>
                  <w:lang w:val="en-US"/>
                </w:rPr>
                <w:t>The Independent</w:t>
              </w:r>
              <w:r>
                <w:rPr>
                  <w:noProof/>
                  <w:lang w:val="en-US"/>
                </w:rPr>
                <w:t>, 9 April, p. 45.</w:t>
              </w:r>
            </w:p>
            <w:p w14:paraId="18E41ACB" w14:textId="77777777" w:rsidR="00C54F3C" w:rsidRDefault="00C54F3C" w:rsidP="00C54F3C">
              <w:pPr>
                <w:pStyle w:val="Bibliography"/>
                <w:rPr>
                  <w:noProof/>
                  <w:lang w:val="en-US"/>
                </w:rPr>
              </w:pPr>
              <w:r>
                <w:rPr>
                  <w:noProof/>
                  <w:lang w:val="en-US"/>
                </w:rPr>
                <w:t xml:space="preserve">Ellis, L., 1989. </w:t>
              </w:r>
              <w:r>
                <w:rPr>
                  <w:i/>
                  <w:iCs/>
                  <w:noProof/>
                  <w:lang w:val="en-US"/>
                </w:rPr>
                <w:t xml:space="preserve">Theories of Rape: Inquiries Into the Causes of Sexual Aggression. </w:t>
              </w:r>
              <w:r>
                <w:rPr>
                  <w:noProof/>
                  <w:lang w:val="en-US"/>
                </w:rPr>
                <w:t>Pennsylvania: Office of Justice.</w:t>
              </w:r>
            </w:p>
            <w:p w14:paraId="01E4A47C" w14:textId="77777777" w:rsidR="00C54F3C" w:rsidRDefault="00C54F3C" w:rsidP="00C54F3C">
              <w:pPr>
                <w:pStyle w:val="Bibliography"/>
                <w:rPr>
                  <w:noProof/>
                  <w:lang w:val="en-US"/>
                </w:rPr>
              </w:pPr>
              <w:r>
                <w:rPr>
                  <w:noProof/>
                  <w:lang w:val="en-US"/>
                </w:rPr>
                <w:t xml:space="preserve">Faupel, S. &amp; Prybylski, R., 2010. </w:t>
              </w:r>
              <w:r>
                <w:rPr>
                  <w:i/>
                  <w:iCs/>
                  <w:noProof/>
                  <w:lang w:val="en-US"/>
                </w:rPr>
                <w:t xml:space="preserve">Chapter 2: Etiology of Adult Sexual Offending. </w:t>
              </w:r>
              <w:r>
                <w:rPr>
                  <w:noProof/>
                  <w:lang w:val="en-US"/>
                </w:rPr>
                <w:t xml:space="preserve">[Online] </w:t>
              </w:r>
              <w:r>
                <w:rPr>
                  <w:noProof/>
                  <w:lang w:val="en-US"/>
                </w:rPr>
                <w:br/>
                <w:t xml:space="preserve">Available at: </w:t>
              </w:r>
              <w:r>
                <w:rPr>
                  <w:noProof/>
                  <w:u w:val="single"/>
                  <w:lang w:val="en-US"/>
                </w:rPr>
                <w:t>https://smart.ojp.gov/somapi/chapter-2-etiology-adult-sexual-offending#10g55o6</w:t>
              </w:r>
              <w:r>
                <w:rPr>
                  <w:noProof/>
                  <w:lang w:val="en-US"/>
                </w:rPr>
                <w:br/>
                <w:t>[Accessed 03 January 2022].</w:t>
              </w:r>
            </w:p>
            <w:p w14:paraId="3B86C825" w14:textId="77777777" w:rsidR="00C54F3C" w:rsidRDefault="00C54F3C" w:rsidP="00C54F3C">
              <w:pPr>
                <w:pStyle w:val="Bibliography"/>
                <w:rPr>
                  <w:noProof/>
                  <w:lang w:val="en-US"/>
                </w:rPr>
              </w:pPr>
              <w:r>
                <w:rPr>
                  <w:noProof/>
                  <w:lang w:val="en-US"/>
                </w:rPr>
                <w:t xml:space="preserve">Gartner, R. &amp; McCarthy, B., 2014. In: M. Tonry, ed. </w:t>
              </w:r>
              <w:r>
                <w:rPr>
                  <w:i/>
                  <w:iCs/>
                  <w:noProof/>
                  <w:lang w:val="en-US"/>
                </w:rPr>
                <w:t xml:space="preserve">The oxford handbook of Gender, Sex and Crime. </w:t>
              </w:r>
              <w:r>
                <w:rPr>
                  <w:noProof/>
                  <w:lang w:val="en-US"/>
                </w:rPr>
                <w:t>New York: Oxford University Press, pp. 207- 224.</w:t>
              </w:r>
            </w:p>
            <w:p w14:paraId="3CB8F588" w14:textId="77777777" w:rsidR="00C54F3C" w:rsidRDefault="00C54F3C" w:rsidP="00C54F3C">
              <w:pPr>
                <w:pStyle w:val="Bibliography"/>
                <w:rPr>
                  <w:noProof/>
                  <w:lang w:val="en-US"/>
                </w:rPr>
              </w:pPr>
              <w:r>
                <w:rPr>
                  <w:noProof/>
                  <w:lang w:val="en-US"/>
                </w:rPr>
                <w:t xml:space="preserve">Hanley, J. &amp; McNeil, B., 1982. The meaning and use of the areaunder a receiver operating characteristic (ROC) curve.. </w:t>
              </w:r>
              <w:r>
                <w:rPr>
                  <w:i/>
                  <w:iCs/>
                  <w:noProof/>
                  <w:lang w:val="en-US"/>
                </w:rPr>
                <w:t xml:space="preserve">Radiology, </w:t>
              </w:r>
              <w:r>
                <w:rPr>
                  <w:noProof/>
                  <w:lang w:val="en-US"/>
                </w:rPr>
                <w:t>Volume 143, pp. 29-36.</w:t>
              </w:r>
            </w:p>
            <w:p w14:paraId="1EB034D4" w14:textId="77777777" w:rsidR="00C54F3C" w:rsidRDefault="00C54F3C" w:rsidP="00C54F3C">
              <w:pPr>
                <w:pStyle w:val="Bibliography"/>
                <w:rPr>
                  <w:noProof/>
                  <w:lang w:val="en-US"/>
                </w:rPr>
              </w:pPr>
              <w:r>
                <w:rPr>
                  <w:noProof/>
                  <w:lang w:val="en-US"/>
                </w:rPr>
                <w:t xml:space="preserve">King, K., 2017. </w:t>
              </w:r>
              <w:r>
                <w:rPr>
                  <w:i/>
                  <w:iCs/>
                  <w:noProof/>
                  <w:lang w:val="en-US"/>
                </w:rPr>
                <w:t xml:space="preserve">The history of rape laws: Some might find it hard to believe, but the law is a lot better now. </w:t>
              </w:r>
              <w:r>
                <w:rPr>
                  <w:noProof/>
                  <w:lang w:val="en-US"/>
                </w:rPr>
                <w:t xml:space="preserve">[Online] </w:t>
              </w:r>
              <w:r>
                <w:rPr>
                  <w:noProof/>
                  <w:lang w:val="en-US"/>
                </w:rPr>
                <w:br/>
                <w:t xml:space="preserve">Available at: </w:t>
              </w:r>
              <w:r>
                <w:rPr>
                  <w:noProof/>
                  <w:u w:val="single"/>
                  <w:lang w:val="en-US"/>
                </w:rPr>
                <w:t>https://www.legalcheek.com/lc-journal-posts/the-history-of-rape-laws-some-might-find-it-hard-to-believe-but-the-law-is-a-lot-better-now/</w:t>
              </w:r>
              <w:r>
                <w:rPr>
                  <w:noProof/>
                  <w:lang w:val="en-US"/>
                </w:rPr>
                <w:br/>
                <w:t>[Accessed 12 November 2022].</w:t>
              </w:r>
            </w:p>
            <w:p w14:paraId="68E77B5C" w14:textId="77777777" w:rsidR="00C54F3C" w:rsidRDefault="00C54F3C" w:rsidP="00C54F3C">
              <w:pPr>
                <w:pStyle w:val="Bibliography"/>
                <w:rPr>
                  <w:noProof/>
                  <w:lang w:val="en-US"/>
                </w:rPr>
              </w:pPr>
              <w:r>
                <w:rPr>
                  <w:noProof/>
                  <w:lang w:val="en-US"/>
                </w:rPr>
                <w:t xml:space="preserve">Långström, N. et al., 2015. Sexual offending runs in famillies: A 37 - year nationwide study. </w:t>
              </w:r>
              <w:r>
                <w:rPr>
                  <w:i/>
                  <w:iCs/>
                  <w:noProof/>
                  <w:lang w:val="en-US"/>
                </w:rPr>
                <w:t xml:space="preserve">International Journal of Epidemiology, </w:t>
              </w:r>
              <w:r>
                <w:rPr>
                  <w:noProof/>
                  <w:lang w:val="en-US"/>
                </w:rPr>
                <w:t>44(2), pp. 713-720.</w:t>
              </w:r>
            </w:p>
            <w:p w14:paraId="13746A2B" w14:textId="77777777" w:rsidR="00C54F3C" w:rsidRDefault="00C54F3C" w:rsidP="00C54F3C">
              <w:pPr>
                <w:pStyle w:val="Bibliography"/>
                <w:rPr>
                  <w:noProof/>
                  <w:lang w:val="en-US"/>
                </w:rPr>
              </w:pPr>
              <w:r>
                <w:rPr>
                  <w:noProof/>
                  <w:lang w:val="en-US"/>
                </w:rPr>
                <w:t xml:space="preserve">Marshall, W. &amp; Barbaree, H., 1990. An integrated theory of the etiology of sexual offending. In: D. Marshall &amp; H. Barbaree, eds. </w:t>
              </w:r>
              <w:r>
                <w:rPr>
                  <w:i/>
                  <w:iCs/>
                  <w:noProof/>
                  <w:lang w:val="en-US"/>
                </w:rPr>
                <w:t xml:space="preserve">Handbook of sexual assault: Issues, theories, and treatment of the offender. </w:t>
              </w:r>
              <w:r>
                <w:rPr>
                  <w:noProof/>
                  <w:lang w:val="en-US"/>
                </w:rPr>
                <w:t>New York: Plenum press, pp. 257-275.</w:t>
              </w:r>
            </w:p>
            <w:p w14:paraId="74199CC1" w14:textId="77777777" w:rsidR="00C54F3C" w:rsidRDefault="00C54F3C" w:rsidP="00C54F3C">
              <w:pPr>
                <w:pStyle w:val="Bibliography"/>
                <w:rPr>
                  <w:noProof/>
                  <w:lang w:val="en-US"/>
                </w:rPr>
              </w:pPr>
              <w:r>
                <w:rPr>
                  <w:noProof/>
                  <w:lang w:val="en-US"/>
                </w:rPr>
                <w:t xml:space="preserve">NARSOL, 2018. </w:t>
              </w:r>
              <w:r>
                <w:rPr>
                  <w:i/>
                  <w:iCs/>
                  <w:noProof/>
                  <w:lang w:val="en-US"/>
                </w:rPr>
                <w:t xml:space="preserve">Characteristics of sexual offenders. </w:t>
              </w:r>
              <w:r>
                <w:rPr>
                  <w:noProof/>
                  <w:lang w:val="en-US"/>
                </w:rPr>
                <w:t xml:space="preserve">[Online] </w:t>
              </w:r>
              <w:r>
                <w:rPr>
                  <w:noProof/>
                  <w:lang w:val="en-US"/>
                </w:rPr>
                <w:br/>
                <w:t xml:space="preserve">Available at: </w:t>
              </w:r>
              <w:r>
                <w:rPr>
                  <w:noProof/>
                  <w:u w:val="single"/>
                  <w:lang w:val="en-US"/>
                </w:rPr>
                <w:t>https://narsol.org/2018/09/characteristics-of-sexual-offenders/</w:t>
              </w:r>
              <w:r>
                <w:rPr>
                  <w:noProof/>
                  <w:lang w:val="en-US"/>
                </w:rPr>
                <w:br/>
                <w:t>[Accessed 03 January 2022].</w:t>
              </w:r>
            </w:p>
            <w:p w14:paraId="159F8D9B" w14:textId="77777777" w:rsidR="00C54F3C" w:rsidRDefault="00C54F3C" w:rsidP="00C54F3C">
              <w:pPr>
                <w:pStyle w:val="Bibliography"/>
                <w:rPr>
                  <w:noProof/>
                  <w:lang w:val="en-US"/>
                </w:rPr>
              </w:pPr>
              <w:r>
                <w:rPr>
                  <w:noProof/>
                  <w:lang w:val="en-US"/>
                </w:rPr>
                <w:t xml:space="preserve">Smith, T., 2021. How to spot a sex offender: Criminologist reveals the five common traits they share - and explains why their horrific crimes are often badly misunderstood. </w:t>
              </w:r>
              <w:r>
                <w:rPr>
                  <w:i/>
                  <w:iCs/>
                  <w:noProof/>
                  <w:lang w:val="en-US"/>
                </w:rPr>
                <w:t>Daily Mail Australia</w:t>
              </w:r>
              <w:r>
                <w:rPr>
                  <w:noProof/>
                  <w:lang w:val="en-US"/>
                </w:rPr>
                <w:t>, 1 December, p. 24.</w:t>
              </w:r>
            </w:p>
            <w:p w14:paraId="25081F98" w14:textId="77777777" w:rsidR="00C54F3C" w:rsidRDefault="00C54F3C" w:rsidP="00C54F3C">
              <w:pPr>
                <w:pStyle w:val="Bibliography"/>
                <w:rPr>
                  <w:noProof/>
                  <w:lang w:val="en-US"/>
                </w:rPr>
              </w:pPr>
              <w:r>
                <w:rPr>
                  <w:noProof/>
                  <w:lang w:val="en-US"/>
                </w:rPr>
                <w:t xml:space="preserve">World Health Organization, 2021. </w:t>
              </w:r>
              <w:r>
                <w:rPr>
                  <w:i/>
                  <w:iCs/>
                  <w:noProof/>
                  <w:lang w:val="en-US"/>
                </w:rPr>
                <w:t xml:space="preserve">Violence against women. </w:t>
              </w:r>
              <w:r>
                <w:rPr>
                  <w:noProof/>
                  <w:lang w:val="en-US"/>
                </w:rPr>
                <w:t xml:space="preserve">[Online] </w:t>
              </w:r>
              <w:r>
                <w:rPr>
                  <w:noProof/>
                  <w:lang w:val="en-US"/>
                </w:rPr>
                <w:br/>
                <w:t xml:space="preserve">Available at: </w:t>
              </w:r>
              <w:r>
                <w:rPr>
                  <w:noProof/>
                  <w:u w:val="single"/>
                  <w:lang w:val="en-US"/>
                </w:rPr>
                <w:t>https://www.who.int/news-room/fact-sheets/detail/violence-against-women</w:t>
              </w:r>
              <w:r>
                <w:rPr>
                  <w:noProof/>
                  <w:lang w:val="en-US"/>
                </w:rPr>
                <w:br/>
                <w:t>[Accessed 15 January 2023].</w:t>
              </w:r>
            </w:p>
            <w:p w14:paraId="73F9D897" w14:textId="14AFF210" w:rsidR="00C54F3C" w:rsidRDefault="00C54F3C" w:rsidP="00C54F3C">
              <w:r>
                <w:rPr>
                  <w:b/>
                  <w:bCs/>
                  <w:noProof/>
                </w:rPr>
                <w:fldChar w:fldCharType="end"/>
              </w:r>
            </w:p>
          </w:sdtContent>
        </w:sdt>
      </w:sdtContent>
    </w:sdt>
    <w:p w14:paraId="1F9A6A48" w14:textId="77777777" w:rsidR="00C54F3C" w:rsidRDefault="00C54F3C" w:rsidP="002D5F61">
      <w:pPr>
        <w:rPr>
          <w:rFonts w:cs="Arial"/>
        </w:rPr>
      </w:pPr>
    </w:p>
    <w:p w14:paraId="58C224FB" w14:textId="49DB9CB4" w:rsidR="003516CE" w:rsidRDefault="003516CE" w:rsidP="002D5F61">
      <w:pPr>
        <w:rPr>
          <w:rFonts w:cs="Arial"/>
        </w:rPr>
      </w:pPr>
    </w:p>
    <w:p w14:paraId="0917866D" w14:textId="77777777" w:rsidR="003516CE" w:rsidRPr="00D012E7" w:rsidRDefault="003516CE" w:rsidP="002D5F61">
      <w:pPr>
        <w:rPr>
          <w:rFonts w:cs="Arial"/>
          <w:highlight w:val="yellow"/>
        </w:rPr>
      </w:pPr>
    </w:p>
    <w:p w14:paraId="0BD058A1" w14:textId="77777777" w:rsidR="00DF1529" w:rsidRDefault="00DF1529"/>
    <w:sectPr w:rsidR="00DF15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A19E7" w14:textId="77777777" w:rsidR="00DF1529" w:rsidRDefault="00DF1529" w:rsidP="00DF1529">
      <w:pPr>
        <w:spacing w:after="0" w:line="240" w:lineRule="auto"/>
      </w:pPr>
      <w:r>
        <w:separator/>
      </w:r>
    </w:p>
  </w:endnote>
  <w:endnote w:type="continuationSeparator" w:id="0">
    <w:p w14:paraId="3CCFEEF1" w14:textId="77777777" w:rsidR="00DF1529" w:rsidRDefault="00DF1529" w:rsidP="00DF15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A003F" w14:textId="77777777" w:rsidR="00DF1529" w:rsidRDefault="00DF1529" w:rsidP="00DF1529">
      <w:pPr>
        <w:spacing w:after="0" w:line="240" w:lineRule="auto"/>
      </w:pPr>
      <w:r>
        <w:separator/>
      </w:r>
    </w:p>
  </w:footnote>
  <w:footnote w:type="continuationSeparator" w:id="0">
    <w:p w14:paraId="70AB9D90" w14:textId="77777777" w:rsidR="00DF1529" w:rsidRDefault="00DF1529" w:rsidP="00DF15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54351"/>
    <w:multiLevelType w:val="hybridMultilevel"/>
    <w:tmpl w:val="FFFFFFFF"/>
    <w:lvl w:ilvl="0" w:tplc="A5ECCFC2">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1529"/>
    <w:rsid w:val="00066810"/>
    <w:rsid w:val="00147D4B"/>
    <w:rsid w:val="001619FB"/>
    <w:rsid w:val="00283BEC"/>
    <w:rsid w:val="002D5F61"/>
    <w:rsid w:val="003516CE"/>
    <w:rsid w:val="004709E4"/>
    <w:rsid w:val="004A33BF"/>
    <w:rsid w:val="005E2684"/>
    <w:rsid w:val="00601CDB"/>
    <w:rsid w:val="006F48EC"/>
    <w:rsid w:val="007053E8"/>
    <w:rsid w:val="007E0FC3"/>
    <w:rsid w:val="008745BB"/>
    <w:rsid w:val="00895E7F"/>
    <w:rsid w:val="00922094"/>
    <w:rsid w:val="00974BEB"/>
    <w:rsid w:val="009E2F53"/>
    <w:rsid w:val="00A76400"/>
    <w:rsid w:val="00BA00BF"/>
    <w:rsid w:val="00C42D4E"/>
    <w:rsid w:val="00C54F3C"/>
    <w:rsid w:val="00C710F9"/>
    <w:rsid w:val="00C76CBD"/>
    <w:rsid w:val="00D3224A"/>
    <w:rsid w:val="00DF1529"/>
    <w:rsid w:val="00E141DC"/>
    <w:rsid w:val="00E9452B"/>
    <w:rsid w:val="00EB612B"/>
    <w:rsid w:val="00EE6283"/>
    <w:rsid w:val="00F413DE"/>
    <w:rsid w:val="00F77659"/>
    <w:rsid w:val="00FB3740"/>
    <w:rsid w:val="00FC7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329461"/>
  <w15:docId w15:val="{5409D8E7-F9F0-41F5-9780-178B390F0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4F3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76CBD"/>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C76CBD"/>
    <w:rPr>
      <w:rFonts w:ascii="Arial" w:eastAsia="Times New Roman" w:hAnsi="Arial" w:cs="Times New Roman"/>
      <w:sz w:val="24"/>
      <w:szCs w:val="20"/>
    </w:rPr>
  </w:style>
  <w:style w:type="character" w:customStyle="1" w:styleId="Heading1Char">
    <w:name w:val="Heading 1 Char"/>
    <w:basedOn w:val="DefaultParagraphFont"/>
    <w:link w:val="Heading1"/>
    <w:uiPriority w:val="9"/>
    <w:rsid w:val="00C54F3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54F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040033">
      <w:bodyDiv w:val="1"/>
      <w:marLeft w:val="0"/>
      <w:marRight w:val="0"/>
      <w:marTop w:val="0"/>
      <w:marBottom w:val="0"/>
      <w:divBdr>
        <w:top w:val="none" w:sz="0" w:space="0" w:color="auto"/>
        <w:left w:val="none" w:sz="0" w:space="0" w:color="auto"/>
        <w:bottom w:val="none" w:sz="0" w:space="0" w:color="auto"/>
        <w:right w:val="none" w:sz="0" w:space="0" w:color="auto"/>
      </w:divBdr>
    </w:div>
    <w:div w:id="163515786">
      <w:bodyDiv w:val="1"/>
      <w:marLeft w:val="0"/>
      <w:marRight w:val="0"/>
      <w:marTop w:val="0"/>
      <w:marBottom w:val="0"/>
      <w:divBdr>
        <w:top w:val="none" w:sz="0" w:space="0" w:color="auto"/>
        <w:left w:val="none" w:sz="0" w:space="0" w:color="auto"/>
        <w:bottom w:val="none" w:sz="0" w:space="0" w:color="auto"/>
        <w:right w:val="none" w:sz="0" w:space="0" w:color="auto"/>
      </w:divBdr>
    </w:div>
    <w:div w:id="485245527">
      <w:bodyDiv w:val="1"/>
      <w:marLeft w:val="0"/>
      <w:marRight w:val="0"/>
      <w:marTop w:val="0"/>
      <w:marBottom w:val="0"/>
      <w:divBdr>
        <w:top w:val="none" w:sz="0" w:space="0" w:color="auto"/>
        <w:left w:val="none" w:sz="0" w:space="0" w:color="auto"/>
        <w:bottom w:val="none" w:sz="0" w:space="0" w:color="auto"/>
        <w:right w:val="none" w:sz="0" w:space="0" w:color="auto"/>
      </w:divBdr>
    </w:div>
    <w:div w:id="657656118">
      <w:bodyDiv w:val="1"/>
      <w:marLeft w:val="0"/>
      <w:marRight w:val="0"/>
      <w:marTop w:val="0"/>
      <w:marBottom w:val="0"/>
      <w:divBdr>
        <w:top w:val="none" w:sz="0" w:space="0" w:color="auto"/>
        <w:left w:val="none" w:sz="0" w:space="0" w:color="auto"/>
        <w:bottom w:val="none" w:sz="0" w:space="0" w:color="auto"/>
        <w:right w:val="none" w:sz="0" w:space="0" w:color="auto"/>
      </w:divBdr>
    </w:div>
    <w:div w:id="765611408">
      <w:bodyDiv w:val="1"/>
      <w:marLeft w:val="0"/>
      <w:marRight w:val="0"/>
      <w:marTop w:val="0"/>
      <w:marBottom w:val="0"/>
      <w:divBdr>
        <w:top w:val="none" w:sz="0" w:space="0" w:color="auto"/>
        <w:left w:val="none" w:sz="0" w:space="0" w:color="auto"/>
        <w:bottom w:val="none" w:sz="0" w:space="0" w:color="auto"/>
        <w:right w:val="none" w:sz="0" w:space="0" w:color="auto"/>
      </w:divBdr>
    </w:div>
    <w:div w:id="1103573417">
      <w:bodyDiv w:val="1"/>
      <w:marLeft w:val="0"/>
      <w:marRight w:val="0"/>
      <w:marTop w:val="0"/>
      <w:marBottom w:val="0"/>
      <w:divBdr>
        <w:top w:val="none" w:sz="0" w:space="0" w:color="auto"/>
        <w:left w:val="none" w:sz="0" w:space="0" w:color="auto"/>
        <w:bottom w:val="none" w:sz="0" w:space="0" w:color="auto"/>
        <w:right w:val="none" w:sz="0" w:space="0" w:color="auto"/>
      </w:divBdr>
    </w:div>
    <w:div w:id="1390493678">
      <w:bodyDiv w:val="1"/>
      <w:marLeft w:val="0"/>
      <w:marRight w:val="0"/>
      <w:marTop w:val="0"/>
      <w:marBottom w:val="0"/>
      <w:divBdr>
        <w:top w:val="none" w:sz="0" w:space="0" w:color="auto"/>
        <w:left w:val="none" w:sz="0" w:space="0" w:color="auto"/>
        <w:bottom w:val="none" w:sz="0" w:space="0" w:color="auto"/>
        <w:right w:val="none" w:sz="0" w:space="0" w:color="auto"/>
      </w:divBdr>
    </w:div>
    <w:div w:id="1391881643">
      <w:bodyDiv w:val="1"/>
      <w:marLeft w:val="0"/>
      <w:marRight w:val="0"/>
      <w:marTop w:val="0"/>
      <w:marBottom w:val="0"/>
      <w:divBdr>
        <w:top w:val="none" w:sz="0" w:space="0" w:color="auto"/>
        <w:left w:val="none" w:sz="0" w:space="0" w:color="auto"/>
        <w:bottom w:val="none" w:sz="0" w:space="0" w:color="auto"/>
        <w:right w:val="none" w:sz="0" w:space="0" w:color="auto"/>
      </w:divBdr>
    </w:div>
    <w:div w:id="1408117707">
      <w:bodyDiv w:val="1"/>
      <w:marLeft w:val="0"/>
      <w:marRight w:val="0"/>
      <w:marTop w:val="0"/>
      <w:marBottom w:val="0"/>
      <w:divBdr>
        <w:top w:val="none" w:sz="0" w:space="0" w:color="auto"/>
        <w:left w:val="none" w:sz="0" w:space="0" w:color="auto"/>
        <w:bottom w:val="none" w:sz="0" w:space="0" w:color="auto"/>
        <w:right w:val="none" w:sz="0" w:space="0" w:color="auto"/>
      </w:divBdr>
    </w:div>
    <w:div w:id="1463033887">
      <w:bodyDiv w:val="1"/>
      <w:marLeft w:val="0"/>
      <w:marRight w:val="0"/>
      <w:marTop w:val="0"/>
      <w:marBottom w:val="0"/>
      <w:divBdr>
        <w:top w:val="none" w:sz="0" w:space="0" w:color="auto"/>
        <w:left w:val="none" w:sz="0" w:space="0" w:color="auto"/>
        <w:bottom w:val="none" w:sz="0" w:space="0" w:color="auto"/>
        <w:right w:val="none" w:sz="0" w:space="0" w:color="auto"/>
      </w:divBdr>
    </w:div>
    <w:div w:id="1482501539">
      <w:bodyDiv w:val="1"/>
      <w:marLeft w:val="0"/>
      <w:marRight w:val="0"/>
      <w:marTop w:val="0"/>
      <w:marBottom w:val="0"/>
      <w:divBdr>
        <w:top w:val="none" w:sz="0" w:space="0" w:color="auto"/>
        <w:left w:val="none" w:sz="0" w:space="0" w:color="auto"/>
        <w:bottom w:val="none" w:sz="0" w:space="0" w:color="auto"/>
        <w:right w:val="none" w:sz="0" w:space="0" w:color="auto"/>
      </w:divBdr>
    </w:div>
    <w:div w:id="1748335797">
      <w:bodyDiv w:val="1"/>
      <w:marLeft w:val="0"/>
      <w:marRight w:val="0"/>
      <w:marTop w:val="0"/>
      <w:marBottom w:val="0"/>
      <w:divBdr>
        <w:top w:val="none" w:sz="0" w:space="0" w:color="auto"/>
        <w:left w:val="none" w:sz="0" w:space="0" w:color="auto"/>
        <w:bottom w:val="none" w:sz="0" w:space="0" w:color="auto"/>
        <w:right w:val="none" w:sz="0" w:space="0" w:color="auto"/>
      </w:divBdr>
    </w:div>
    <w:div w:id="1877421887">
      <w:bodyDiv w:val="1"/>
      <w:marLeft w:val="0"/>
      <w:marRight w:val="0"/>
      <w:marTop w:val="0"/>
      <w:marBottom w:val="0"/>
      <w:divBdr>
        <w:top w:val="none" w:sz="0" w:space="0" w:color="auto"/>
        <w:left w:val="none" w:sz="0" w:space="0" w:color="auto"/>
        <w:bottom w:val="none" w:sz="0" w:space="0" w:color="auto"/>
        <w:right w:val="none" w:sz="0" w:space="0" w:color="auto"/>
      </w:divBdr>
    </w:div>
    <w:div w:id="2010255939">
      <w:bodyDiv w:val="1"/>
      <w:marLeft w:val="0"/>
      <w:marRight w:val="0"/>
      <w:marTop w:val="0"/>
      <w:marBottom w:val="0"/>
      <w:divBdr>
        <w:top w:val="none" w:sz="0" w:space="0" w:color="auto"/>
        <w:left w:val="none" w:sz="0" w:space="0" w:color="auto"/>
        <w:bottom w:val="none" w:sz="0" w:space="0" w:color="auto"/>
        <w:right w:val="none" w:sz="0" w:space="0" w:color="auto"/>
      </w:divBdr>
    </w:div>
    <w:div w:id="2010935906">
      <w:bodyDiv w:val="1"/>
      <w:marLeft w:val="0"/>
      <w:marRight w:val="0"/>
      <w:marTop w:val="0"/>
      <w:marBottom w:val="0"/>
      <w:divBdr>
        <w:top w:val="none" w:sz="0" w:space="0" w:color="auto"/>
        <w:left w:val="none" w:sz="0" w:space="0" w:color="auto"/>
        <w:bottom w:val="none" w:sz="0" w:space="0" w:color="auto"/>
        <w:right w:val="none" w:sz="0" w:space="0" w:color="auto"/>
      </w:divBdr>
    </w:div>
    <w:div w:id="2030250766">
      <w:bodyDiv w:val="1"/>
      <w:marLeft w:val="0"/>
      <w:marRight w:val="0"/>
      <w:marTop w:val="0"/>
      <w:marBottom w:val="0"/>
      <w:divBdr>
        <w:top w:val="none" w:sz="0" w:space="0" w:color="auto"/>
        <w:left w:val="none" w:sz="0" w:space="0" w:color="auto"/>
        <w:bottom w:val="none" w:sz="0" w:space="0" w:color="auto"/>
        <w:right w:val="none" w:sz="0" w:space="0" w:color="auto"/>
      </w:divBdr>
    </w:div>
    <w:div w:id="21285015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Sky18</b:Tag>
    <b:SourceType>BookSection</b:SourceType>
    <b:Guid>{E4F42667-9449-4E82-BBD4-FA0252747625}</b:Guid>
    <b:Year>2014</b:Year>
    <b:Author>
      <b:Author>
        <b:NameList>
          <b:Person>
            <b:Last>Gartner</b:Last>
            <b:First>Rosemary</b:First>
          </b:Person>
          <b:Person>
            <b:Last>McCarthy</b:Last>
            <b:First>Bill</b:First>
          </b:Person>
        </b:NameList>
      </b:Author>
      <b:Editor>
        <b:NameList>
          <b:Person>
            <b:Last>Tonry</b:Last>
            <b:First>Michael</b:First>
          </b:Person>
        </b:NameList>
      </b:Editor>
    </b:Author>
    <b:YearAccessed>2022</b:YearAccessed>
    <b:MonthAccessed>November</b:MonthAccessed>
    <b:DayAccessed>11</b:DayAccessed>
    <b:URL>https://www.history.com/news/sexual-assault-rome-slavery-columbus-jim-crow</b:URL>
    <b:City>New York</b:City>
    <b:Publisher>Oxford University Press</b:Publisher>
    <b:BookTitle>The oxford handbook of Gender, Sex and Crime</b:BookTitle>
    <b:Pages>207- 224</b:Pages>
    <b:RefOrder>2</b:RefOrder>
  </b:Source>
  <b:Source>
    <b:Tag>Kin17</b:Tag>
    <b:SourceType>InternetSite</b:SourceType>
    <b:Guid>{D050E76E-C930-430C-8D38-517035484897}</b:Guid>
    <b:Title>The history of rape laws: Some might find it hard to believe, but the law is a lot better now</b:Title>
    <b:Year>2017</b:Year>
    <b:Author>
      <b:Author>
        <b:NameList>
          <b:Person>
            <b:Last>King</b:Last>
            <b:First>Katie</b:First>
          </b:Person>
        </b:NameList>
      </b:Author>
    </b:Author>
    <b:YearAccessed>2022</b:YearAccessed>
    <b:MonthAccessed>November</b:MonthAccessed>
    <b:DayAccessed>12</b:DayAccessed>
    <b:URL>https://www.legalcheek.com/lc-journal-posts/the-history-of-rape-laws-some-might-find-it-hard-to-believe-but-the-law-is-a-lot-better-now/</b:URL>
    <b:RefOrder>3</b:RefOrder>
  </b:Source>
  <b:Source>
    <b:Tag>Ell89</b:Tag>
    <b:SourceType>Book</b:SourceType>
    <b:Guid>{5F6326FD-F994-41C8-8FD0-A4BB23D53C79}</b:Guid>
    <b:Title>Theories of Rape: Inquiries Into the Causes of Sexual Aggression</b:Title>
    <b:Year>1989</b:Year>
    <b:Author>
      <b:Author>
        <b:NameList>
          <b:Person>
            <b:Last>Ellis</b:Last>
            <b:First>L</b:First>
          </b:Person>
        </b:NameList>
      </b:Author>
    </b:Author>
    <b:City>Pennsylvania</b:City>
    <b:Publisher>Office of Justice</b:Publisher>
    <b:RefOrder>4</b:RefOrder>
  </b:Source>
  <b:Source>
    <b:Tag>Smi21</b:Tag>
    <b:SourceType>ArticleInAPeriodical</b:SourceType>
    <b:Guid>{520FD764-CB85-4402-9EE9-A22428805495}</b:Guid>
    <b:Title>How to spot a sex offender: Criminologist reveals the five common traits they share - and explains why their horrific crimes are often badly misunderstood</b:Title>
    <b:Year>2021</b:Year>
    <b:Author>
      <b:Author>
        <b:NameList>
          <b:Person>
            <b:Last>Smith</b:Last>
            <b:First>Tita</b:First>
          </b:Person>
        </b:NameList>
      </b:Author>
    </b:Author>
    <b:PeriodicalTitle>Daily Mail Australia</b:PeriodicalTitle>
    <b:Month>December</b:Month>
    <b:Day>1</b:Day>
    <b:Pages>24</b:Pages>
    <b:RefOrder>6</b:RefOrder>
  </b:Source>
  <b:Source>
    <b:Tag>NAR18</b:Tag>
    <b:SourceType>InternetSite</b:SourceType>
    <b:Guid>{98E6EED8-8797-4112-854B-96DD75C09BC0}</b:Guid>
    <b:Author>
      <b:Author>
        <b:Corporate>NARSOL</b:Corporate>
      </b:Author>
    </b:Author>
    <b:Title>Characteristics of sexual offenders</b:Title>
    <b:Year>2018</b:Year>
    <b:YearAccessed>2022</b:YearAccessed>
    <b:MonthAccessed>January</b:MonthAccessed>
    <b:DayAccessed>03</b:DayAccessed>
    <b:URL>https://narsol.org/2018/09/characteristics-of-sexual-offenders/</b:URL>
    <b:RefOrder>5</b:RefOrder>
  </b:Source>
  <b:Source>
    <b:Tag>Con15</b:Tag>
    <b:SourceType>ArticleInAPeriodical</b:SourceType>
    <b:Guid>{ECC6C92C-741C-4C6D-98CA-F2AA690DED2F}</b:Guid>
    <b:Title>Men up to five times more likely to commit sex crimes than the average male if they have brother or father convicted of a sex offence</b:Title>
    <b:Year>2015</b:Year>
    <b:Author>
      <b:Author>
        <b:NameList>
          <b:Person>
            <b:Last>Connor</b:Last>
            <b:First>Steve</b:First>
          </b:Person>
        </b:NameList>
      </b:Author>
    </b:Author>
    <b:PeriodicalTitle>The Independent</b:PeriodicalTitle>
    <b:Month>April</b:Month>
    <b:Day>9</b:Day>
    <b:Pages>45</b:Pages>
    <b:RefOrder>8</b:RefOrder>
  </b:Source>
  <b:Source>
    <b:Tag>Lån15</b:Tag>
    <b:SourceType>JournalArticle</b:SourceType>
    <b:Guid>{790EC5D8-B089-4718-A872-8726D2A6C999}</b:Guid>
    <b:Title>Sexual offending runs in famillies: A 37 - year nationwide study</b:Title>
    <b:Year>2015</b:Year>
    <b:Pages>713-720</b:Pages>
    <b:Author>
      <b:Author>
        <b:NameList>
          <b:Person>
            <b:Last>Långström</b:Last>
            <b:First>Niklas</b:First>
          </b:Person>
          <b:Person>
            <b:Last>Babchishin</b:Last>
            <b:First>Kelly</b:First>
          </b:Person>
          <b:Person>
            <b:Last>Fazel</b:Last>
            <b:First>Seena</b:First>
          </b:Person>
          <b:Person>
            <b:Last>Lichtenstein</b:Last>
            <b:First>Paul</b:First>
          </b:Person>
          <b:Person>
            <b:Last>Frisell</b:Last>
            <b:First>Thomas</b:First>
          </b:Person>
        </b:NameList>
      </b:Author>
    </b:Author>
    <b:JournalName>International Journal of Epidemiology</b:JournalName>
    <b:Volume>44</b:Volume>
    <b:Issue>2</b:Issue>
    <b:RefOrder>7</b:RefOrder>
  </b:Source>
  <b:Source>
    <b:Tag>Beh18</b:Tag>
    <b:SourceType>BookSection</b:SourceType>
    <b:Guid>{3AB18612-51DB-43F5-AE4F-5607C6F7725C}</b:Guid>
    <b:Author>
      <b:Author>
        <b:NameList>
          <b:Person>
            <b:Last>Behanan</b:Last>
            <b:First>Steffi</b:First>
          </b:Person>
          <b:Person>
            <b:Last>Bhadkamkar</b:Last>
            <b:First>Manik</b:First>
          </b:Person>
        </b:NameList>
      </b:Author>
      <b:Editor>
        <b:NameList>
          <b:Person>
            <b:Last>Goplan</b:Last>
            <b:First>Rejani</b:First>
          </b:Person>
        </b:NameList>
      </b:Editor>
    </b:Author>
    <b:Title>Social, Psychological, and Forensic Perspectives on Sexual Abuse</b:Title>
    <b:Year>2018</b:Year>
    <b:Pages>45-53</b:Pages>
    <b:City>Hershey</b:City>
    <b:Publisher>IGI Global</b:Publisher>
    <b:BookTitle>Causes of Sexual Abuse: Psycho-Social Factors of Sexual Offence and Psychological Theories of Sexual Abuse</b:BookTitle>
    <b:RefOrder>11</b:RefOrder>
  </b:Source>
  <b:Source>
    <b:Tag>Fau10</b:Tag>
    <b:SourceType>InternetSite</b:SourceType>
    <b:Guid>{66E98A64-B14F-4774-987D-03FCC35AD85A}</b:Guid>
    <b:Title>Chapter 2: Etiology of Adult Sexual Offending</b:Title>
    <b:Year>2010</b:Year>
    <b:Author>
      <b:Author>
        <b:NameList>
          <b:Person>
            <b:Last>Faupel</b:Last>
            <b:First>Susan</b:First>
          </b:Person>
          <b:Person>
            <b:Last>Prybylski</b:Last>
            <b:First>Roger</b:First>
          </b:Person>
        </b:NameList>
      </b:Author>
    </b:Author>
    <b:YearAccessed>2022</b:YearAccessed>
    <b:MonthAccessed>January</b:MonthAccessed>
    <b:DayAccessed>03</b:DayAccessed>
    <b:URL>https://smart.ojp.gov/somapi/chapter-2-etiology-adult-sexual-offending#10g55o6</b:URL>
    <b:RefOrder>9</b:RefOrder>
  </b:Source>
  <b:Source>
    <b:Tag>Mar90</b:Tag>
    <b:SourceType>BookSection</b:SourceType>
    <b:Guid>{472FAFCB-AEB2-44E9-9822-9442F0CDAAE0}</b:Guid>
    <b:Title>An integrated theory of the etiology of sexual offending</b:Title>
    <b:Year>1990</b:Year>
    <b:Author>
      <b:Author>
        <b:NameList>
          <b:Person>
            <b:Last>Marshall</b:Last>
            <b:First>W</b:First>
          </b:Person>
          <b:Person>
            <b:Last>Barbaree</b:Last>
            <b:First>H</b:First>
          </b:Person>
        </b:NameList>
      </b:Author>
      <b:Editor>
        <b:NameList>
          <b:Person>
            <b:Last>Marshall</b:Last>
            <b:First>D</b:First>
          </b:Person>
          <b:Person>
            <b:Last>Barbaree</b:Last>
            <b:First>H</b:First>
          </b:Person>
        </b:NameList>
      </b:Editor>
    </b:Author>
    <b:City>New York</b:City>
    <b:Publisher>Plenum press</b:Publisher>
    <b:BookTitle>Handbook of sexual assault: Issues, theories, and treatment of the offender</b:BookTitle>
    <b:Pages>257-275</b:Pages>
    <b:RefOrder>10</b:RefOrder>
  </b:Source>
  <b:Source>
    <b:Tag>Bee03</b:Tag>
    <b:SourceType>JournalArticle</b:SourceType>
    <b:Guid>{871668F5-B030-4498-8556-4222BAB5A62D}</b:Guid>
    <b:Title>Risk assessment of sex offenders</b:Title>
    <b:BookTitle>Professional Psychology: Research and practice</b:BookTitle>
    <b:Year>2003</b:Year>
    <b:Pages>339-352</b:Pages>
    <b:Author>
      <b:Author>
        <b:NameList>
          <b:Person>
            <b:Last>Beech</b:Last>
            <b:First>Anthony</b:First>
          </b:Person>
          <b:Person>
            <b:Last>Fisher</b:Last>
            <b:First>Dawn</b:First>
          </b:Person>
          <b:Person>
            <b:Last>Thornton</b:Last>
            <b:First>David</b:First>
          </b:Person>
        </b:NameList>
      </b:Author>
    </b:Author>
    <b:JournalName>Professional Psychology: Research and practice</b:JournalName>
    <b:Volume>34</b:Volume>
    <b:Issue>4</b:Issue>
    <b:RefOrder>12</b:RefOrder>
  </b:Source>
  <b:Source>
    <b:Tag>Bon96</b:Tag>
    <b:SourceType>BookSection</b:SourceType>
    <b:Guid>{F4FB942C-07FD-47AC-8555-9CEE09103B2E}</b:Guid>
    <b:Title>Risk-needs assessment and treatment.</b:Title>
    <b:Year>1996</b:Year>
    <b:Pages>18-32</b:Pages>
    <b:Author>
      <b:Author>
        <b:NameList>
          <b:Person>
            <b:Last>Bonta</b:Last>
            <b:First>J:</b:First>
          </b:Person>
        </b:NameList>
      </b:Author>
      <b:Editor>
        <b:NameList>
          <b:Person>
            <b:Last>Harland</b:Last>
            <b:First>T</b:First>
          </b:Person>
        </b:NameList>
      </b:Editor>
    </b:Author>
    <b:City>California</b:City>
    <b:Publisher>Sage</b:Publisher>
    <b:BookTitle>Choosing correctional options that work</b:BookTitle>
    <b:RefOrder>13</b:RefOrder>
  </b:Source>
  <b:Source>
    <b:Tag>Han82</b:Tag>
    <b:SourceType>JournalArticle</b:SourceType>
    <b:Guid>{5F604558-B06E-4699-9CC0-1544BBB6DCAA}</b:Guid>
    <b:Title>The meaning and use of the areaunder a receiver operating characteristic (ROC) curve.</b:Title>
    <b:Year>1982</b:Year>
    <b:Pages>29-36</b:Pages>
    <b:Author>
      <b:Author>
        <b:NameList>
          <b:Person>
            <b:Last>Hanley</b:Last>
            <b:First>J</b:First>
          </b:Person>
          <b:Person>
            <b:Last>McNeil</b:Last>
            <b:First>B</b:First>
          </b:Person>
        </b:NameList>
      </b:Author>
    </b:Author>
    <b:JournalName>Radiology</b:JournalName>
    <b:Volume>143</b:Volume>
    <b:RefOrder>14</b:RefOrder>
  </b:Source>
  <b:Source>
    <b:Tag>Wor21</b:Tag>
    <b:SourceType>InternetSite</b:SourceType>
    <b:Guid>{6499DFB8-3C94-4FCF-92A7-A4A8F7B58E1E}</b:Guid>
    <b:Title>Violence against women</b:Title>
    <b:Year>2021</b:Year>
    <b:Author>
      <b:Author>
        <b:Corporate>World Health Organization</b:Corporate>
      </b:Author>
    </b:Author>
    <b:YearAccessed>2023</b:YearAccessed>
    <b:MonthAccessed>January</b:MonthAccessed>
    <b:DayAccessed>15</b:DayAccessed>
    <b:URL>https://www.who.int/news-room/fact-sheets/detail/violence-against-women</b:URL>
    <b:RefOrder>1</b:RefOrder>
  </b:Source>
</b:Sources>
</file>

<file path=customXml/itemProps1.xml><?xml version="1.0" encoding="utf-8"?>
<ds:datastoreItem xmlns:ds="http://schemas.openxmlformats.org/officeDocument/2006/customXml" ds:itemID="{D781BCF4-6FA1-4852-8E75-55D654C04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7</Pages>
  <Words>3022</Words>
  <Characters>17229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Bonazzi,Giada swp6787</dc:creator>
  <cp:keywords/>
  <dc:description/>
  <cp:lastModifiedBy>Bonazzi,Giada swp6787</cp:lastModifiedBy>
  <cp:revision>13</cp:revision>
  <dcterms:created xsi:type="dcterms:W3CDTF">2023-01-24T12:06:00Z</dcterms:created>
  <dcterms:modified xsi:type="dcterms:W3CDTF">2023-02-02T21:41:00Z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2023-01-24T12:06:59Z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51b05837-737d-4df1-a3dc-b7d91124559d</vt:lpwstr>
  </property>
  <property fmtid="{D5CDD505-2E9C-101B-9397-08002B2CF9AE}" pid="8" name="MSIP_Label_66cf8fe5-b7b7-4df7-b38d-1c61ac2f6639_ContentBits">
    <vt:lpwstr>0</vt:lpwstr>
  </property>
</Properties>
</file>