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F9013" w14:textId="77777777" w:rsidR="00B64858" w:rsidRDefault="00B64858"/>
    <w:p w14:paraId="3B2F9014" w14:textId="31958A04" w:rsidR="00B64858" w:rsidRDefault="00B64858"/>
    <w:p w14:paraId="3B2F9015" w14:textId="50DC7958" w:rsidR="00B64858" w:rsidRDefault="00865DA7">
      <w:r>
        <w:rPr>
          <w:noProof/>
        </w:rPr>
        <w:drawing>
          <wp:anchor distT="0" distB="0" distL="114300" distR="114300" simplePos="0" relativeHeight="251658240" behindDoc="0" locked="0" layoutInCell="1" hidden="0" allowOverlap="1" wp14:anchorId="3B2F9061" wp14:editId="34EFB201">
            <wp:simplePos x="0" y="0"/>
            <wp:positionH relativeFrom="column">
              <wp:posOffset>114300</wp:posOffset>
            </wp:positionH>
            <wp:positionV relativeFrom="paragraph">
              <wp:posOffset>35560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3B2F9016" w14:textId="77777777" w:rsidR="00B64858" w:rsidRDefault="00B64858"/>
    <w:p w14:paraId="3B2F9017" w14:textId="77777777" w:rsidR="00B64858" w:rsidRDefault="00B64858"/>
    <w:p w14:paraId="3B2F9018" w14:textId="77777777" w:rsidR="00B64858" w:rsidRDefault="00B64858">
      <w:pPr>
        <w:rPr>
          <w:sz w:val="28"/>
          <w:szCs w:val="28"/>
        </w:rPr>
      </w:pPr>
    </w:p>
    <w:p w14:paraId="3B2F9019" w14:textId="7E32F9A8" w:rsidR="00B64858" w:rsidRDefault="00103E2C" w:rsidP="00103E2C">
      <w:pPr>
        <w:rPr>
          <w:sz w:val="32"/>
          <w:szCs w:val="32"/>
        </w:rPr>
      </w:pPr>
      <w:r>
        <w:rPr>
          <w:b/>
          <w:bCs/>
          <w:sz w:val="32"/>
          <w:szCs w:val="32"/>
        </w:rPr>
        <w:t xml:space="preserve">    </w:t>
      </w:r>
      <w:r w:rsidR="002B60B1">
        <w:rPr>
          <w:b/>
          <w:bCs/>
          <w:sz w:val="32"/>
          <w:szCs w:val="32"/>
        </w:rPr>
        <w:t>Student name</w:t>
      </w:r>
      <w:r w:rsidR="002B60B1">
        <w:rPr>
          <w:sz w:val="32"/>
          <w:szCs w:val="32"/>
        </w:rPr>
        <w:t>:</w:t>
      </w:r>
      <w:r w:rsidR="007C5B0D">
        <w:rPr>
          <w:sz w:val="32"/>
          <w:szCs w:val="32"/>
        </w:rPr>
        <w:t xml:space="preserve"> </w:t>
      </w:r>
      <w:proofErr w:type="spellStart"/>
      <w:r w:rsidR="007C5B0D">
        <w:rPr>
          <w:sz w:val="32"/>
          <w:szCs w:val="32"/>
        </w:rPr>
        <w:t>Lucica</w:t>
      </w:r>
      <w:proofErr w:type="spellEnd"/>
      <w:r w:rsidR="007C5B0D">
        <w:rPr>
          <w:sz w:val="32"/>
          <w:szCs w:val="32"/>
        </w:rPr>
        <w:t xml:space="preserve"> Oprescu</w:t>
      </w:r>
    </w:p>
    <w:p w14:paraId="3B2F901A" w14:textId="0C34C40F" w:rsidR="00B64858" w:rsidRDefault="00103E2C" w:rsidP="00103E2C">
      <w:pPr>
        <w:rPr>
          <w:sz w:val="32"/>
          <w:szCs w:val="32"/>
        </w:rPr>
      </w:pPr>
      <w:r>
        <w:rPr>
          <w:b/>
          <w:bCs/>
          <w:sz w:val="32"/>
          <w:szCs w:val="32"/>
        </w:rPr>
        <w:t xml:space="preserve">    </w:t>
      </w:r>
      <w:r w:rsidR="002B60B1">
        <w:rPr>
          <w:b/>
          <w:bCs/>
          <w:sz w:val="32"/>
          <w:szCs w:val="32"/>
        </w:rPr>
        <w:t>Student ID</w:t>
      </w:r>
      <w:r w:rsidR="002B60B1">
        <w:rPr>
          <w:sz w:val="32"/>
          <w:szCs w:val="32"/>
        </w:rPr>
        <w:t>:</w:t>
      </w:r>
      <w:r w:rsidR="00E46080">
        <w:rPr>
          <w:sz w:val="32"/>
          <w:szCs w:val="32"/>
        </w:rPr>
        <w:t xml:space="preserve"> </w:t>
      </w:r>
      <w:r w:rsidR="007C5B0D">
        <w:rPr>
          <w:sz w:val="32"/>
          <w:szCs w:val="32"/>
        </w:rPr>
        <w:t>2417337</w:t>
      </w:r>
    </w:p>
    <w:p w14:paraId="3B2F901B" w14:textId="77777777" w:rsidR="00B64858" w:rsidRDefault="00B64858">
      <w:pPr>
        <w:jc w:val="center"/>
        <w:rPr>
          <w:sz w:val="32"/>
          <w:szCs w:val="32"/>
        </w:rPr>
      </w:pPr>
    </w:p>
    <w:p w14:paraId="3B2F901C" w14:textId="6CBDA57F" w:rsidR="00B64858" w:rsidRDefault="002B60B1">
      <w:pPr>
        <w:jc w:val="center"/>
        <w:rPr>
          <w:sz w:val="32"/>
          <w:szCs w:val="32"/>
        </w:rPr>
      </w:pPr>
      <w:r>
        <w:rPr>
          <w:b/>
          <w:bCs/>
          <w:sz w:val="32"/>
          <w:szCs w:val="32"/>
        </w:rPr>
        <w:t>Module name</w:t>
      </w:r>
      <w:r>
        <w:rPr>
          <w:sz w:val="32"/>
          <w:szCs w:val="32"/>
        </w:rPr>
        <w:t>: Protecting and Supporting Families in Health and</w:t>
      </w:r>
      <w:r w:rsidR="00103E2C">
        <w:rPr>
          <w:sz w:val="32"/>
          <w:szCs w:val="32"/>
        </w:rPr>
        <w:t xml:space="preserve"> </w:t>
      </w:r>
      <w:r>
        <w:rPr>
          <w:sz w:val="32"/>
          <w:szCs w:val="32"/>
        </w:rPr>
        <w:t>Care</w:t>
      </w:r>
    </w:p>
    <w:p w14:paraId="3B2F901D" w14:textId="41D7B309" w:rsidR="00B64858" w:rsidRDefault="00103E2C" w:rsidP="00103E2C">
      <w:pPr>
        <w:rPr>
          <w:sz w:val="32"/>
          <w:szCs w:val="32"/>
        </w:rPr>
      </w:pPr>
      <w:r>
        <w:rPr>
          <w:b/>
          <w:bCs/>
          <w:sz w:val="32"/>
          <w:szCs w:val="32"/>
        </w:rPr>
        <w:t xml:space="preserve">    </w:t>
      </w:r>
      <w:r w:rsidR="002B60B1">
        <w:rPr>
          <w:b/>
          <w:bCs/>
          <w:sz w:val="32"/>
          <w:szCs w:val="32"/>
        </w:rPr>
        <w:t>Module code</w:t>
      </w:r>
      <w:r w:rsidR="002B60B1">
        <w:rPr>
          <w:sz w:val="32"/>
          <w:szCs w:val="32"/>
        </w:rPr>
        <w:t>: BMHP5021</w:t>
      </w:r>
    </w:p>
    <w:p w14:paraId="3B2F901F" w14:textId="7D5C6270" w:rsidR="00B64858" w:rsidRPr="00103E2C" w:rsidRDefault="00103E2C" w:rsidP="00103E2C">
      <w:pPr>
        <w:rPr>
          <w:sz w:val="32"/>
          <w:szCs w:val="32"/>
        </w:rPr>
      </w:pPr>
      <w:r>
        <w:rPr>
          <w:b/>
          <w:bCs/>
          <w:sz w:val="32"/>
          <w:szCs w:val="32"/>
        </w:rPr>
        <w:t xml:space="preserve">    </w:t>
      </w:r>
      <w:r w:rsidR="002B60B1">
        <w:rPr>
          <w:b/>
          <w:bCs/>
          <w:sz w:val="32"/>
          <w:szCs w:val="32"/>
        </w:rPr>
        <w:t>Lecturer name</w:t>
      </w:r>
      <w:r w:rsidR="002B60B1">
        <w:rPr>
          <w:sz w:val="32"/>
          <w:szCs w:val="32"/>
        </w:rPr>
        <w:t>:</w:t>
      </w:r>
      <w:r w:rsidR="007C5B0D">
        <w:rPr>
          <w:sz w:val="32"/>
          <w:szCs w:val="32"/>
        </w:rPr>
        <w:t xml:space="preserve"> </w:t>
      </w:r>
      <w:r w:rsidR="000239D9">
        <w:rPr>
          <w:sz w:val="32"/>
          <w:szCs w:val="32"/>
        </w:rPr>
        <w:t>Shaila Hussain</w:t>
      </w:r>
    </w:p>
    <w:p w14:paraId="3B2F9020" w14:textId="77777777" w:rsidR="00B64858" w:rsidRDefault="002B60B1">
      <w:pPr>
        <w:jc w:val="center"/>
        <w:rPr>
          <w:b/>
          <w:bCs/>
          <w:sz w:val="32"/>
          <w:szCs w:val="32"/>
        </w:rPr>
      </w:pPr>
      <w:r>
        <w:rPr>
          <w:b/>
          <w:bCs/>
          <w:sz w:val="32"/>
          <w:szCs w:val="32"/>
        </w:rPr>
        <w:t xml:space="preserve">Assessment (REPORT): </w:t>
      </w:r>
      <w:r>
        <w:rPr>
          <w:sz w:val="32"/>
          <w:szCs w:val="32"/>
        </w:rPr>
        <w:t>An examination and analysis of how the ‘Early Help’ system is signposted to UK families by their local authority website.</w:t>
      </w:r>
    </w:p>
    <w:p w14:paraId="3B2F9021" w14:textId="77777777" w:rsidR="00B64858" w:rsidRDefault="00B64858">
      <w:pPr>
        <w:rPr>
          <w:sz w:val="28"/>
          <w:szCs w:val="28"/>
        </w:rPr>
      </w:pPr>
    </w:p>
    <w:p w14:paraId="3B2F9022" w14:textId="77777777" w:rsidR="00B64858" w:rsidRDefault="002B60B1">
      <w:pPr>
        <w:rPr>
          <w:sz w:val="28"/>
          <w:szCs w:val="28"/>
        </w:rPr>
      </w:pPr>
      <w:r>
        <w:br w:type="page"/>
      </w:r>
    </w:p>
    <w:p w14:paraId="3B2F9023" w14:textId="77777777" w:rsidR="00B64858" w:rsidRDefault="002B60B1">
      <w:pPr>
        <w:jc w:val="center"/>
        <w:rPr>
          <w:b/>
          <w:bCs/>
        </w:rPr>
      </w:pPr>
      <w:r>
        <w:rPr>
          <w:b/>
          <w:bCs/>
        </w:rPr>
        <w:lastRenderedPageBreak/>
        <w:t>Table of Contents</w:t>
      </w:r>
    </w:p>
    <w:sdt>
      <w:sdtPr>
        <w:id w:val="-1842081401"/>
        <w:docPartObj>
          <w:docPartGallery w:val="Table of Contents"/>
          <w:docPartUnique/>
        </w:docPartObj>
      </w:sdtPr>
      <w:sdtEndPr/>
      <w:sdtContent>
        <w:p w14:paraId="3B2F9024" w14:textId="77777777" w:rsidR="00B64858" w:rsidRDefault="002B60B1">
          <w:pPr>
            <w:widowControl w:val="0"/>
            <w:tabs>
              <w:tab w:val="right" w:leader="dot" w:pos="12000"/>
            </w:tabs>
            <w:rPr>
              <w:color w:val="000000"/>
            </w:rPr>
          </w:pPr>
          <w:r>
            <w:fldChar w:fldCharType="begin"/>
          </w:r>
          <w:r>
            <w:instrText xml:space="preserve"> TOC \h \u \z \t "Heading 1,1,Heading 2,2,Heading 3,3,Heading 4,4,Heading 5,5,Heading 6,6,"</w:instrText>
          </w:r>
          <w:r>
            <w:fldChar w:fldCharType="separate"/>
          </w:r>
          <w:hyperlink w:anchor="_heading=">
            <w:r>
              <w:rPr>
                <w:color w:val="000000"/>
              </w:rPr>
              <w:t>1. Introduction</w:t>
            </w:r>
            <w:r>
              <w:rPr>
                <w:color w:val="000000"/>
              </w:rPr>
              <w:tab/>
              <w:t>3</w:t>
            </w:r>
          </w:hyperlink>
        </w:p>
        <w:p w14:paraId="3B2F9025" w14:textId="77777777" w:rsidR="00B64858" w:rsidRDefault="002B60B1">
          <w:pPr>
            <w:widowControl w:val="0"/>
            <w:tabs>
              <w:tab w:val="right" w:leader="dot" w:pos="12000"/>
            </w:tabs>
            <w:rPr>
              <w:color w:val="000000"/>
            </w:rPr>
          </w:pPr>
          <w:hyperlink w:anchor="_heading=">
            <w:r>
              <w:rPr>
                <w:color w:val="000000"/>
              </w:rPr>
              <w:t>2. Main body</w:t>
            </w:r>
            <w:r>
              <w:rPr>
                <w:color w:val="000000"/>
              </w:rPr>
              <w:tab/>
              <w:t>4</w:t>
            </w:r>
          </w:hyperlink>
        </w:p>
        <w:p w14:paraId="3B2F9026" w14:textId="77777777" w:rsidR="00B64858" w:rsidRDefault="002B60B1">
          <w:pPr>
            <w:widowControl w:val="0"/>
            <w:tabs>
              <w:tab w:val="right" w:leader="dot" w:pos="12000"/>
            </w:tabs>
            <w:ind w:left="360"/>
            <w:rPr>
              <w:color w:val="000000"/>
            </w:rPr>
          </w:pPr>
          <w:hyperlink w:anchor="_heading=h.jnpqcxlqqc">
            <w:r>
              <w:rPr>
                <w:color w:val="000000"/>
              </w:rPr>
              <w:t>Explanation of the Early Help System</w:t>
            </w:r>
            <w:r>
              <w:rPr>
                <w:color w:val="000000"/>
              </w:rPr>
              <w:tab/>
              <w:t>4</w:t>
            </w:r>
          </w:hyperlink>
        </w:p>
        <w:p w14:paraId="3B2F9027" w14:textId="77777777" w:rsidR="00B64858" w:rsidRDefault="002B60B1">
          <w:pPr>
            <w:widowControl w:val="0"/>
            <w:tabs>
              <w:tab w:val="right" w:leader="dot" w:pos="12000"/>
            </w:tabs>
            <w:ind w:left="360"/>
            <w:rPr>
              <w:color w:val="000000"/>
            </w:rPr>
          </w:pPr>
          <w:hyperlink w:anchor="_heading=h.eph6hz5x8sdc">
            <w:r>
              <w:rPr>
                <w:color w:val="000000"/>
              </w:rPr>
              <w:t>Explanation of multi-agency working</w:t>
            </w:r>
            <w:r>
              <w:rPr>
                <w:color w:val="000000"/>
              </w:rPr>
              <w:tab/>
              <w:t>5</w:t>
            </w:r>
          </w:hyperlink>
        </w:p>
        <w:p w14:paraId="3B2F9028" w14:textId="77777777" w:rsidR="00B64858" w:rsidRDefault="002B60B1">
          <w:pPr>
            <w:widowControl w:val="0"/>
            <w:tabs>
              <w:tab w:val="right" w:leader="dot" w:pos="12000"/>
            </w:tabs>
            <w:ind w:left="360"/>
            <w:rPr>
              <w:color w:val="000000"/>
            </w:rPr>
          </w:pPr>
          <w:hyperlink w:anchor="_heading=h.qyoq4vucijjn">
            <w:r>
              <w:rPr>
                <w:color w:val="000000"/>
              </w:rPr>
              <w:t>An evaluation of each of your three local authority websites.</w:t>
            </w:r>
            <w:r>
              <w:rPr>
                <w:color w:val="000000"/>
              </w:rPr>
              <w:tab/>
              <w:t>6</w:t>
            </w:r>
          </w:hyperlink>
        </w:p>
        <w:p w14:paraId="3B2F9029" w14:textId="77777777" w:rsidR="00B64858" w:rsidRDefault="002B60B1">
          <w:pPr>
            <w:widowControl w:val="0"/>
            <w:tabs>
              <w:tab w:val="right" w:leader="dot" w:pos="12000"/>
            </w:tabs>
            <w:ind w:left="360"/>
            <w:rPr>
              <w:color w:val="000000"/>
            </w:rPr>
          </w:pPr>
          <w:hyperlink w:anchor="_heading=h.1m3kvfuh8l4c">
            <w:r>
              <w:rPr>
                <w:color w:val="000000"/>
              </w:rPr>
              <w:t>A comparative analysis of the main strengths and weaknesses of how the local authority websites communicate the Early Help and other support services available to families.</w:t>
            </w:r>
            <w:r>
              <w:rPr>
                <w:color w:val="000000"/>
              </w:rPr>
              <w:tab/>
              <w:t>7</w:t>
            </w:r>
          </w:hyperlink>
        </w:p>
        <w:p w14:paraId="3B2F902A" w14:textId="77777777" w:rsidR="00B64858" w:rsidRDefault="002B60B1">
          <w:pPr>
            <w:widowControl w:val="0"/>
            <w:tabs>
              <w:tab w:val="right" w:leader="dot" w:pos="12000"/>
            </w:tabs>
            <w:rPr>
              <w:color w:val="000000"/>
            </w:rPr>
          </w:pPr>
          <w:hyperlink w:anchor="_heading=">
            <w:r>
              <w:rPr>
                <w:color w:val="000000"/>
              </w:rPr>
              <w:t>3. Conclusion</w:t>
            </w:r>
            <w:r>
              <w:rPr>
                <w:color w:val="000000"/>
              </w:rPr>
              <w:tab/>
              <w:t>9</w:t>
            </w:r>
          </w:hyperlink>
        </w:p>
        <w:p w14:paraId="3B2F902B" w14:textId="77777777" w:rsidR="00B64858" w:rsidRDefault="002B60B1">
          <w:pPr>
            <w:widowControl w:val="0"/>
            <w:tabs>
              <w:tab w:val="right" w:leader="dot" w:pos="12000"/>
            </w:tabs>
            <w:rPr>
              <w:color w:val="000000"/>
            </w:rPr>
          </w:pPr>
          <w:hyperlink w:anchor="_heading=">
            <w:r>
              <w:rPr>
                <w:color w:val="000000"/>
              </w:rPr>
              <w:t>4. Recommendations</w:t>
            </w:r>
            <w:r>
              <w:rPr>
                <w:color w:val="000000"/>
              </w:rPr>
              <w:tab/>
              <w:t>10</w:t>
            </w:r>
          </w:hyperlink>
        </w:p>
        <w:p w14:paraId="3B2F902C" w14:textId="77777777" w:rsidR="00B64858" w:rsidRDefault="002B60B1">
          <w:pPr>
            <w:widowControl w:val="0"/>
            <w:tabs>
              <w:tab w:val="right" w:leader="dot" w:pos="12000"/>
            </w:tabs>
            <w:rPr>
              <w:color w:val="000000"/>
            </w:rPr>
          </w:pPr>
          <w:hyperlink w:anchor="_heading=">
            <w:r>
              <w:rPr>
                <w:color w:val="000000"/>
              </w:rPr>
              <w:t>References</w:t>
            </w:r>
            <w:r>
              <w:rPr>
                <w:color w:val="000000"/>
              </w:rPr>
              <w:tab/>
              <w:t>11</w:t>
            </w:r>
          </w:hyperlink>
          <w:r>
            <w:fldChar w:fldCharType="end"/>
          </w:r>
        </w:p>
      </w:sdtContent>
    </w:sdt>
    <w:p w14:paraId="3B2F902D" w14:textId="77777777" w:rsidR="00B64858" w:rsidRDefault="002B60B1">
      <w:pPr>
        <w:jc w:val="center"/>
      </w:pPr>
      <w:r>
        <w:br w:type="page"/>
      </w:r>
    </w:p>
    <w:p w14:paraId="3B2F902E" w14:textId="77777777" w:rsidR="00B64858" w:rsidRDefault="002B60B1">
      <w:pPr>
        <w:pStyle w:val="Heading1"/>
      </w:pPr>
      <w:r>
        <w:lastRenderedPageBreak/>
        <w:t xml:space="preserve">1. Introduction </w:t>
      </w:r>
    </w:p>
    <w:p w14:paraId="3B2F902F" w14:textId="77777777" w:rsidR="00B64858" w:rsidRDefault="002B60B1">
      <w:r>
        <w:t>Early Help is a fundamental part of the safeguarding process in England, and it is one of the five main priority areas for which service providers receive a central allocation grant. The purpose of Early Help is to help to identify children and families' needs and respond to them as early as possible in case the concerns develop into a major problem that requires statutory intervention. Families are often accessing local authority websites as their first point of contact for support, so the way Early Help s</w:t>
      </w:r>
      <w:r>
        <w:t xml:space="preserve">ervices are communicated may have a huge impact on access and early take-up. This report shares its findings about how the three Councils, Norfolk County Council, Leeds City Council and Nottinghamshire County Council </w:t>
      </w:r>
      <w:proofErr w:type="gramStart"/>
      <w:r>
        <w:t>signpost</w:t>
      </w:r>
      <w:proofErr w:type="gramEnd"/>
      <w:r>
        <w:t xml:space="preserve"> Early Help and other family support on their websites. It covers the principles of the Early Help system and the working of multi-agencies and then critically assesses and contrasts the effectiveness of the individual websites at communicating the services available. </w:t>
      </w:r>
    </w:p>
    <w:p w14:paraId="3B2F9030" w14:textId="77777777" w:rsidR="00B64858" w:rsidRDefault="00B64858"/>
    <w:p w14:paraId="3B2F9031" w14:textId="77777777" w:rsidR="00B64858" w:rsidRDefault="00B64858">
      <w:pPr>
        <w:rPr>
          <w:color w:val="8EAADB"/>
        </w:rPr>
      </w:pPr>
    </w:p>
    <w:p w14:paraId="3B2F9032" w14:textId="77777777" w:rsidR="00B64858" w:rsidRDefault="00B64858">
      <w:pPr>
        <w:rPr>
          <w:color w:val="8EAADB"/>
        </w:rPr>
      </w:pPr>
    </w:p>
    <w:p w14:paraId="3B2F9033" w14:textId="77777777" w:rsidR="00B64858" w:rsidRDefault="002B60B1">
      <w:pPr>
        <w:pStyle w:val="Heading1"/>
      </w:pPr>
      <w:r>
        <w:br w:type="page"/>
      </w:r>
    </w:p>
    <w:p w14:paraId="3B2F9034" w14:textId="77777777" w:rsidR="00B64858" w:rsidRDefault="002B60B1">
      <w:pPr>
        <w:pStyle w:val="Heading1"/>
      </w:pPr>
      <w:r>
        <w:lastRenderedPageBreak/>
        <w:t>2. Main body</w:t>
      </w:r>
    </w:p>
    <w:p w14:paraId="3B2F9035" w14:textId="77777777" w:rsidR="00B64858" w:rsidRDefault="002B60B1">
      <w:pPr>
        <w:pStyle w:val="Heading2"/>
      </w:pPr>
      <w:bookmarkStart w:id="0" w:name="_heading=h.jnpqcxlqqc" w:colFirst="0" w:colLast="0"/>
      <w:bookmarkEnd w:id="0"/>
      <w:r>
        <w:t xml:space="preserve">Explanation of the Early Help System </w:t>
      </w:r>
    </w:p>
    <w:p w14:paraId="3B2F9036" w14:textId="77777777" w:rsidR="00B64858" w:rsidRDefault="002B60B1">
      <w:r>
        <w:t>The Early Help System is a collaborative and multi-agency process of identifying and addressing the needs of children, young people and families as soon as possible after they arise, before they become more serious and statutory interventions are needed. Early Help is a system, rather than a service; it involves a range of professionals, organisations and community support services joining together to offer timely support to families facing challenging issues at the beginning</w:t>
      </w:r>
      <w:r w:rsidRPr="00B16CD2">
        <w:rPr>
          <w:color w:val="000000" w:themeColor="text1"/>
        </w:rPr>
        <w:t xml:space="preserve">. </w:t>
      </w:r>
      <w:r w:rsidRPr="00B16CD2">
        <w:rPr>
          <w:color w:val="000000" w:themeColor="text1"/>
        </w:rPr>
        <w:t xml:space="preserve">Working Together to Safeguard Children 2026 draws attention to safeguarding being a shared responsibility across learning and development agencies, and to learning and development agencies' need to share and respond promptly and professionally to children's needs. These principles help to ensure that EHF is 'preventative', 'child-focused and responsive', and help to promote better outcomes for children, young people and families </w:t>
      </w:r>
      <w:r w:rsidRPr="00B16CD2">
        <w:rPr>
          <w:color w:val="000000" w:themeColor="text1"/>
        </w:rPr>
        <w:t xml:space="preserve">(Working Together to Safeguard Children 2026, 2026). The key focus of its work is to help </w:t>
      </w:r>
      <w:r>
        <w:t xml:space="preserve">children avoid the development of more severe problems and enhance their resilience, wellbeing and positive family functioning. The governing principle of the system is to not only deliver the correct </w:t>
      </w:r>
      <w:proofErr w:type="gramStart"/>
      <w:r>
        <w:t>support, but</w:t>
      </w:r>
      <w:proofErr w:type="gramEnd"/>
      <w:r>
        <w:t xml:space="preserve"> provide it at the right time and through the right professionals. It acknowledges that families can be confronted with many distinct and interrelated issues </w:t>
      </w:r>
      <w:proofErr w:type="gramStart"/>
      <w:r>
        <w:t>including:</w:t>
      </w:r>
      <w:proofErr w:type="gramEnd"/>
      <w:r>
        <w:t xml:space="preserve"> financial stability, mental health, domestic abuse, substance use, housing, conflict, learning and behaviour issues. By tackling t</w:t>
      </w:r>
      <w:r>
        <w:t xml:space="preserve">hese problems at an early stage, there is less chance that children will need more intensive interventions such as a child protection plan or entry into care. One of the main components of the Early Help System is the need for multi-agency working. Local authorities liaise closely with schools and other relevant external agencies such as health services, the police and voluntary organisations and groups to provide coordinated, holistic support for the family (Dixon </w:t>
      </w:r>
      <w:r>
        <w:rPr>
          <w:i/>
          <w:iCs/>
        </w:rPr>
        <w:t xml:space="preserve">et al., </w:t>
      </w:r>
      <w:r>
        <w:t xml:space="preserve">2022).  </w:t>
      </w:r>
    </w:p>
    <w:p w14:paraId="3B2F9037" w14:textId="77777777" w:rsidR="00B64858" w:rsidRDefault="002B60B1">
      <w:r>
        <w:t>Professionals exchange information and information is shared according to appropriate procedures; needs are shared among professionals and a tailored support plan drawn up for each family according to their individual situations. A designated Lead Practitioner can help to facilitate communication between agencies, avoiding duplication of provision; they are usually responsible for co-ordinating services. The Early Help System also comes with a strengths-based and family-centred approach (Working Together to</w:t>
      </w:r>
      <w:r>
        <w:t xml:space="preserve"> Safeguard Children 2026, 2026). Instead of just a problem or a risk, practitioners use partnership working to recognise strengths, develop resilience and enable families to be involved and contribute to changing their situation (Aoki </w:t>
      </w:r>
      <w:r>
        <w:rPr>
          <w:i/>
          <w:iCs/>
        </w:rPr>
        <w:t xml:space="preserve">et al., </w:t>
      </w:r>
      <w:r>
        <w:t xml:space="preserve">2022). Families are encouraged to be involved in decision-making, and support will be customised to their needs and aspirations. Good leadership, a sound system of referrals, </w:t>
      </w:r>
      <w:r>
        <w:lastRenderedPageBreak/>
        <w:t>regular evaluation of support plans and review, and regular monitoring of Early Help Plans are essential to an effective Early Help System. The level of information on resources is also significant. Early Help local authority websites are very important in explaining to families the concept of Early Help, who is eligible for it and how</w:t>
      </w:r>
      <w:r>
        <w:t xml:space="preserve"> it is available. A lack of clear information or information being hard to find can lead families to seek assistance </w:t>
      </w:r>
      <w:proofErr w:type="gramStart"/>
      <w:r>
        <w:t>at a later date</w:t>
      </w:r>
      <w:proofErr w:type="gramEnd"/>
      <w:r>
        <w:t xml:space="preserve">, which can escalate the difficulties. </w:t>
      </w:r>
      <w:r w:rsidRPr="00B16CD2">
        <w:rPr>
          <w:color w:val="000000" w:themeColor="text1"/>
        </w:rPr>
        <w:t>The Early Help System guide emphasises that an approach to early help needs to be whole family, that practitioners can pick up on needs as they arise and provide co-ordinated help before things get out of hand (Department for Education, 2022). It will focus on the critical role of robust local partnership working, services accessible to families and clear pathways for families to access help</w:t>
      </w:r>
      <w:r w:rsidRPr="00B16CD2">
        <w:rPr>
          <w:color w:val="000000" w:themeColor="text1"/>
        </w:rPr>
        <w:t xml:space="preserve">. Communication </w:t>
      </w:r>
      <w:r>
        <w:t>and signposting, therefore, are key to ensuring that Early Help meets its preventative purpose.</w:t>
      </w:r>
    </w:p>
    <w:p w14:paraId="3B2F9038" w14:textId="77777777" w:rsidR="00B64858" w:rsidRDefault="002B60B1">
      <w:pPr>
        <w:pStyle w:val="Heading2"/>
      </w:pPr>
      <w:bookmarkStart w:id="1" w:name="_heading=h.eph6hz5x8sdc" w:colFirst="0" w:colLast="0"/>
      <w:bookmarkEnd w:id="1"/>
      <w:r>
        <w:t xml:space="preserve">Explanation of multi-agency working </w:t>
      </w:r>
    </w:p>
    <w:p w14:paraId="3B2F9039" w14:textId="77777777" w:rsidR="00B64858" w:rsidRDefault="002B60B1">
      <w:r>
        <w:t xml:space="preserve">Inter-agency working is the team working between professionals and agencies organised across </w:t>
      </w:r>
      <w:proofErr w:type="gramStart"/>
      <w:r>
        <w:t>a number of</w:t>
      </w:r>
      <w:proofErr w:type="gramEnd"/>
      <w:r>
        <w:t xml:space="preserve"> different agencies </w:t>
      </w:r>
      <w:proofErr w:type="gramStart"/>
      <w:r>
        <w:t>in order to</w:t>
      </w:r>
      <w:proofErr w:type="gramEnd"/>
      <w:r>
        <w:t xml:space="preserve"> protect and promote the welfare of children and families. This is an underlying principle of children's services in England, and everyone is responsible for identifying and responding to children's needs. Rather, they have a shared responsibility with local authorities, education providers, health, police, social care and voluntary organisations for coordinating planning and action for, and intervention with, children and young people to further the commitment of p</w:t>
      </w:r>
      <w:r>
        <w:t xml:space="preserve">revention, to protect children from harm and to improve their wellbeing (Department for Education, 2022). Multi-agency working is required as children and families may have complex and overlapping issues which a single professional or organisation </w:t>
      </w:r>
      <w:proofErr w:type="spellStart"/>
      <w:r>
        <w:t>can not</w:t>
      </w:r>
      <w:proofErr w:type="spellEnd"/>
      <w:r>
        <w:t xml:space="preserve"> help </w:t>
      </w:r>
      <w:proofErr w:type="gramStart"/>
      <w:r>
        <w:t>resolve</w:t>
      </w:r>
      <w:proofErr w:type="gramEnd"/>
      <w:r>
        <w:t xml:space="preserve"> effectively. For instance, if parents have poor mental health, domestic abuse, financial difficulties or concerns about neglect, any concerns regarding poor school attendance may be related (Derby, 2025). When professionals work together, they</w:t>
      </w:r>
      <w:r>
        <w:t xml:space="preserve"> can deepen the understanding of the family and offer a coordinated, multi-service response to meet multiple demands. Multi-agency working is closely connected with inter-disciplinary working, which can be described as professionals working individually from different disciplines bringing their expert knowledge, skills and experience together to produce the desired outcomes for children. Members of the multiple professions who work with children and young people bring different insights into decision-making</w:t>
      </w:r>
      <w:r>
        <w:t>, such as social workers, teachers, health visitors, school nurses, general practitioners, police officers, psychologists and school/youth workers. Inter-disciplinary practice means that assessment does not add up to services, that interventions are better co-ordinated, and families are not given "the bits and pieces" of support (Stokes, 2026).</w:t>
      </w:r>
    </w:p>
    <w:p w14:paraId="3B2F903A" w14:textId="77777777" w:rsidR="00B64858" w:rsidRDefault="002B60B1">
      <w:r>
        <w:lastRenderedPageBreak/>
        <w:t>Effective collaboration relies on effective communication; sharing information; respect; and well-defined roles and responsibilities. The professional needs to exchange relevant information promptly but legally to be able to assess threats, make informed decisions and give timely interventions. Joint assessments and planning, regular meetings and coordinated work between agencies ensure that areas of concern are not overlooked and that work is not duplicated. Where there are multiple agencies providing serv</w:t>
      </w:r>
      <w:r>
        <w:t>ices, it is important to designate a Lead Practitioner, as this ensures that there is a designated point of contact for the family to engage with and helps coordinate services (Petty, 2025). The statutory guidance emphasises that the quality of services provided and accountability for the effectiveness of safeguarding depends on strong local leadership, in the form of safeguarding partnerships, in which the effectiveness of multi-agency working can be improved strategically. All professional practice should</w:t>
      </w:r>
      <w:r>
        <w:t xml:space="preserve"> be child-centred: children's needs, views and experiences should be central to all decision-making. Finally, better multi-agency and inter-disciplinary working leads to children and families being better served in the longer term in terms of better outcomes, early identification of need and timely intervention, and a reduced risk of harm (Atkinson </w:t>
      </w:r>
      <w:r>
        <w:rPr>
          <w:i/>
          <w:iCs/>
        </w:rPr>
        <w:t xml:space="preserve">et al., </w:t>
      </w:r>
      <w:r>
        <w:t>2022). Collaborative working and expert interventions more effectively help to focus on children's safety, wellbeing and development, and on providing preventative support in ways that are holistic.</w:t>
      </w:r>
    </w:p>
    <w:p w14:paraId="3B2F903B" w14:textId="77777777" w:rsidR="00B64858" w:rsidRDefault="002B60B1">
      <w:pPr>
        <w:pStyle w:val="Heading2"/>
      </w:pPr>
      <w:bookmarkStart w:id="2" w:name="_heading=h.qyoq4vucijjn" w:colFirst="0" w:colLast="0"/>
      <w:bookmarkEnd w:id="2"/>
      <w:r>
        <w:t xml:space="preserve">An evaluation of each of your three local authority websites.  </w:t>
      </w:r>
    </w:p>
    <w:p w14:paraId="3B2F903C" w14:textId="77777777" w:rsidR="00B64858" w:rsidRDefault="002B60B1">
      <w:r>
        <w:t>Norfolk County Council, Leeds City Council and Nottinghamshire County Council each have websites with useful information about help and support for families, but not all of these summarise the information well, or are easy to access and navigate. These differences impact the ability of families to find information and get support early.</w:t>
      </w:r>
    </w:p>
    <w:p w14:paraId="3B2F903D" w14:textId="77777777" w:rsidR="00B64858" w:rsidRDefault="002B60B1">
      <w:r>
        <w:t xml:space="preserve">One of the easiest services Norfolk County Council offers. The Early Help page explains the purpose of Early Help in very easy-to-access, simple terms for families not working in the safeguarding arena. Referral pathways, Family Hubs and support services are clearly presented in a logical manner, which makes for very easy navigation. However, although the website can be easily used for human access, much of the content is static, mainly text-based and provides few interactive elements and images, which can </w:t>
      </w:r>
      <w:r>
        <w:t xml:space="preserve">make it less engaging to people with lower levels of literacy and other communication requirements (Norfolk County Council, 2025). The website is very useful in providing important </w:t>
      </w:r>
      <w:proofErr w:type="gramStart"/>
      <w:r>
        <w:t>information, but</w:t>
      </w:r>
      <w:proofErr w:type="gramEnd"/>
      <w:r>
        <w:t xml:space="preserve"> may be made more accessible </w:t>
      </w:r>
      <w:proofErr w:type="gramStart"/>
      <w:r>
        <w:t>through the use of</w:t>
      </w:r>
      <w:proofErr w:type="gramEnd"/>
      <w:r>
        <w:t xml:space="preserve"> videos, infographics or multiple languages.</w:t>
      </w:r>
    </w:p>
    <w:p w14:paraId="3B2F903E" w14:textId="77777777" w:rsidR="00B64858" w:rsidRDefault="002B60B1">
      <w:r>
        <w:t xml:space="preserve">Leeds City Council has the most detailed information relating to Early Help and external family support. The website shows a clear example of the drive to ensure that Early Help is joined up </w:t>
      </w:r>
      <w:r>
        <w:lastRenderedPageBreak/>
        <w:t xml:space="preserve">and is linked to Family Hubs, parenting programmes, SEND services, mental health support and financial advice. Holistic awareness of family needs is reflected. However, the information is distributed across a variety of web pages, leaving users to move through many sections to find the relevant information in support. A multi-layered structure can be confusing and may not foster participation from users, especially for those times when families are in a state of crisis or stress. Content is certainly vast, </w:t>
      </w:r>
      <w:r>
        <w:t>and hence it isn't always easy to have accessibility (Leeds.gov.uk, 2022).</w:t>
      </w:r>
    </w:p>
    <w:p w14:paraId="3B2F903F" w14:textId="77777777" w:rsidR="00B64858" w:rsidRDefault="002B60B1">
      <w:r>
        <w:t>Nottinghamshire County Council demonstrate a good balance between clarity and comprehensiveness. The website clearly explains what Early Help is and offers clear referral pathways and contacts, as well as links to the Virtual Family Hub where a broad range of supports is available. Information is organised in a more logical way, which helps families to navigate through each other with fewer layers of navigation between services than would occur in Leeds. There is some duplication of information on the diffe</w:t>
      </w:r>
      <w:r>
        <w:t>rent webpages, but this has little impact on usability as seen on the Leeds website (Council, 2025).</w:t>
      </w:r>
    </w:p>
    <w:p w14:paraId="3B2F9040" w14:textId="77777777" w:rsidR="00B64858" w:rsidRDefault="002B60B1">
      <w:pPr>
        <w:pStyle w:val="Heading2"/>
      </w:pPr>
      <w:bookmarkStart w:id="3" w:name="_heading=h.1m3kvfuh8l4c" w:colFirst="0" w:colLast="0"/>
      <w:bookmarkEnd w:id="3"/>
      <w:r>
        <w:t xml:space="preserve">A comparative analysis of the main strengths and weaknesses of how the local authority websites communicate the Early Help and other support services available to families. </w:t>
      </w:r>
    </w:p>
    <w:p w14:paraId="3B2F9041" w14:textId="77777777" w:rsidR="00B64858" w:rsidRDefault="002B60B1">
      <w:r>
        <w:t>This comparison of the Norfolk County Council, Leeds City Council and Nottinghamshire County Council websites shows that although all three Councils have a vision of promoting Early Help or family support, there is a very different arrangement of how effective these Councils are in communicating a message of Early Help or family support to families. All three websites acknowledge Early Help as a preventative measure and offer access to a wide variety of services for families such as parenting information, s</w:t>
      </w:r>
      <w:r>
        <w:t>upport for children's mental health, education, access to Special Educational Needs and Disability (SEND) services, financial support and Family Hubs. This reflects current safeguarding policy, which encourages the co-ordinated support of organisations to respond to the needs of the family when these are assessed and identified at an early stage and before they become more complex. The websites also include information on how to refer or reach out to get the help that is needed, for both families and profes</w:t>
      </w:r>
      <w:r>
        <w:t xml:space="preserve">sionals. However, it is different when it is accessible and user-friendly. Norfolk County Council uses simple, non-technical language to communicate its Early Help and make the information easy for families to understand. It has a logical page structure and easy navigation to lower resistance to support (Saxton </w:t>
      </w:r>
      <w:r>
        <w:rPr>
          <w:i/>
          <w:iCs/>
        </w:rPr>
        <w:t xml:space="preserve">et al., </w:t>
      </w:r>
      <w:r>
        <w:t>2026). However, the website is used extensively on words, and there are no interactive materials, videos or visual guides that would make the site more accessible for people with less literacy skills or have other communication requirements.</w:t>
      </w:r>
    </w:p>
    <w:p w14:paraId="3B2F9042" w14:textId="77777777" w:rsidR="00B64858" w:rsidRDefault="002B60B1">
      <w:r>
        <w:lastRenderedPageBreak/>
        <w:t>Leeds City Council, by contrast provide the broadest access to support information, and clearly shows a willingness to adopt a whole family perspective on supporting wellbeing. The website emphasises the inclusion of services into education, health, housing and social care, and demonstrates good multi-agency practice. Although powerful, information is spread out amongst many webpages; users must visit various sections to search for relevant services. This disjointed organisation can overwhelm families who a</w:t>
      </w:r>
      <w:r>
        <w:t>re looking for immediate help and will diminish the impact of the site. It brings together both the power of each Council and a more organised and user-friendly structure, thanks to Nottinghamshire County Council putting together the information for both. The Virtual Family Hub, refer-on to refer pathways and contact info, is a very clear tool which allows families to detect and access help easily with minimal effort. There is some repetition of information between Web pages, but little effect on usability.</w:t>
      </w:r>
      <w:r>
        <w:t xml:space="preserve"> There is an overall sense of a compromise between the breadth of information about services offered and ‘how to find your way around' with accessible language and indications that Early Help is being communicated well in Nottinghamshire (Acquia, 2024). The example clearly shows that the impact of a local authority website is not just linked to the content it offers, but also on how easy it is for families to find, understand and act on the information when using the website.</w:t>
      </w:r>
    </w:p>
    <w:p w14:paraId="3B2F9043" w14:textId="77777777" w:rsidR="00B64858" w:rsidRDefault="00B64858">
      <w:pPr>
        <w:rPr>
          <w:i/>
          <w:iCs/>
        </w:rPr>
      </w:pPr>
    </w:p>
    <w:p w14:paraId="3B2F9044" w14:textId="77777777" w:rsidR="00B64858" w:rsidRDefault="002B60B1">
      <w:pPr>
        <w:pStyle w:val="Heading1"/>
      </w:pPr>
      <w:r>
        <w:br w:type="page"/>
      </w:r>
    </w:p>
    <w:p w14:paraId="3B2F9045" w14:textId="77777777" w:rsidR="00B64858" w:rsidRDefault="002B60B1">
      <w:pPr>
        <w:pStyle w:val="Heading1"/>
      </w:pPr>
      <w:r>
        <w:lastRenderedPageBreak/>
        <w:t>3. Conclusion</w:t>
      </w:r>
    </w:p>
    <w:p w14:paraId="3B2F9046" w14:textId="77777777" w:rsidR="00B64858" w:rsidRDefault="002B60B1">
      <w:r>
        <w:t>This report has highlighted that communicating Effective Early Help is key to its aims and objectives of preventing problems before they reach children's services, and to helping families. All three local authorities provide comprehensive information and have all adopted the principles of multi-agency working, but their websites have different levels of accessibility, ease of navigation and usability. The clarity and simplicity of the presentation are found in Norfolk, whilst the breadth of services and con</w:t>
      </w:r>
      <w:r>
        <w:t xml:space="preserve">tent is deepest in Leeds but has degraded navigation. Overall, Nottinghamshire County Council is the most effective in signposting working online with clear language, logical organisation, easy referral route and effective integration of family support. Its focus on balance and user-centred </w:t>
      </w:r>
      <w:proofErr w:type="spellStart"/>
      <w:r>
        <w:t>idesign</w:t>
      </w:r>
      <w:proofErr w:type="spellEnd"/>
      <w:r>
        <w:t xml:space="preserve"> </w:t>
      </w:r>
      <w:proofErr w:type="spellStart"/>
      <w:r>
        <w:t>s</w:t>
      </w:r>
      <w:proofErr w:type="spellEnd"/>
      <w:r>
        <w:t xml:space="preserve"> likely to help it encourage timely involvement within Early Help services and enhance outcomes for children and families.</w:t>
      </w:r>
    </w:p>
    <w:p w14:paraId="3B2F9047" w14:textId="77777777" w:rsidR="00B64858" w:rsidRDefault="00B64858"/>
    <w:p w14:paraId="3B2F9048" w14:textId="77777777" w:rsidR="00B64858" w:rsidRDefault="00B64858"/>
    <w:p w14:paraId="3B2F9049" w14:textId="77777777" w:rsidR="00B64858" w:rsidRDefault="00B64858"/>
    <w:p w14:paraId="3B2F904A" w14:textId="77777777" w:rsidR="00B64858" w:rsidRDefault="00B64858"/>
    <w:p w14:paraId="3B2F904B" w14:textId="77777777" w:rsidR="00B64858" w:rsidRDefault="00B64858"/>
    <w:p w14:paraId="3B2F904C" w14:textId="77777777" w:rsidR="00B64858" w:rsidRDefault="002B60B1">
      <w:pPr>
        <w:pStyle w:val="Heading1"/>
      </w:pPr>
      <w:r>
        <w:br w:type="page"/>
      </w:r>
    </w:p>
    <w:p w14:paraId="3B2F904D" w14:textId="77777777" w:rsidR="00B64858" w:rsidRDefault="002B60B1">
      <w:pPr>
        <w:pStyle w:val="Heading1"/>
      </w:pPr>
      <w:r>
        <w:lastRenderedPageBreak/>
        <w:t xml:space="preserve">4. Recommendations </w:t>
      </w:r>
    </w:p>
    <w:p w14:paraId="3B2F904E" w14:textId="77777777" w:rsidR="00B64858" w:rsidRDefault="002B60B1">
      <w:r>
        <w:t>The results indicated that local governments need to pay more attention to user-centred design of websites to assist families to easily find and access Early Help services. All three councils provide good information resources, but it would be better for these to be streamlined and significantly fewer web pages used for access to support, especially if parents are in crisis. Leeds City Council could improve their Early Help work by having a co-ordinated Early Help portal, which consolidates all the referral</w:t>
      </w:r>
      <w:r>
        <w:t xml:space="preserve"> information, Family Hubs and associated services. Norfolk County Council can enhance accessibility in a way that includes more visual materials, such as videos, infographics and multilingual materials as part of its resources for users with different modes of communication. Although Nottinghamshire County Council is doing well overall, there is the opportunity to streamline the experience by minimising duplication of the webpages. Further work on access to websites by updating regularly; websites to be com</w:t>
      </w:r>
      <w:r>
        <w:t>patible with mobile devices; and to actively engage in seeking comments from families on how accessible and useful websites are, from earlier engagement with services to improve the preventative agenda of the Early Help system would enhance access to all three authorities.</w:t>
      </w:r>
    </w:p>
    <w:p w14:paraId="3B2F904F" w14:textId="77777777" w:rsidR="00B64858" w:rsidRDefault="002B60B1">
      <w:r>
        <w:br w:type="page"/>
      </w:r>
    </w:p>
    <w:p w14:paraId="3B2F9050" w14:textId="77777777" w:rsidR="00B64858" w:rsidRDefault="002B60B1">
      <w:pPr>
        <w:pStyle w:val="Heading1"/>
      </w:pPr>
      <w:r>
        <w:lastRenderedPageBreak/>
        <w:t xml:space="preserve">References </w:t>
      </w:r>
    </w:p>
    <w:p w14:paraId="3B2F9051" w14:textId="77777777" w:rsidR="00B64858" w:rsidRDefault="002B60B1">
      <w:r>
        <w:t xml:space="preserve">Acquia (2024). </w:t>
      </w:r>
      <w:r>
        <w:rPr>
          <w:i/>
          <w:iCs/>
        </w:rPr>
        <w:t>2024 UK Councils Websites Benchmark Report</w:t>
      </w:r>
      <w:r>
        <w:t>. [online] Acquia. Available at: https://www.acquia.com/products/acquia-web-governance/benchmarks/2024-uk-council [Accessed 8 July 2026].</w:t>
      </w:r>
    </w:p>
    <w:p w14:paraId="3B2F9052" w14:textId="77777777" w:rsidR="00B64858" w:rsidRDefault="002B60B1">
      <w:r>
        <w:t xml:space="preserve">Aoki, Y., Yaju, Y., Utsumi, T., </w:t>
      </w:r>
      <w:proofErr w:type="spellStart"/>
      <w:r>
        <w:t>Sanyaolu</w:t>
      </w:r>
      <w:proofErr w:type="spellEnd"/>
      <w:r>
        <w:t xml:space="preserve">, L., Storm, M., </w:t>
      </w:r>
      <w:proofErr w:type="spellStart"/>
      <w:r>
        <w:t>Takaesu</w:t>
      </w:r>
      <w:proofErr w:type="spellEnd"/>
      <w:r>
        <w:t xml:space="preserve">, Y., Watanabe, K., Watanabe, N., Duncan, E. and Edwards, A.G. (2022). Shared decision-making interventions for people with mental health conditions. </w:t>
      </w:r>
      <w:r>
        <w:rPr>
          <w:i/>
          <w:iCs/>
        </w:rPr>
        <w:t>Cochrane Database of Systematic Reviews</w:t>
      </w:r>
      <w:r>
        <w:t xml:space="preserve">, [online] 2022(11). </w:t>
      </w:r>
      <w:proofErr w:type="gramStart"/>
      <w:r>
        <w:t>doi:10.1002/14651858.cd007297.pub3</w:t>
      </w:r>
      <w:proofErr w:type="gramEnd"/>
      <w:r>
        <w:t>.</w:t>
      </w:r>
    </w:p>
    <w:p w14:paraId="3B2F9053" w14:textId="77777777" w:rsidR="00B64858" w:rsidRDefault="002B60B1">
      <w:r>
        <w:t xml:space="preserve">Department for Education (2022). </w:t>
      </w:r>
      <w:r>
        <w:rPr>
          <w:i/>
          <w:iCs/>
        </w:rPr>
        <w:t>Supporting Families: Early Help System guide</w:t>
      </w:r>
      <w:r>
        <w:t>. [online] GOV.UK. Available at: https://www.gov.uk/government/publications/supporting-families-early-help-system-guide [Accessed 9 July 2026].</w:t>
      </w:r>
    </w:p>
    <w:p w14:paraId="3B2F9054" w14:textId="77777777" w:rsidR="00B64858" w:rsidRDefault="002B60B1">
      <w:r>
        <w:t xml:space="preserve">Atkinson, M., Wilkin, A., Stott, A., Doherty, P. and Kinder, K. (2022). </w:t>
      </w:r>
      <w:r>
        <w:rPr>
          <w:i/>
          <w:iCs/>
        </w:rPr>
        <w:t>Multi-agency working: A detailed study</w:t>
      </w:r>
      <w:r>
        <w:t>. [online] Available at: https://www.nfer.ac.uk/media/lqeodyla/multi_agency_working_a_detailed_study.pdf [Accessed 8 July 2026].</w:t>
      </w:r>
    </w:p>
    <w:p w14:paraId="3B2F9055" w14:textId="77777777" w:rsidR="00B64858" w:rsidRDefault="002B60B1">
      <w:r>
        <w:t xml:space="preserve">Council, N.C. (2025). </w:t>
      </w:r>
      <w:r>
        <w:rPr>
          <w:i/>
          <w:iCs/>
        </w:rPr>
        <w:t>Early Help Unit</w:t>
      </w:r>
      <w:r>
        <w:t>. [online] Nottinghamshire County Council. Available at: https://www.nottinghamshire.gov.uk/care/safeguarding/childrens-mash/services-available-for-non-safeguarding-concerns/early-help-unit [Accessed 8 July 2026].</w:t>
      </w:r>
    </w:p>
    <w:p w14:paraId="3B2F9056" w14:textId="77777777" w:rsidR="00B64858" w:rsidRDefault="002B60B1">
      <w:r>
        <w:t xml:space="preserve">Derby (2025). </w:t>
      </w:r>
      <w:r>
        <w:rPr>
          <w:i/>
          <w:iCs/>
        </w:rPr>
        <w:t>Multi-agency working and safeguarding - Derby Safeguarding Adults Board</w:t>
      </w:r>
      <w:r>
        <w:t>. [online] Derbysab.org.uk. Available at: https://www.derbysab.org.uk/about/multi-agency-working-and-safeguarding/ [Accessed 8 July 2026].</w:t>
      </w:r>
    </w:p>
    <w:p w14:paraId="3B2F9057" w14:textId="77777777" w:rsidR="00B64858" w:rsidRDefault="002B60B1">
      <w:r>
        <w:t xml:space="preserve">Dixon, S., Kendall, B., Driscoll, J. and Pope, C. (2022). Supporting the ‘Multi’ in Multi-agency working: Learning with and from Each Other Could Enable multi-agency Safeguarding. </w:t>
      </w:r>
      <w:r>
        <w:rPr>
          <w:i/>
          <w:iCs/>
        </w:rPr>
        <w:t>British Journal of General Practice</w:t>
      </w:r>
      <w:r>
        <w:t>, [online] 72(722), pp.438–439. doi:10.3399/bjgp22x720617.</w:t>
      </w:r>
    </w:p>
    <w:p w14:paraId="3B2F9058" w14:textId="77777777" w:rsidR="00B64858" w:rsidRDefault="002B60B1">
      <w:r>
        <w:t xml:space="preserve">Leeds.gov.uk (2022). </w:t>
      </w:r>
      <w:r>
        <w:rPr>
          <w:i/>
          <w:iCs/>
        </w:rPr>
        <w:t>One minute guide: Early help</w:t>
      </w:r>
      <w:r>
        <w:t>. [online] Leeds.gov.uk. Available at: https://www.leeds.gov.uk/one-minute-guides/early-help [Accessed 8 July 2026].</w:t>
      </w:r>
    </w:p>
    <w:p w14:paraId="3B2F9059" w14:textId="77777777" w:rsidR="00B64858" w:rsidRDefault="002B60B1">
      <w:r>
        <w:t xml:space="preserve">Norfolk County Council (2025). </w:t>
      </w:r>
      <w:r>
        <w:rPr>
          <w:i/>
          <w:iCs/>
        </w:rPr>
        <w:t>Early help for children and families</w:t>
      </w:r>
      <w:r>
        <w:t>. [online] Norfolk County Council. Available at: https://www.norfolk.gov.uk/article/40407/Early-help-for-children-and-families [Accessed 8 July 2026].</w:t>
      </w:r>
    </w:p>
    <w:p w14:paraId="3B2F905A" w14:textId="77777777" w:rsidR="00B64858" w:rsidRDefault="002B60B1">
      <w:r>
        <w:t xml:space="preserve">NSPCC (2023). </w:t>
      </w:r>
      <w:r>
        <w:rPr>
          <w:i/>
          <w:iCs/>
        </w:rPr>
        <w:t>Early Help and Early Intervention</w:t>
      </w:r>
      <w:r>
        <w:t>. [online] NSPCC Learning. Available at: https://learning.nspcc.org.uk/safeguarding-child-protection/early-help-and-early-intervention [Accessed 8 July 2026].</w:t>
      </w:r>
    </w:p>
    <w:p w14:paraId="3B2F905B" w14:textId="77777777" w:rsidR="00B64858" w:rsidRDefault="002B60B1">
      <w:r>
        <w:lastRenderedPageBreak/>
        <w:t xml:space="preserve">Petty, L. (2025). </w:t>
      </w:r>
      <w:r>
        <w:rPr>
          <w:i/>
          <w:iCs/>
        </w:rPr>
        <w:t>Multi-Agency Working in Safeguarding</w:t>
      </w:r>
      <w:r>
        <w:t>. [online] The Hub | High Speed Training. Available at: https://www.highspeedtraining.co.uk/hub/multi-agency-working-in-safeguarding/ [Accessed 8 July 2026].</w:t>
      </w:r>
    </w:p>
    <w:p w14:paraId="3B2F905C" w14:textId="77777777" w:rsidR="00B64858" w:rsidRDefault="002B60B1">
      <w:r>
        <w:t xml:space="preserve">Saxton, J.C., </w:t>
      </w:r>
      <w:proofErr w:type="spellStart"/>
      <w:r>
        <w:t>Albajara</w:t>
      </w:r>
      <w:proofErr w:type="spellEnd"/>
      <w:r>
        <w:t xml:space="preserve"> Saenz, A., Williams, O., Matthews, J., Winterburn, I., Chatburn, E., Nazeer, N., Black-Hawkins, K. and Ford, T. (2026). Examining local level variation in Special Educational Needs and Disabilities (SEND) service provision and associated data sources in England: A scoping review. </w:t>
      </w:r>
      <w:r>
        <w:rPr>
          <w:i/>
          <w:iCs/>
        </w:rPr>
        <w:t>Humanities and Social Sciences Communications</w:t>
      </w:r>
      <w:r>
        <w:t>. doi:10.1057/s41599-025-06319-0.</w:t>
      </w:r>
    </w:p>
    <w:p w14:paraId="3B2F905D" w14:textId="77777777" w:rsidR="00B64858" w:rsidRDefault="002B60B1">
      <w:r>
        <w:t xml:space="preserve">Stokes, S.A. (2026). </w:t>
      </w:r>
      <w:r>
        <w:rPr>
          <w:i/>
          <w:iCs/>
        </w:rPr>
        <w:t xml:space="preserve">Multi-Agency Working in Child Protection | </w:t>
      </w:r>
      <w:proofErr w:type="spellStart"/>
      <w:r>
        <w:rPr>
          <w:i/>
          <w:iCs/>
        </w:rPr>
        <w:t>ChildHub</w:t>
      </w:r>
      <w:proofErr w:type="spellEnd"/>
      <w:r>
        <w:rPr>
          <w:i/>
          <w:iCs/>
        </w:rPr>
        <w:t xml:space="preserve"> - Child Protection Hub</w:t>
      </w:r>
      <w:r>
        <w:t>. [online] Childhub.org. Available at: https://childhub.org/en/child-protection-online-library/multi-agency-working-child-protection [Accessed 8 July 2026].</w:t>
      </w:r>
    </w:p>
    <w:p w14:paraId="3B2F905E" w14:textId="77777777" w:rsidR="00B64858" w:rsidRDefault="002B60B1">
      <w:r>
        <w:t xml:space="preserve">Working Together to Safeguard Children 2026 (2026). </w:t>
      </w:r>
      <w:r>
        <w:rPr>
          <w:i/>
          <w:iCs/>
        </w:rPr>
        <w:t>Working Together to Safeguard Children 2026</w:t>
      </w:r>
      <w:r>
        <w:t>. [online] Available at: https://assets.publishing.service.gov.uk/media/69fb1c28d0e316a40f269a5b/Working_together_to_safeguard_children_2026_a_guide_to_multi_agency_working.pdf [Accessed 9 July 2026].</w:t>
      </w:r>
    </w:p>
    <w:p w14:paraId="3B2F905F" w14:textId="77777777" w:rsidR="00B64858" w:rsidRDefault="00B64858"/>
    <w:p w14:paraId="3B2F9060" w14:textId="77777777" w:rsidR="00B64858" w:rsidRDefault="00B64858"/>
    <w:sectPr w:rsidR="00B64858">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C3EE0" w14:textId="77777777" w:rsidR="002B60B1" w:rsidRDefault="002B60B1">
      <w:pPr>
        <w:spacing w:line="240" w:lineRule="auto"/>
      </w:pPr>
      <w:r>
        <w:separator/>
      </w:r>
    </w:p>
  </w:endnote>
  <w:endnote w:type="continuationSeparator" w:id="0">
    <w:p w14:paraId="70B0FC44" w14:textId="77777777" w:rsidR="002B60B1" w:rsidRDefault="002B60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Italic r:id="rId1" w:fontKey="{787270F1-A585-4FB9-8C12-AD606B65EF93}"/>
  </w:font>
  <w:font w:name="Calibri">
    <w:panose1 w:val="020F0502020204030204"/>
    <w:charset w:val="00"/>
    <w:family w:val="swiss"/>
    <w:pitch w:val="variable"/>
    <w:sig w:usb0="E4002EFF" w:usb1="C200247B" w:usb2="00000009" w:usb3="00000000" w:csb0="000001FF" w:csb1="00000000"/>
    <w:embedRegular r:id="rId2" w:fontKey="{DAF4FCD1-93B4-4449-A2E1-771302214F88}"/>
  </w:font>
  <w:font w:name="Cambria">
    <w:panose1 w:val="02040503050406030204"/>
    <w:charset w:val="00"/>
    <w:family w:val="roman"/>
    <w:pitch w:val="variable"/>
    <w:sig w:usb0="E00006FF" w:usb1="420024FF" w:usb2="02000000" w:usb3="00000000" w:csb0="0000019F" w:csb1="00000000"/>
    <w:embedRegular r:id="rId3" w:fontKey="{111BFB30-CB86-4965-A9F5-7B7C684B3E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F9063" w14:textId="5B4F6C02" w:rsidR="00B64858" w:rsidRDefault="002B60B1">
    <w:pPr>
      <w:pBdr>
        <w:top w:val="nil"/>
        <w:left w:val="nil"/>
        <w:bottom w:val="nil"/>
        <w:right w:val="nil"/>
        <w:between w:val="nil"/>
      </w:pBdr>
      <w:tabs>
        <w:tab w:val="center" w:pos="4513"/>
        <w:tab w:val="right" w:pos="9026"/>
      </w:tabs>
      <w:spacing w:line="240" w:lineRule="auto"/>
      <w:jc w:val="center"/>
      <w:rPr>
        <w:rFonts w:ascii="Arial" w:eastAsia="Arial" w:hAnsi="Arial" w:cs="Arial"/>
        <w:color w:val="000000"/>
        <w:sz w:val="22"/>
        <w:szCs w:val="22"/>
      </w:rPr>
    </w:pPr>
    <w:r>
      <w:rPr>
        <w:rFonts w:ascii="Arial" w:eastAsia="Arial" w:hAnsi="Arial" w:cs="Arial"/>
        <w:color w:val="000000"/>
        <w:sz w:val="22"/>
        <w:szCs w:val="22"/>
      </w:rPr>
      <w:fldChar w:fldCharType="begin"/>
    </w:r>
    <w:r>
      <w:rPr>
        <w:rFonts w:ascii="Arial" w:eastAsia="Arial" w:hAnsi="Arial" w:cs="Arial"/>
        <w:color w:val="000000"/>
        <w:sz w:val="22"/>
        <w:szCs w:val="22"/>
      </w:rPr>
      <w:instrText>PAGE</w:instrText>
    </w:r>
    <w:r>
      <w:rPr>
        <w:rFonts w:ascii="Arial" w:eastAsia="Arial" w:hAnsi="Arial" w:cs="Arial"/>
        <w:color w:val="000000"/>
        <w:sz w:val="22"/>
        <w:szCs w:val="22"/>
      </w:rPr>
      <w:fldChar w:fldCharType="separate"/>
    </w:r>
    <w:r w:rsidR="00E46080">
      <w:rPr>
        <w:rFonts w:ascii="Arial" w:eastAsia="Arial" w:hAnsi="Arial" w:cs="Arial"/>
        <w:noProof/>
        <w:color w:val="000000"/>
        <w:sz w:val="22"/>
        <w:szCs w:val="22"/>
      </w:rPr>
      <w:t>1</w:t>
    </w:r>
    <w:r>
      <w:rPr>
        <w:rFonts w:ascii="Arial" w:eastAsia="Arial" w:hAnsi="Arial" w:cs="Arial"/>
        <w:color w:val="000000"/>
        <w:sz w:val="22"/>
        <w:szCs w:val="22"/>
      </w:rPr>
      <w:fldChar w:fldCharType="end"/>
    </w:r>
  </w:p>
  <w:p w14:paraId="3B2F9064" w14:textId="77777777" w:rsidR="00B64858" w:rsidRDefault="00B64858">
    <w:pPr>
      <w:pBdr>
        <w:top w:val="nil"/>
        <w:left w:val="nil"/>
        <w:bottom w:val="nil"/>
        <w:right w:val="nil"/>
        <w:between w:val="nil"/>
      </w:pBdr>
      <w:tabs>
        <w:tab w:val="center" w:pos="4513"/>
        <w:tab w:val="right" w:pos="9026"/>
      </w:tabs>
      <w:spacing w:line="240" w:lineRule="auto"/>
      <w:jc w:val="lef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4A415" w14:textId="77777777" w:rsidR="002B60B1" w:rsidRDefault="002B60B1">
      <w:pPr>
        <w:spacing w:line="240" w:lineRule="auto"/>
      </w:pPr>
      <w:r>
        <w:separator/>
      </w:r>
    </w:p>
  </w:footnote>
  <w:footnote w:type="continuationSeparator" w:id="0">
    <w:p w14:paraId="0F9E860F" w14:textId="77777777" w:rsidR="002B60B1" w:rsidRDefault="002B60B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858"/>
    <w:rsid w:val="000239D9"/>
    <w:rsid w:val="00103E2C"/>
    <w:rsid w:val="002B60B1"/>
    <w:rsid w:val="00395A54"/>
    <w:rsid w:val="007C5B0D"/>
    <w:rsid w:val="00865DA7"/>
    <w:rsid w:val="00B16CD2"/>
    <w:rsid w:val="00B64858"/>
    <w:rsid w:val="00E46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F9013"/>
  <w15:docId w15:val="{65E946D0-26C3-4272-9011-5CFEE97F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tabs>
          <w:tab w:val="left" w:pos="6540"/>
        </w:tabs>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spacing w:line="240" w:lineRule="auto"/>
      <w:outlineLvl w:val="2"/>
    </w:pPr>
    <w:rPr>
      <w:rFonts w:ascii="Arial" w:eastAsia="Arial" w:hAnsi="Arial" w:cs="Arial"/>
      <w:b/>
      <w:bCs/>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nxpjqu4KByBb9RU9xJd87VqZWw==">CgMxLjAyDGguam5wcWN4bHFxYzIOaC5lcGg2aHo1eDhzZGMyDmgucXlvcTR2dWNpampuMg5oLjFtM2t2ZnVoOGw0YzgAciExTFhoZjlwM2VZZmxEaU5zLUR1ZlpTN1NieFZNdDFLbkM=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3195</Words>
  <Characters>18218</Characters>
  <Application>Microsoft Office Word</Application>
  <DocSecurity>0</DocSecurity>
  <Lines>151</Lines>
  <Paragraphs>42</Paragraphs>
  <ScaleCrop>false</ScaleCrop>
  <Company/>
  <LinksUpToDate>false</LinksUpToDate>
  <CharactersWithSpaces>21371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Lucica-Stanca Oprescu (2417337)</cp:lastModifiedBy>
  <cp:revision>8</cp:revision>
  <dcterms:created xsi:type="dcterms:W3CDTF">2026-07-18T22:08:00Z</dcterms:created>
  <dcterms:modified xsi:type="dcterms:W3CDTF">2026-07-18T22:14:00Z</dcterms:modified>
</cp:coreProperties>
</file>