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sdt>
      <w:sdtPr>
        <w:id w:val="-1077660622"/>
        <w:docPartObj>
          <w:docPartGallery w:val="Cover Pages"/>
          <w:docPartUnique/>
        </w:docPartObj>
      </w:sdtPr>
      <w:sdtEndPr>
        <w:rPr>
          <w:rFonts w:ascii="Arial" w:hAnsi="Arial" w:cs="Arial"/>
          <w:kern w:val="2"/>
          <w14:ligatures w14:val="standardContextual"/>
        </w:rPr>
      </w:sdtEndPr>
      <w:sdtContent>
        <w:p w:rsidR="002F60C1" w:rsidRDefault="002F60C1" w14:paraId="55309BA5" w14:textId="6F7468BB">
          <w:pPr>
            <w:pStyle w:val="NoSpacing"/>
          </w:pPr>
          <w:r>
            <w:rPr>
              <w:noProof/>
            </w:rPr>
            <mc:AlternateContent>
              <mc:Choice Requires="wpg">
                <w:drawing>
                  <wp:anchor distT="0" distB="0" distL="114300" distR="114300" simplePos="0" relativeHeight="251659264" behindDoc="1" locked="0" layoutInCell="1" allowOverlap="1" wp14:anchorId="44CFDC1D" wp14:editId="753C0FD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6T00:00:00Z">
                                      <w:dateFormat w:val="M/d/yyyy"/>
                                      <w:lid w:val="en-US"/>
                                      <w:storeMappedDataAs w:val="dateTime"/>
                                      <w:calendar w:val="gregorian"/>
                                    </w:date>
                                  </w:sdtPr>
                                  <w:sdtContent>
                                    <w:p w:rsidR="002F60C1" w:rsidRDefault="004168B3" w14:paraId="4AE8AEE2" w14:textId="0B8DBAED">
                                      <w:pPr>
                                        <w:pStyle w:val="NoSpacing"/>
                                        <w:jc w:val="right"/>
                                        <w:rPr>
                                          <w:color w:val="FFFFFF" w:themeColor="background1"/>
                                          <w:sz w:val="28"/>
                                          <w:szCs w:val="28"/>
                                        </w:rPr>
                                      </w:pPr>
                                      <w:r>
                                        <w:rPr>
                                          <w:color w:val="FFFFFF" w:themeColor="background1"/>
                                          <w:sz w:val="28"/>
                                          <w:szCs w:val="28"/>
                                          <w:lang w:val="en-US"/>
                                        </w:rPr>
                                        <w:t>11/16/2025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w14:anchorId="7BDA552E">
                  <v:group id="Group 1"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spid="_x0000_s1026" w14:anchorId="44CFDC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5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v:textbox inset=",0,14.4pt,0">
                        <w:txbxContent>
                          <w:sdt>
                            <w:sdtPr>
                              <w:id w:val="1457583615"/>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6T00:00:00Z">
                                <w:dateFormat w:val="M/d/yyyy"/>
                                <w:lid w:val="en-US"/>
                                <w:storeMappedDataAs w:val="dateTime"/>
                                <w:calendar w:val="gregorian"/>
                              </w:date>
                            </w:sdtPr>
                            <w:sdtContent>
                              <w:p w:rsidR="002F60C1" w:rsidRDefault="004168B3" w14:paraId="39B71BC5" w14:textId="0B8DBAED">
                                <w:pPr>
                                  <w:pStyle w:val="NoSpacing"/>
                                  <w:jc w:val="right"/>
                                  <w:rPr>
                                    <w:color w:val="FFFFFF" w:themeColor="background1"/>
                                    <w:sz w:val="28"/>
                                    <w:szCs w:val="28"/>
                                  </w:rPr>
                                </w:pPr>
                                <w:r>
                                  <w:rPr>
                                    <w:color w:val="FFFFFF" w:themeColor="background1"/>
                                    <w:sz w:val="28"/>
                                    <w:szCs w:val="28"/>
                                    <w:lang w:val="en-US"/>
                                  </w:rPr>
                                  <w:t>11/16/2025</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C3873A3" wp14:editId="3CB9077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F60C1" w:rsidRDefault="002F60C1" w14:paraId="5B89EB8B" w14:textId="4ABBB32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Muhib Akbar (2333845)</w:t>
                                    </w:r>
                                  </w:sdtContent>
                                </w:sdt>
                              </w:p>
                              <w:p w:rsidR="002F60C1" w:rsidRDefault="002F60C1" w14:paraId="551E0C5C" w14:textId="0F1803D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D3604">
                                      <w:rPr>
                                        <w:caps/>
                                        <w:color w:val="595959" w:themeColor="text1" w:themeTint="A6"/>
                                        <w:sz w:val="20"/>
                                        <w:szCs w:val="20"/>
                                      </w:rPr>
                                      <w:t>2333845</w:t>
                                    </w:r>
                                    <w:r w:rsidR="001A0F62">
                                      <w:rPr>
                                        <w:caps/>
                                        <w:color w:val="595959" w:themeColor="text1" w:themeTint="A6"/>
                                        <w:sz w:val="20"/>
                                        <w:szCs w:val="20"/>
                                      </w:rPr>
                                      <w:t>@Student.uwts</w:t>
                                    </w:r>
                                    <w:r w:rsidR="00DA5EF3">
                                      <w:rPr>
                                        <w:caps/>
                                        <w:color w:val="595959" w:themeColor="text1" w:themeTint="A6"/>
                                        <w:sz w:val="20"/>
                                        <w:szCs w:val="20"/>
                                      </w:rPr>
                                      <w:t>d.ac.uk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w14:anchorId="4C7A78A3">
                  <v:shapetype id="_x0000_t202" coordsize="21600,21600" o:spt="202" path="m,l,21600r21600,l21600,xe" w14:anchorId="1C3873A3">
                    <v:stroke joinstyle="miter"/>
                    <v:path gradientshapeok="t" o:connecttype="rect"/>
                  </v:shapetype>
                  <v:shape id="Text Box 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2F60C1" w:rsidRDefault="002F60C1" w14:paraId="1B1760EB" w14:textId="4ABBB324">
                          <w:pPr>
                            <w:pStyle w:val="NoSpacing"/>
                            <w:rPr>
                              <w:color w:val="156082" w:themeColor="accent1"/>
                              <w:sz w:val="26"/>
                              <w:szCs w:val="26"/>
                            </w:rPr>
                          </w:pPr>
                          <w:sdt>
                            <w:sdtPr>
                              <w:id w:val="542906074"/>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Muhib Akbar (2333845)</w:t>
                              </w:r>
                            </w:sdtContent>
                          </w:sdt>
                        </w:p>
                        <w:p w:rsidR="002F60C1" w:rsidRDefault="002F60C1" w14:paraId="74AA133C" w14:textId="0F1803D5">
                          <w:pPr>
                            <w:pStyle w:val="NoSpacing"/>
                            <w:rPr>
                              <w:color w:val="595959" w:themeColor="text1" w:themeTint="A6"/>
                              <w:sz w:val="20"/>
                              <w:szCs w:val="20"/>
                            </w:rPr>
                          </w:pPr>
                          <w:sdt>
                            <w:sdtPr>
                              <w:id w:val="376660818"/>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D3604">
                                <w:rPr>
                                  <w:caps/>
                                  <w:color w:val="595959" w:themeColor="text1" w:themeTint="A6"/>
                                  <w:sz w:val="20"/>
                                  <w:szCs w:val="20"/>
                                </w:rPr>
                                <w:t>2333845</w:t>
                              </w:r>
                              <w:r w:rsidR="001A0F62">
                                <w:rPr>
                                  <w:caps/>
                                  <w:color w:val="595959" w:themeColor="text1" w:themeTint="A6"/>
                                  <w:sz w:val="20"/>
                                  <w:szCs w:val="20"/>
                                </w:rPr>
                                <w:t>@Student.uwts</w:t>
                              </w:r>
                              <w:r w:rsidR="00DA5EF3">
                                <w:rPr>
                                  <w:caps/>
                                  <w:color w:val="595959" w:themeColor="text1" w:themeTint="A6"/>
                                  <w:sz w:val="20"/>
                                  <w:szCs w:val="20"/>
                                </w:rPr>
                                <w:t>d.ac.uk</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1600C24" wp14:editId="7CBE857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F60C1" w:rsidRDefault="00C10A1E" w14:paraId="7CCD0F98" w14:textId="4AF19E27">
                                <w:pPr>
                                  <w:pStyle w:val="NoSpacing"/>
                                  <w:rPr>
                                    <w:rFonts w:hint="eastAsia"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10A1E">
                                      <w:rPr>
                                        <w:rFonts w:asciiTheme="majorHAnsi" w:hAnsiTheme="majorHAnsi" w:eastAsiaTheme="majorEastAsia" w:cstheme="majorBidi"/>
                                        <w:color w:val="262626" w:themeColor="text1" w:themeTint="D9"/>
                                        <w:sz w:val="72"/>
                                        <w:szCs w:val="72"/>
                                      </w:rPr>
                                      <w:t>Understanding and Engaging Stakeholders (LCLM500</w:t>
                                    </w:r>
                                    <w:r>
                                      <w:rPr>
                                        <w:rFonts w:asciiTheme="majorHAnsi" w:hAnsiTheme="majorHAnsi" w:eastAsiaTheme="majorEastAsia" w:cstheme="majorBidi"/>
                                        <w:color w:val="262626" w:themeColor="text1" w:themeTint="D9"/>
                                        <w:sz w:val="72"/>
                                        <w:szCs w:val="72"/>
                                      </w:rPr>
                                      <w:t>1)</w:t>
                                    </w:r>
                                    <w:r w:rsidR="00611352">
                                      <w:rPr>
                                        <w:rFonts w:asciiTheme="majorHAnsi" w:hAnsiTheme="majorHAnsi" w:eastAsiaTheme="majorEastAsia" w:cstheme="majorBidi"/>
                                        <w:color w:val="262626" w:themeColor="text1" w:themeTint="D9"/>
                                        <w:sz w:val="72"/>
                                        <w:szCs w:val="72"/>
                                      </w:rPr>
                                      <w:t xml:space="preserve"> </w:t>
                                    </w:r>
                                  </w:sdtContent>
                                </w:sdt>
                              </w:p>
                              <w:p w:rsidR="002F60C1" w:rsidRDefault="002F60C1" w14:paraId="61DC22D1" w14:textId="7D82A35E">
                                <w:pPr>
                                  <w:spacing w:before="120"/>
                                  <w:rPr>
                                    <w:color w:val="404040" w:themeColor="text1" w:themeTint="BF"/>
                                    <w:sz w:val="36"/>
                                    <w:szCs w:val="36"/>
                                  </w:rPr>
                                </w:pPr>
                                <w:sdt>
                                  <w:sdtPr>
                                    <w:rPr>
                                      <w:color w:val="404040" w:themeColor="text1" w:themeTint="BF"/>
                                      <w:sz w:val="52"/>
                                      <w:szCs w:val="5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AD1FFF" w:rsidR="00592A98">
                                      <w:rPr>
                                        <w:color w:val="404040" w:themeColor="text1" w:themeTint="BF"/>
                                        <w:sz w:val="52"/>
                                        <w:szCs w:val="52"/>
                                      </w:rPr>
                                      <w:t>L</w:t>
                                    </w:r>
                                    <w:r w:rsidRPr="00AD1FFF" w:rsidR="00281AD6">
                                      <w:rPr>
                                        <w:color w:val="404040" w:themeColor="text1" w:themeTint="BF"/>
                                        <w:sz w:val="52"/>
                                        <w:szCs w:val="52"/>
                                      </w:rPr>
                                      <w:t>ectu</w:t>
                                    </w:r>
                                    <w:r w:rsidRPr="00AD1FFF" w:rsidR="00AD1FFF">
                                      <w:rPr>
                                        <w:color w:val="404040" w:themeColor="text1" w:themeTint="BF"/>
                                        <w:sz w:val="52"/>
                                        <w:szCs w:val="52"/>
                                      </w:rPr>
                                      <w:t>rer Name:</w:t>
                                    </w:r>
                                    <w:r w:rsidR="00AD1FFF">
                                      <w:rPr>
                                        <w:color w:val="404040" w:themeColor="text1" w:themeTint="BF"/>
                                        <w:sz w:val="52"/>
                                        <w:szCs w:val="52"/>
                                      </w:rPr>
                                      <w:t xml:space="preserve"> </w:t>
                                    </w:r>
                                    <w:r w:rsidR="00AB77CF">
                                      <w:rPr>
                                        <w:color w:val="404040" w:themeColor="text1" w:themeTint="BF"/>
                                        <w:sz w:val="52"/>
                                        <w:szCs w:val="52"/>
                                      </w:rPr>
                                      <w:t>Eric Osei</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w14:anchorId="73A8E015">
                  <v:shape id="Text Box 3"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w14:anchorId="21600C24">
                    <v:textbox style="mso-fit-shape-to-text:t" inset="0,0,0,0">
                      <w:txbxContent>
                        <w:p w:rsidR="002F60C1" w:rsidRDefault="00C10A1E" w14:paraId="78518D73" w14:textId="4AF19E27">
                          <w:pPr>
                            <w:pStyle w:val="NoSpacing"/>
                            <w:rPr>
                              <w:rFonts w:hint="eastAsia" w:asciiTheme="majorHAnsi" w:hAnsiTheme="majorHAnsi" w:eastAsiaTheme="majorEastAsia" w:cstheme="majorBidi"/>
                              <w:color w:val="262626" w:themeColor="text1" w:themeTint="D9"/>
                              <w:sz w:val="72"/>
                            </w:rPr>
                          </w:pPr>
                          <w:sdt>
                            <w:sdtPr>
                              <w:id w:val="929851774"/>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10A1E">
                                <w:rPr>
                                  <w:rFonts w:asciiTheme="majorHAnsi" w:hAnsiTheme="majorHAnsi" w:eastAsiaTheme="majorEastAsia" w:cstheme="majorBidi"/>
                                  <w:color w:val="262626" w:themeColor="text1" w:themeTint="D9"/>
                                  <w:sz w:val="72"/>
                                  <w:szCs w:val="72"/>
                                </w:rPr>
                                <w:t>Understanding and Engaging Stakeholders (LCLM500</w:t>
                              </w:r>
                              <w:r>
                                <w:rPr>
                                  <w:rFonts w:asciiTheme="majorHAnsi" w:hAnsiTheme="majorHAnsi" w:eastAsiaTheme="majorEastAsia" w:cstheme="majorBidi"/>
                                  <w:color w:val="262626" w:themeColor="text1" w:themeTint="D9"/>
                                  <w:sz w:val="72"/>
                                  <w:szCs w:val="72"/>
                                </w:rPr>
                                <w:t>1)</w:t>
                              </w:r>
                              <w:r w:rsidR="00611352">
                                <w:rPr>
                                  <w:rFonts w:asciiTheme="majorHAnsi" w:hAnsiTheme="majorHAnsi" w:eastAsiaTheme="majorEastAsia" w:cstheme="majorBidi"/>
                                  <w:color w:val="262626" w:themeColor="text1" w:themeTint="D9"/>
                                  <w:sz w:val="72"/>
                                  <w:szCs w:val="72"/>
                                </w:rPr>
                                <w:t xml:space="preserve"> </w:t>
                              </w:r>
                            </w:sdtContent>
                          </w:sdt>
                        </w:p>
                        <w:p w:rsidR="002F60C1" w:rsidRDefault="002F60C1" w14:paraId="66904B2D" w14:textId="7D82A35E">
                          <w:pPr>
                            <w:spacing w:before="120"/>
                            <w:rPr>
                              <w:color w:val="404040" w:themeColor="text1" w:themeTint="BF"/>
                              <w:sz w:val="36"/>
                              <w:szCs w:val="36"/>
                            </w:rPr>
                          </w:pPr>
                          <w:sdt>
                            <w:sdtPr>
                              <w:id w:val="1196272849"/>
                              <w:rPr>
                                <w:color w:val="404040" w:themeColor="text1" w:themeTint="BF"/>
                                <w:sz w:val="52"/>
                                <w:szCs w:val="5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AD1FFF" w:rsidR="00592A98">
                                <w:rPr>
                                  <w:color w:val="404040" w:themeColor="text1" w:themeTint="BF"/>
                                  <w:sz w:val="52"/>
                                  <w:szCs w:val="52"/>
                                </w:rPr>
                                <w:t>L</w:t>
                              </w:r>
                              <w:r w:rsidRPr="00AD1FFF" w:rsidR="00281AD6">
                                <w:rPr>
                                  <w:color w:val="404040" w:themeColor="text1" w:themeTint="BF"/>
                                  <w:sz w:val="52"/>
                                  <w:szCs w:val="52"/>
                                </w:rPr>
                                <w:t>ectu</w:t>
                              </w:r>
                              <w:r w:rsidRPr="00AD1FFF" w:rsidR="00AD1FFF">
                                <w:rPr>
                                  <w:color w:val="404040" w:themeColor="text1" w:themeTint="BF"/>
                                  <w:sz w:val="52"/>
                                  <w:szCs w:val="52"/>
                                </w:rPr>
                                <w:t>rer Name:</w:t>
                              </w:r>
                              <w:r w:rsidR="00AD1FFF">
                                <w:rPr>
                                  <w:color w:val="404040" w:themeColor="text1" w:themeTint="BF"/>
                                  <w:sz w:val="52"/>
                                  <w:szCs w:val="52"/>
                                </w:rPr>
                                <w:t xml:space="preserve"> </w:t>
                              </w:r>
                              <w:r w:rsidR="00AB77CF">
                                <w:rPr>
                                  <w:color w:val="404040" w:themeColor="text1" w:themeTint="BF"/>
                                  <w:sz w:val="52"/>
                                  <w:szCs w:val="52"/>
                                </w:rPr>
                                <w:t>Eric Osei</w:t>
                              </w:r>
                            </w:sdtContent>
                          </w:sdt>
                        </w:p>
                      </w:txbxContent>
                    </v:textbox>
                    <w10:wrap anchorx="page" anchory="page"/>
                  </v:shape>
                </w:pict>
              </mc:Fallback>
            </mc:AlternateContent>
          </w:r>
        </w:p>
        <w:p w:rsidR="002F60C1" w:rsidRDefault="002F60C1" w14:paraId="599E8CB9" w14:textId="1E3F8E7A">
          <w:pPr>
            <w:rPr>
              <w:rFonts w:ascii="Arial" w:hAnsi="Arial" w:cs="Arial"/>
              <w:sz w:val="22"/>
              <w:szCs w:val="22"/>
            </w:rPr>
          </w:pPr>
        </w:p>
      </w:sdtContent>
    </w:sdt>
    <w:p w:rsidR="00143606" w:rsidRDefault="00143606" w14:paraId="7795DA68" w14:textId="77777777">
      <w:pPr>
        <w:rPr>
          <w:rFonts w:ascii="Arial" w:hAnsi="Arial" w:cs="Arial"/>
          <w:sz w:val="22"/>
          <w:szCs w:val="22"/>
        </w:rPr>
      </w:pPr>
    </w:p>
    <w:p w:rsidR="005B0605" w:rsidRDefault="005B0605" w14:paraId="4ADFADA6" w14:textId="77777777">
      <w:pPr>
        <w:rPr>
          <w:rFonts w:ascii="Arial" w:hAnsi="Arial" w:cs="Arial"/>
          <w:sz w:val="22"/>
          <w:szCs w:val="22"/>
        </w:rPr>
      </w:pPr>
    </w:p>
    <w:p w:rsidR="005B0605" w:rsidRDefault="005B0605" w14:paraId="460F0160" w14:textId="77777777">
      <w:pPr>
        <w:rPr>
          <w:rFonts w:ascii="Arial" w:hAnsi="Arial" w:cs="Arial"/>
          <w:sz w:val="22"/>
          <w:szCs w:val="22"/>
        </w:rPr>
      </w:pPr>
    </w:p>
    <w:p w:rsidR="00B3661F" w:rsidRDefault="00B3661F" w14:paraId="74FA2B0B" w14:textId="7202247C">
      <w:pPr>
        <w:rPr>
          <w:rFonts w:ascii="Arial" w:hAnsi="Arial" w:cs="Arial"/>
          <w:sz w:val="22"/>
          <w:szCs w:val="22"/>
        </w:rPr>
      </w:pPr>
    </w:p>
    <w:p w:rsidR="00B3661F" w:rsidRDefault="00B3661F" w14:paraId="573E8D13" w14:textId="77777777">
      <w:pPr>
        <w:rPr>
          <w:rFonts w:ascii="Arial" w:hAnsi="Arial" w:cs="Arial"/>
          <w:sz w:val="22"/>
          <w:szCs w:val="22"/>
        </w:rPr>
      </w:pPr>
      <w:r>
        <w:rPr>
          <w:rFonts w:ascii="Arial" w:hAnsi="Arial" w:cs="Arial"/>
          <w:sz w:val="22"/>
          <w:szCs w:val="22"/>
        </w:rPr>
        <w:br w:type="page"/>
      </w:r>
    </w:p>
    <w:p w:rsidRPr="00CA4FE4" w:rsidR="00CA4FE4" w:rsidP="00CA4FE4" w:rsidRDefault="00CA4FE4" w14:paraId="35F833F5" w14:textId="77777777">
      <w:pPr>
        <w:rPr>
          <w:rFonts w:ascii="Arial" w:hAnsi="Arial" w:cs="Arial"/>
          <w:b/>
          <w:bCs/>
          <w:sz w:val="22"/>
          <w:szCs w:val="22"/>
        </w:rPr>
      </w:pPr>
      <w:r w:rsidRPr="00CA4FE4">
        <w:rPr>
          <w:rFonts w:ascii="Arial" w:hAnsi="Arial" w:cs="Arial"/>
          <w:b/>
          <w:bCs/>
          <w:sz w:val="22"/>
          <w:szCs w:val="22"/>
        </w:rPr>
        <w:t>Stakeholder Engagement Report: Garmin UK Wearable Health Device</w:t>
      </w:r>
    </w:p>
    <w:p w:rsidRPr="00CA4FE4" w:rsidR="00CA4FE4" w:rsidP="00CA4FE4" w:rsidRDefault="00CA4FE4" w14:paraId="0DEE10BA" w14:textId="77777777">
      <w:pPr>
        <w:rPr>
          <w:rFonts w:ascii="Arial" w:hAnsi="Arial" w:cs="Arial"/>
          <w:b/>
          <w:bCs/>
          <w:sz w:val="22"/>
          <w:szCs w:val="22"/>
        </w:rPr>
      </w:pPr>
      <w:r w:rsidRPr="1512E119" w:rsidR="00CA4FE4">
        <w:rPr>
          <w:rFonts w:ascii="Arial" w:hAnsi="Arial" w:cs="Arial"/>
          <w:b w:val="1"/>
          <w:bCs w:val="1"/>
          <w:sz w:val="22"/>
          <w:szCs w:val="22"/>
        </w:rPr>
        <w:t>Executive Summary</w:t>
      </w:r>
    </w:p>
    <w:p w:rsidRPr="00CA4FE4" w:rsidR="00CA4FE4" w:rsidP="00CA4FE4" w:rsidRDefault="00CA4FE4" w14:paraId="6B9E4870" w14:textId="675DCF49">
      <w:pPr/>
      <w:r w:rsidRPr="1512E119" w:rsidR="16690156">
        <w:rPr>
          <w:rFonts w:ascii="Aptos" w:hAnsi="Aptos" w:eastAsia="Aptos" w:cs="Aptos"/>
          <w:noProof w:val="0"/>
          <w:sz w:val="24"/>
          <w:szCs w:val="24"/>
          <w:lang w:val="en-GB"/>
        </w:rPr>
        <w:t>This report critically evaluates how Garmin UK can effectively manage stakeholder relationships during the development and launch of a new smartwatch featuring health-monitoring capabilities, including heart rate tracking, oxygen saturation (SpO₂) measurement, and sleep monitoring. As the project manager responsible for the six-month development period, the report proposes stakeholder engagement approaches that support collaboration, minimise conflict, and ensure successful project delivery.</w:t>
      </w:r>
    </w:p>
    <w:p w:rsidRPr="00CA4FE4" w:rsidR="00CA4FE4" w:rsidP="00CA4FE4" w:rsidRDefault="00CA4FE4" w14:paraId="10717668" w14:textId="4A24B04A">
      <w:pPr/>
      <w:r w:rsidRPr="1512E119" w:rsidR="16690156">
        <w:rPr>
          <w:rFonts w:ascii="Aptos" w:hAnsi="Aptos" w:eastAsia="Aptos" w:cs="Aptos"/>
          <w:noProof w:val="0"/>
          <w:sz w:val="24"/>
          <w:szCs w:val="24"/>
          <w:lang w:val="en-GB"/>
        </w:rPr>
        <w:t>The report introduces Garmin UK’s business context and analyses the project environment using SWOT and PESTLE frameworks. It identifies key internal and external stakeholders and applies stakeholder management tools, including Mendelow’s stakeholder matrix, stakeholder mapping, and a RACI matrix, to assess their influence, interests, and responsibilities.</w:t>
      </w:r>
    </w:p>
    <w:p w:rsidRPr="00CA4FE4" w:rsidR="00CA4FE4" w:rsidP="00CA4FE4" w:rsidRDefault="00CA4FE4" w14:paraId="58EC12E0" w14:textId="69EC242F">
      <w:pPr/>
      <w:r w:rsidRPr="1512E119" w:rsidR="16690156">
        <w:rPr>
          <w:rFonts w:ascii="Aptos" w:hAnsi="Aptos" w:eastAsia="Aptos" w:cs="Aptos"/>
          <w:noProof w:val="0"/>
          <w:sz w:val="24"/>
          <w:szCs w:val="24"/>
          <w:lang w:val="en-GB"/>
        </w:rPr>
        <w:t>The report further examines stakeholder expectations, contributions, potential challenges, and engagement requirements. Relevant theories and communication strategies are applied alongside the 4Cs model (communication, coordination, cooperation, and collaboration) to strengthen stakeholder relationships and improve conflict management.</w:t>
      </w:r>
    </w:p>
    <w:p w:rsidRPr="00CA4FE4" w:rsidR="00CA4FE4" w:rsidP="00CA4FE4" w:rsidRDefault="00CA4FE4" w14:paraId="73303483" w14:textId="23C491E4">
      <w:pPr/>
      <w:r w:rsidRPr="1512E119" w:rsidR="16690156">
        <w:rPr>
          <w:rFonts w:ascii="Aptos" w:hAnsi="Aptos" w:eastAsia="Aptos" w:cs="Aptos"/>
          <w:noProof w:val="0"/>
          <w:sz w:val="24"/>
          <w:szCs w:val="24"/>
          <w:lang w:val="en-GB"/>
        </w:rPr>
        <w:t>Finally, the report considers how effective stakeholder engagement can enhance Garmin’s innovation, operational performance, financial outcomes, and market competitiveness. It concludes with recommendations for maintaining strong stakeholder involvement beyond the product launch.</w:t>
      </w:r>
    </w:p>
    <w:p w:rsidRPr="00CA4FE4" w:rsidR="00CA4FE4" w:rsidP="00CA4FE4" w:rsidRDefault="00CA4FE4" w14:paraId="7C9DCD7C" w14:textId="1CDCCD9C">
      <w:pPr>
        <w:rPr>
          <w:rFonts w:ascii="Arial" w:hAnsi="Arial" w:cs="Arial"/>
          <w:sz w:val="22"/>
          <w:szCs w:val="22"/>
        </w:rPr>
      </w:pPr>
    </w:p>
    <w:p w:rsidRPr="00CA4FE4" w:rsidR="00CA4FE4" w:rsidP="1512E119" w:rsidRDefault="00CA4FE4" w14:paraId="3958AB76" w14:textId="79FD14C8">
      <w:pPr>
        <w:rPr>
          <w:rFonts w:ascii="Arial" w:hAnsi="Arial" w:eastAsia="Arial" w:cs="Arial"/>
          <w:noProof w:val="0"/>
          <w:sz w:val="22"/>
          <w:szCs w:val="22"/>
          <w:lang w:val="en-GB"/>
        </w:rPr>
      </w:pPr>
      <w:r w:rsidRPr="1512E119" w:rsidR="00CA4FE4">
        <w:rPr>
          <w:rFonts w:ascii="Arial" w:hAnsi="Arial" w:cs="Arial"/>
          <w:b w:val="1"/>
          <w:bCs w:val="1"/>
          <w:sz w:val="22"/>
          <w:szCs w:val="22"/>
        </w:rPr>
        <w:t>1. Introduction</w:t>
      </w:r>
      <w:r w:rsidRPr="1512E119" w:rsidR="00307E78">
        <w:rPr>
          <w:rFonts w:ascii="Arial" w:hAnsi="Arial" w:cs="Arial"/>
          <w:b w:val="1"/>
          <w:bCs w:val="1"/>
          <w:sz w:val="22"/>
          <w:szCs w:val="22"/>
        </w:rPr>
        <w:t>:</w:t>
      </w:r>
    </w:p>
    <w:p w:rsidRPr="00CA4FE4" w:rsidR="00CA4FE4" w:rsidP="00CA4FE4" w:rsidRDefault="00CA4FE4" w14:paraId="5E3076B9" w14:textId="4A5871B5">
      <w:pPr/>
      <w:r w:rsidRPr="1512E119" w:rsidR="78EF429F">
        <w:rPr>
          <w:rFonts w:ascii="Arial" w:hAnsi="Arial" w:eastAsia="Arial" w:cs="Arial"/>
          <w:noProof w:val="0"/>
          <w:sz w:val="22"/>
          <w:szCs w:val="22"/>
          <w:lang w:val="en-GB"/>
        </w:rPr>
        <w:t>Garmin UK, part of Garmin Ltd., operates within the global wearable technology and navigation industry. Based in Southampton, the UK division supports regional marketing, customer services, and product adaptation. The company has developed a strong reputation for reliable GPS technology and durable smartwatches, while expanding into health-focused wearables through biometric features such as pulse oximetry, heart rate variability, and sleep monitoring (Garmin, 2024).</w:t>
      </w:r>
    </w:p>
    <w:p w:rsidRPr="00CA4FE4" w:rsidR="00CA4FE4" w:rsidP="00CA4FE4" w:rsidRDefault="00CA4FE4" w14:paraId="2E72F616" w14:textId="64E318FC">
      <w:pPr/>
      <w:r w:rsidRPr="1512E119" w:rsidR="78EF429F">
        <w:rPr>
          <w:rFonts w:ascii="Arial" w:hAnsi="Arial" w:eastAsia="Arial" w:cs="Arial"/>
          <w:noProof w:val="0"/>
          <w:sz w:val="22"/>
          <w:szCs w:val="22"/>
          <w:lang w:val="en-GB"/>
        </w:rPr>
        <w:t>Garmin UK is planning to introduce a new smartwatch designed to monitor heart rate, oxygen saturation (SpO₂), and sleep patterns. This development reflects growing consumer demand for preventative healthcare and personal health tracking, creating a valuable opportunity within the expanding wearable health market (Grand View Research, 2024). Delivering the product within six months requires effective coordination between engineering, operations, regulatory teams, marketing departments, and external partners.</w:t>
      </w:r>
    </w:p>
    <w:p w:rsidRPr="00CA4FE4" w:rsidR="00CA4FE4" w:rsidP="00CA4FE4" w:rsidRDefault="00CA4FE4" w14:paraId="1B00018A" w14:textId="47162A63">
      <w:pPr/>
      <w:r w:rsidRPr="1512E119" w:rsidR="78EF429F">
        <w:rPr>
          <w:rFonts w:ascii="Arial" w:hAnsi="Arial" w:eastAsia="Arial" w:cs="Arial"/>
          <w:noProof w:val="0"/>
          <w:sz w:val="22"/>
          <w:szCs w:val="22"/>
          <w:lang w:val="en-GB"/>
        </w:rPr>
        <w:t>As project manager, my role is to establish a stakeholder engagement approach that ensures cooperation, manages expectations, reduces project risks, and supports successful product delivery. SWOT and PESTLE frameworks are applied to evaluate the internal capabilities and external influences affecting the project.</w:t>
      </w:r>
    </w:p>
    <w:p w:rsidRPr="00CA4FE4" w:rsidR="00CA4FE4" w:rsidP="1512E119" w:rsidRDefault="00CA4FE4" w14:paraId="03CC8BAB" w14:textId="78B7D1AD">
      <w:pPr>
        <w:pStyle w:val="Normal"/>
        <w:rPr>
          <w:b w:val="1"/>
          <w:bCs w:val="1"/>
          <w:noProof w:val="0"/>
          <w:lang w:val="en-GB"/>
        </w:rPr>
      </w:pPr>
      <w:r w:rsidRPr="1512E119" w:rsidR="78EF429F">
        <w:rPr>
          <w:b w:val="1"/>
          <w:bCs w:val="1"/>
          <w:noProof w:val="0"/>
          <w:lang w:val="en-GB"/>
        </w:rPr>
        <w:t>2. SWOT Analysis</w:t>
      </w:r>
    </w:p>
    <w:p w:rsidRPr="00CA4FE4" w:rsidR="00CA4FE4" w:rsidP="00CA4FE4" w:rsidRDefault="00CA4FE4" w14:paraId="768CBFFF" w14:textId="06F4AE6C">
      <w:pPr/>
      <w:r w:rsidRPr="1512E119" w:rsidR="78EF429F">
        <w:rPr>
          <w:rFonts w:ascii="Arial" w:hAnsi="Arial" w:eastAsia="Arial" w:cs="Arial"/>
          <w:noProof w:val="0"/>
          <w:sz w:val="22"/>
          <w:szCs w:val="22"/>
          <w:lang w:val="en-GB"/>
        </w:rPr>
        <w:t>Garmin’s key strengths include its established brand reputation, technical expertise, and experience in wearable technology. Its existing health ecosystem, including advanced monitoring features and data capabilities, supports further innovation (Garmin, 2024). Additionally, growth within the fitness wearable market demonstrates strong commercial potential, with fitness-related wearables increasing by approximately 23% (Digitimes, 2023).</w:t>
      </w:r>
    </w:p>
    <w:p w:rsidRPr="00CA4FE4" w:rsidR="00CA4FE4" w:rsidP="00CA4FE4" w:rsidRDefault="00CA4FE4" w14:paraId="596C78CC" w14:textId="465C53F3">
      <w:pPr/>
      <w:r w:rsidRPr="1512E119" w:rsidR="78EF429F">
        <w:rPr>
          <w:rFonts w:ascii="Arial" w:hAnsi="Arial" w:eastAsia="Arial" w:cs="Arial"/>
          <w:noProof w:val="0"/>
          <w:sz w:val="22"/>
          <w:szCs w:val="22"/>
          <w:lang w:val="en-GB"/>
        </w:rPr>
        <w:t>However, Garmin faces several weaknesses. Dependence on external suppliers for specialist components may create production risks, while healthcare-related products require complex regulatory approval processes. Furthermore, competitors with stronger software and artificial intelligence capabilities may challenge Garmin’s innovation speed.</w:t>
      </w:r>
    </w:p>
    <w:p w:rsidRPr="00CA4FE4" w:rsidR="00CA4FE4" w:rsidP="00CA4FE4" w:rsidRDefault="00CA4FE4" w14:paraId="5E3B9C6C" w14:textId="45A87BA4">
      <w:pPr/>
      <w:r w:rsidRPr="1512E119" w:rsidR="78EF429F">
        <w:rPr>
          <w:rFonts w:ascii="Arial" w:hAnsi="Arial" w:eastAsia="Arial" w:cs="Arial"/>
          <w:noProof w:val="0"/>
          <w:sz w:val="22"/>
          <w:szCs w:val="22"/>
          <w:lang w:val="en-GB"/>
        </w:rPr>
        <w:t>Significant opportunities exist within the expanding UK wearable healthcare market, which is projected to achieve strong growth by 2030 (Grand View Research, 2024). Research partnerships, including Garmin’s collaboration with King’s College London, may improve product credibility and health research capability (Garmin, 2025). Emerging technologies such as artificial intelligence and predictive analytics can also enhance future product value.</w:t>
      </w:r>
    </w:p>
    <w:p w:rsidRPr="00CA4FE4" w:rsidR="00CA4FE4" w:rsidP="00CA4FE4" w:rsidRDefault="00CA4FE4" w14:paraId="0704F570" w14:textId="77BB66EA">
      <w:pPr/>
      <w:r w:rsidRPr="1512E119" w:rsidR="78EF429F">
        <w:rPr>
          <w:rFonts w:ascii="Arial" w:hAnsi="Arial" w:eastAsia="Arial" w:cs="Arial"/>
          <w:noProof w:val="0"/>
          <w:sz w:val="22"/>
          <w:szCs w:val="22"/>
          <w:lang w:val="en-GB"/>
        </w:rPr>
        <w:t>Despite these opportunities, Garmin faces threats from major technology competitors. Some studies suggest competing devices may outperform Garmin in specific areas (Tom’s Guide, 2025). Concerns regarding data protection, cybersecurity, and wearable accuracy may also affect customer trust, particularly as research highlights limitations in some smartwatch stress-monitoring capabilities (The Guardian, 2025).</w:t>
      </w:r>
    </w:p>
    <w:p w:rsidRPr="00CA4FE4" w:rsidR="00CA4FE4" w:rsidP="1512E119" w:rsidRDefault="00CA4FE4" w14:paraId="3723D4CE" w14:textId="2B3F382B">
      <w:pPr>
        <w:pStyle w:val="Normal"/>
        <w:rPr>
          <w:b w:val="1"/>
          <w:bCs w:val="1"/>
          <w:noProof w:val="0"/>
          <w:lang w:val="en-GB"/>
        </w:rPr>
      </w:pPr>
      <w:r w:rsidRPr="1512E119" w:rsidR="78EF429F">
        <w:rPr>
          <w:b w:val="1"/>
          <w:bCs w:val="1"/>
          <w:noProof w:val="0"/>
          <w:lang w:val="en-GB"/>
        </w:rPr>
        <w:t>3. PESTLE Analysis</w:t>
      </w:r>
    </w:p>
    <w:p w:rsidRPr="00CA4FE4" w:rsidR="00CA4FE4" w:rsidP="00CA4FE4" w:rsidRDefault="00CA4FE4" w14:paraId="2F6A6F61" w14:textId="25BAEC41">
      <w:pPr/>
      <w:r w:rsidRPr="1512E119" w:rsidR="78EF429F">
        <w:rPr>
          <w:rFonts w:ascii="Arial" w:hAnsi="Arial" w:eastAsia="Arial" w:cs="Arial"/>
          <w:noProof w:val="0"/>
          <w:sz w:val="22"/>
          <w:szCs w:val="22"/>
          <w:lang w:val="en-GB"/>
        </w:rPr>
        <w:t>Political factors include government support for digital healthcare, although Brexit-related trade issues and component imports may create challenges (Colley, 2021). Economic pressures, including inflation and manufacturing costs, may affect profitability, although increasing demand for health technology provides market opportunities (Industry Today, 2025).</w:t>
      </w:r>
    </w:p>
    <w:p w:rsidRPr="00CA4FE4" w:rsidR="00CA4FE4" w:rsidP="00CA4FE4" w:rsidRDefault="00CA4FE4" w14:paraId="5C27EADC" w14:textId="22973A16">
      <w:pPr/>
      <w:r w:rsidRPr="1512E119" w:rsidR="78EF429F">
        <w:rPr>
          <w:rFonts w:ascii="Arial" w:hAnsi="Arial" w:eastAsia="Arial" w:cs="Arial"/>
          <w:noProof w:val="0"/>
          <w:sz w:val="22"/>
          <w:szCs w:val="22"/>
          <w:lang w:val="en-GB"/>
        </w:rPr>
        <w:t>Social trends show greater consumer interest in self-monitoring and preventative healthcare. Technological developments in biosensors, artificial intelligence, and digital platforms create opportunities for improved wearable solutions (Kumar &amp; Sharma, 2022). Legal requirements, including UKCA certification and GDPR compliance, remain essential for protecting users and maintaining trust. Environmental expectations also influence operations, with Garmin’s conflict minerals report demonstrating commitment to responsible sourcing (Garmin, 2024).</w:t>
      </w:r>
    </w:p>
    <w:p w:rsidRPr="00CA4FE4" w:rsidR="00CA4FE4" w:rsidP="1512E119" w:rsidRDefault="00CA4FE4" w14:paraId="325195A6" w14:textId="5BDDE426">
      <w:pPr>
        <w:pStyle w:val="Normal"/>
        <w:rPr>
          <w:b w:val="1"/>
          <w:bCs w:val="1"/>
          <w:noProof w:val="0"/>
          <w:lang w:val="en-GB"/>
        </w:rPr>
      </w:pPr>
      <w:r w:rsidRPr="1512E119" w:rsidR="78EF429F">
        <w:rPr>
          <w:b w:val="1"/>
          <w:bCs w:val="1"/>
          <w:noProof w:val="0"/>
          <w:lang w:val="en-GB"/>
        </w:rPr>
        <w:t>4. SMART Objectives</w:t>
      </w:r>
    </w:p>
    <w:p w:rsidRPr="00CA4FE4" w:rsidR="00CA4FE4" w:rsidP="00CA4FE4" w:rsidRDefault="00CA4FE4" w14:paraId="682D2321" w14:textId="07081540">
      <w:pPr/>
      <w:r w:rsidRPr="1512E119" w:rsidR="78EF429F">
        <w:rPr>
          <w:rFonts w:ascii="Arial" w:hAnsi="Arial" w:eastAsia="Arial" w:cs="Arial"/>
          <w:b w:val="1"/>
          <w:bCs w:val="1"/>
          <w:noProof w:val="0"/>
          <w:sz w:val="22"/>
          <w:szCs w:val="22"/>
          <w:lang w:val="en-GB"/>
        </w:rPr>
        <w:t>Specific:</w:t>
      </w:r>
      <w:r w:rsidRPr="1512E119" w:rsidR="78EF429F">
        <w:rPr>
          <w:rFonts w:ascii="Arial" w:hAnsi="Arial" w:eastAsia="Arial" w:cs="Arial"/>
          <w:noProof w:val="0"/>
          <w:sz w:val="22"/>
          <w:szCs w:val="22"/>
          <w:lang w:val="en-GB"/>
        </w:rPr>
        <w:t xml:space="preserve"> Develop a smartwatch capable of monitoring heart rate, SpO₂, and sleep patterns.</w:t>
      </w:r>
    </w:p>
    <w:p w:rsidRPr="00CA4FE4" w:rsidR="00CA4FE4" w:rsidP="00CA4FE4" w:rsidRDefault="00CA4FE4" w14:paraId="1DD53038" w14:textId="0CA75294">
      <w:pPr/>
      <w:r w:rsidRPr="1512E119" w:rsidR="78EF429F">
        <w:rPr>
          <w:rFonts w:ascii="Arial" w:hAnsi="Arial" w:eastAsia="Arial" w:cs="Arial"/>
          <w:b w:val="1"/>
          <w:bCs w:val="1"/>
          <w:noProof w:val="0"/>
          <w:sz w:val="22"/>
          <w:szCs w:val="22"/>
          <w:lang w:val="en-GB"/>
        </w:rPr>
        <w:t>Measurable:</w:t>
      </w:r>
      <w:r w:rsidRPr="1512E119" w:rsidR="78EF429F">
        <w:rPr>
          <w:rFonts w:ascii="Arial" w:hAnsi="Arial" w:eastAsia="Arial" w:cs="Arial"/>
          <w:noProof w:val="0"/>
          <w:sz w:val="22"/>
          <w:szCs w:val="22"/>
          <w:lang w:val="en-GB"/>
        </w:rPr>
        <w:t xml:space="preserve"> Gain regulatory approval and produce 25,000 initial units.</w:t>
      </w:r>
    </w:p>
    <w:p w:rsidRPr="00CA4FE4" w:rsidR="00CA4FE4" w:rsidP="00CA4FE4" w:rsidRDefault="00CA4FE4" w14:paraId="21C2BB49" w14:textId="0B77ACD5">
      <w:pPr/>
      <w:r w:rsidRPr="1512E119" w:rsidR="78EF429F">
        <w:rPr>
          <w:rFonts w:ascii="Arial" w:hAnsi="Arial" w:eastAsia="Arial" w:cs="Arial"/>
          <w:b w:val="1"/>
          <w:bCs w:val="1"/>
          <w:noProof w:val="0"/>
          <w:sz w:val="22"/>
          <w:szCs w:val="22"/>
          <w:lang w:val="en-GB"/>
        </w:rPr>
        <w:t>Achievable:</w:t>
      </w:r>
      <w:r w:rsidRPr="1512E119" w:rsidR="78EF429F">
        <w:rPr>
          <w:rFonts w:ascii="Arial" w:hAnsi="Arial" w:eastAsia="Arial" w:cs="Arial"/>
          <w:noProof w:val="0"/>
          <w:sz w:val="22"/>
          <w:szCs w:val="22"/>
          <w:lang w:val="en-GB"/>
        </w:rPr>
        <w:t xml:space="preserve"> Use Garmin’s existing expertise, resources, and partnerships.</w:t>
      </w:r>
    </w:p>
    <w:p w:rsidRPr="00CA4FE4" w:rsidR="00CA4FE4" w:rsidP="00CA4FE4" w:rsidRDefault="00CA4FE4" w14:paraId="73B4244F" w14:textId="4643E84D">
      <w:pPr/>
      <w:r w:rsidRPr="1512E119" w:rsidR="78EF429F">
        <w:rPr>
          <w:rFonts w:ascii="Arial" w:hAnsi="Arial" w:eastAsia="Arial" w:cs="Arial"/>
          <w:b w:val="1"/>
          <w:bCs w:val="1"/>
          <w:noProof w:val="0"/>
          <w:sz w:val="22"/>
          <w:szCs w:val="22"/>
          <w:lang w:val="en-GB"/>
        </w:rPr>
        <w:t>Relevant:</w:t>
      </w:r>
      <w:r w:rsidRPr="1512E119" w:rsidR="78EF429F">
        <w:rPr>
          <w:rFonts w:ascii="Arial" w:hAnsi="Arial" w:eastAsia="Arial" w:cs="Arial"/>
          <w:noProof w:val="0"/>
          <w:sz w:val="22"/>
          <w:szCs w:val="22"/>
          <w:lang w:val="en-GB"/>
        </w:rPr>
        <w:t xml:space="preserve"> Support expansion within the health technology sector.</w:t>
      </w:r>
    </w:p>
    <w:p w:rsidRPr="00CA4FE4" w:rsidR="00CA4FE4" w:rsidP="00CA4FE4" w:rsidRDefault="00CA4FE4" w14:paraId="7F7D7A70" w14:textId="2C0CEF76">
      <w:pPr/>
      <w:r w:rsidRPr="1512E119" w:rsidR="78EF429F">
        <w:rPr>
          <w:rFonts w:ascii="Arial" w:hAnsi="Arial" w:eastAsia="Arial" w:cs="Arial"/>
          <w:b w:val="1"/>
          <w:bCs w:val="1"/>
          <w:noProof w:val="0"/>
          <w:sz w:val="22"/>
          <w:szCs w:val="22"/>
          <w:lang w:val="en-GB"/>
        </w:rPr>
        <w:t>Time-bound:</w:t>
      </w:r>
      <w:r w:rsidRPr="1512E119" w:rsidR="78EF429F">
        <w:rPr>
          <w:rFonts w:ascii="Arial" w:hAnsi="Arial" w:eastAsia="Arial" w:cs="Arial"/>
          <w:noProof w:val="0"/>
          <w:sz w:val="22"/>
          <w:szCs w:val="22"/>
          <w:lang w:val="en-GB"/>
        </w:rPr>
        <w:t xml:space="preserve"> Complete development and launch within six months.</w:t>
      </w:r>
    </w:p>
    <w:p w:rsidRPr="00CA4FE4" w:rsidR="00CA4FE4" w:rsidP="00CA4FE4" w:rsidRDefault="00CA4FE4" w14:paraId="4CE11002" w14:textId="61AA389F">
      <w:pPr>
        <w:rPr>
          <w:rFonts w:ascii="Arial" w:hAnsi="Arial" w:cs="Arial"/>
          <w:b w:val="1"/>
          <w:bCs w:val="1"/>
          <w:sz w:val="22"/>
          <w:szCs w:val="22"/>
        </w:rPr>
      </w:pPr>
    </w:p>
    <w:p w:rsidRPr="00CA4FE4" w:rsidR="00CA4FE4" w:rsidP="00CA4FE4" w:rsidRDefault="00CA4FE4" w14:paraId="28A24817" w14:textId="77777777">
      <w:pPr>
        <w:rPr>
          <w:rFonts w:ascii="Arial" w:hAnsi="Arial" w:cs="Arial"/>
          <w:sz w:val="22"/>
          <w:szCs w:val="22"/>
        </w:rPr>
      </w:pPr>
      <w:r w:rsidRPr="00CA4FE4">
        <w:rPr>
          <w:rFonts w:ascii="Arial" w:hAnsi="Arial" w:cs="Arial"/>
          <w:sz w:val="22"/>
          <w:szCs w:val="22"/>
        </w:rPr>
        <w:pict w14:anchorId="35FA75F9">
          <v:rect id="_x0000_i1095" style="width:0;height:1.5pt" o:hr="t" o:hrstd="t" o:hralign="center" fillcolor="#a0a0a0" stroked="f"/>
        </w:pict>
      </w:r>
    </w:p>
    <w:p w:rsidRPr="00CA4FE4" w:rsidR="00CA4FE4" w:rsidP="00CA4FE4" w:rsidRDefault="00CA4FE4" w14:paraId="74B4503A" w14:textId="6F32623A">
      <w:pPr>
        <w:rPr>
          <w:rFonts w:ascii="Arial" w:hAnsi="Arial" w:cs="Arial"/>
          <w:b/>
          <w:bCs/>
          <w:sz w:val="22"/>
          <w:szCs w:val="22"/>
        </w:rPr>
      </w:pPr>
      <w:r w:rsidRPr="00CA4FE4">
        <w:rPr>
          <w:rFonts w:ascii="Arial" w:hAnsi="Arial" w:cs="Arial"/>
          <w:b/>
          <w:bCs/>
          <w:sz w:val="22"/>
          <w:szCs w:val="22"/>
        </w:rPr>
        <w:t>3. Identification of Key Stakeholders</w:t>
      </w:r>
      <w:r w:rsidR="00374AD0">
        <w:rPr>
          <w:rFonts w:ascii="Arial" w:hAnsi="Arial" w:cs="Arial"/>
          <w:b/>
          <w:bCs/>
          <w:sz w:val="22"/>
          <w:szCs w:val="22"/>
        </w:rPr>
        <w:t>:</w:t>
      </w:r>
    </w:p>
    <w:p w:rsidRPr="00CA4FE4" w:rsidR="00CA4FE4" w:rsidP="00CA4FE4" w:rsidRDefault="00CA4FE4" w14:paraId="4476B1EA" w14:textId="77777777">
      <w:pPr>
        <w:rPr>
          <w:rFonts w:ascii="Arial" w:hAnsi="Arial" w:cs="Arial"/>
          <w:sz w:val="22"/>
          <w:szCs w:val="22"/>
        </w:rPr>
      </w:pPr>
      <w:r w:rsidRPr="00CA4FE4">
        <w:rPr>
          <w:rFonts w:ascii="Arial" w:hAnsi="Arial" w:cs="Arial"/>
          <w:sz w:val="22"/>
          <w:szCs w:val="22"/>
        </w:rPr>
        <w:t>Using stakeholder theory (Mitchell, Agle &amp; Wood, 1997), stakeholders are categorised based on their power, legitimacy, and urgency.</w:t>
      </w:r>
    </w:p>
    <w:p w:rsidRPr="00CA4FE4" w:rsidR="00CA4FE4" w:rsidP="00CA4FE4" w:rsidRDefault="00CA4FE4" w14:paraId="189426C4" w14:textId="77777777">
      <w:pPr>
        <w:rPr>
          <w:rFonts w:ascii="Arial" w:hAnsi="Arial" w:cs="Arial"/>
          <w:b/>
          <w:bCs/>
          <w:sz w:val="22"/>
          <w:szCs w:val="22"/>
        </w:rPr>
      </w:pPr>
      <w:r w:rsidRPr="00CA4FE4">
        <w:rPr>
          <w:rFonts w:ascii="Arial" w:hAnsi="Arial" w:cs="Arial"/>
          <w:b/>
          <w:bCs/>
          <w:sz w:val="22"/>
          <w:szCs w:val="22"/>
        </w:rPr>
        <w:t>Internal Stakeholders</w:t>
      </w:r>
    </w:p>
    <w:p w:rsidRPr="00CA4FE4" w:rsidR="00CA4FE4" w:rsidP="00CA4FE4" w:rsidRDefault="00CA4FE4" w14:paraId="069FEEFE" w14:textId="4941B13A">
      <w:pPr>
        <w:numPr>
          <w:ilvl w:val="0"/>
          <w:numId w:val="6"/>
        </w:numPr>
        <w:rPr>
          <w:rFonts w:ascii="Arial" w:hAnsi="Arial" w:cs="Arial"/>
          <w:sz w:val="22"/>
          <w:szCs w:val="22"/>
        </w:rPr>
      </w:pPr>
      <w:r w:rsidRPr="44CD8003" w:rsidR="00CA4FE4">
        <w:rPr>
          <w:rFonts w:ascii="Arial" w:hAnsi="Arial" w:cs="Arial"/>
          <w:b w:val="1"/>
          <w:bCs w:val="1"/>
          <w:sz w:val="22"/>
          <w:szCs w:val="22"/>
        </w:rPr>
        <w:t>Executive Leadership Team</w:t>
      </w:r>
      <w:r w:rsidRPr="44CD8003" w:rsidR="00CA4FE4">
        <w:rPr>
          <w:rFonts w:ascii="Arial" w:hAnsi="Arial" w:cs="Arial"/>
          <w:sz w:val="22"/>
          <w:szCs w:val="22"/>
        </w:rPr>
        <w:t xml:space="preserve"> – Includes Garmin UK managing directors, </w:t>
      </w:r>
      <w:r w:rsidRPr="44CD8003" w:rsidR="363DF450">
        <w:rPr>
          <w:rFonts w:ascii="Arial" w:hAnsi="Arial" w:cs="Arial"/>
          <w:sz w:val="22"/>
          <w:szCs w:val="22"/>
        </w:rPr>
        <w:t>health division</w:t>
      </w:r>
      <w:r w:rsidRPr="44CD8003" w:rsidR="00CA4FE4">
        <w:rPr>
          <w:rFonts w:ascii="Arial" w:hAnsi="Arial" w:cs="Arial"/>
          <w:sz w:val="22"/>
          <w:szCs w:val="22"/>
        </w:rPr>
        <w:t xml:space="preserve"> executives, and finance. They set strategy and </w:t>
      </w:r>
      <w:r w:rsidRPr="44CD8003" w:rsidR="00CA4FE4">
        <w:rPr>
          <w:rFonts w:ascii="Arial" w:hAnsi="Arial" w:cs="Arial"/>
          <w:sz w:val="22"/>
          <w:szCs w:val="22"/>
        </w:rPr>
        <w:t>allocate</w:t>
      </w:r>
      <w:r w:rsidRPr="44CD8003" w:rsidR="00CA4FE4">
        <w:rPr>
          <w:rFonts w:ascii="Arial" w:hAnsi="Arial" w:cs="Arial"/>
          <w:sz w:val="22"/>
          <w:szCs w:val="22"/>
        </w:rPr>
        <w:t xml:space="preserve"> budget.</w:t>
      </w:r>
    </w:p>
    <w:p w:rsidRPr="00CA4FE4" w:rsidR="00CA4FE4" w:rsidP="00CA4FE4" w:rsidRDefault="00CA4FE4" w14:paraId="40A04C2F" w14:textId="77777777">
      <w:pPr>
        <w:numPr>
          <w:ilvl w:val="0"/>
          <w:numId w:val="6"/>
        </w:numPr>
        <w:rPr>
          <w:rFonts w:ascii="Arial" w:hAnsi="Arial" w:cs="Arial"/>
          <w:sz w:val="22"/>
          <w:szCs w:val="22"/>
        </w:rPr>
      </w:pPr>
      <w:r w:rsidRPr="00CA4FE4">
        <w:rPr>
          <w:rFonts w:ascii="Arial" w:hAnsi="Arial" w:cs="Arial"/>
          <w:b/>
          <w:bCs/>
          <w:sz w:val="22"/>
          <w:szCs w:val="22"/>
        </w:rPr>
        <w:t>Product Development / Engineering</w:t>
      </w:r>
      <w:r w:rsidRPr="00CA4FE4">
        <w:rPr>
          <w:rFonts w:ascii="Arial" w:hAnsi="Arial" w:cs="Arial"/>
          <w:sz w:val="22"/>
          <w:szCs w:val="22"/>
        </w:rPr>
        <w:t xml:space="preserve"> – Hardware engineers, firmware developers, data engineers working on sensor integration and app connectivity.</w:t>
      </w:r>
    </w:p>
    <w:p w:rsidRPr="00CA4FE4" w:rsidR="00CA4FE4" w:rsidP="00CA4FE4" w:rsidRDefault="00CA4FE4" w14:paraId="60976C9B" w14:textId="77777777">
      <w:pPr>
        <w:numPr>
          <w:ilvl w:val="0"/>
          <w:numId w:val="6"/>
        </w:numPr>
        <w:rPr>
          <w:rFonts w:ascii="Arial" w:hAnsi="Arial" w:cs="Arial"/>
          <w:sz w:val="22"/>
          <w:szCs w:val="22"/>
        </w:rPr>
      </w:pPr>
      <w:r w:rsidRPr="00CA4FE4">
        <w:rPr>
          <w:rFonts w:ascii="Arial" w:hAnsi="Arial" w:cs="Arial"/>
          <w:b/>
          <w:bCs/>
          <w:sz w:val="22"/>
          <w:szCs w:val="22"/>
        </w:rPr>
        <w:t>Quality Assurance &amp; Regulatory Team</w:t>
      </w:r>
      <w:r w:rsidRPr="00CA4FE4">
        <w:rPr>
          <w:rFonts w:ascii="Arial" w:hAnsi="Arial" w:cs="Arial"/>
          <w:sz w:val="22"/>
          <w:szCs w:val="22"/>
        </w:rPr>
        <w:t xml:space="preserve"> – Responsible for device testing, risk management, and compliance certification.</w:t>
      </w:r>
    </w:p>
    <w:p w:rsidRPr="00CA4FE4" w:rsidR="00CA4FE4" w:rsidP="00CA4FE4" w:rsidRDefault="00CA4FE4" w14:paraId="2C2E65BA" w14:textId="24A02787">
      <w:pPr>
        <w:numPr>
          <w:ilvl w:val="0"/>
          <w:numId w:val="6"/>
        </w:numPr>
        <w:rPr>
          <w:rFonts w:ascii="Arial" w:hAnsi="Arial" w:cs="Arial"/>
          <w:sz w:val="22"/>
          <w:szCs w:val="22"/>
        </w:rPr>
      </w:pPr>
      <w:r w:rsidRPr="44CD8003" w:rsidR="00CA4FE4">
        <w:rPr>
          <w:rFonts w:ascii="Arial" w:hAnsi="Arial" w:cs="Arial"/>
          <w:b w:val="1"/>
          <w:bCs w:val="1"/>
          <w:sz w:val="22"/>
          <w:szCs w:val="22"/>
        </w:rPr>
        <w:t>Marketing Department</w:t>
      </w:r>
      <w:r w:rsidRPr="44CD8003" w:rsidR="00CA4FE4">
        <w:rPr>
          <w:rFonts w:ascii="Arial" w:hAnsi="Arial" w:cs="Arial"/>
          <w:sz w:val="22"/>
          <w:szCs w:val="22"/>
        </w:rPr>
        <w:t xml:space="preserve"> – Market research, branding, </w:t>
      </w:r>
      <w:r w:rsidRPr="44CD8003" w:rsidR="0ACC6A49">
        <w:rPr>
          <w:rFonts w:ascii="Arial" w:hAnsi="Arial" w:cs="Arial"/>
          <w:sz w:val="22"/>
          <w:szCs w:val="22"/>
        </w:rPr>
        <w:t>got market</w:t>
      </w:r>
      <w:r w:rsidRPr="44CD8003" w:rsidR="00CA4FE4">
        <w:rPr>
          <w:rFonts w:ascii="Arial" w:hAnsi="Arial" w:cs="Arial"/>
          <w:sz w:val="22"/>
          <w:szCs w:val="22"/>
        </w:rPr>
        <w:t xml:space="preserve"> strategy.</w:t>
      </w:r>
    </w:p>
    <w:p w:rsidRPr="00CA4FE4" w:rsidR="00CA4FE4" w:rsidP="00CA4FE4" w:rsidRDefault="00CA4FE4" w14:paraId="0B016E3C" w14:textId="77777777">
      <w:pPr>
        <w:numPr>
          <w:ilvl w:val="0"/>
          <w:numId w:val="6"/>
        </w:numPr>
        <w:rPr>
          <w:rFonts w:ascii="Arial" w:hAnsi="Arial" w:cs="Arial"/>
          <w:sz w:val="22"/>
          <w:szCs w:val="22"/>
        </w:rPr>
      </w:pPr>
      <w:r w:rsidRPr="00CA4FE4">
        <w:rPr>
          <w:rFonts w:ascii="Arial" w:hAnsi="Arial" w:cs="Arial"/>
          <w:b/>
          <w:bCs/>
          <w:sz w:val="22"/>
          <w:szCs w:val="22"/>
        </w:rPr>
        <w:t>Operations &amp; Supply Chain</w:t>
      </w:r>
      <w:r w:rsidRPr="00CA4FE4">
        <w:rPr>
          <w:rFonts w:ascii="Arial" w:hAnsi="Arial" w:cs="Arial"/>
          <w:sz w:val="22"/>
          <w:szCs w:val="22"/>
        </w:rPr>
        <w:t xml:space="preserve"> – Supplier management, procurement, production planning.</w:t>
      </w:r>
    </w:p>
    <w:p w:rsidRPr="00CA4FE4" w:rsidR="00CA4FE4" w:rsidP="00CA4FE4" w:rsidRDefault="00CA4FE4" w14:paraId="50EEA938" w14:textId="77777777">
      <w:pPr>
        <w:numPr>
          <w:ilvl w:val="0"/>
          <w:numId w:val="6"/>
        </w:numPr>
        <w:rPr>
          <w:rFonts w:ascii="Arial" w:hAnsi="Arial" w:cs="Arial"/>
          <w:sz w:val="22"/>
          <w:szCs w:val="22"/>
        </w:rPr>
      </w:pPr>
      <w:r w:rsidRPr="00CA4FE4">
        <w:rPr>
          <w:rFonts w:ascii="Arial" w:hAnsi="Arial" w:cs="Arial"/>
          <w:b/>
          <w:bCs/>
          <w:sz w:val="22"/>
          <w:szCs w:val="22"/>
        </w:rPr>
        <w:t>Customer Support / Services</w:t>
      </w:r>
      <w:r w:rsidRPr="00CA4FE4">
        <w:rPr>
          <w:rFonts w:ascii="Arial" w:hAnsi="Arial" w:cs="Arial"/>
          <w:sz w:val="22"/>
          <w:szCs w:val="22"/>
        </w:rPr>
        <w:t xml:space="preserve"> – Prepares user documentation and handles feedback post</w:t>
      </w:r>
      <w:r w:rsidRPr="00CA4FE4">
        <w:rPr>
          <w:rFonts w:ascii="Arial" w:hAnsi="Arial" w:cs="Arial"/>
          <w:sz w:val="22"/>
          <w:szCs w:val="22"/>
        </w:rPr>
        <w:noBreakHyphen/>
      </w:r>
      <w:r w:rsidRPr="00CA4FE4">
        <w:rPr>
          <w:rFonts w:ascii="Arial" w:hAnsi="Arial" w:cs="Arial"/>
          <w:sz w:val="22"/>
          <w:szCs w:val="22"/>
        </w:rPr>
        <w:t>launch.</w:t>
      </w:r>
    </w:p>
    <w:p w:rsidRPr="00CA4FE4" w:rsidR="00CA4FE4" w:rsidP="00CA4FE4" w:rsidRDefault="00CA4FE4" w14:paraId="6EDEB6BD" w14:textId="77777777">
      <w:pPr>
        <w:numPr>
          <w:ilvl w:val="0"/>
          <w:numId w:val="6"/>
        </w:numPr>
        <w:rPr>
          <w:rFonts w:ascii="Arial" w:hAnsi="Arial" w:cs="Arial"/>
          <w:sz w:val="22"/>
          <w:szCs w:val="22"/>
        </w:rPr>
      </w:pPr>
      <w:r w:rsidRPr="00CA4FE4">
        <w:rPr>
          <w:rFonts w:ascii="Arial" w:hAnsi="Arial" w:cs="Arial"/>
          <w:b/>
          <w:bCs/>
          <w:sz w:val="22"/>
          <w:szCs w:val="22"/>
        </w:rPr>
        <w:t>Finance Department</w:t>
      </w:r>
      <w:r w:rsidRPr="00CA4FE4">
        <w:rPr>
          <w:rFonts w:ascii="Arial" w:hAnsi="Arial" w:cs="Arial"/>
          <w:sz w:val="22"/>
          <w:szCs w:val="22"/>
        </w:rPr>
        <w:t xml:space="preserve"> – Monitors costs, ROI, and financial forecasts.</w:t>
      </w:r>
    </w:p>
    <w:p w:rsidRPr="00CA4FE4" w:rsidR="00CA4FE4" w:rsidP="00CA4FE4" w:rsidRDefault="00CA4FE4" w14:paraId="711551FD" w14:textId="77777777">
      <w:pPr>
        <w:rPr>
          <w:rFonts w:ascii="Arial" w:hAnsi="Arial" w:cs="Arial"/>
          <w:b/>
          <w:bCs/>
          <w:sz w:val="22"/>
          <w:szCs w:val="22"/>
        </w:rPr>
      </w:pPr>
      <w:r w:rsidRPr="00CA4FE4">
        <w:rPr>
          <w:rFonts w:ascii="Arial" w:hAnsi="Arial" w:cs="Arial"/>
          <w:b/>
          <w:bCs/>
          <w:sz w:val="22"/>
          <w:szCs w:val="22"/>
        </w:rPr>
        <w:t>External Stakeholders</w:t>
      </w:r>
    </w:p>
    <w:p w:rsidRPr="00CA4FE4" w:rsidR="00CA4FE4" w:rsidP="00CA4FE4" w:rsidRDefault="00CA4FE4" w14:paraId="59F75550" w14:textId="77777777">
      <w:pPr>
        <w:numPr>
          <w:ilvl w:val="0"/>
          <w:numId w:val="7"/>
        </w:numPr>
        <w:rPr>
          <w:rFonts w:ascii="Arial" w:hAnsi="Arial" w:cs="Arial"/>
          <w:sz w:val="22"/>
          <w:szCs w:val="22"/>
        </w:rPr>
      </w:pPr>
      <w:r w:rsidRPr="00CA4FE4">
        <w:rPr>
          <w:rFonts w:ascii="Arial" w:hAnsi="Arial" w:cs="Arial"/>
          <w:b/>
          <w:bCs/>
          <w:sz w:val="22"/>
          <w:szCs w:val="22"/>
        </w:rPr>
        <w:t>Component Suppliers / Manufacturers</w:t>
      </w:r>
      <w:r w:rsidRPr="00CA4FE4">
        <w:rPr>
          <w:rFonts w:ascii="Arial" w:hAnsi="Arial" w:cs="Arial"/>
          <w:sz w:val="22"/>
          <w:szCs w:val="22"/>
        </w:rPr>
        <w:t xml:space="preserve"> – Provide SpO</w:t>
      </w:r>
      <w:r w:rsidRPr="00CA4FE4">
        <w:rPr>
          <w:rFonts w:ascii="Cambria Math" w:hAnsi="Cambria Math" w:cs="Cambria Math"/>
          <w:sz w:val="22"/>
          <w:szCs w:val="22"/>
        </w:rPr>
        <w:t>₂</w:t>
      </w:r>
      <w:r w:rsidRPr="00CA4FE4">
        <w:rPr>
          <w:rFonts w:ascii="Arial" w:hAnsi="Arial" w:cs="Arial"/>
          <w:sz w:val="22"/>
          <w:szCs w:val="22"/>
        </w:rPr>
        <w:t xml:space="preserve"> sensors, chips, watch modules.</w:t>
      </w:r>
    </w:p>
    <w:p w:rsidRPr="00CA4FE4" w:rsidR="00CA4FE4" w:rsidP="00CA4FE4" w:rsidRDefault="00CA4FE4" w14:paraId="0090C864" w14:textId="41F385A4">
      <w:pPr>
        <w:numPr>
          <w:ilvl w:val="0"/>
          <w:numId w:val="7"/>
        </w:numPr>
        <w:rPr>
          <w:rFonts w:ascii="Arial" w:hAnsi="Arial" w:cs="Arial"/>
          <w:sz w:val="22"/>
          <w:szCs w:val="22"/>
        </w:rPr>
      </w:pPr>
      <w:r w:rsidRPr="44CD8003" w:rsidR="00CA4FE4">
        <w:rPr>
          <w:rFonts w:ascii="Arial" w:hAnsi="Arial" w:cs="Arial"/>
          <w:b w:val="1"/>
          <w:bCs w:val="1"/>
          <w:sz w:val="22"/>
          <w:szCs w:val="22"/>
        </w:rPr>
        <w:t>Technology Partners</w:t>
      </w:r>
      <w:r w:rsidRPr="44CD8003" w:rsidR="00CA4FE4">
        <w:rPr>
          <w:rFonts w:ascii="Arial" w:hAnsi="Arial" w:cs="Arial"/>
          <w:sz w:val="22"/>
          <w:szCs w:val="22"/>
        </w:rPr>
        <w:t xml:space="preserve"> – Cloud providers, cybersecurity vendors, </w:t>
      </w:r>
      <w:r w:rsidRPr="44CD8003" w:rsidR="6525048E">
        <w:rPr>
          <w:rFonts w:ascii="Arial" w:hAnsi="Arial" w:cs="Arial"/>
          <w:sz w:val="22"/>
          <w:szCs w:val="22"/>
        </w:rPr>
        <w:t>ampliform</w:t>
      </w:r>
      <w:r w:rsidRPr="44CD8003" w:rsidR="00CA4FE4">
        <w:rPr>
          <w:rFonts w:ascii="Arial" w:hAnsi="Arial" w:cs="Arial"/>
          <w:sz w:val="22"/>
          <w:szCs w:val="22"/>
        </w:rPr>
        <w:t xml:space="preserve"> integrators.</w:t>
      </w:r>
    </w:p>
    <w:p w:rsidRPr="00CA4FE4" w:rsidR="00CA4FE4" w:rsidP="00CA4FE4" w:rsidRDefault="00CA4FE4" w14:paraId="4D644E23" w14:textId="77777777">
      <w:pPr>
        <w:numPr>
          <w:ilvl w:val="0"/>
          <w:numId w:val="7"/>
        </w:numPr>
        <w:rPr>
          <w:rFonts w:ascii="Arial" w:hAnsi="Arial" w:cs="Arial"/>
          <w:sz w:val="22"/>
          <w:szCs w:val="22"/>
        </w:rPr>
      </w:pPr>
      <w:r w:rsidRPr="00CA4FE4">
        <w:rPr>
          <w:rFonts w:ascii="Arial" w:hAnsi="Arial" w:cs="Arial"/>
          <w:b/>
          <w:bCs/>
          <w:sz w:val="22"/>
          <w:szCs w:val="22"/>
        </w:rPr>
        <w:t>Regulatory Bodies</w:t>
      </w:r>
      <w:r w:rsidRPr="00CA4FE4">
        <w:rPr>
          <w:rFonts w:ascii="Arial" w:hAnsi="Arial" w:cs="Arial"/>
          <w:sz w:val="22"/>
          <w:szCs w:val="22"/>
        </w:rPr>
        <w:t xml:space="preserve"> – UK’s MHRA, data protection authorities (ICO).</w:t>
      </w:r>
    </w:p>
    <w:p w:rsidRPr="00CA4FE4" w:rsidR="00CA4FE4" w:rsidP="00CA4FE4" w:rsidRDefault="00CA4FE4" w14:paraId="1C167C32" w14:textId="5FFEA7B6">
      <w:pPr>
        <w:numPr>
          <w:ilvl w:val="0"/>
          <w:numId w:val="7"/>
        </w:numPr>
        <w:rPr>
          <w:rFonts w:ascii="Arial" w:hAnsi="Arial" w:cs="Arial"/>
          <w:sz w:val="22"/>
          <w:szCs w:val="22"/>
        </w:rPr>
      </w:pPr>
      <w:r w:rsidRPr="00CA4FE4">
        <w:rPr>
          <w:rFonts w:ascii="Arial" w:hAnsi="Arial" w:cs="Arial"/>
          <w:b/>
          <w:bCs/>
          <w:sz w:val="22"/>
          <w:szCs w:val="22"/>
        </w:rPr>
        <w:t>Academic and Research Partners</w:t>
      </w:r>
      <w:r w:rsidRPr="00CA4FE4">
        <w:rPr>
          <w:rFonts w:ascii="Arial" w:hAnsi="Arial" w:cs="Arial"/>
          <w:sz w:val="22"/>
          <w:szCs w:val="22"/>
        </w:rPr>
        <w:t xml:space="preserve"> – e.g., King’s College London in its EMBRACE research collaboration.</w:t>
      </w:r>
    </w:p>
    <w:p w:rsidRPr="00CA4FE4" w:rsidR="00CA4FE4" w:rsidP="00CA4FE4" w:rsidRDefault="00CA4FE4" w14:paraId="25A74330" w14:textId="77777777">
      <w:pPr>
        <w:numPr>
          <w:ilvl w:val="0"/>
          <w:numId w:val="7"/>
        </w:numPr>
        <w:rPr>
          <w:rFonts w:ascii="Arial" w:hAnsi="Arial" w:cs="Arial"/>
          <w:sz w:val="22"/>
          <w:szCs w:val="22"/>
        </w:rPr>
      </w:pPr>
      <w:r w:rsidRPr="00CA4FE4">
        <w:rPr>
          <w:rFonts w:ascii="Arial" w:hAnsi="Arial" w:cs="Arial"/>
          <w:b/>
          <w:bCs/>
          <w:sz w:val="22"/>
          <w:szCs w:val="22"/>
        </w:rPr>
        <w:t>Retailers and Distribution Channels</w:t>
      </w:r>
      <w:r w:rsidRPr="00CA4FE4">
        <w:rPr>
          <w:rFonts w:ascii="Arial" w:hAnsi="Arial" w:cs="Arial"/>
          <w:sz w:val="22"/>
          <w:szCs w:val="22"/>
        </w:rPr>
        <w:t xml:space="preserve"> – Argos, Amazon, specialist sports retailers.</w:t>
      </w:r>
    </w:p>
    <w:p w:rsidRPr="00CA4FE4" w:rsidR="00CA4FE4" w:rsidP="00CA4FE4" w:rsidRDefault="00CA4FE4" w14:paraId="1CC944AF" w14:textId="1CCBD810">
      <w:pPr>
        <w:numPr>
          <w:ilvl w:val="0"/>
          <w:numId w:val="7"/>
        </w:numPr>
        <w:rPr>
          <w:rFonts w:ascii="Arial" w:hAnsi="Arial" w:cs="Arial"/>
          <w:sz w:val="22"/>
          <w:szCs w:val="22"/>
        </w:rPr>
      </w:pPr>
      <w:r w:rsidRPr="44CD8003" w:rsidR="00CA4FE4">
        <w:rPr>
          <w:rFonts w:ascii="Arial" w:hAnsi="Arial" w:cs="Arial"/>
          <w:b w:val="1"/>
          <w:bCs w:val="1"/>
          <w:sz w:val="22"/>
          <w:szCs w:val="22"/>
        </w:rPr>
        <w:t>Consumers / End Users</w:t>
      </w:r>
      <w:r w:rsidRPr="44CD8003" w:rsidR="00CA4FE4">
        <w:rPr>
          <w:rFonts w:ascii="Arial" w:hAnsi="Arial" w:cs="Arial"/>
          <w:sz w:val="22"/>
          <w:szCs w:val="22"/>
        </w:rPr>
        <w:t xml:space="preserve"> – Fitness users, </w:t>
      </w:r>
      <w:r w:rsidRPr="44CD8003" w:rsidR="1C868E47">
        <w:rPr>
          <w:rFonts w:ascii="Arial" w:hAnsi="Arial" w:cs="Arial"/>
          <w:sz w:val="22"/>
          <w:szCs w:val="22"/>
        </w:rPr>
        <w:t>health conscious</w:t>
      </w:r>
      <w:r w:rsidRPr="44CD8003" w:rsidR="00CA4FE4">
        <w:rPr>
          <w:rFonts w:ascii="Arial" w:hAnsi="Arial" w:cs="Arial"/>
          <w:sz w:val="22"/>
          <w:szCs w:val="22"/>
        </w:rPr>
        <w:t xml:space="preserve"> individuals, clinical research participants.</w:t>
      </w:r>
    </w:p>
    <w:p w:rsidRPr="00CA4FE4" w:rsidR="00CA4FE4" w:rsidP="00CA4FE4" w:rsidRDefault="00CA4FE4" w14:paraId="705CA28C" w14:textId="77777777">
      <w:pPr>
        <w:numPr>
          <w:ilvl w:val="0"/>
          <w:numId w:val="7"/>
        </w:numPr>
        <w:rPr>
          <w:rFonts w:ascii="Arial" w:hAnsi="Arial" w:cs="Arial"/>
          <w:sz w:val="22"/>
          <w:szCs w:val="22"/>
        </w:rPr>
      </w:pPr>
      <w:r w:rsidRPr="00CA4FE4">
        <w:rPr>
          <w:rFonts w:ascii="Arial" w:hAnsi="Arial" w:cs="Arial"/>
          <w:b/>
          <w:bCs/>
          <w:sz w:val="22"/>
          <w:szCs w:val="22"/>
        </w:rPr>
        <w:t>Investors</w:t>
      </w:r>
      <w:r w:rsidRPr="00CA4FE4">
        <w:rPr>
          <w:rFonts w:ascii="Arial" w:hAnsi="Arial" w:cs="Arial"/>
          <w:sz w:val="22"/>
          <w:szCs w:val="22"/>
        </w:rPr>
        <w:t xml:space="preserve"> – Garmin shareholders interested in growth in health segment.</w:t>
      </w:r>
    </w:p>
    <w:p w:rsidRPr="00CA4FE4" w:rsidR="00CA4FE4" w:rsidP="00CA4FE4" w:rsidRDefault="00CA4FE4" w14:paraId="2CD4BECF" w14:textId="77777777">
      <w:pPr>
        <w:numPr>
          <w:ilvl w:val="0"/>
          <w:numId w:val="7"/>
        </w:numPr>
        <w:rPr>
          <w:rFonts w:ascii="Arial" w:hAnsi="Arial" w:cs="Arial"/>
          <w:sz w:val="22"/>
          <w:szCs w:val="22"/>
        </w:rPr>
      </w:pPr>
      <w:r w:rsidRPr="00CA4FE4">
        <w:rPr>
          <w:rFonts w:ascii="Arial" w:hAnsi="Arial" w:cs="Arial"/>
          <w:b/>
          <w:bCs/>
          <w:sz w:val="22"/>
          <w:szCs w:val="22"/>
        </w:rPr>
        <w:t>Data Protection Consultants</w:t>
      </w:r>
      <w:r w:rsidRPr="00CA4FE4">
        <w:rPr>
          <w:rFonts w:ascii="Arial" w:hAnsi="Arial" w:cs="Arial"/>
          <w:sz w:val="22"/>
          <w:szCs w:val="22"/>
        </w:rPr>
        <w:t xml:space="preserve"> – Provide GDPR-risk assessments and audit support.</w:t>
      </w:r>
    </w:p>
    <w:p w:rsidRPr="00CA4FE4" w:rsidR="00CA4FE4" w:rsidP="00CA4FE4" w:rsidRDefault="00CA4FE4" w14:paraId="78A8DF0A" w14:textId="77777777">
      <w:pPr>
        <w:rPr>
          <w:rFonts w:ascii="Arial" w:hAnsi="Arial" w:cs="Arial"/>
          <w:b/>
          <w:bCs/>
          <w:sz w:val="22"/>
          <w:szCs w:val="22"/>
        </w:rPr>
      </w:pPr>
      <w:r w:rsidRPr="00CA4FE4">
        <w:rPr>
          <w:rFonts w:ascii="Arial" w:hAnsi="Arial" w:cs="Arial"/>
          <w:b/>
          <w:bCs/>
          <w:sz w:val="22"/>
          <w:szCs w:val="22"/>
        </w:rPr>
        <w:t>Stakeholder Map (Mendelow Matrix — Text Diagram)</w:t>
      </w:r>
    </w:p>
    <w:p w:rsidRPr="00CA4FE4" w:rsidR="00CA4FE4" w:rsidP="00CA4FE4" w:rsidRDefault="00CA4FE4" w14:paraId="01818CA8" w14:textId="77777777">
      <w:pPr>
        <w:rPr>
          <w:rFonts w:ascii="Arial" w:hAnsi="Arial" w:cs="Arial"/>
          <w:sz w:val="22"/>
          <w:szCs w:val="22"/>
        </w:rPr>
      </w:pPr>
      <w:r w:rsidRPr="00CA4FE4">
        <w:rPr>
          <w:rFonts w:ascii="Arial" w:hAnsi="Arial" w:cs="Arial"/>
          <w:sz w:val="22"/>
          <w:szCs w:val="22"/>
        </w:rPr>
        <w:t xml:space="preserve">                                  HIGH POWER</w:t>
      </w:r>
    </w:p>
    <w:p w:rsidRPr="00CA4FE4" w:rsidR="00CA4FE4" w:rsidP="00CA4FE4" w:rsidRDefault="00CA4FE4" w14:paraId="61FDAC9F" w14:textId="77777777">
      <w:pPr>
        <w:rPr>
          <w:rFonts w:ascii="Arial" w:hAnsi="Arial" w:cs="Arial"/>
          <w:sz w:val="22"/>
          <w:szCs w:val="22"/>
        </w:rPr>
      </w:pPr>
      <w:r w:rsidRPr="00CA4FE4">
        <w:rPr>
          <w:rFonts w:ascii="Arial" w:hAnsi="Arial" w:cs="Arial"/>
          <w:sz w:val="22"/>
          <w:szCs w:val="22"/>
        </w:rPr>
        <w:t xml:space="preserve">                        ┌─────────────────────────────────────┐</w:t>
      </w:r>
    </w:p>
    <w:p w:rsidRPr="00CA4FE4" w:rsidR="00CA4FE4" w:rsidP="00CA4FE4" w:rsidRDefault="00CA4FE4" w14:paraId="5BD43451" w14:textId="77777777">
      <w:pPr>
        <w:rPr>
          <w:rFonts w:ascii="Arial" w:hAnsi="Arial" w:cs="Arial"/>
          <w:sz w:val="22"/>
          <w:szCs w:val="22"/>
        </w:rPr>
      </w:pPr>
      <w:r w:rsidRPr="00CA4FE4">
        <w:rPr>
          <w:rFonts w:ascii="Arial" w:hAnsi="Arial" w:cs="Arial"/>
          <w:sz w:val="22"/>
          <w:szCs w:val="22"/>
        </w:rPr>
        <w:t xml:space="preserve">                        │     Key Players                     │</w:t>
      </w:r>
    </w:p>
    <w:p w:rsidRPr="00CA4FE4" w:rsidR="00CA4FE4" w:rsidP="00CA4FE4" w:rsidRDefault="00CA4FE4" w14:paraId="76E7E396" w14:textId="77777777">
      <w:pPr>
        <w:rPr>
          <w:rFonts w:ascii="Arial" w:hAnsi="Arial" w:cs="Arial"/>
          <w:sz w:val="22"/>
          <w:szCs w:val="22"/>
        </w:rPr>
      </w:pPr>
      <w:r w:rsidRPr="00CA4FE4">
        <w:rPr>
          <w:rFonts w:ascii="Arial" w:hAnsi="Arial" w:cs="Arial"/>
          <w:sz w:val="22"/>
          <w:szCs w:val="22"/>
        </w:rPr>
        <w:t xml:space="preserve">                        │     - Executives                    │</w:t>
      </w:r>
    </w:p>
    <w:p w:rsidRPr="00CA4FE4" w:rsidR="00CA4FE4" w:rsidP="00CA4FE4" w:rsidRDefault="00CA4FE4" w14:paraId="3912DB5E" w14:textId="77777777">
      <w:pPr>
        <w:rPr>
          <w:rFonts w:ascii="Arial" w:hAnsi="Arial" w:cs="Arial"/>
          <w:sz w:val="22"/>
          <w:szCs w:val="22"/>
        </w:rPr>
      </w:pPr>
      <w:r w:rsidRPr="00CA4FE4">
        <w:rPr>
          <w:rFonts w:ascii="Arial" w:hAnsi="Arial" w:cs="Arial"/>
          <w:sz w:val="22"/>
          <w:szCs w:val="22"/>
        </w:rPr>
        <w:t xml:space="preserve">                        │     - Regulators                    │</w:t>
      </w:r>
    </w:p>
    <w:p w:rsidRPr="00CA4FE4" w:rsidR="00CA4FE4" w:rsidP="00CA4FE4" w:rsidRDefault="00CA4FE4" w14:paraId="237671F4" w14:textId="77777777">
      <w:pPr>
        <w:rPr>
          <w:rFonts w:ascii="Arial" w:hAnsi="Arial" w:cs="Arial"/>
          <w:sz w:val="22"/>
          <w:szCs w:val="22"/>
        </w:rPr>
      </w:pPr>
      <w:r w:rsidRPr="00CA4FE4">
        <w:rPr>
          <w:rFonts w:ascii="Arial" w:hAnsi="Arial" w:cs="Arial"/>
          <w:sz w:val="22"/>
          <w:szCs w:val="22"/>
        </w:rPr>
        <w:t xml:space="preserve">                        │     - Engineering Leads             │</w:t>
      </w:r>
    </w:p>
    <w:p w:rsidRPr="00CA4FE4" w:rsidR="00CA4FE4" w:rsidP="00CA4FE4" w:rsidRDefault="00CA4FE4" w14:paraId="11FE5816" w14:textId="77777777">
      <w:pPr>
        <w:rPr>
          <w:rFonts w:ascii="Arial" w:hAnsi="Arial" w:cs="Arial"/>
          <w:sz w:val="22"/>
          <w:szCs w:val="22"/>
        </w:rPr>
      </w:pPr>
      <w:r w:rsidRPr="00CA4FE4">
        <w:rPr>
          <w:rFonts w:ascii="Arial" w:hAnsi="Arial" w:cs="Arial"/>
          <w:sz w:val="22"/>
          <w:szCs w:val="22"/>
        </w:rPr>
        <w:t xml:space="preserve">                        └─────────────────────────────────────┘</w:t>
      </w:r>
    </w:p>
    <w:p w:rsidRPr="00CA4FE4" w:rsidR="00CA4FE4" w:rsidP="00CA4FE4" w:rsidRDefault="00CA4FE4" w14:paraId="6586118A" w14:textId="77777777">
      <w:pPr>
        <w:rPr>
          <w:rFonts w:ascii="Arial" w:hAnsi="Arial" w:cs="Arial"/>
          <w:sz w:val="22"/>
          <w:szCs w:val="22"/>
        </w:rPr>
      </w:pPr>
      <w:r w:rsidRPr="00CA4FE4">
        <w:rPr>
          <w:rFonts w:ascii="Arial" w:hAnsi="Arial" w:cs="Arial"/>
          <w:sz w:val="22"/>
          <w:szCs w:val="22"/>
        </w:rPr>
        <w:t xml:space="preserve">           POWER ↑</w:t>
      </w:r>
    </w:p>
    <w:p w:rsidRPr="00CA4FE4" w:rsidR="00CA4FE4" w:rsidP="00CA4FE4" w:rsidRDefault="00CA4FE4" w14:paraId="635BDB42" w14:textId="77777777">
      <w:pPr>
        <w:rPr>
          <w:rFonts w:ascii="Arial" w:hAnsi="Arial" w:cs="Arial"/>
          <w:sz w:val="22"/>
          <w:szCs w:val="22"/>
        </w:rPr>
      </w:pPr>
      <w:r w:rsidRPr="00CA4FE4">
        <w:rPr>
          <w:rFonts w:ascii="Arial" w:hAnsi="Arial" w:cs="Arial"/>
          <w:sz w:val="22"/>
          <w:szCs w:val="22"/>
        </w:rPr>
        <w:t xml:space="preserve">                 │</w:t>
      </w:r>
    </w:p>
    <w:p w:rsidRPr="00CA4FE4" w:rsidR="00CA4FE4" w:rsidP="00CA4FE4" w:rsidRDefault="00CA4FE4" w14:paraId="55F7640B" w14:textId="77777777">
      <w:pPr>
        <w:rPr>
          <w:rFonts w:ascii="Arial" w:hAnsi="Arial" w:cs="Arial"/>
          <w:sz w:val="22"/>
          <w:szCs w:val="22"/>
        </w:rPr>
      </w:pPr>
      <w:r w:rsidRPr="00CA4FE4">
        <w:rPr>
          <w:rFonts w:ascii="Arial" w:hAnsi="Arial" w:cs="Arial"/>
          <w:sz w:val="22"/>
          <w:szCs w:val="22"/>
        </w:rPr>
        <w:t xml:space="preserve">                 │   Keep Satisfied                Keep Informed</w:t>
      </w:r>
    </w:p>
    <w:p w:rsidRPr="00CA4FE4" w:rsidR="00CA4FE4" w:rsidP="00CA4FE4" w:rsidRDefault="00CA4FE4" w14:paraId="0EC5D783" w14:textId="77777777">
      <w:pPr>
        <w:rPr>
          <w:rFonts w:ascii="Arial" w:hAnsi="Arial" w:cs="Arial"/>
          <w:sz w:val="22"/>
          <w:szCs w:val="22"/>
        </w:rPr>
      </w:pPr>
      <w:r w:rsidRPr="00CA4FE4">
        <w:rPr>
          <w:rFonts w:ascii="Arial" w:hAnsi="Arial" w:cs="Arial"/>
          <w:sz w:val="22"/>
          <w:szCs w:val="22"/>
        </w:rPr>
        <w:t xml:space="preserve">                 │   - Major Suppliers              - Consumers</w:t>
      </w:r>
    </w:p>
    <w:p w:rsidRPr="00CA4FE4" w:rsidR="00CA4FE4" w:rsidP="00CA4FE4" w:rsidRDefault="00CA4FE4" w14:paraId="56E96413" w14:textId="77777777">
      <w:pPr>
        <w:rPr>
          <w:rFonts w:ascii="Arial" w:hAnsi="Arial" w:cs="Arial"/>
          <w:sz w:val="22"/>
          <w:szCs w:val="22"/>
        </w:rPr>
      </w:pPr>
      <w:r w:rsidRPr="00CA4FE4">
        <w:rPr>
          <w:rFonts w:ascii="Arial" w:hAnsi="Arial" w:cs="Arial"/>
          <w:sz w:val="22"/>
          <w:szCs w:val="22"/>
        </w:rPr>
        <w:t xml:space="preserve">                 │   - Investors                    - Customer Support</w:t>
      </w:r>
    </w:p>
    <w:p w:rsidRPr="00CA4FE4" w:rsidR="00CA4FE4" w:rsidP="00CA4FE4" w:rsidRDefault="00CA4FE4" w14:paraId="52B1228A" w14:textId="77777777">
      <w:pPr>
        <w:rPr>
          <w:rFonts w:ascii="Arial" w:hAnsi="Arial" w:cs="Arial"/>
          <w:sz w:val="22"/>
          <w:szCs w:val="22"/>
        </w:rPr>
      </w:pPr>
      <w:r w:rsidRPr="00CA4FE4">
        <w:rPr>
          <w:rFonts w:ascii="Arial" w:hAnsi="Arial" w:cs="Arial"/>
          <w:sz w:val="22"/>
          <w:szCs w:val="22"/>
        </w:rPr>
        <w:t xml:space="preserve">                 │</w:t>
      </w:r>
    </w:p>
    <w:p w:rsidRPr="00CA4FE4" w:rsidR="00CA4FE4" w:rsidP="00CA4FE4" w:rsidRDefault="00CA4FE4" w14:paraId="7086E8B6" w14:textId="77777777">
      <w:pPr>
        <w:rPr>
          <w:rFonts w:ascii="Arial" w:hAnsi="Arial" w:cs="Arial"/>
          <w:sz w:val="22"/>
          <w:szCs w:val="22"/>
        </w:rPr>
      </w:pPr>
      <w:r w:rsidRPr="00CA4FE4">
        <w:rPr>
          <w:rFonts w:ascii="Arial" w:hAnsi="Arial" w:cs="Arial"/>
          <w:sz w:val="22"/>
          <w:szCs w:val="22"/>
        </w:rPr>
        <w:t xml:space="preserve">                 └──────────────────────────────────────────────────→ INTEREST</w:t>
      </w:r>
    </w:p>
    <w:p w:rsidRPr="00CA4FE4" w:rsidR="00CA4FE4" w:rsidP="00CA4FE4" w:rsidRDefault="00CA4FE4" w14:paraId="029A937E" w14:textId="77777777">
      <w:pPr>
        <w:rPr>
          <w:rFonts w:ascii="Arial" w:hAnsi="Arial" w:cs="Arial"/>
          <w:sz w:val="22"/>
          <w:szCs w:val="22"/>
        </w:rPr>
      </w:pPr>
      <w:r w:rsidRPr="00CA4FE4">
        <w:rPr>
          <w:rFonts w:ascii="Arial" w:hAnsi="Arial" w:cs="Arial"/>
          <w:sz w:val="22"/>
          <w:szCs w:val="22"/>
        </w:rPr>
        <w:t xml:space="preserve">                                 LOW POWER</w:t>
      </w:r>
    </w:p>
    <w:p w:rsidRPr="00CA4FE4" w:rsidR="00CA4FE4" w:rsidP="00CA4FE4" w:rsidRDefault="00CA4FE4" w14:paraId="7F190889" w14:textId="77777777">
      <w:pPr>
        <w:rPr>
          <w:rFonts w:ascii="Arial" w:hAnsi="Arial" w:cs="Arial"/>
          <w:sz w:val="22"/>
          <w:szCs w:val="22"/>
        </w:rPr>
      </w:pPr>
      <w:r w:rsidRPr="00CA4FE4">
        <w:rPr>
          <w:rFonts w:ascii="Arial" w:hAnsi="Arial" w:cs="Arial"/>
          <w:sz w:val="22"/>
          <w:szCs w:val="22"/>
        </w:rPr>
        <w:t xml:space="preserve">                        ┌─────────────────────────────────────┐</w:t>
      </w:r>
    </w:p>
    <w:p w:rsidRPr="00CA4FE4" w:rsidR="00CA4FE4" w:rsidP="00CA4FE4" w:rsidRDefault="00CA4FE4" w14:paraId="7E695FB6" w14:textId="77777777">
      <w:pPr>
        <w:rPr>
          <w:rFonts w:ascii="Arial" w:hAnsi="Arial" w:cs="Arial"/>
          <w:sz w:val="22"/>
          <w:szCs w:val="22"/>
        </w:rPr>
      </w:pPr>
      <w:r w:rsidRPr="00CA4FE4">
        <w:rPr>
          <w:rFonts w:ascii="Arial" w:hAnsi="Arial" w:cs="Arial"/>
          <w:sz w:val="22"/>
          <w:szCs w:val="22"/>
        </w:rPr>
        <w:t xml:space="preserve">                        │     Minimal Effort                  │</w:t>
      </w:r>
    </w:p>
    <w:p w:rsidRPr="00CA4FE4" w:rsidR="00CA4FE4" w:rsidP="00CA4FE4" w:rsidRDefault="00CA4FE4" w14:paraId="2B89C846" w14:textId="77777777">
      <w:pPr>
        <w:rPr>
          <w:rFonts w:ascii="Arial" w:hAnsi="Arial" w:cs="Arial"/>
          <w:sz w:val="22"/>
          <w:szCs w:val="22"/>
        </w:rPr>
      </w:pPr>
      <w:r w:rsidRPr="00CA4FE4">
        <w:rPr>
          <w:rFonts w:ascii="Arial" w:hAnsi="Arial" w:cs="Arial"/>
          <w:sz w:val="22"/>
          <w:szCs w:val="22"/>
        </w:rPr>
        <w:t xml:space="preserve">                        │     - Data Protection Consultants    │</w:t>
      </w:r>
    </w:p>
    <w:p w:rsidRPr="00CA4FE4" w:rsidR="00CA4FE4" w:rsidP="00CA4FE4" w:rsidRDefault="00CA4FE4" w14:paraId="5FD4E258" w14:textId="77777777">
      <w:pPr>
        <w:rPr>
          <w:rFonts w:ascii="Arial" w:hAnsi="Arial" w:cs="Arial"/>
          <w:sz w:val="22"/>
          <w:szCs w:val="22"/>
        </w:rPr>
      </w:pPr>
      <w:r w:rsidRPr="00CA4FE4">
        <w:rPr>
          <w:rFonts w:ascii="Arial" w:hAnsi="Arial" w:cs="Arial"/>
          <w:sz w:val="22"/>
          <w:szCs w:val="22"/>
        </w:rPr>
        <w:t xml:space="preserve">                        │     - Minor Retail Partners          │</w:t>
      </w:r>
    </w:p>
    <w:p w:rsidRPr="00CA4FE4" w:rsidR="00CA4FE4" w:rsidP="00CA4FE4" w:rsidRDefault="00CA4FE4" w14:paraId="04FC3DA9" w14:textId="77777777">
      <w:pPr>
        <w:rPr>
          <w:rFonts w:ascii="Arial" w:hAnsi="Arial" w:cs="Arial"/>
          <w:sz w:val="22"/>
          <w:szCs w:val="22"/>
        </w:rPr>
      </w:pPr>
      <w:r w:rsidRPr="00CA4FE4">
        <w:rPr>
          <w:rFonts w:ascii="Arial" w:hAnsi="Arial" w:cs="Arial"/>
          <w:sz w:val="22"/>
          <w:szCs w:val="22"/>
        </w:rPr>
        <w:t xml:space="preserve">                        └─────────────────────────────────────┘</w:t>
      </w:r>
    </w:p>
    <w:p w:rsidRPr="00CA4FE4" w:rsidR="00CA4FE4" w:rsidP="00CA4FE4" w:rsidRDefault="00CA4FE4" w14:paraId="5BD64141" w14:textId="77777777">
      <w:pPr>
        <w:rPr>
          <w:rFonts w:ascii="Arial" w:hAnsi="Arial" w:cs="Arial"/>
          <w:sz w:val="22"/>
          <w:szCs w:val="22"/>
        </w:rPr>
      </w:pPr>
      <w:r w:rsidRPr="00CA4FE4">
        <w:rPr>
          <w:rFonts w:ascii="Arial" w:hAnsi="Arial" w:cs="Arial"/>
          <w:sz w:val="22"/>
          <w:szCs w:val="22"/>
        </w:rPr>
        <w:pict w14:anchorId="648CB0B1">
          <v:rect id="_x0000_i1096" style="width:0;height:1.5pt" o:hr="t" o:hrstd="t" o:hralign="center" fillcolor="#a0a0a0" stroked="f"/>
        </w:pict>
      </w:r>
    </w:p>
    <w:p w:rsidRPr="00CA4FE4" w:rsidR="00CA4FE4" w:rsidP="00CA4FE4" w:rsidRDefault="00CA4FE4" w14:paraId="459231AE" w14:textId="5BDEBFBC">
      <w:pPr>
        <w:rPr>
          <w:rFonts w:ascii="Arial" w:hAnsi="Arial" w:cs="Arial"/>
          <w:b/>
          <w:bCs/>
          <w:sz w:val="22"/>
          <w:szCs w:val="22"/>
        </w:rPr>
      </w:pPr>
      <w:r w:rsidRPr="00CA4FE4">
        <w:rPr>
          <w:rFonts w:ascii="Arial" w:hAnsi="Arial" w:cs="Arial"/>
          <w:b/>
          <w:bCs/>
          <w:sz w:val="22"/>
          <w:szCs w:val="22"/>
        </w:rPr>
        <w:t>4. Roles, Responsibilities, Benefits &amp; Challenges</w:t>
      </w:r>
      <w:r w:rsidR="00307E78">
        <w:rPr>
          <w:rFonts w:ascii="Arial" w:hAnsi="Arial" w:cs="Arial"/>
          <w:b/>
          <w:bCs/>
          <w:sz w:val="22"/>
          <w:szCs w:val="22"/>
        </w:rPr>
        <w:t>:</w:t>
      </w:r>
    </w:p>
    <w:p w:rsidRPr="00CA4FE4" w:rsidR="00CA4FE4" w:rsidP="00CA4FE4" w:rsidRDefault="00CA4FE4" w14:paraId="1488BC9A" w14:textId="77777777">
      <w:pPr>
        <w:rPr>
          <w:rFonts w:ascii="Arial" w:hAnsi="Arial" w:cs="Arial"/>
          <w:sz w:val="22"/>
          <w:szCs w:val="22"/>
        </w:rPr>
      </w:pPr>
      <w:r w:rsidRPr="00CA4FE4">
        <w:rPr>
          <w:rFonts w:ascii="Arial" w:hAnsi="Arial" w:cs="Arial"/>
          <w:sz w:val="22"/>
          <w:szCs w:val="22"/>
        </w:rPr>
        <w:t>Below I detail major stakeholders’ roles, benefits they bring, and challenges they may face.</w:t>
      </w:r>
    </w:p>
    <w:p w:rsidRPr="00CA4FE4" w:rsidR="00CA4FE4" w:rsidP="00CA4FE4" w:rsidRDefault="00CA4FE4" w14:paraId="5CB811FF" w14:textId="77777777">
      <w:pPr>
        <w:rPr>
          <w:rFonts w:ascii="Arial" w:hAnsi="Arial" w:cs="Arial"/>
          <w:b/>
          <w:bCs/>
          <w:sz w:val="22"/>
          <w:szCs w:val="22"/>
        </w:rPr>
      </w:pPr>
      <w:r w:rsidRPr="00CA4FE4">
        <w:rPr>
          <w:rFonts w:ascii="Arial" w:hAnsi="Arial" w:cs="Arial"/>
          <w:b/>
          <w:bCs/>
          <w:sz w:val="22"/>
          <w:szCs w:val="22"/>
        </w:rPr>
        <w:t>Executive Leadership Team</w:t>
      </w:r>
    </w:p>
    <w:p w:rsidRPr="00CA4FE4" w:rsidR="00CA4FE4" w:rsidP="00CA4FE4" w:rsidRDefault="00CA4FE4" w14:paraId="1C974A5E" w14:textId="77777777">
      <w:pPr>
        <w:numPr>
          <w:ilvl w:val="0"/>
          <w:numId w:val="8"/>
        </w:numPr>
        <w:rPr>
          <w:rFonts w:ascii="Arial" w:hAnsi="Arial" w:cs="Arial"/>
          <w:sz w:val="22"/>
          <w:szCs w:val="22"/>
        </w:rPr>
      </w:pPr>
      <w:r w:rsidRPr="00CA4FE4">
        <w:rPr>
          <w:rFonts w:ascii="Arial" w:hAnsi="Arial" w:cs="Arial"/>
          <w:b/>
          <w:bCs/>
          <w:sz w:val="22"/>
          <w:szCs w:val="22"/>
        </w:rPr>
        <w:t>Role</w:t>
      </w:r>
      <w:r w:rsidRPr="00CA4FE4">
        <w:rPr>
          <w:rFonts w:ascii="Arial" w:hAnsi="Arial" w:cs="Arial"/>
          <w:sz w:val="22"/>
          <w:szCs w:val="22"/>
        </w:rPr>
        <w:t>: Provide strategic direction, approve funding, and ensure alignment with Garmin’s business goals.</w:t>
      </w:r>
    </w:p>
    <w:p w:rsidRPr="00CA4FE4" w:rsidR="00CA4FE4" w:rsidP="00CA4FE4" w:rsidRDefault="00CA4FE4" w14:paraId="730CACBF" w14:textId="77777777">
      <w:pPr>
        <w:numPr>
          <w:ilvl w:val="0"/>
          <w:numId w:val="8"/>
        </w:numPr>
        <w:rPr>
          <w:rFonts w:ascii="Arial" w:hAnsi="Arial" w:cs="Arial"/>
          <w:sz w:val="22"/>
          <w:szCs w:val="22"/>
        </w:rPr>
      </w:pPr>
      <w:r w:rsidRPr="00CA4FE4">
        <w:rPr>
          <w:rFonts w:ascii="Arial" w:hAnsi="Arial" w:cs="Arial"/>
          <w:b/>
          <w:bCs/>
          <w:sz w:val="22"/>
          <w:szCs w:val="22"/>
        </w:rPr>
        <w:t>Benefits</w:t>
      </w:r>
      <w:r w:rsidRPr="00CA4FE4">
        <w:rPr>
          <w:rFonts w:ascii="Arial" w:hAnsi="Arial" w:cs="Arial"/>
          <w:sz w:val="22"/>
          <w:szCs w:val="22"/>
        </w:rPr>
        <w:t>: Their engagement supports resource security, risk governance, and rapid decision-making.</w:t>
      </w:r>
    </w:p>
    <w:p w:rsidRPr="00CA4FE4" w:rsidR="00CA4FE4" w:rsidP="00CA4FE4" w:rsidRDefault="00CA4FE4" w14:paraId="484C08DB" w14:textId="77777777">
      <w:pPr>
        <w:numPr>
          <w:ilvl w:val="0"/>
          <w:numId w:val="8"/>
        </w:numPr>
        <w:rPr>
          <w:rFonts w:ascii="Arial" w:hAnsi="Arial" w:cs="Arial"/>
          <w:sz w:val="22"/>
          <w:szCs w:val="22"/>
        </w:rPr>
      </w:pPr>
      <w:r w:rsidRPr="00CA4FE4">
        <w:rPr>
          <w:rFonts w:ascii="Arial" w:hAnsi="Arial" w:cs="Arial"/>
          <w:b/>
          <w:bCs/>
          <w:sz w:val="22"/>
          <w:szCs w:val="22"/>
        </w:rPr>
        <w:t>Challenges</w:t>
      </w:r>
      <w:r w:rsidRPr="00CA4FE4">
        <w:rPr>
          <w:rFonts w:ascii="Arial" w:hAnsi="Arial" w:cs="Arial"/>
          <w:sz w:val="22"/>
          <w:szCs w:val="22"/>
        </w:rPr>
        <w:t>: They may apply pressure to meet aggressive timelines, potentially undermining quality or regulatory compliance.</w:t>
      </w:r>
    </w:p>
    <w:p w:rsidRPr="00CA4FE4" w:rsidR="00CA4FE4" w:rsidP="00CA4FE4" w:rsidRDefault="00CA4FE4" w14:paraId="27FCA1EF" w14:textId="77777777">
      <w:pPr>
        <w:rPr>
          <w:rFonts w:ascii="Arial" w:hAnsi="Arial" w:cs="Arial"/>
          <w:b/>
          <w:bCs/>
          <w:sz w:val="22"/>
          <w:szCs w:val="22"/>
        </w:rPr>
      </w:pPr>
      <w:r w:rsidRPr="00CA4FE4">
        <w:rPr>
          <w:rFonts w:ascii="Arial" w:hAnsi="Arial" w:cs="Arial"/>
          <w:b/>
          <w:bCs/>
          <w:sz w:val="22"/>
          <w:szCs w:val="22"/>
        </w:rPr>
        <w:t>Product Development / Engineering</w:t>
      </w:r>
    </w:p>
    <w:p w:rsidRPr="00CA4FE4" w:rsidR="00CA4FE4" w:rsidP="00CA4FE4" w:rsidRDefault="00CA4FE4" w14:paraId="21DD28A4" w14:textId="77777777">
      <w:pPr>
        <w:numPr>
          <w:ilvl w:val="0"/>
          <w:numId w:val="9"/>
        </w:numPr>
        <w:rPr>
          <w:rFonts w:ascii="Arial" w:hAnsi="Arial" w:cs="Arial"/>
          <w:sz w:val="22"/>
          <w:szCs w:val="22"/>
        </w:rPr>
      </w:pPr>
      <w:r w:rsidRPr="00CA4FE4">
        <w:rPr>
          <w:rFonts w:ascii="Arial" w:hAnsi="Arial" w:cs="Arial"/>
          <w:b/>
          <w:bCs/>
          <w:sz w:val="22"/>
          <w:szCs w:val="22"/>
        </w:rPr>
        <w:t>Role</w:t>
      </w:r>
      <w:r w:rsidRPr="00CA4FE4">
        <w:rPr>
          <w:rFonts w:ascii="Arial" w:hAnsi="Arial" w:cs="Arial"/>
          <w:sz w:val="22"/>
          <w:szCs w:val="22"/>
        </w:rPr>
        <w:t>: Design hardware, integrate sensors, build firmware, and interface with Garmin Connect.</w:t>
      </w:r>
    </w:p>
    <w:p w:rsidRPr="00CA4FE4" w:rsidR="00CA4FE4" w:rsidP="00CA4FE4" w:rsidRDefault="00CA4FE4" w14:paraId="3C6CD4C0" w14:textId="77777777">
      <w:pPr>
        <w:numPr>
          <w:ilvl w:val="0"/>
          <w:numId w:val="9"/>
        </w:numPr>
        <w:rPr>
          <w:rFonts w:ascii="Arial" w:hAnsi="Arial" w:cs="Arial"/>
          <w:sz w:val="22"/>
          <w:szCs w:val="22"/>
        </w:rPr>
      </w:pPr>
      <w:r w:rsidRPr="00CA4FE4">
        <w:rPr>
          <w:rFonts w:ascii="Arial" w:hAnsi="Arial" w:cs="Arial"/>
          <w:b/>
          <w:bCs/>
          <w:sz w:val="22"/>
          <w:szCs w:val="22"/>
        </w:rPr>
        <w:t>Benefits</w:t>
      </w:r>
      <w:r w:rsidRPr="00CA4FE4">
        <w:rPr>
          <w:rFonts w:ascii="Arial" w:hAnsi="Arial" w:cs="Arial"/>
          <w:sz w:val="22"/>
          <w:szCs w:val="22"/>
        </w:rPr>
        <w:t>: Their technical expertise is essential to deliver a reliable, feature-rich device.</w:t>
      </w:r>
    </w:p>
    <w:p w:rsidRPr="00CA4FE4" w:rsidR="00CA4FE4" w:rsidP="00CA4FE4" w:rsidRDefault="00CA4FE4" w14:paraId="362A93EE" w14:textId="0F87311F">
      <w:pPr>
        <w:numPr>
          <w:ilvl w:val="0"/>
          <w:numId w:val="9"/>
        </w:numPr>
        <w:rPr>
          <w:rFonts w:ascii="Arial" w:hAnsi="Arial" w:cs="Arial"/>
          <w:sz w:val="22"/>
          <w:szCs w:val="22"/>
        </w:rPr>
      </w:pPr>
      <w:r w:rsidRPr="44CD8003" w:rsidR="00CA4FE4">
        <w:rPr>
          <w:rFonts w:ascii="Arial" w:hAnsi="Arial" w:cs="Arial"/>
          <w:b w:val="1"/>
          <w:bCs w:val="1"/>
          <w:sz w:val="22"/>
          <w:szCs w:val="22"/>
        </w:rPr>
        <w:t>Challenges</w:t>
      </w:r>
      <w:r w:rsidRPr="44CD8003" w:rsidR="00CA4FE4">
        <w:rPr>
          <w:rFonts w:ascii="Arial" w:hAnsi="Arial" w:cs="Arial"/>
          <w:sz w:val="22"/>
          <w:szCs w:val="22"/>
        </w:rPr>
        <w:t xml:space="preserve">: Balancing innovation (e.g., new </w:t>
      </w:r>
      <w:r w:rsidRPr="44CD8003" w:rsidR="2DC1F688">
        <w:rPr>
          <w:rFonts w:ascii="Arial" w:hAnsi="Arial" w:cs="Arial"/>
          <w:sz w:val="22"/>
          <w:szCs w:val="22"/>
        </w:rPr>
        <w:t>AI enabled</w:t>
      </w:r>
      <w:r w:rsidRPr="44CD8003" w:rsidR="00CA4FE4">
        <w:rPr>
          <w:rFonts w:ascii="Arial" w:hAnsi="Arial" w:cs="Arial"/>
          <w:sz w:val="22"/>
          <w:szCs w:val="22"/>
        </w:rPr>
        <w:t xml:space="preserve"> insights) with technical stability; time pressures may lead to design </w:t>
      </w:r>
      <w:r w:rsidRPr="44CD8003" w:rsidR="303FDE2A">
        <w:rPr>
          <w:rFonts w:ascii="Arial" w:hAnsi="Arial" w:cs="Arial"/>
          <w:sz w:val="22"/>
          <w:szCs w:val="22"/>
        </w:rPr>
        <w:t>trade-offs</w:t>
      </w:r>
      <w:r w:rsidRPr="44CD8003" w:rsidR="00CA4FE4">
        <w:rPr>
          <w:rFonts w:ascii="Arial" w:hAnsi="Arial" w:cs="Arial"/>
          <w:sz w:val="22"/>
          <w:szCs w:val="22"/>
        </w:rPr>
        <w:t>.</w:t>
      </w:r>
    </w:p>
    <w:p w:rsidRPr="00CA4FE4" w:rsidR="00CA4FE4" w:rsidP="00CA4FE4" w:rsidRDefault="00CA4FE4" w14:paraId="1A79E48F" w14:textId="77777777">
      <w:pPr>
        <w:rPr>
          <w:rFonts w:ascii="Arial" w:hAnsi="Arial" w:cs="Arial"/>
          <w:b/>
          <w:bCs/>
          <w:sz w:val="22"/>
          <w:szCs w:val="22"/>
        </w:rPr>
      </w:pPr>
      <w:r w:rsidRPr="00CA4FE4">
        <w:rPr>
          <w:rFonts w:ascii="Arial" w:hAnsi="Arial" w:cs="Arial"/>
          <w:b/>
          <w:bCs/>
          <w:sz w:val="22"/>
          <w:szCs w:val="22"/>
        </w:rPr>
        <w:t>Quality Assurance / Regulatory Affairs</w:t>
      </w:r>
    </w:p>
    <w:p w:rsidRPr="00CA4FE4" w:rsidR="00CA4FE4" w:rsidP="00CA4FE4" w:rsidRDefault="00CA4FE4" w14:paraId="51420648" w14:textId="77777777">
      <w:pPr>
        <w:numPr>
          <w:ilvl w:val="0"/>
          <w:numId w:val="10"/>
        </w:numPr>
        <w:rPr>
          <w:rFonts w:ascii="Arial" w:hAnsi="Arial" w:cs="Arial"/>
          <w:sz w:val="22"/>
          <w:szCs w:val="22"/>
        </w:rPr>
      </w:pPr>
      <w:r w:rsidRPr="00CA4FE4">
        <w:rPr>
          <w:rFonts w:ascii="Arial" w:hAnsi="Arial" w:cs="Arial"/>
          <w:b/>
          <w:bCs/>
          <w:sz w:val="22"/>
          <w:szCs w:val="22"/>
        </w:rPr>
        <w:t>Role</w:t>
      </w:r>
      <w:r w:rsidRPr="00CA4FE4">
        <w:rPr>
          <w:rFonts w:ascii="Arial" w:hAnsi="Arial" w:cs="Arial"/>
          <w:sz w:val="22"/>
          <w:szCs w:val="22"/>
        </w:rPr>
        <w:t>: Test device safety and performance, prepare regulatory documentation, liaise with regulators.</w:t>
      </w:r>
    </w:p>
    <w:p w:rsidRPr="00CA4FE4" w:rsidR="00CA4FE4" w:rsidP="00CA4FE4" w:rsidRDefault="00CA4FE4" w14:paraId="6CF7EB2B" w14:textId="77777777">
      <w:pPr>
        <w:numPr>
          <w:ilvl w:val="0"/>
          <w:numId w:val="10"/>
        </w:numPr>
        <w:rPr>
          <w:rFonts w:ascii="Arial" w:hAnsi="Arial" w:cs="Arial"/>
          <w:sz w:val="22"/>
          <w:szCs w:val="22"/>
        </w:rPr>
      </w:pPr>
      <w:r w:rsidRPr="00CA4FE4">
        <w:rPr>
          <w:rFonts w:ascii="Arial" w:hAnsi="Arial" w:cs="Arial"/>
          <w:b/>
          <w:bCs/>
          <w:sz w:val="22"/>
          <w:szCs w:val="22"/>
        </w:rPr>
        <w:t>Benefits</w:t>
      </w:r>
      <w:r w:rsidRPr="00CA4FE4">
        <w:rPr>
          <w:rFonts w:ascii="Arial" w:hAnsi="Arial" w:cs="Arial"/>
          <w:sz w:val="22"/>
          <w:szCs w:val="22"/>
        </w:rPr>
        <w:t>: Ensures that the product is compliant, safe, and trustworthy, reducing legal and reputational risks.</w:t>
      </w:r>
    </w:p>
    <w:p w:rsidRPr="00CA4FE4" w:rsidR="00CA4FE4" w:rsidP="00CA4FE4" w:rsidRDefault="00CA4FE4" w14:paraId="7E05C9DA" w14:textId="77777777">
      <w:pPr>
        <w:numPr>
          <w:ilvl w:val="0"/>
          <w:numId w:val="10"/>
        </w:numPr>
        <w:rPr>
          <w:rFonts w:ascii="Arial" w:hAnsi="Arial" w:cs="Arial"/>
          <w:sz w:val="22"/>
          <w:szCs w:val="22"/>
        </w:rPr>
      </w:pPr>
      <w:r w:rsidRPr="00CA4FE4">
        <w:rPr>
          <w:rFonts w:ascii="Arial" w:hAnsi="Arial" w:cs="Arial"/>
          <w:b/>
          <w:bCs/>
          <w:sz w:val="22"/>
          <w:szCs w:val="22"/>
        </w:rPr>
        <w:t>Challenges</w:t>
      </w:r>
      <w:r w:rsidRPr="00CA4FE4">
        <w:rPr>
          <w:rFonts w:ascii="Arial" w:hAnsi="Arial" w:cs="Arial"/>
          <w:sz w:val="22"/>
          <w:szCs w:val="22"/>
        </w:rPr>
        <w:t>: Regulatory processes can be lengthy and iterative; changes requested by authorities may delay the project.</w:t>
      </w:r>
    </w:p>
    <w:p w:rsidRPr="00CA4FE4" w:rsidR="00CA4FE4" w:rsidP="00CA4FE4" w:rsidRDefault="00CA4FE4" w14:paraId="3F1DAC80" w14:textId="77777777">
      <w:pPr>
        <w:rPr>
          <w:rFonts w:ascii="Arial" w:hAnsi="Arial" w:cs="Arial"/>
          <w:b/>
          <w:bCs/>
          <w:sz w:val="22"/>
          <w:szCs w:val="22"/>
        </w:rPr>
      </w:pPr>
      <w:r w:rsidRPr="00CA4FE4">
        <w:rPr>
          <w:rFonts w:ascii="Arial" w:hAnsi="Arial" w:cs="Arial"/>
          <w:b/>
          <w:bCs/>
          <w:sz w:val="22"/>
          <w:szCs w:val="22"/>
        </w:rPr>
        <w:t>Marketing Department</w:t>
      </w:r>
    </w:p>
    <w:p w:rsidRPr="00CA4FE4" w:rsidR="00CA4FE4" w:rsidP="00CA4FE4" w:rsidRDefault="00CA4FE4" w14:paraId="706F9186" w14:textId="77777777">
      <w:pPr>
        <w:numPr>
          <w:ilvl w:val="0"/>
          <w:numId w:val="11"/>
        </w:numPr>
        <w:rPr>
          <w:rFonts w:ascii="Arial" w:hAnsi="Arial" w:cs="Arial"/>
          <w:sz w:val="22"/>
          <w:szCs w:val="22"/>
        </w:rPr>
      </w:pPr>
      <w:r w:rsidRPr="00CA4FE4">
        <w:rPr>
          <w:rFonts w:ascii="Arial" w:hAnsi="Arial" w:cs="Arial"/>
          <w:b/>
          <w:bCs/>
          <w:sz w:val="22"/>
          <w:szCs w:val="22"/>
        </w:rPr>
        <w:t>Role</w:t>
      </w:r>
      <w:r w:rsidRPr="00CA4FE4">
        <w:rPr>
          <w:rFonts w:ascii="Arial" w:hAnsi="Arial" w:cs="Arial"/>
          <w:sz w:val="22"/>
          <w:szCs w:val="22"/>
        </w:rPr>
        <w:t>: Conduct consumer research, define positioning, plan launch campaigns.</w:t>
      </w:r>
    </w:p>
    <w:p w:rsidRPr="00CA4FE4" w:rsidR="00CA4FE4" w:rsidP="00CA4FE4" w:rsidRDefault="00CA4FE4" w14:paraId="032EB885" w14:textId="77777777">
      <w:pPr>
        <w:numPr>
          <w:ilvl w:val="0"/>
          <w:numId w:val="11"/>
        </w:numPr>
        <w:rPr>
          <w:rFonts w:ascii="Arial" w:hAnsi="Arial" w:cs="Arial"/>
          <w:sz w:val="22"/>
          <w:szCs w:val="22"/>
        </w:rPr>
      </w:pPr>
      <w:r w:rsidRPr="00CA4FE4">
        <w:rPr>
          <w:rFonts w:ascii="Arial" w:hAnsi="Arial" w:cs="Arial"/>
          <w:b/>
          <w:bCs/>
          <w:sz w:val="22"/>
          <w:szCs w:val="22"/>
        </w:rPr>
        <w:t>Benefits</w:t>
      </w:r>
      <w:r w:rsidRPr="00CA4FE4">
        <w:rPr>
          <w:rFonts w:ascii="Arial" w:hAnsi="Arial" w:cs="Arial"/>
          <w:sz w:val="22"/>
          <w:szCs w:val="22"/>
        </w:rPr>
        <w:t>: Aligns the device’s features with user needs and market trends, increasing adoption.</w:t>
      </w:r>
    </w:p>
    <w:p w:rsidRPr="00CA4FE4" w:rsidR="00CA4FE4" w:rsidP="00CA4FE4" w:rsidRDefault="00CA4FE4" w14:paraId="32697D17" w14:textId="77777777">
      <w:pPr>
        <w:numPr>
          <w:ilvl w:val="0"/>
          <w:numId w:val="11"/>
        </w:numPr>
        <w:rPr>
          <w:rFonts w:ascii="Arial" w:hAnsi="Arial" w:cs="Arial"/>
          <w:sz w:val="22"/>
          <w:szCs w:val="22"/>
        </w:rPr>
      </w:pPr>
      <w:r w:rsidRPr="00CA4FE4">
        <w:rPr>
          <w:rFonts w:ascii="Arial" w:hAnsi="Arial" w:cs="Arial"/>
          <w:b/>
          <w:bCs/>
          <w:sz w:val="22"/>
          <w:szCs w:val="22"/>
        </w:rPr>
        <w:t>Challenges</w:t>
      </w:r>
      <w:r w:rsidRPr="00CA4FE4">
        <w:rPr>
          <w:rFonts w:ascii="Arial" w:hAnsi="Arial" w:cs="Arial"/>
          <w:sz w:val="22"/>
          <w:szCs w:val="22"/>
        </w:rPr>
        <w:t>: They may push for features that are hard to deliver in six months, causing friction with engineering.</w:t>
      </w:r>
    </w:p>
    <w:p w:rsidRPr="00CA4FE4" w:rsidR="00CA4FE4" w:rsidP="00CA4FE4" w:rsidRDefault="00CA4FE4" w14:paraId="13F0ACBC" w14:textId="77777777">
      <w:pPr>
        <w:rPr>
          <w:rFonts w:ascii="Arial" w:hAnsi="Arial" w:cs="Arial"/>
          <w:b/>
          <w:bCs/>
          <w:sz w:val="22"/>
          <w:szCs w:val="22"/>
        </w:rPr>
      </w:pPr>
      <w:r w:rsidRPr="00CA4FE4">
        <w:rPr>
          <w:rFonts w:ascii="Arial" w:hAnsi="Arial" w:cs="Arial"/>
          <w:b/>
          <w:bCs/>
          <w:sz w:val="22"/>
          <w:szCs w:val="22"/>
        </w:rPr>
        <w:t>Operations &amp; Supply Chain</w:t>
      </w:r>
    </w:p>
    <w:p w:rsidRPr="00CA4FE4" w:rsidR="00CA4FE4" w:rsidP="00CA4FE4" w:rsidRDefault="00CA4FE4" w14:paraId="131F5675" w14:textId="77777777">
      <w:pPr>
        <w:numPr>
          <w:ilvl w:val="0"/>
          <w:numId w:val="12"/>
        </w:numPr>
        <w:rPr>
          <w:rFonts w:ascii="Arial" w:hAnsi="Arial" w:cs="Arial"/>
          <w:sz w:val="22"/>
          <w:szCs w:val="22"/>
        </w:rPr>
      </w:pPr>
      <w:r w:rsidRPr="00CA4FE4">
        <w:rPr>
          <w:rFonts w:ascii="Arial" w:hAnsi="Arial" w:cs="Arial"/>
          <w:b/>
          <w:bCs/>
          <w:sz w:val="22"/>
          <w:szCs w:val="22"/>
        </w:rPr>
        <w:t>Role</w:t>
      </w:r>
      <w:r w:rsidRPr="00CA4FE4">
        <w:rPr>
          <w:rFonts w:ascii="Arial" w:hAnsi="Arial" w:cs="Arial"/>
          <w:sz w:val="22"/>
          <w:szCs w:val="22"/>
        </w:rPr>
        <w:t>: Manage suppliers, logistics, and inventory for components like SpO</w:t>
      </w:r>
      <w:r w:rsidRPr="00CA4FE4">
        <w:rPr>
          <w:rFonts w:ascii="Cambria Math" w:hAnsi="Cambria Math" w:cs="Cambria Math"/>
          <w:sz w:val="22"/>
          <w:szCs w:val="22"/>
        </w:rPr>
        <w:t>₂</w:t>
      </w:r>
      <w:r w:rsidRPr="00CA4FE4">
        <w:rPr>
          <w:rFonts w:ascii="Arial" w:hAnsi="Arial" w:cs="Arial"/>
          <w:sz w:val="22"/>
          <w:szCs w:val="22"/>
        </w:rPr>
        <w:t xml:space="preserve"> sensors.</w:t>
      </w:r>
    </w:p>
    <w:p w:rsidRPr="00CA4FE4" w:rsidR="00CA4FE4" w:rsidP="00CA4FE4" w:rsidRDefault="00CA4FE4" w14:paraId="344475C9" w14:textId="77777777">
      <w:pPr>
        <w:numPr>
          <w:ilvl w:val="0"/>
          <w:numId w:val="12"/>
        </w:numPr>
        <w:rPr>
          <w:rFonts w:ascii="Arial" w:hAnsi="Arial" w:cs="Arial"/>
          <w:sz w:val="22"/>
          <w:szCs w:val="22"/>
        </w:rPr>
      </w:pPr>
      <w:r w:rsidRPr="00CA4FE4">
        <w:rPr>
          <w:rFonts w:ascii="Arial" w:hAnsi="Arial" w:cs="Arial"/>
          <w:b/>
          <w:bCs/>
          <w:sz w:val="22"/>
          <w:szCs w:val="22"/>
        </w:rPr>
        <w:t>Benefits</w:t>
      </w:r>
      <w:r w:rsidRPr="00CA4FE4">
        <w:rPr>
          <w:rFonts w:ascii="Arial" w:hAnsi="Arial" w:cs="Arial"/>
          <w:sz w:val="22"/>
          <w:szCs w:val="22"/>
        </w:rPr>
        <w:t>: Operational excellence ensures timely production and cost control.</w:t>
      </w:r>
    </w:p>
    <w:p w:rsidRPr="00CA4FE4" w:rsidR="00CA4FE4" w:rsidP="00CA4FE4" w:rsidRDefault="00CA4FE4" w14:paraId="41676B19" w14:textId="77777777">
      <w:pPr>
        <w:numPr>
          <w:ilvl w:val="0"/>
          <w:numId w:val="12"/>
        </w:numPr>
        <w:rPr>
          <w:rFonts w:ascii="Arial" w:hAnsi="Arial" w:cs="Arial"/>
          <w:sz w:val="22"/>
          <w:szCs w:val="22"/>
        </w:rPr>
      </w:pPr>
      <w:r w:rsidRPr="00CA4FE4">
        <w:rPr>
          <w:rFonts w:ascii="Arial" w:hAnsi="Arial" w:cs="Arial"/>
          <w:b/>
          <w:bCs/>
          <w:sz w:val="22"/>
          <w:szCs w:val="22"/>
        </w:rPr>
        <w:t>Challenges</w:t>
      </w:r>
      <w:r w:rsidRPr="00CA4FE4">
        <w:rPr>
          <w:rFonts w:ascii="Arial" w:hAnsi="Arial" w:cs="Arial"/>
          <w:sz w:val="22"/>
          <w:szCs w:val="22"/>
        </w:rPr>
        <w:t>: Supplier delays, quality issues, or geopolitical risk can disrupt schedules.</w:t>
      </w:r>
    </w:p>
    <w:p w:rsidRPr="00CA4FE4" w:rsidR="00CA4FE4" w:rsidP="00CA4FE4" w:rsidRDefault="00CA4FE4" w14:paraId="37847812" w14:textId="77777777">
      <w:pPr>
        <w:rPr>
          <w:rFonts w:ascii="Arial" w:hAnsi="Arial" w:cs="Arial"/>
          <w:b/>
          <w:bCs/>
          <w:sz w:val="22"/>
          <w:szCs w:val="22"/>
        </w:rPr>
      </w:pPr>
      <w:r w:rsidRPr="00CA4FE4">
        <w:rPr>
          <w:rFonts w:ascii="Arial" w:hAnsi="Arial" w:cs="Arial"/>
          <w:b/>
          <w:bCs/>
          <w:sz w:val="22"/>
          <w:szCs w:val="22"/>
        </w:rPr>
        <w:t>Customer Support / Services</w:t>
      </w:r>
    </w:p>
    <w:p w:rsidRPr="00CA4FE4" w:rsidR="00CA4FE4" w:rsidP="00CA4FE4" w:rsidRDefault="00CA4FE4" w14:paraId="6FFF2A25" w14:textId="77777777">
      <w:pPr>
        <w:numPr>
          <w:ilvl w:val="0"/>
          <w:numId w:val="13"/>
        </w:numPr>
        <w:rPr>
          <w:rFonts w:ascii="Arial" w:hAnsi="Arial" w:cs="Arial"/>
          <w:sz w:val="22"/>
          <w:szCs w:val="22"/>
        </w:rPr>
      </w:pPr>
      <w:r w:rsidRPr="00CA4FE4">
        <w:rPr>
          <w:rFonts w:ascii="Arial" w:hAnsi="Arial" w:cs="Arial"/>
          <w:b/>
          <w:bCs/>
          <w:sz w:val="22"/>
          <w:szCs w:val="22"/>
        </w:rPr>
        <w:t>Role</w:t>
      </w:r>
      <w:r w:rsidRPr="00CA4FE4">
        <w:rPr>
          <w:rFonts w:ascii="Arial" w:hAnsi="Arial" w:cs="Arial"/>
          <w:sz w:val="22"/>
          <w:szCs w:val="22"/>
        </w:rPr>
        <w:t>: Provide training materials, user guides, and post</w:t>
      </w:r>
      <w:r w:rsidRPr="00CA4FE4">
        <w:rPr>
          <w:rFonts w:ascii="Arial" w:hAnsi="Arial" w:cs="Arial"/>
          <w:sz w:val="22"/>
          <w:szCs w:val="22"/>
        </w:rPr>
        <w:noBreakHyphen/>
      </w:r>
      <w:r w:rsidRPr="00CA4FE4">
        <w:rPr>
          <w:rFonts w:ascii="Arial" w:hAnsi="Arial" w:cs="Arial"/>
          <w:sz w:val="22"/>
          <w:szCs w:val="22"/>
        </w:rPr>
        <w:t>launch support.</w:t>
      </w:r>
    </w:p>
    <w:p w:rsidRPr="00CA4FE4" w:rsidR="00CA4FE4" w:rsidP="00CA4FE4" w:rsidRDefault="00CA4FE4" w14:paraId="2B00C4F4" w14:textId="77777777">
      <w:pPr>
        <w:numPr>
          <w:ilvl w:val="0"/>
          <w:numId w:val="13"/>
        </w:numPr>
        <w:rPr>
          <w:rFonts w:ascii="Arial" w:hAnsi="Arial" w:cs="Arial"/>
          <w:sz w:val="22"/>
          <w:szCs w:val="22"/>
        </w:rPr>
      </w:pPr>
      <w:r w:rsidRPr="00CA4FE4">
        <w:rPr>
          <w:rFonts w:ascii="Arial" w:hAnsi="Arial" w:cs="Arial"/>
          <w:b/>
          <w:bCs/>
          <w:sz w:val="22"/>
          <w:szCs w:val="22"/>
        </w:rPr>
        <w:t>Benefits</w:t>
      </w:r>
      <w:r w:rsidRPr="00CA4FE4">
        <w:rPr>
          <w:rFonts w:ascii="Arial" w:hAnsi="Arial" w:cs="Arial"/>
          <w:sz w:val="22"/>
          <w:szCs w:val="22"/>
        </w:rPr>
        <w:t>: Improves user satisfaction, reduces returns, and builds loyalty.</w:t>
      </w:r>
    </w:p>
    <w:p w:rsidRPr="00CA4FE4" w:rsidR="00CA4FE4" w:rsidP="00CA4FE4" w:rsidRDefault="00CA4FE4" w14:paraId="579093B0" w14:textId="77777777">
      <w:pPr>
        <w:numPr>
          <w:ilvl w:val="0"/>
          <w:numId w:val="13"/>
        </w:numPr>
        <w:rPr>
          <w:rFonts w:ascii="Arial" w:hAnsi="Arial" w:cs="Arial"/>
          <w:sz w:val="22"/>
          <w:szCs w:val="22"/>
        </w:rPr>
      </w:pPr>
      <w:r w:rsidRPr="00CA4FE4">
        <w:rPr>
          <w:rFonts w:ascii="Arial" w:hAnsi="Arial" w:cs="Arial"/>
          <w:b/>
          <w:bCs/>
          <w:sz w:val="22"/>
          <w:szCs w:val="22"/>
        </w:rPr>
        <w:t>Challenges</w:t>
      </w:r>
      <w:r w:rsidRPr="00CA4FE4">
        <w:rPr>
          <w:rFonts w:ascii="Arial" w:hAnsi="Arial" w:cs="Arial"/>
          <w:sz w:val="22"/>
          <w:szCs w:val="22"/>
        </w:rPr>
        <w:t>: They may be overwhelmed with early consumer feedback; communications must be clear and efficient.</w:t>
      </w:r>
    </w:p>
    <w:p w:rsidRPr="00CA4FE4" w:rsidR="00CA4FE4" w:rsidP="00CA4FE4" w:rsidRDefault="00CA4FE4" w14:paraId="607EB8FA" w14:textId="77777777">
      <w:pPr>
        <w:rPr>
          <w:rFonts w:ascii="Arial" w:hAnsi="Arial" w:cs="Arial"/>
          <w:b/>
          <w:bCs/>
          <w:sz w:val="22"/>
          <w:szCs w:val="22"/>
        </w:rPr>
      </w:pPr>
      <w:r w:rsidRPr="00CA4FE4">
        <w:rPr>
          <w:rFonts w:ascii="Arial" w:hAnsi="Arial" w:cs="Arial"/>
          <w:b/>
          <w:bCs/>
          <w:sz w:val="22"/>
          <w:szCs w:val="22"/>
        </w:rPr>
        <w:t>Component Suppliers</w:t>
      </w:r>
    </w:p>
    <w:p w:rsidRPr="00CA4FE4" w:rsidR="00CA4FE4" w:rsidP="00CA4FE4" w:rsidRDefault="00CA4FE4" w14:paraId="788B3A30" w14:textId="77777777">
      <w:pPr>
        <w:numPr>
          <w:ilvl w:val="0"/>
          <w:numId w:val="14"/>
        </w:numPr>
        <w:rPr>
          <w:rFonts w:ascii="Arial" w:hAnsi="Arial" w:cs="Arial"/>
          <w:sz w:val="22"/>
          <w:szCs w:val="22"/>
        </w:rPr>
      </w:pPr>
      <w:r w:rsidRPr="00CA4FE4">
        <w:rPr>
          <w:rFonts w:ascii="Arial" w:hAnsi="Arial" w:cs="Arial"/>
          <w:b/>
          <w:bCs/>
          <w:sz w:val="22"/>
          <w:szCs w:val="22"/>
        </w:rPr>
        <w:t>Role</w:t>
      </w:r>
      <w:r w:rsidRPr="00CA4FE4">
        <w:rPr>
          <w:rFonts w:ascii="Arial" w:hAnsi="Arial" w:cs="Arial"/>
          <w:sz w:val="22"/>
          <w:szCs w:val="22"/>
        </w:rPr>
        <w:t>: Provide critical sensor and electronic components.</w:t>
      </w:r>
    </w:p>
    <w:p w:rsidRPr="00CA4FE4" w:rsidR="00CA4FE4" w:rsidP="00CA4FE4" w:rsidRDefault="00CA4FE4" w14:paraId="10444ECF" w14:textId="5F369EF4">
      <w:pPr>
        <w:numPr>
          <w:ilvl w:val="0"/>
          <w:numId w:val="14"/>
        </w:numPr>
        <w:rPr>
          <w:rFonts w:ascii="Arial" w:hAnsi="Arial" w:cs="Arial"/>
          <w:sz w:val="22"/>
          <w:szCs w:val="22"/>
        </w:rPr>
      </w:pPr>
      <w:r w:rsidRPr="44CD8003" w:rsidR="00CA4FE4">
        <w:rPr>
          <w:rFonts w:ascii="Arial" w:hAnsi="Arial" w:cs="Arial"/>
          <w:b w:val="1"/>
          <w:bCs w:val="1"/>
          <w:sz w:val="22"/>
          <w:szCs w:val="22"/>
        </w:rPr>
        <w:t>Benefits</w:t>
      </w:r>
      <w:r w:rsidRPr="44CD8003" w:rsidR="00CA4FE4">
        <w:rPr>
          <w:rFonts w:ascii="Arial" w:hAnsi="Arial" w:cs="Arial"/>
          <w:sz w:val="22"/>
          <w:szCs w:val="22"/>
        </w:rPr>
        <w:t xml:space="preserve">: Their specialised technology underpins the device’s </w:t>
      </w:r>
      <w:r w:rsidRPr="44CD8003" w:rsidR="098F7D7D">
        <w:rPr>
          <w:rFonts w:ascii="Arial" w:hAnsi="Arial" w:cs="Arial"/>
          <w:sz w:val="22"/>
          <w:szCs w:val="22"/>
        </w:rPr>
        <w:t>health monitoring</w:t>
      </w:r>
      <w:r w:rsidRPr="44CD8003" w:rsidR="00CA4FE4">
        <w:rPr>
          <w:rFonts w:ascii="Arial" w:hAnsi="Arial" w:cs="Arial"/>
          <w:sz w:val="22"/>
          <w:szCs w:val="22"/>
        </w:rPr>
        <w:t xml:space="preserve"> accuracy.</w:t>
      </w:r>
    </w:p>
    <w:p w:rsidRPr="00CA4FE4" w:rsidR="00CA4FE4" w:rsidP="00CA4FE4" w:rsidRDefault="00CA4FE4" w14:paraId="279008FB" w14:textId="77777777">
      <w:pPr>
        <w:numPr>
          <w:ilvl w:val="0"/>
          <w:numId w:val="14"/>
        </w:numPr>
        <w:rPr>
          <w:rFonts w:ascii="Arial" w:hAnsi="Arial" w:cs="Arial"/>
          <w:sz w:val="22"/>
          <w:szCs w:val="22"/>
        </w:rPr>
      </w:pPr>
      <w:r w:rsidRPr="00CA4FE4">
        <w:rPr>
          <w:rFonts w:ascii="Arial" w:hAnsi="Arial" w:cs="Arial"/>
          <w:b/>
          <w:bCs/>
          <w:sz w:val="22"/>
          <w:szCs w:val="22"/>
        </w:rPr>
        <w:t>Challenges</w:t>
      </w:r>
      <w:r w:rsidRPr="00CA4FE4">
        <w:rPr>
          <w:rFonts w:ascii="Arial" w:hAnsi="Arial" w:cs="Arial"/>
          <w:sz w:val="22"/>
          <w:szCs w:val="22"/>
        </w:rPr>
        <w:t>: Volatile supply chains, margin pressure, and demand fluctuations can strain relationships.</w:t>
      </w:r>
    </w:p>
    <w:p w:rsidRPr="00CA4FE4" w:rsidR="00CA4FE4" w:rsidP="00CA4FE4" w:rsidRDefault="00CA4FE4" w14:paraId="5BB55E59" w14:textId="77777777">
      <w:pPr>
        <w:rPr>
          <w:rFonts w:ascii="Arial" w:hAnsi="Arial" w:cs="Arial"/>
          <w:b/>
          <w:bCs/>
          <w:sz w:val="22"/>
          <w:szCs w:val="22"/>
        </w:rPr>
      </w:pPr>
      <w:r w:rsidRPr="00CA4FE4">
        <w:rPr>
          <w:rFonts w:ascii="Arial" w:hAnsi="Arial" w:cs="Arial"/>
          <w:b/>
          <w:bCs/>
          <w:sz w:val="22"/>
          <w:szCs w:val="22"/>
        </w:rPr>
        <w:t>Regulators</w:t>
      </w:r>
    </w:p>
    <w:p w:rsidRPr="00CA4FE4" w:rsidR="00CA4FE4" w:rsidP="00CA4FE4" w:rsidRDefault="00CA4FE4" w14:paraId="57F15C04" w14:textId="77777777">
      <w:pPr>
        <w:numPr>
          <w:ilvl w:val="0"/>
          <w:numId w:val="15"/>
        </w:numPr>
        <w:rPr>
          <w:rFonts w:ascii="Arial" w:hAnsi="Arial" w:cs="Arial"/>
          <w:sz w:val="22"/>
          <w:szCs w:val="22"/>
        </w:rPr>
      </w:pPr>
      <w:r w:rsidRPr="00CA4FE4">
        <w:rPr>
          <w:rFonts w:ascii="Arial" w:hAnsi="Arial" w:cs="Arial"/>
          <w:b/>
          <w:bCs/>
          <w:sz w:val="22"/>
          <w:szCs w:val="22"/>
        </w:rPr>
        <w:t>Role</w:t>
      </w:r>
      <w:r w:rsidRPr="00CA4FE4">
        <w:rPr>
          <w:rFonts w:ascii="Arial" w:hAnsi="Arial" w:cs="Arial"/>
          <w:sz w:val="22"/>
          <w:szCs w:val="22"/>
        </w:rPr>
        <w:t>: Certify product safety, data privacy, and medical status.</w:t>
      </w:r>
    </w:p>
    <w:p w:rsidRPr="00CA4FE4" w:rsidR="00CA4FE4" w:rsidP="00CA4FE4" w:rsidRDefault="00CA4FE4" w14:paraId="6163DD91" w14:textId="77777777">
      <w:pPr>
        <w:numPr>
          <w:ilvl w:val="0"/>
          <w:numId w:val="15"/>
        </w:numPr>
        <w:rPr>
          <w:rFonts w:ascii="Arial" w:hAnsi="Arial" w:cs="Arial"/>
          <w:sz w:val="22"/>
          <w:szCs w:val="22"/>
        </w:rPr>
      </w:pPr>
      <w:r w:rsidRPr="00CA4FE4">
        <w:rPr>
          <w:rFonts w:ascii="Arial" w:hAnsi="Arial" w:cs="Arial"/>
          <w:b/>
          <w:bCs/>
          <w:sz w:val="22"/>
          <w:szCs w:val="22"/>
        </w:rPr>
        <w:t>Benefits</w:t>
      </w:r>
      <w:r w:rsidRPr="00CA4FE4">
        <w:rPr>
          <w:rFonts w:ascii="Arial" w:hAnsi="Arial" w:cs="Arial"/>
          <w:sz w:val="22"/>
          <w:szCs w:val="22"/>
        </w:rPr>
        <w:t>: Certification boosts consumer trust and legal legitimacy.</w:t>
      </w:r>
    </w:p>
    <w:p w:rsidRPr="00CA4FE4" w:rsidR="00CA4FE4" w:rsidP="00CA4FE4" w:rsidRDefault="00CA4FE4" w14:paraId="4F37F4E4" w14:textId="77777777">
      <w:pPr>
        <w:numPr>
          <w:ilvl w:val="0"/>
          <w:numId w:val="15"/>
        </w:numPr>
        <w:rPr>
          <w:rFonts w:ascii="Arial" w:hAnsi="Arial" w:cs="Arial"/>
          <w:sz w:val="22"/>
          <w:szCs w:val="22"/>
        </w:rPr>
      </w:pPr>
      <w:r w:rsidRPr="00CA4FE4">
        <w:rPr>
          <w:rFonts w:ascii="Arial" w:hAnsi="Arial" w:cs="Arial"/>
          <w:b/>
          <w:bCs/>
          <w:sz w:val="22"/>
          <w:szCs w:val="22"/>
        </w:rPr>
        <w:t>Challenges</w:t>
      </w:r>
      <w:r w:rsidRPr="00CA4FE4">
        <w:rPr>
          <w:rFonts w:ascii="Arial" w:hAnsi="Arial" w:cs="Arial"/>
          <w:sz w:val="22"/>
          <w:szCs w:val="22"/>
        </w:rPr>
        <w:t>: Regulatory revisions, documentation burden, and slow approval cycles can delay deployment.</w:t>
      </w:r>
    </w:p>
    <w:p w:rsidRPr="00CA4FE4" w:rsidR="00CA4FE4" w:rsidP="00CA4FE4" w:rsidRDefault="00CA4FE4" w14:paraId="30BABA47" w14:textId="77777777">
      <w:pPr>
        <w:rPr>
          <w:rFonts w:ascii="Arial" w:hAnsi="Arial" w:cs="Arial"/>
          <w:b/>
          <w:bCs/>
          <w:sz w:val="22"/>
          <w:szCs w:val="22"/>
        </w:rPr>
      </w:pPr>
      <w:r w:rsidRPr="00CA4FE4">
        <w:rPr>
          <w:rFonts w:ascii="Arial" w:hAnsi="Arial" w:cs="Arial"/>
          <w:b/>
          <w:bCs/>
          <w:sz w:val="22"/>
          <w:szCs w:val="22"/>
        </w:rPr>
        <w:t>Academic / Research Partners</w:t>
      </w:r>
    </w:p>
    <w:p w:rsidRPr="00CA4FE4" w:rsidR="00CA4FE4" w:rsidP="00CA4FE4" w:rsidRDefault="00CA4FE4" w14:paraId="0688FB68" w14:textId="51F35889">
      <w:pPr>
        <w:numPr>
          <w:ilvl w:val="0"/>
          <w:numId w:val="16"/>
        </w:numPr>
        <w:rPr>
          <w:rFonts w:ascii="Arial" w:hAnsi="Arial" w:cs="Arial"/>
          <w:sz w:val="22"/>
          <w:szCs w:val="22"/>
        </w:rPr>
      </w:pPr>
      <w:r w:rsidRPr="44CD8003" w:rsidR="00CA4FE4">
        <w:rPr>
          <w:rFonts w:ascii="Arial" w:hAnsi="Arial" w:cs="Arial"/>
          <w:b w:val="1"/>
          <w:bCs w:val="1"/>
          <w:sz w:val="22"/>
          <w:szCs w:val="22"/>
        </w:rPr>
        <w:t>Role</w:t>
      </w:r>
      <w:r w:rsidRPr="44CD8003" w:rsidR="00CA4FE4">
        <w:rPr>
          <w:rFonts w:ascii="Arial" w:hAnsi="Arial" w:cs="Arial"/>
          <w:sz w:val="22"/>
          <w:szCs w:val="22"/>
        </w:rPr>
        <w:t xml:space="preserve">: </w:t>
      </w:r>
      <w:r w:rsidRPr="44CD8003" w:rsidR="00CA4FE4">
        <w:rPr>
          <w:rFonts w:ascii="Arial" w:hAnsi="Arial" w:cs="Arial"/>
          <w:sz w:val="22"/>
          <w:szCs w:val="22"/>
        </w:rPr>
        <w:t>Validate</w:t>
      </w:r>
      <w:r w:rsidRPr="44CD8003" w:rsidR="00CA4FE4">
        <w:rPr>
          <w:rFonts w:ascii="Arial" w:hAnsi="Arial" w:cs="Arial"/>
          <w:sz w:val="22"/>
          <w:szCs w:val="22"/>
        </w:rPr>
        <w:t xml:space="preserve"> </w:t>
      </w:r>
      <w:r w:rsidRPr="44CD8003" w:rsidR="1AD20F7C">
        <w:rPr>
          <w:rFonts w:ascii="Arial" w:hAnsi="Arial" w:cs="Arial"/>
          <w:sz w:val="22"/>
          <w:szCs w:val="22"/>
        </w:rPr>
        <w:t>health data</w:t>
      </w:r>
      <w:r w:rsidRPr="44CD8003" w:rsidR="00CA4FE4">
        <w:rPr>
          <w:rFonts w:ascii="Arial" w:hAnsi="Arial" w:cs="Arial"/>
          <w:sz w:val="22"/>
          <w:szCs w:val="22"/>
        </w:rPr>
        <w:t xml:space="preserve"> models, provide </w:t>
      </w:r>
      <w:r w:rsidRPr="44CD8003" w:rsidR="6081C929">
        <w:rPr>
          <w:rFonts w:ascii="Arial" w:hAnsi="Arial" w:cs="Arial"/>
          <w:sz w:val="22"/>
          <w:szCs w:val="22"/>
        </w:rPr>
        <w:t>real-world</w:t>
      </w:r>
      <w:r w:rsidRPr="44CD8003" w:rsidR="00CA4FE4">
        <w:rPr>
          <w:rFonts w:ascii="Arial" w:hAnsi="Arial" w:cs="Arial"/>
          <w:sz w:val="22"/>
          <w:szCs w:val="22"/>
        </w:rPr>
        <w:t xml:space="preserve"> testing, and contribute to evidence base.</w:t>
      </w:r>
    </w:p>
    <w:p w:rsidRPr="00CA4FE4" w:rsidR="00CA4FE4" w:rsidP="00CA4FE4" w:rsidRDefault="00CA4FE4" w14:paraId="50216E71" w14:textId="1C78C3DD">
      <w:pPr>
        <w:numPr>
          <w:ilvl w:val="0"/>
          <w:numId w:val="16"/>
        </w:numPr>
        <w:rPr>
          <w:rFonts w:ascii="Arial" w:hAnsi="Arial" w:cs="Arial"/>
          <w:sz w:val="22"/>
          <w:szCs w:val="22"/>
        </w:rPr>
      </w:pPr>
      <w:r w:rsidRPr="00CA4FE4">
        <w:rPr>
          <w:rFonts w:ascii="Arial" w:hAnsi="Arial" w:cs="Arial"/>
          <w:b/>
          <w:bCs/>
          <w:sz w:val="22"/>
          <w:szCs w:val="22"/>
        </w:rPr>
        <w:t>Benefits</w:t>
      </w:r>
      <w:r w:rsidRPr="00CA4FE4">
        <w:rPr>
          <w:rFonts w:ascii="Arial" w:hAnsi="Arial" w:cs="Arial"/>
          <w:sz w:val="22"/>
          <w:szCs w:val="22"/>
        </w:rPr>
        <w:t>: Research partnerships like that with King’s College London enhance credibility and support clinical use cases.</w:t>
      </w:r>
    </w:p>
    <w:p w:rsidRPr="00CA4FE4" w:rsidR="00CA4FE4" w:rsidP="00CA4FE4" w:rsidRDefault="00CA4FE4" w14:paraId="2D96BE97" w14:textId="28BA650E">
      <w:pPr>
        <w:numPr>
          <w:ilvl w:val="0"/>
          <w:numId w:val="16"/>
        </w:numPr>
        <w:rPr>
          <w:rFonts w:ascii="Arial" w:hAnsi="Arial" w:cs="Arial"/>
          <w:sz w:val="22"/>
          <w:szCs w:val="22"/>
        </w:rPr>
      </w:pPr>
      <w:r w:rsidRPr="44CD8003" w:rsidR="00CA4FE4">
        <w:rPr>
          <w:rFonts w:ascii="Arial" w:hAnsi="Arial" w:cs="Arial"/>
          <w:b w:val="1"/>
          <w:bCs w:val="1"/>
          <w:sz w:val="22"/>
          <w:szCs w:val="22"/>
        </w:rPr>
        <w:t>Challenges</w:t>
      </w:r>
      <w:r w:rsidRPr="44CD8003" w:rsidR="00CA4FE4">
        <w:rPr>
          <w:rFonts w:ascii="Arial" w:hAnsi="Arial" w:cs="Arial"/>
          <w:sz w:val="22"/>
          <w:szCs w:val="22"/>
        </w:rPr>
        <w:t xml:space="preserve">: Research timelines may conflict with commercial launch schedules; </w:t>
      </w:r>
      <w:r w:rsidRPr="44CD8003" w:rsidR="33B70A7E">
        <w:rPr>
          <w:rFonts w:ascii="Arial" w:hAnsi="Arial" w:cs="Arial"/>
          <w:sz w:val="22"/>
          <w:szCs w:val="22"/>
        </w:rPr>
        <w:t>data sharing</w:t>
      </w:r>
      <w:r w:rsidRPr="44CD8003" w:rsidR="00CA4FE4">
        <w:rPr>
          <w:rFonts w:ascii="Arial" w:hAnsi="Arial" w:cs="Arial"/>
          <w:sz w:val="22"/>
          <w:szCs w:val="22"/>
        </w:rPr>
        <w:t xml:space="preserve"> and privacy concerns must be carefully negotiated.</w:t>
      </w:r>
    </w:p>
    <w:p w:rsidRPr="00CA4FE4" w:rsidR="00CA4FE4" w:rsidP="00CA4FE4" w:rsidRDefault="00CA4FE4" w14:paraId="0B1A8305" w14:textId="77777777">
      <w:pPr>
        <w:rPr>
          <w:rFonts w:ascii="Arial" w:hAnsi="Arial" w:cs="Arial"/>
          <w:b/>
          <w:bCs/>
          <w:sz w:val="22"/>
          <w:szCs w:val="22"/>
        </w:rPr>
      </w:pPr>
      <w:r w:rsidRPr="00CA4FE4">
        <w:rPr>
          <w:rFonts w:ascii="Arial" w:hAnsi="Arial" w:cs="Arial"/>
          <w:b/>
          <w:bCs/>
          <w:sz w:val="22"/>
          <w:szCs w:val="22"/>
        </w:rPr>
        <w:t>Consumers</w:t>
      </w:r>
    </w:p>
    <w:p w:rsidRPr="00CA4FE4" w:rsidR="00CA4FE4" w:rsidP="00CA4FE4" w:rsidRDefault="00CA4FE4" w14:paraId="13211A54" w14:textId="77777777">
      <w:pPr>
        <w:numPr>
          <w:ilvl w:val="0"/>
          <w:numId w:val="17"/>
        </w:numPr>
        <w:rPr>
          <w:rFonts w:ascii="Arial" w:hAnsi="Arial" w:cs="Arial"/>
          <w:sz w:val="22"/>
          <w:szCs w:val="22"/>
        </w:rPr>
      </w:pPr>
      <w:r w:rsidRPr="00CA4FE4">
        <w:rPr>
          <w:rFonts w:ascii="Arial" w:hAnsi="Arial" w:cs="Arial"/>
          <w:b/>
          <w:bCs/>
          <w:sz w:val="22"/>
          <w:szCs w:val="22"/>
        </w:rPr>
        <w:t>Role</w:t>
      </w:r>
      <w:r w:rsidRPr="00CA4FE4">
        <w:rPr>
          <w:rFonts w:ascii="Arial" w:hAnsi="Arial" w:cs="Arial"/>
          <w:sz w:val="22"/>
          <w:szCs w:val="22"/>
        </w:rPr>
        <w:t>: Provide feedback, co</w:t>
      </w:r>
      <w:r w:rsidRPr="00CA4FE4">
        <w:rPr>
          <w:rFonts w:ascii="Arial" w:hAnsi="Arial" w:cs="Arial"/>
          <w:sz w:val="22"/>
          <w:szCs w:val="22"/>
        </w:rPr>
        <w:noBreakHyphen/>
      </w:r>
      <w:r w:rsidRPr="00CA4FE4">
        <w:rPr>
          <w:rFonts w:ascii="Arial" w:hAnsi="Arial" w:cs="Arial"/>
          <w:sz w:val="22"/>
          <w:szCs w:val="22"/>
        </w:rPr>
        <w:t>create features, and become early users.</w:t>
      </w:r>
    </w:p>
    <w:p w:rsidRPr="00CA4FE4" w:rsidR="00CA4FE4" w:rsidP="00CA4FE4" w:rsidRDefault="00CA4FE4" w14:paraId="77FBD53D" w14:textId="5839B9E7">
      <w:pPr>
        <w:numPr>
          <w:ilvl w:val="0"/>
          <w:numId w:val="17"/>
        </w:numPr>
        <w:rPr>
          <w:rFonts w:ascii="Arial" w:hAnsi="Arial" w:cs="Arial"/>
          <w:sz w:val="22"/>
          <w:szCs w:val="22"/>
        </w:rPr>
      </w:pPr>
      <w:r w:rsidRPr="44CD8003" w:rsidR="00CA4FE4">
        <w:rPr>
          <w:rFonts w:ascii="Arial" w:hAnsi="Arial" w:cs="Arial"/>
          <w:b w:val="1"/>
          <w:bCs w:val="1"/>
          <w:sz w:val="22"/>
          <w:szCs w:val="22"/>
        </w:rPr>
        <w:t>Benefits</w:t>
      </w:r>
      <w:r w:rsidRPr="44CD8003" w:rsidR="00CA4FE4">
        <w:rPr>
          <w:rFonts w:ascii="Arial" w:hAnsi="Arial" w:cs="Arial"/>
          <w:sz w:val="22"/>
          <w:szCs w:val="22"/>
        </w:rPr>
        <w:t xml:space="preserve">: Their input helps refine user experience and </w:t>
      </w:r>
      <w:r w:rsidRPr="44CD8003" w:rsidR="5D2E438A">
        <w:rPr>
          <w:rFonts w:ascii="Arial" w:hAnsi="Arial" w:cs="Arial"/>
          <w:sz w:val="22"/>
          <w:szCs w:val="22"/>
        </w:rPr>
        <w:t>health insight</w:t>
      </w:r>
      <w:r w:rsidRPr="44CD8003" w:rsidR="00CA4FE4">
        <w:rPr>
          <w:rFonts w:ascii="Arial" w:hAnsi="Arial" w:cs="Arial"/>
          <w:sz w:val="22"/>
          <w:szCs w:val="22"/>
        </w:rPr>
        <w:t xml:space="preserve"> usefulness.</w:t>
      </w:r>
    </w:p>
    <w:p w:rsidRPr="00CA4FE4" w:rsidR="00CA4FE4" w:rsidP="00CA4FE4" w:rsidRDefault="00CA4FE4" w14:paraId="1330855E" w14:textId="77777777">
      <w:pPr>
        <w:numPr>
          <w:ilvl w:val="0"/>
          <w:numId w:val="17"/>
        </w:numPr>
        <w:rPr>
          <w:rFonts w:ascii="Arial" w:hAnsi="Arial" w:cs="Arial"/>
          <w:sz w:val="22"/>
          <w:szCs w:val="22"/>
        </w:rPr>
      </w:pPr>
      <w:r w:rsidRPr="00CA4FE4">
        <w:rPr>
          <w:rFonts w:ascii="Arial" w:hAnsi="Arial" w:cs="Arial"/>
          <w:b/>
          <w:bCs/>
          <w:sz w:val="22"/>
          <w:szCs w:val="22"/>
        </w:rPr>
        <w:t>Challenges</w:t>
      </w:r>
      <w:r w:rsidRPr="00CA4FE4">
        <w:rPr>
          <w:rFonts w:ascii="Arial" w:hAnsi="Arial" w:cs="Arial"/>
          <w:sz w:val="22"/>
          <w:szCs w:val="22"/>
        </w:rPr>
        <w:t>: Expectations about accuracy and clinical validity may be high; managing disappointment or misinformation is crucial.</w:t>
      </w:r>
    </w:p>
    <w:p w:rsidRPr="00CA4FE4" w:rsidR="00CA4FE4" w:rsidP="00CA4FE4" w:rsidRDefault="00CA4FE4" w14:paraId="47791288" w14:textId="77777777">
      <w:pPr>
        <w:rPr>
          <w:rFonts w:ascii="Arial" w:hAnsi="Arial" w:cs="Arial"/>
          <w:b/>
          <w:bCs/>
          <w:sz w:val="22"/>
          <w:szCs w:val="22"/>
        </w:rPr>
      </w:pPr>
      <w:r w:rsidRPr="00CA4FE4">
        <w:rPr>
          <w:rFonts w:ascii="Arial" w:hAnsi="Arial" w:cs="Arial"/>
          <w:b/>
          <w:bCs/>
          <w:sz w:val="22"/>
          <w:szCs w:val="22"/>
        </w:rPr>
        <w:t>Investors</w:t>
      </w:r>
    </w:p>
    <w:p w:rsidRPr="00CA4FE4" w:rsidR="00CA4FE4" w:rsidP="00CA4FE4" w:rsidRDefault="00CA4FE4" w14:paraId="0AC8CBC5" w14:textId="77777777">
      <w:pPr>
        <w:numPr>
          <w:ilvl w:val="0"/>
          <w:numId w:val="18"/>
        </w:numPr>
        <w:rPr>
          <w:rFonts w:ascii="Arial" w:hAnsi="Arial" w:cs="Arial"/>
          <w:sz w:val="22"/>
          <w:szCs w:val="22"/>
        </w:rPr>
      </w:pPr>
      <w:r w:rsidRPr="00CA4FE4">
        <w:rPr>
          <w:rFonts w:ascii="Arial" w:hAnsi="Arial" w:cs="Arial"/>
          <w:b/>
          <w:bCs/>
          <w:sz w:val="22"/>
          <w:szCs w:val="22"/>
        </w:rPr>
        <w:t>Role</w:t>
      </w:r>
      <w:r w:rsidRPr="00CA4FE4">
        <w:rPr>
          <w:rFonts w:ascii="Arial" w:hAnsi="Arial" w:cs="Arial"/>
          <w:sz w:val="22"/>
          <w:szCs w:val="22"/>
        </w:rPr>
        <w:t>: Provide capital, strategic oversight, and long-term support.</w:t>
      </w:r>
    </w:p>
    <w:p w:rsidRPr="00CA4FE4" w:rsidR="00CA4FE4" w:rsidP="00CA4FE4" w:rsidRDefault="00CA4FE4" w14:paraId="543DE84E" w14:textId="77777777">
      <w:pPr>
        <w:numPr>
          <w:ilvl w:val="0"/>
          <w:numId w:val="18"/>
        </w:numPr>
        <w:rPr>
          <w:rFonts w:ascii="Arial" w:hAnsi="Arial" w:cs="Arial"/>
          <w:sz w:val="22"/>
          <w:szCs w:val="22"/>
        </w:rPr>
      </w:pPr>
      <w:r w:rsidRPr="00CA4FE4">
        <w:rPr>
          <w:rFonts w:ascii="Arial" w:hAnsi="Arial" w:cs="Arial"/>
          <w:b/>
          <w:bCs/>
          <w:sz w:val="22"/>
          <w:szCs w:val="22"/>
        </w:rPr>
        <w:t>Benefits</w:t>
      </w:r>
      <w:r w:rsidRPr="00CA4FE4">
        <w:rPr>
          <w:rFonts w:ascii="Arial" w:hAnsi="Arial" w:cs="Arial"/>
          <w:sz w:val="22"/>
          <w:szCs w:val="22"/>
        </w:rPr>
        <w:t>: Investing in a health-led wearable could drive value and differentiation in Garmin’s portfolio.</w:t>
      </w:r>
    </w:p>
    <w:p w:rsidRPr="00CA4FE4" w:rsidR="00CA4FE4" w:rsidP="00CA4FE4" w:rsidRDefault="00CA4FE4" w14:paraId="6605EAD3" w14:textId="77777777">
      <w:pPr>
        <w:numPr>
          <w:ilvl w:val="0"/>
          <w:numId w:val="18"/>
        </w:numPr>
        <w:rPr>
          <w:rFonts w:ascii="Arial" w:hAnsi="Arial" w:cs="Arial"/>
          <w:sz w:val="22"/>
          <w:szCs w:val="22"/>
        </w:rPr>
      </w:pPr>
      <w:r w:rsidRPr="00CA4FE4">
        <w:rPr>
          <w:rFonts w:ascii="Arial" w:hAnsi="Arial" w:cs="Arial"/>
          <w:b/>
          <w:bCs/>
          <w:sz w:val="22"/>
          <w:szCs w:val="22"/>
        </w:rPr>
        <w:t>Challenges</w:t>
      </w:r>
      <w:r w:rsidRPr="00CA4FE4">
        <w:rPr>
          <w:rFonts w:ascii="Arial" w:hAnsi="Arial" w:cs="Arial"/>
          <w:sz w:val="22"/>
          <w:szCs w:val="22"/>
        </w:rPr>
        <w:t>: They will monitor ROI closely; any delays or product failures may erode confidence.</w:t>
      </w:r>
    </w:p>
    <w:p w:rsidRPr="00CA4FE4" w:rsidR="00CA4FE4" w:rsidP="00CA4FE4" w:rsidRDefault="00CA4FE4" w14:paraId="0C0E8F7A" w14:textId="77777777">
      <w:pPr>
        <w:rPr>
          <w:rFonts w:ascii="Arial" w:hAnsi="Arial" w:cs="Arial"/>
          <w:sz w:val="22"/>
          <w:szCs w:val="22"/>
        </w:rPr>
      </w:pPr>
      <w:r w:rsidRPr="00CA4FE4">
        <w:rPr>
          <w:rFonts w:ascii="Arial" w:hAnsi="Arial" w:cs="Arial"/>
          <w:sz w:val="22"/>
          <w:szCs w:val="22"/>
        </w:rPr>
        <w:pict w14:anchorId="046361FA">
          <v:rect id="_x0000_i1097" style="width:0;height:1.5pt" o:hr="t" o:hrstd="t" o:hralign="center" fillcolor="#a0a0a0" stroked="f"/>
        </w:pict>
      </w:r>
    </w:p>
    <w:p w:rsidRPr="00CA4FE4" w:rsidR="00CA4FE4" w:rsidP="00CA4FE4" w:rsidRDefault="00CA4FE4" w14:paraId="25A2E13C" w14:textId="1A7D9668">
      <w:pPr>
        <w:rPr>
          <w:rFonts w:ascii="Arial" w:hAnsi="Arial" w:cs="Arial"/>
          <w:b/>
          <w:bCs/>
          <w:sz w:val="22"/>
          <w:szCs w:val="22"/>
        </w:rPr>
      </w:pPr>
      <w:r w:rsidRPr="00CA4FE4">
        <w:rPr>
          <w:rFonts w:ascii="Arial" w:hAnsi="Arial" w:cs="Arial"/>
          <w:b/>
          <w:bCs/>
          <w:sz w:val="22"/>
          <w:szCs w:val="22"/>
        </w:rPr>
        <w:t>5. Engagement Frameworks, Models &amp; Theories</w:t>
      </w:r>
      <w:r w:rsidR="00307E78">
        <w:rPr>
          <w:rFonts w:ascii="Arial" w:hAnsi="Arial" w:cs="Arial"/>
          <w:b/>
          <w:bCs/>
          <w:sz w:val="22"/>
          <w:szCs w:val="22"/>
        </w:rPr>
        <w:t>:</w:t>
      </w:r>
    </w:p>
    <w:p w:rsidRPr="00CA4FE4" w:rsidR="00CA4FE4" w:rsidP="00CA4FE4" w:rsidRDefault="00CA4FE4" w14:paraId="74A79130" w14:textId="229F9CC2">
      <w:pPr>
        <w:rPr>
          <w:rFonts w:ascii="Arial" w:hAnsi="Arial" w:cs="Arial"/>
          <w:sz w:val="22"/>
          <w:szCs w:val="22"/>
        </w:rPr>
      </w:pPr>
      <w:r w:rsidRPr="44CD8003" w:rsidR="00CA4FE4">
        <w:rPr>
          <w:rFonts w:ascii="Arial" w:hAnsi="Arial" w:cs="Arial"/>
          <w:sz w:val="22"/>
          <w:szCs w:val="22"/>
        </w:rPr>
        <w:t xml:space="preserve">To manage the identified stakeholders effectively, I recommend combining classic </w:t>
      </w:r>
      <w:r w:rsidRPr="44CD8003" w:rsidR="69A6FF4F">
        <w:rPr>
          <w:rFonts w:ascii="Arial" w:hAnsi="Arial" w:cs="Arial"/>
          <w:sz w:val="22"/>
          <w:szCs w:val="22"/>
        </w:rPr>
        <w:t>stakeholder management</w:t>
      </w:r>
      <w:r w:rsidRPr="44CD8003" w:rsidR="00CA4FE4">
        <w:rPr>
          <w:rFonts w:ascii="Arial" w:hAnsi="Arial" w:cs="Arial"/>
          <w:sz w:val="22"/>
          <w:szCs w:val="22"/>
        </w:rPr>
        <w:t xml:space="preserve"> frameworks with an integrated engagement plan.</w:t>
      </w:r>
    </w:p>
    <w:p w:rsidRPr="00CA4FE4" w:rsidR="00CA4FE4" w:rsidP="00CA4FE4" w:rsidRDefault="00CA4FE4" w14:paraId="5B79C8D6" w14:textId="77777777">
      <w:pPr>
        <w:rPr>
          <w:rFonts w:ascii="Arial" w:hAnsi="Arial" w:cs="Arial"/>
          <w:b/>
          <w:bCs/>
          <w:sz w:val="22"/>
          <w:szCs w:val="22"/>
        </w:rPr>
      </w:pPr>
      <w:r w:rsidRPr="00CA4FE4">
        <w:rPr>
          <w:rFonts w:ascii="Arial" w:hAnsi="Arial" w:cs="Arial"/>
          <w:b/>
          <w:bCs/>
          <w:sz w:val="22"/>
          <w:szCs w:val="22"/>
        </w:rPr>
        <w:t>5.1 Mendelow’s Stakeholder Matrix</w:t>
      </w:r>
    </w:p>
    <w:p w:rsidRPr="00CA4FE4" w:rsidR="00CA4FE4" w:rsidP="00CA4FE4" w:rsidRDefault="00CA4FE4" w14:paraId="6A1A90E2" w14:textId="07AF5CBC">
      <w:pPr>
        <w:rPr>
          <w:rFonts w:ascii="Arial" w:hAnsi="Arial" w:cs="Arial"/>
          <w:sz w:val="22"/>
          <w:szCs w:val="22"/>
        </w:rPr>
      </w:pPr>
      <w:r w:rsidRPr="00CA4FE4">
        <w:rPr>
          <w:rFonts w:ascii="Arial" w:hAnsi="Arial" w:cs="Arial"/>
          <w:sz w:val="22"/>
          <w:szCs w:val="22"/>
        </w:rPr>
        <w:t xml:space="preserve">We have already mapped stakeholders by </w:t>
      </w:r>
      <w:r w:rsidRPr="00CA4FE4">
        <w:rPr>
          <w:rFonts w:ascii="Arial" w:hAnsi="Arial" w:cs="Arial"/>
          <w:b/>
          <w:bCs/>
          <w:sz w:val="22"/>
          <w:szCs w:val="22"/>
        </w:rPr>
        <w:t>power</w:t>
      </w:r>
      <w:r w:rsidRPr="00CA4FE4">
        <w:rPr>
          <w:rFonts w:ascii="Arial" w:hAnsi="Arial" w:cs="Arial"/>
          <w:sz w:val="22"/>
          <w:szCs w:val="22"/>
        </w:rPr>
        <w:t xml:space="preserve"> and </w:t>
      </w:r>
      <w:r w:rsidRPr="00CA4FE4">
        <w:rPr>
          <w:rFonts w:ascii="Arial" w:hAnsi="Arial" w:cs="Arial"/>
          <w:b/>
          <w:bCs/>
          <w:sz w:val="22"/>
          <w:szCs w:val="22"/>
        </w:rPr>
        <w:t>interest</w:t>
      </w:r>
      <w:r w:rsidRPr="00CA4FE4">
        <w:rPr>
          <w:rFonts w:ascii="Arial" w:hAnsi="Arial" w:cs="Arial"/>
          <w:sz w:val="22"/>
          <w:szCs w:val="22"/>
        </w:rPr>
        <w:t xml:space="preserve">. High-power, high-interest stakeholders (executives, engineering, regulators) need intensive, regular engagement. </w:t>
      </w:r>
      <w:r w:rsidRPr="00CA4FE4" w:rsidR="00AD47C6">
        <w:rPr>
          <w:rFonts w:ascii="Arial" w:hAnsi="Arial" w:cs="Arial"/>
          <w:sz w:val="22"/>
          <w:szCs w:val="22"/>
        </w:rPr>
        <w:t>Low power</w:t>
      </w:r>
      <w:r w:rsidRPr="00CA4FE4">
        <w:rPr>
          <w:rFonts w:ascii="Arial" w:hAnsi="Arial" w:cs="Arial"/>
          <w:sz w:val="22"/>
          <w:szCs w:val="22"/>
        </w:rPr>
        <w:t xml:space="preserve"> but interested groups (consumers, support staff) should be kept informed via updates and feedback channels (Mendelow, 1991</w:t>
      </w:r>
      <w:proofErr w:type="gramStart"/>
      <w:r w:rsidRPr="00CA4FE4">
        <w:rPr>
          <w:rFonts w:ascii="Arial" w:hAnsi="Arial" w:cs="Arial"/>
          <w:sz w:val="22"/>
          <w:szCs w:val="22"/>
        </w:rPr>
        <w:t xml:space="preserve">) </w:t>
      </w:r>
      <w:r w:rsidR="00440B35">
        <w:rPr>
          <w:rFonts w:ascii="Arial" w:hAnsi="Arial" w:cs="Arial"/>
          <w:sz w:val="22"/>
          <w:szCs w:val="22"/>
        </w:rPr>
        <w:t>,</w:t>
      </w:r>
      <w:proofErr w:type="gramEnd"/>
    </w:p>
    <w:p w:rsidRPr="00CA4FE4" w:rsidR="00CA4FE4" w:rsidP="00CA4FE4" w:rsidRDefault="00CA4FE4" w14:paraId="18351176" w14:textId="77777777">
      <w:pPr>
        <w:rPr>
          <w:rFonts w:ascii="Arial" w:hAnsi="Arial" w:cs="Arial"/>
          <w:b/>
          <w:bCs/>
          <w:sz w:val="22"/>
          <w:szCs w:val="22"/>
        </w:rPr>
      </w:pPr>
      <w:r w:rsidRPr="00CA4FE4">
        <w:rPr>
          <w:rFonts w:ascii="Arial" w:hAnsi="Arial" w:cs="Arial"/>
          <w:b/>
          <w:bCs/>
          <w:sz w:val="22"/>
          <w:szCs w:val="22"/>
        </w:rPr>
        <w:t>5.2 Engagement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3"/>
        <w:gridCol w:w="2264"/>
        <w:gridCol w:w="1564"/>
        <w:gridCol w:w="2875"/>
      </w:tblGrid>
      <w:tr w:rsidRPr="00CA4FE4" w:rsidR="00CA4FE4" w:rsidTr="44CD8003" w14:paraId="39D27C3D" w14:textId="77777777">
        <w:trPr>
          <w:tblHeader/>
          <w:tblCellSpacing w:w="15" w:type="dxa"/>
        </w:trPr>
        <w:tc>
          <w:tcPr>
            <w:tcW w:w="0" w:type="auto"/>
            <w:tcMar/>
            <w:vAlign w:val="center"/>
            <w:hideMark/>
          </w:tcPr>
          <w:p w:rsidRPr="00CA4FE4" w:rsidR="00CA4FE4" w:rsidP="00CA4FE4" w:rsidRDefault="00CA4FE4" w14:paraId="46EB89CC" w14:textId="77777777">
            <w:pPr>
              <w:rPr>
                <w:rFonts w:ascii="Arial" w:hAnsi="Arial" w:cs="Arial"/>
                <w:b/>
                <w:bCs/>
                <w:sz w:val="22"/>
                <w:szCs w:val="22"/>
              </w:rPr>
            </w:pPr>
            <w:r w:rsidRPr="00CA4FE4">
              <w:rPr>
                <w:rFonts w:ascii="Arial" w:hAnsi="Arial" w:cs="Arial"/>
                <w:b/>
                <w:bCs/>
                <w:sz w:val="22"/>
                <w:szCs w:val="22"/>
              </w:rPr>
              <w:t>Stakeholder Group</w:t>
            </w:r>
          </w:p>
        </w:tc>
        <w:tc>
          <w:tcPr>
            <w:tcW w:w="0" w:type="auto"/>
            <w:tcMar/>
            <w:vAlign w:val="center"/>
            <w:hideMark/>
          </w:tcPr>
          <w:p w:rsidRPr="00CA4FE4" w:rsidR="00CA4FE4" w:rsidP="00CA4FE4" w:rsidRDefault="00CA4FE4" w14:paraId="55123E36" w14:textId="77777777">
            <w:pPr>
              <w:rPr>
                <w:rFonts w:ascii="Arial" w:hAnsi="Arial" w:cs="Arial"/>
                <w:b/>
                <w:bCs/>
                <w:sz w:val="22"/>
                <w:szCs w:val="22"/>
              </w:rPr>
            </w:pPr>
            <w:r w:rsidRPr="00CA4FE4">
              <w:rPr>
                <w:rFonts w:ascii="Arial" w:hAnsi="Arial" w:cs="Arial"/>
                <w:b/>
                <w:bCs/>
                <w:sz w:val="22"/>
                <w:szCs w:val="22"/>
              </w:rPr>
              <w:t>Engagement Method</w:t>
            </w:r>
          </w:p>
        </w:tc>
        <w:tc>
          <w:tcPr>
            <w:tcW w:w="0" w:type="auto"/>
            <w:tcMar/>
            <w:vAlign w:val="center"/>
            <w:hideMark/>
          </w:tcPr>
          <w:p w:rsidRPr="00CA4FE4" w:rsidR="00CA4FE4" w:rsidP="00CA4FE4" w:rsidRDefault="00CA4FE4" w14:paraId="37E9750F" w14:textId="77777777">
            <w:pPr>
              <w:rPr>
                <w:rFonts w:ascii="Arial" w:hAnsi="Arial" w:cs="Arial"/>
                <w:b/>
                <w:bCs/>
                <w:sz w:val="22"/>
                <w:szCs w:val="22"/>
              </w:rPr>
            </w:pPr>
            <w:r w:rsidRPr="00CA4FE4">
              <w:rPr>
                <w:rFonts w:ascii="Arial" w:hAnsi="Arial" w:cs="Arial"/>
                <w:b/>
                <w:bCs/>
                <w:sz w:val="22"/>
                <w:szCs w:val="22"/>
              </w:rPr>
              <w:t>Frequency</w:t>
            </w:r>
          </w:p>
        </w:tc>
        <w:tc>
          <w:tcPr>
            <w:tcW w:w="0" w:type="auto"/>
            <w:tcMar/>
            <w:vAlign w:val="center"/>
            <w:hideMark/>
          </w:tcPr>
          <w:p w:rsidRPr="00CA4FE4" w:rsidR="00CA4FE4" w:rsidP="00CA4FE4" w:rsidRDefault="00CA4FE4" w14:paraId="123C9951" w14:textId="77777777">
            <w:pPr>
              <w:rPr>
                <w:rFonts w:ascii="Arial" w:hAnsi="Arial" w:cs="Arial"/>
                <w:b/>
                <w:bCs/>
                <w:sz w:val="22"/>
                <w:szCs w:val="22"/>
              </w:rPr>
            </w:pPr>
            <w:r w:rsidRPr="00CA4FE4">
              <w:rPr>
                <w:rFonts w:ascii="Arial" w:hAnsi="Arial" w:cs="Arial"/>
                <w:b/>
                <w:bCs/>
                <w:sz w:val="22"/>
                <w:szCs w:val="22"/>
              </w:rPr>
              <w:t>Purpose</w:t>
            </w:r>
          </w:p>
        </w:tc>
      </w:tr>
      <w:tr w:rsidRPr="00CA4FE4" w:rsidR="00CA4FE4" w:rsidTr="44CD8003" w14:paraId="117E8E78" w14:textId="77777777">
        <w:trPr>
          <w:tblCellSpacing w:w="15" w:type="dxa"/>
        </w:trPr>
        <w:tc>
          <w:tcPr>
            <w:tcW w:w="0" w:type="auto"/>
            <w:tcMar/>
            <w:vAlign w:val="center"/>
            <w:hideMark/>
          </w:tcPr>
          <w:p w:rsidRPr="00CA4FE4" w:rsidR="00CA4FE4" w:rsidP="00CA4FE4" w:rsidRDefault="00CA4FE4" w14:paraId="5AF4F265" w14:textId="77777777">
            <w:pPr>
              <w:rPr>
                <w:rFonts w:ascii="Arial" w:hAnsi="Arial" w:cs="Arial"/>
                <w:sz w:val="22"/>
                <w:szCs w:val="22"/>
              </w:rPr>
            </w:pPr>
            <w:r w:rsidRPr="00CA4FE4">
              <w:rPr>
                <w:rFonts w:ascii="Arial" w:hAnsi="Arial" w:cs="Arial"/>
                <w:sz w:val="22"/>
                <w:szCs w:val="22"/>
              </w:rPr>
              <w:t>Executives</w:t>
            </w:r>
          </w:p>
        </w:tc>
        <w:tc>
          <w:tcPr>
            <w:tcW w:w="0" w:type="auto"/>
            <w:tcMar/>
            <w:vAlign w:val="center"/>
            <w:hideMark/>
          </w:tcPr>
          <w:p w:rsidRPr="00CA4FE4" w:rsidR="00CA4FE4" w:rsidP="00CA4FE4" w:rsidRDefault="00CA4FE4" w14:paraId="0203FC6A" w14:textId="77777777">
            <w:pPr>
              <w:rPr>
                <w:rFonts w:ascii="Arial" w:hAnsi="Arial" w:cs="Arial"/>
                <w:sz w:val="22"/>
                <w:szCs w:val="22"/>
              </w:rPr>
            </w:pPr>
            <w:r w:rsidRPr="00CA4FE4">
              <w:rPr>
                <w:rFonts w:ascii="Arial" w:hAnsi="Arial" w:cs="Arial"/>
                <w:sz w:val="22"/>
                <w:szCs w:val="22"/>
              </w:rPr>
              <w:t>Steering Committee Meetings</w:t>
            </w:r>
          </w:p>
        </w:tc>
        <w:tc>
          <w:tcPr>
            <w:tcW w:w="0" w:type="auto"/>
            <w:tcMar/>
            <w:vAlign w:val="center"/>
            <w:hideMark/>
          </w:tcPr>
          <w:p w:rsidRPr="00CA4FE4" w:rsidR="00CA4FE4" w:rsidP="00CA4FE4" w:rsidRDefault="00CA4FE4" w14:paraId="6DF71B50" w14:textId="77777777">
            <w:pPr>
              <w:rPr>
                <w:rFonts w:ascii="Arial" w:hAnsi="Arial" w:cs="Arial"/>
                <w:sz w:val="22"/>
                <w:szCs w:val="22"/>
              </w:rPr>
            </w:pPr>
            <w:r w:rsidRPr="00CA4FE4">
              <w:rPr>
                <w:rFonts w:ascii="Arial" w:hAnsi="Arial" w:cs="Arial"/>
                <w:sz w:val="22"/>
                <w:szCs w:val="22"/>
              </w:rPr>
              <w:t>Monthly</w:t>
            </w:r>
          </w:p>
        </w:tc>
        <w:tc>
          <w:tcPr>
            <w:tcW w:w="0" w:type="auto"/>
            <w:tcMar/>
            <w:vAlign w:val="center"/>
            <w:hideMark/>
          </w:tcPr>
          <w:p w:rsidRPr="00CA4FE4" w:rsidR="00CA4FE4" w:rsidP="00CA4FE4" w:rsidRDefault="00CA4FE4" w14:paraId="3BDFBDBB" w14:textId="77777777">
            <w:pPr>
              <w:rPr>
                <w:rFonts w:ascii="Arial" w:hAnsi="Arial" w:cs="Arial"/>
                <w:sz w:val="22"/>
                <w:szCs w:val="22"/>
              </w:rPr>
            </w:pPr>
            <w:r w:rsidRPr="00CA4FE4">
              <w:rPr>
                <w:rFonts w:ascii="Arial" w:hAnsi="Arial" w:cs="Arial"/>
                <w:sz w:val="22"/>
                <w:szCs w:val="22"/>
              </w:rPr>
              <w:t>Strategic alignment &amp; decision-making</w:t>
            </w:r>
          </w:p>
        </w:tc>
      </w:tr>
      <w:tr w:rsidRPr="00CA4FE4" w:rsidR="00CA4FE4" w:rsidTr="44CD8003" w14:paraId="36E1D933" w14:textId="77777777">
        <w:trPr>
          <w:tblCellSpacing w:w="15" w:type="dxa"/>
        </w:trPr>
        <w:tc>
          <w:tcPr>
            <w:tcW w:w="0" w:type="auto"/>
            <w:tcMar/>
            <w:vAlign w:val="center"/>
            <w:hideMark/>
          </w:tcPr>
          <w:p w:rsidRPr="00CA4FE4" w:rsidR="00CA4FE4" w:rsidP="00CA4FE4" w:rsidRDefault="00CA4FE4" w14:paraId="3F2C5BC6" w14:textId="77777777">
            <w:pPr>
              <w:rPr>
                <w:rFonts w:ascii="Arial" w:hAnsi="Arial" w:cs="Arial"/>
                <w:sz w:val="22"/>
                <w:szCs w:val="22"/>
              </w:rPr>
            </w:pPr>
            <w:r w:rsidRPr="00CA4FE4">
              <w:rPr>
                <w:rFonts w:ascii="Arial" w:hAnsi="Arial" w:cs="Arial"/>
                <w:sz w:val="22"/>
                <w:szCs w:val="22"/>
              </w:rPr>
              <w:t>Engineering &amp; Dev Team</w:t>
            </w:r>
          </w:p>
        </w:tc>
        <w:tc>
          <w:tcPr>
            <w:tcW w:w="0" w:type="auto"/>
            <w:tcMar/>
            <w:vAlign w:val="center"/>
            <w:hideMark/>
          </w:tcPr>
          <w:p w:rsidRPr="00CA4FE4" w:rsidR="00CA4FE4" w:rsidP="00CA4FE4" w:rsidRDefault="00CA4FE4" w14:paraId="23C98E07" w14:textId="77777777">
            <w:pPr>
              <w:rPr>
                <w:rFonts w:ascii="Arial" w:hAnsi="Arial" w:cs="Arial"/>
                <w:sz w:val="22"/>
                <w:szCs w:val="22"/>
              </w:rPr>
            </w:pPr>
            <w:r w:rsidRPr="00CA4FE4">
              <w:rPr>
                <w:rFonts w:ascii="Arial" w:hAnsi="Arial" w:cs="Arial"/>
                <w:sz w:val="22"/>
                <w:szCs w:val="22"/>
              </w:rPr>
              <w:t>Daily Stand-up &amp; Reviews</w:t>
            </w:r>
          </w:p>
        </w:tc>
        <w:tc>
          <w:tcPr>
            <w:tcW w:w="0" w:type="auto"/>
            <w:tcMar/>
            <w:vAlign w:val="center"/>
            <w:hideMark/>
          </w:tcPr>
          <w:p w:rsidRPr="00CA4FE4" w:rsidR="00CA4FE4" w:rsidP="00CA4FE4" w:rsidRDefault="00CA4FE4" w14:paraId="065A66E2" w14:textId="77777777">
            <w:pPr>
              <w:rPr>
                <w:rFonts w:ascii="Arial" w:hAnsi="Arial" w:cs="Arial"/>
                <w:sz w:val="22"/>
                <w:szCs w:val="22"/>
              </w:rPr>
            </w:pPr>
            <w:r w:rsidRPr="00CA4FE4">
              <w:rPr>
                <w:rFonts w:ascii="Arial" w:hAnsi="Arial" w:cs="Arial"/>
                <w:sz w:val="22"/>
                <w:szCs w:val="22"/>
              </w:rPr>
              <w:t>Daily</w:t>
            </w:r>
          </w:p>
        </w:tc>
        <w:tc>
          <w:tcPr>
            <w:tcW w:w="0" w:type="auto"/>
            <w:tcMar/>
            <w:vAlign w:val="center"/>
            <w:hideMark/>
          </w:tcPr>
          <w:p w:rsidRPr="00CA4FE4" w:rsidR="00CA4FE4" w:rsidP="00CA4FE4" w:rsidRDefault="00CA4FE4" w14:paraId="55299264" w14:textId="77777777">
            <w:pPr>
              <w:rPr>
                <w:rFonts w:ascii="Arial" w:hAnsi="Arial" w:cs="Arial"/>
                <w:sz w:val="22"/>
                <w:szCs w:val="22"/>
              </w:rPr>
            </w:pPr>
            <w:r w:rsidRPr="00CA4FE4">
              <w:rPr>
                <w:rFonts w:ascii="Arial" w:hAnsi="Arial" w:cs="Arial"/>
                <w:sz w:val="22"/>
                <w:szCs w:val="22"/>
              </w:rPr>
              <w:t>Technical progress &amp; dependency mapping</w:t>
            </w:r>
          </w:p>
        </w:tc>
      </w:tr>
      <w:tr w:rsidRPr="00CA4FE4" w:rsidR="00CA4FE4" w:rsidTr="44CD8003" w14:paraId="082BC2AB" w14:textId="77777777">
        <w:trPr>
          <w:tblCellSpacing w:w="15" w:type="dxa"/>
        </w:trPr>
        <w:tc>
          <w:tcPr>
            <w:tcW w:w="0" w:type="auto"/>
            <w:tcMar/>
            <w:vAlign w:val="center"/>
            <w:hideMark/>
          </w:tcPr>
          <w:p w:rsidRPr="00CA4FE4" w:rsidR="00CA4FE4" w:rsidP="00CA4FE4" w:rsidRDefault="00CA4FE4" w14:paraId="11564F53" w14:textId="77777777">
            <w:pPr>
              <w:rPr>
                <w:rFonts w:ascii="Arial" w:hAnsi="Arial" w:cs="Arial"/>
                <w:sz w:val="22"/>
                <w:szCs w:val="22"/>
              </w:rPr>
            </w:pPr>
            <w:r w:rsidRPr="00CA4FE4">
              <w:rPr>
                <w:rFonts w:ascii="Arial" w:hAnsi="Arial" w:cs="Arial"/>
                <w:sz w:val="22"/>
                <w:szCs w:val="22"/>
              </w:rPr>
              <w:t>Regulators</w:t>
            </w:r>
          </w:p>
        </w:tc>
        <w:tc>
          <w:tcPr>
            <w:tcW w:w="0" w:type="auto"/>
            <w:tcMar/>
            <w:vAlign w:val="center"/>
            <w:hideMark/>
          </w:tcPr>
          <w:p w:rsidRPr="00CA4FE4" w:rsidR="00CA4FE4" w:rsidP="00CA4FE4" w:rsidRDefault="00CA4FE4" w14:paraId="372DD5CE" w14:textId="77777777">
            <w:pPr>
              <w:rPr>
                <w:rFonts w:ascii="Arial" w:hAnsi="Arial" w:cs="Arial"/>
                <w:sz w:val="22"/>
                <w:szCs w:val="22"/>
              </w:rPr>
            </w:pPr>
            <w:r w:rsidRPr="00CA4FE4">
              <w:rPr>
                <w:rFonts w:ascii="Arial" w:hAnsi="Arial" w:cs="Arial"/>
                <w:sz w:val="22"/>
                <w:szCs w:val="22"/>
              </w:rPr>
              <w:t>Regulatory Review Workshops</w:t>
            </w:r>
          </w:p>
        </w:tc>
        <w:tc>
          <w:tcPr>
            <w:tcW w:w="0" w:type="auto"/>
            <w:tcMar/>
            <w:vAlign w:val="center"/>
            <w:hideMark/>
          </w:tcPr>
          <w:p w:rsidRPr="00CA4FE4" w:rsidR="00CA4FE4" w:rsidP="00CA4FE4" w:rsidRDefault="00CA4FE4" w14:paraId="74701194" w14:textId="77777777">
            <w:pPr>
              <w:rPr>
                <w:rFonts w:ascii="Arial" w:hAnsi="Arial" w:cs="Arial"/>
                <w:sz w:val="22"/>
                <w:szCs w:val="22"/>
              </w:rPr>
            </w:pPr>
            <w:r w:rsidRPr="00CA4FE4">
              <w:rPr>
                <w:rFonts w:ascii="Arial" w:hAnsi="Arial" w:cs="Arial"/>
                <w:sz w:val="22"/>
                <w:szCs w:val="22"/>
              </w:rPr>
              <w:t>As needed</w:t>
            </w:r>
          </w:p>
        </w:tc>
        <w:tc>
          <w:tcPr>
            <w:tcW w:w="0" w:type="auto"/>
            <w:tcMar/>
            <w:vAlign w:val="center"/>
            <w:hideMark/>
          </w:tcPr>
          <w:p w:rsidRPr="00CA4FE4" w:rsidR="00CA4FE4" w:rsidP="00CA4FE4" w:rsidRDefault="00CA4FE4" w14:paraId="0A5F617E" w14:textId="77777777">
            <w:pPr>
              <w:rPr>
                <w:rFonts w:ascii="Arial" w:hAnsi="Arial" w:cs="Arial"/>
                <w:sz w:val="22"/>
                <w:szCs w:val="22"/>
              </w:rPr>
            </w:pPr>
            <w:r w:rsidRPr="00CA4FE4">
              <w:rPr>
                <w:rFonts w:ascii="Arial" w:hAnsi="Arial" w:cs="Arial"/>
                <w:sz w:val="22"/>
                <w:szCs w:val="22"/>
              </w:rPr>
              <w:t>Compliance checks &amp; feedback</w:t>
            </w:r>
          </w:p>
        </w:tc>
      </w:tr>
      <w:tr w:rsidRPr="00CA4FE4" w:rsidR="00CA4FE4" w:rsidTr="44CD8003" w14:paraId="70BE3DB6" w14:textId="77777777">
        <w:trPr>
          <w:tblCellSpacing w:w="15" w:type="dxa"/>
        </w:trPr>
        <w:tc>
          <w:tcPr>
            <w:tcW w:w="0" w:type="auto"/>
            <w:tcMar/>
            <w:vAlign w:val="center"/>
            <w:hideMark/>
          </w:tcPr>
          <w:p w:rsidRPr="00CA4FE4" w:rsidR="00CA4FE4" w:rsidP="00CA4FE4" w:rsidRDefault="00CA4FE4" w14:paraId="11D7CDD3" w14:textId="77777777">
            <w:pPr>
              <w:rPr>
                <w:rFonts w:ascii="Arial" w:hAnsi="Arial" w:cs="Arial"/>
                <w:sz w:val="22"/>
                <w:szCs w:val="22"/>
              </w:rPr>
            </w:pPr>
            <w:r w:rsidRPr="00CA4FE4">
              <w:rPr>
                <w:rFonts w:ascii="Arial" w:hAnsi="Arial" w:cs="Arial"/>
                <w:sz w:val="22"/>
                <w:szCs w:val="22"/>
              </w:rPr>
              <w:t>Suppliers</w:t>
            </w:r>
          </w:p>
        </w:tc>
        <w:tc>
          <w:tcPr>
            <w:tcW w:w="0" w:type="auto"/>
            <w:tcMar/>
            <w:vAlign w:val="center"/>
            <w:hideMark/>
          </w:tcPr>
          <w:p w:rsidRPr="00CA4FE4" w:rsidR="00CA4FE4" w:rsidP="00CA4FE4" w:rsidRDefault="00CA4FE4" w14:paraId="1EFFD7DE" w14:textId="77777777">
            <w:pPr>
              <w:rPr>
                <w:rFonts w:ascii="Arial" w:hAnsi="Arial" w:cs="Arial"/>
                <w:sz w:val="22"/>
                <w:szCs w:val="22"/>
              </w:rPr>
            </w:pPr>
            <w:r w:rsidRPr="00CA4FE4">
              <w:rPr>
                <w:rFonts w:ascii="Arial" w:hAnsi="Arial" w:cs="Arial"/>
                <w:sz w:val="22"/>
                <w:szCs w:val="22"/>
              </w:rPr>
              <w:t>Technical Business Calls</w:t>
            </w:r>
          </w:p>
        </w:tc>
        <w:tc>
          <w:tcPr>
            <w:tcW w:w="0" w:type="auto"/>
            <w:tcMar/>
            <w:vAlign w:val="center"/>
            <w:hideMark/>
          </w:tcPr>
          <w:p w:rsidRPr="00CA4FE4" w:rsidR="00CA4FE4" w:rsidP="00CA4FE4" w:rsidRDefault="00CA4FE4" w14:paraId="58092CAC" w14:textId="77777777">
            <w:pPr>
              <w:rPr>
                <w:rFonts w:ascii="Arial" w:hAnsi="Arial" w:cs="Arial"/>
                <w:sz w:val="22"/>
                <w:szCs w:val="22"/>
              </w:rPr>
            </w:pPr>
            <w:r w:rsidRPr="00CA4FE4">
              <w:rPr>
                <w:rFonts w:ascii="Arial" w:hAnsi="Arial" w:cs="Arial"/>
                <w:sz w:val="22"/>
                <w:szCs w:val="22"/>
              </w:rPr>
              <w:t>Weekly</w:t>
            </w:r>
          </w:p>
        </w:tc>
        <w:tc>
          <w:tcPr>
            <w:tcW w:w="0" w:type="auto"/>
            <w:tcMar/>
            <w:vAlign w:val="center"/>
            <w:hideMark/>
          </w:tcPr>
          <w:p w:rsidRPr="00CA4FE4" w:rsidR="00CA4FE4" w:rsidP="00CA4FE4" w:rsidRDefault="00CA4FE4" w14:paraId="7303B832" w14:textId="77777777">
            <w:pPr>
              <w:rPr>
                <w:rFonts w:ascii="Arial" w:hAnsi="Arial" w:cs="Arial"/>
                <w:sz w:val="22"/>
                <w:szCs w:val="22"/>
              </w:rPr>
            </w:pPr>
            <w:r w:rsidRPr="00CA4FE4">
              <w:rPr>
                <w:rFonts w:ascii="Arial" w:hAnsi="Arial" w:cs="Arial"/>
                <w:sz w:val="22"/>
                <w:szCs w:val="22"/>
              </w:rPr>
              <w:t>Specification alignment &amp; commitment</w:t>
            </w:r>
          </w:p>
        </w:tc>
      </w:tr>
      <w:tr w:rsidRPr="00CA4FE4" w:rsidR="00CA4FE4" w:rsidTr="44CD8003" w14:paraId="1C0AB492" w14:textId="77777777">
        <w:trPr>
          <w:tblCellSpacing w:w="15" w:type="dxa"/>
        </w:trPr>
        <w:tc>
          <w:tcPr>
            <w:tcW w:w="0" w:type="auto"/>
            <w:tcMar/>
            <w:vAlign w:val="center"/>
            <w:hideMark/>
          </w:tcPr>
          <w:p w:rsidRPr="00CA4FE4" w:rsidR="00CA4FE4" w:rsidP="00CA4FE4" w:rsidRDefault="00CA4FE4" w14:paraId="4D527085" w14:textId="77777777">
            <w:pPr>
              <w:rPr>
                <w:rFonts w:ascii="Arial" w:hAnsi="Arial" w:cs="Arial"/>
                <w:sz w:val="22"/>
                <w:szCs w:val="22"/>
              </w:rPr>
            </w:pPr>
            <w:r w:rsidRPr="00CA4FE4">
              <w:rPr>
                <w:rFonts w:ascii="Arial" w:hAnsi="Arial" w:cs="Arial"/>
                <w:sz w:val="22"/>
                <w:szCs w:val="22"/>
              </w:rPr>
              <w:t>Marketing</w:t>
            </w:r>
          </w:p>
        </w:tc>
        <w:tc>
          <w:tcPr>
            <w:tcW w:w="0" w:type="auto"/>
            <w:tcMar/>
            <w:vAlign w:val="center"/>
            <w:hideMark/>
          </w:tcPr>
          <w:p w:rsidRPr="00CA4FE4" w:rsidR="00CA4FE4" w:rsidP="00CA4FE4" w:rsidRDefault="00CA4FE4" w14:paraId="6EB36C77" w14:textId="400972E0">
            <w:pPr>
              <w:rPr>
                <w:rFonts w:ascii="Arial" w:hAnsi="Arial" w:cs="Arial"/>
                <w:sz w:val="22"/>
                <w:szCs w:val="22"/>
              </w:rPr>
            </w:pPr>
            <w:r w:rsidRPr="44CD8003" w:rsidR="03F80886">
              <w:rPr>
                <w:rFonts w:ascii="Arial" w:hAnsi="Arial" w:cs="Arial"/>
                <w:sz w:val="22"/>
                <w:szCs w:val="22"/>
              </w:rPr>
              <w:t>Codesign</w:t>
            </w:r>
            <w:r w:rsidRPr="44CD8003" w:rsidR="00CA4FE4">
              <w:rPr>
                <w:rFonts w:ascii="Arial" w:hAnsi="Arial" w:cs="Arial"/>
                <w:sz w:val="22"/>
                <w:szCs w:val="22"/>
              </w:rPr>
              <w:t xml:space="preserve"> Workshops</w:t>
            </w:r>
          </w:p>
        </w:tc>
        <w:tc>
          <w:tcPr>
            <w:tcW w:w="0" w:type="auto"/>
            <w:tcMar/>
            <w:vAlign w:val="center"/>
            <w:hideMark/>
          </w:tcPr>
          <w:p w:rsidRPr="00CA4FE4" w:rsidR="00CA4FE4" w:rsidP="00CA4FE4" w:rsidRDefault="00CA4FE4" w14:paraId="7454FC60" w14:textId="77777777">
            <w:pPr>
              <w:rPr>
                <w:rFonts w:ascii="Arial" w:hAnsi="Arial" w:cs="Arial"/>
                <w:sz w:val="22"/>
                <w:szCs w:val="22"/>
              </w:rPr>
            </w:pPr>
            <w:r w:rsidRPr="00CA4FE4">
              <w:rPr>
                <w:rFonts w:ascii="Arial" w:hAnsi="Arial" w:cs="Arial"/>
                <w:sz w:val="22"/>
                <w:szCs w:val="22"/>
              </w:rPr>
              <w:t>Bi</w:t>
            </w:r>
            <w:r w:rsidRPr="00CA4FE4">
              <w:rPr>
                <w:rFonts w:ascii="Arial" w:hAnsi="Arial" w:cs="Arial"/>
                <w:sz w:val="22"/>
                <w:szCs w:val="22"/>
              </w:rPr>
              <w:noBreakHyphen/>
            </w:r>
            <w:r w:rsidRPr="00CA4FE4">
              <w:rPr>
                <w:rFonts w:ascii="Arial" w:hAnsi="Arial" w:cs="Arial"/>
                <w:sz w:val="22"/>
                <w:szCs w:val="22"/>
              </w:rPr>
              <w:t>weekly</w:t>
            </w:r>
          </w:p>
        </w:tc>
        <w:tc>
          <w:tcPr>
            <w:tcW w:w="0" w:type="auto"/>
            <w:tcMar/>
            <w:vAlign w:val="center"/>
            <w:hideMark/>
          </w:tcPr>
          <w:p w:rsidRPr="00CA4FE4" w:rsidR="00CA4FE4" w:rsidP="00CA4FE4" w:rsidRDefault="00CA4FE4" w14:paraId="7B62E57C" w14:textId="77777777">
            <w:pPr>
              <w:rPr>
                <w:rFonts w:ascii="Arial" w:hAnsi="Arial" w:cs="Arial"/>
                <w:sz w:val="22"/>
                <w:szCs w:val="22"/>
              </w:rPr>
            </w:pPr>
            <w:r w:rsidRPr="00CA4FE4">
              <w:rPr>
                <w:rFonts w:ascii="Arial" w:hAnsi="Arial" w:cs="Arial"/>
                <w:sz w:val="22"/>
                <w:szCs w:val="22"/>
              </w:rPr>
              <w:t>Feature validation &amp; positioning</w:t>
            </w:r>
          </w:p>
        </w:tc>
      </w:tr>
      <w:tr w:rsidRPr="00CA4FE4" w:rsidR="00CA4FE4" w:rsidTr="44CD8003" w14:paraId="04C7A7B5" w14:textId="77777777">
        <w:trPr>
          <w:tblCellSpacing w:w="15" w:type="dxa"/>
        </w:trPr>
        <w:tc>
          <w:tcPr>
            <w:tcW w:w="0" w:type="auto"/>
            <w:tcMar/>
            <w:vAlign w:val="center"/>
            <w:hideMark/>
          </w:tcPr>
          <w:p w:rsidRPr="00CA4FE4" w:rsidR="00CA4FE4" w:rsidP="00CA4FE4" w:rsidRDefault="00CA4FE4" w14:paraId="61BDF584" w14:textId="77777777">
            <w:pPr>
              <w:rPr>
                <w:rFonts w:ascii="Arial" w:hAnsi="Arial" w:cs="Arial"/>
                <w:sz w:val="22"/>
                <w:szCs w:val="22"/>
              </w:rPr>
            </w:pPr>
            <w:r w:rsidRPr="00CA4FE4">
              <w:rPr>
                <w:rFonts w:ascii="Arial" w:hAnsi="Arial" w:cs="Arial"/>
                <w:sz w:val="22"/>
                <w:szCs w:val="22"/>
              </w:rPr>
              <w:t>Consumers / Research Partners</w:t>
            </w:r>
          </w:p>
        </w:tc>
        <w:tc>
          <w:tcPr>
            <w:tcW w:w="0" w:type="auto"/>
            <w:tcMar/>
            <w:vAlign w:val="center"/>
            <w:hideMark/>
          </w:tcPr>
          <w:p w:rsidRPr="00CA4FE4" w:rsidR="00CA4FE4" w:rsidP="00CA4FE4" w:rsidRDefault="00CA4FE4" w14:paraId="4F80B6CC" w14:textId="77777777">
            <w:pPr>
              <w:rPr>
                <w:rFonts w:ascii="Arial" w:hAnsi="Arial" w:cs="Arial"/>
                <w:sz w:val="22"/>
                <w:szCs w:val="22"/>
              </w:rPr>
            </w:pPr>
            <w:r w:rsidRPr="00CA4FE4">
              <w:rPr>
                <w:rFonts w:ascii="Arial" w:hAnsi="Arial" w:cs="Arial"/>
                <w:sz w:val="22"/>
                <w:szCs w:val="22"/>
              </w:rPr>
              <w:t>Focus Groups / Pilot Trials</w:t>
            </w:r>
          </w:p>
        </w:tc>
        <w:tc>
          <w:tcPr>
            <w:tcW w:w="0" w:type="auto"/>
            <w:tcMar/>
            <w:vAlign w:val="center"/>
            <w:hideMark/>
          </w:tcPr>
          <w:p w:rsidRPr="00CA4FE4" w:rsidR="00CA4FE4" w:rsidP="00CA4FE4" w:rsidRDefault="00CA4FE4" w14:paraId="17F194E4" w14:textId="77777777">
            <w:pPr>
              <w:rPr>
                <w:rFonts w:ascii="Arial" w:hAnsi="Arial" w:cs="Arial"/>
                <w:sz w:val="22"/>
                <w:szCs w:val="22"/>
              </w:rPr>
            </w:pPr>
            <w:r w:rsidRPr="00CA4FE4">
              <w:rPr>
                <w:rFonts w:ascii="Arial" w:hAnsi="Arial" w:cs="Arial"/>
                <w:sz w:val="22"/>
                <w:szCs w:val="22"/>
              </w:rPr>
              <w:t>Monthly / Quarterly</w:t>
            </w:r>
          </w:p>
        </w:tc>
        <w:tc>
          <w:tcPr>
            <w:tcW w:w="0" w:type="auto"/>
            <w:tcMar/>
            <w:vAlign w:val="center"/>
            <w:hideMark/>
          </w:tcPr>
          <w:p w:rsidRPr="00CA4FE4" w:rsidR="00CA4FE4" w:rsidP="00CA4FE4" w:rsidRDefault="00CA4FE4" w14:paraId="29E9AE12" w14:textId="77777777">
            <w:pPr>
              <w:rPr>
                <w:rFonts w:ascii="Arial" w:hAnsi="Arial" w:cs="Arial"/>
                <w:sz w:val="22"/>
                <w:szCs w:val="22"/>
              </w:rPr>
            </w:pPr>
            <w:r w:rsidRPr="00CA4FE4">
              <w:rPr>
                <w:rFonts w:ascii="Arial" w:hAnsi="Arial" w:cs="Arial"/>
                <w:sz w:val="22"/>
                <w:szCs w:val="22"/>
              </w:rPr>
              <w:t>Usability feedback &amp; real-world data</w:t>
            </w:r>
          </w:p>
        </w:tc>
      </w:tr>
    </w:tbl>
    <w:p w:rsidRPr="00CA4FE4" w:rsidR="00CA4FE4" w:rsidP="00CA4FE4" w:rsidRDefault="00CA4FE4" w14:paraId="7A7982F2" w14:textId="77777777">
      <w:pPr>
        <w:rPr>
          <w:rFonts w:ascii="Arial" w:hAnsi="Arial" w:cs="Arial"/>
          <w:b/>
          <w:bCs/>
          <w:sz w:val="22"/>
          <w:szCs w:val="22"/>
        </w:rPr>
      </w:pPr>
      <w:r w:rsidRPr="00CA4FE4">
        <w:rPr>
          <w:rFonts w:ascii="Arial" w:hAnsi="Arial" w:cs="Arial"/>
          <w:b/>
          <w:bCs/>
          <w:sz w:val="22"/>
          <w:szCs w:val="22"/>
        </w:rPr>
        <w:t>5.3 Communication Plan</w:t>
      </w:r>
    </w:p>
    <w:p w:rsidRPr="00CA4FE4" w:rsidR="00CA4FE4" w:rsidP="00CA4FE4" w:rsidRDefault="00CA4FE4" w14:paraId="22A186F6" w14:textId="77777777">
      <w:pPr>
        <w:rPr>
          <w:rFonts w:ascii="Arial" w:hAnsi="Arial" w:cs="Arial"/>
          <w:sz w:val="22"/>
          <w:szCs w:val="22"/>
        </w:rPr>
      </w:pPr>
      <w:r w:rsidRPr="00CA4FE4">
        <w:rPr>
          <w:rFonts w:ascii="Arial" w:hAnsi="Arial" w:cs="Arial"/>
          <w:sz w:val="22"/>
          <w:szCs w:val="22"/>
        </w:rPr>
        <w:t>Effective communication is essential to building trust, minimising misunderstandings, and ensuring alignment.</w:t>
      </w:r>
    </w:p>
    <w:p w:rsidRPr="00CA4FE4" w:rsidR="00CA4FE4" w:rsidP="00CA4FE4" w:rsidRDefault="00CA4FE4" w14:paraId="29C34763" w14:textId="77777777">
      <w:pPr>
        <w:rPr>
          <w:rStyle w:val="SubtleEmphasis"/>
        </w:rPr>
      </w:pPr>
      <w:r w:rsidRPr="00CA4FE4">
        <w:rPr>
          <w:rStyle w:val="SubtleEmphasis"/>
        </w:rPr>
        <w:t>Audience              Channel                      Owner              Use</w:t>
      </w:r>
    </w:p>
    <w:p w:rsidRPr="00CA4FE4" w:rsidR="00CA4FE4" w:rsidP="00CA4FE4" w:rsidRDefault="00CA4FE4" w14:paraId="43966766" w14:textId="77777777">
      <w:pPr>
        <w:rPr>
          <w:rStyle w:val="SubtleEmphasis"/>
        </w:rPr>
      </w:pPr>
      <w:r w:rsidRPr="00CA4FE4">
        <w:rPr>
          <w:rStyle w:val="SubtleEmphasis"/>
        </w:rPr>
        <w:t>--------------------------------------------------------------------------------</w:t>
      </w:r>
    </w:p>
    <w:p w:rsidRPr="00CA4FE4" w:rsidR="00CA4FE4" w:rsidP="00CA4FE4" w:rsidRDefault="00CA4FE4" w14:paraId="7C098400" w14:textId="77777777">
      <w:pPr>
        <w:rPr>
          <w:rStyle w:val="SubtleEmphasis"/>
        </w:rPr>
      </w:pPr>
      <w:r w:rsidRPr="00CA4FE4">
        <w:rPr>
          <w:rStyle w:val="SubtleEmphasis"/>
        </w:rPr>
        <w:t xml:space="preserve">Executives            Dashboard + Formal Reports   Project Manager    Strategic updates, risk review  </w:t>
      </w:r>
    </w:p>
    <w:p w:rsidRPr="00CA4FE4" w:rsidR="00CA4FE4" w:rsidP="00CA4FE4" w:rsidRDefault="00CA4FE4" w14:paraId="1419ECF0" w14:textId="77777777">
      <w:pPr>
        <w:rPr>
          <w:rStyle w:val="SubtleEmphasis"/>
        </w:rPr>
      </w:pPr>
      <w:r w:rsidRPr="00CA4FE4">
        <w:rPr>
          <w:rStyle w:val="SubtleEmphasis"/>
        </w:rPr>
        <w:t xml:space="preserve">Engineering            Jira, Slack, Tech Review      Engineering Lead    Progress tracking &amp; issue escalation  </w:t>
      </w:r>
    </w:p>
    <w:p w:rsidRPr="00CA4FE4" w:rsidR="00CA4FE4" w:rsidP="00CA4FE4" w:rsidRDefault="00CA4FE4" w14:paraId="41A36D42" w14:textId="77777777">
      <w:pPr>
        <w:rPr>
          <w:rStyle w:val="SubtleEmphasis"/>
        </w:rPr>
      </w:pPr>
      <w:r w:rsidRPr="00CA4FE4">
        <w:rPr>
          <w:rStyle w:val="SubtleEmphasis"/>
        </w:rPr>
        <w:t xml:space="preserve">Suppliers              Video calls + Spec Docs       Supply Chain Lead    Technical clarity &amp; pipeline planning  </w:t>
      </w:r>
    </w:p>
    <w:p w:rsidRPr="00CA4FE4" w:rsidR="00CA4FE4" w:rsidP="00CA4FE4" w:rsidRDefault="00CA4FE4" w14:paraId="35A34E0D" w14:textId="77777777">
      <w:pPr>
        <w:rPr>
          <w:rStyle w:val="SubtleEmphasis"/>
        </w:rPr>
      </w:pPr>
      <w:r w:rsidRPr="00CA4FE4">
        <w:rPr>
          <w:rStyle w:val="SubtleEmphasis"/>
        </w:rPr>
        <w:t xml:space="preserve">Consumers / Researchers Surveys, pilot debrief       Marketing Lead      Feedback and iteration  </w:t>
      </w:r>
    </w:p>
    <w:p w:rsidRPr="00CA4FE4" w:rsidR="00CA4FE4" w:rsidP="00CA4FE4" w:rsidRDefault="00CA4FE4" w14:paraId="54F610BA" w14:textId="77777777">
      <w:pPr>
        <w:rPr>
          <w:rStyle w:val="SubtleEmphasis"/>
        </w:rPr>
      </w:pPr>
      <w:r w:rsidRPr="00CA4FE4">
        <w:rPr>
          <w:rStyle w:val="SubtleEmphasis"/>
        </w:rPr>
        <w:t xml:space="preserve">Regulators              Compliance Submissions        Regulatory Lead      Certification and review  </w:t>
      </w:r>
    </w:p>
    <w:p w:rsidRPr="00CA4FE4" w:rsidR="00CA4FE4" w:rsidP="00CA4FE4" w:rsidRDefault="00CA4FE4" w14:paraId="7EEC9EC3" w14:textId="77777777">
      <w:pPr>
        <w:rPr>
          <w:rFonts w:ascii="Arial" w:hAnsi="Arial" w:cs="Arial"/>
          <w:b/>
          <w:bCs/>
          <w:sz w:val="22"/>
          <w:szCs w:val="22"/>
        </w:rPr>
      </w:pPr>
      <w:r w:rsidRPr="00CA4FE4">
        <w:rPr>
          <w:rFonts w:ascii="Arial" w:hAnsi="Arial" w:cs="Arial"/>
          <w:b/>
          <w:bCs/>
          <w:sz w:val="22"/>
          <w:szCs w:val="22"/>
        </w:rPr>
        <w:t>5.4 RACI Matrix</w:t>
      </w:r>
    </w:p>
    <w:p w:rsidRPr="00CA4FE4" w:rsidR="00CA4FE4" w:rsidP="00DA33DC" w:rsidRDefault="00CA4FE4" w14:paraId="56938DF5" w14:textId="77777777">
      <w:pPr>
        <w:rPr>
          <w:rStyle w:val="SubtleEmphasis"/>
        </w:rPr>
      </w:pPr>
      <w:r w:rsidRPr="00CA4FE4">
        <w:rPr>
          <w:rStyle w:val="SubtleEmphasis"/>
        </w:rPr>
        <w:t>Task                              | Responsible       | Accountable   | Consulted           | Informed</w:t>
      </w:r>
    </w:p>
    <w:p w:rsidRPr="00CA4FE4" w:rsidR="00CA4FE4" w:rsidP="00DA33DC" w:rsidRDefault="00CA4FE4" w14:paraId="75B9D83A" w14:textId="77777777">
      <w:pPr>
        <w:rPr>
          <w:rStyle w:val="SubtleEmphasis"/>
        </w:rPr>
      </w:pPr>
      <w:r w:rsidRPr="00CA4FE4">
        <w:rPr>
          <w:rStyle w:val="SubtleEmphasis"/>
        </w:rPr>
        <w:t>-----------------------------------------------------------------------------------------------</w:t>
      </w:r>
    </w:p>
    <w:p w:rsidRPr="00CA4FE4" w:rsidR="00CA4FE4" w:rsidP="00DA33DC" w:rsidRDefault="00CA4FE4" w14:paraId="75A91C4F" w14:textId="77777777">
      <w:pPr>
        <w:rPr>
          <w:rStyle w:val="SubtleEmphasis"/>
        </w:rPr>
      </w:pPr>
      <w:r w:rsidRPr="00CA4FE4">
        <w:rPr>
          <w:rStyle w:val="SubtleEmphasis"/>
        </w:rPr>
        <w:t xml:space="preserve">Sensor &amp; Hardware Design           | Engineering       | PM            | Regulatory Team      | Executive Team  </w:t>
      </w:r>
    </w:p>
    <w:p w:rsidRPr="00CA4FE4" w:rsidR="00CA4FE4" w:rsidP="00DA33DC" w:rsidRDefault="00CA4FE4" w14:paraId="73AFEA9F" w14:textId="77777777">
      <w:pPr>
        <w:rPr>
          <w:rStyle w:val="SubtleEmphasis"/>
        </w:rPr>
      </w:pPr>
      <w:r w:rsidRPr="00CA4FE4">
        <w:rPr>
          <w:rStyle w:val="SubtleEmphasis"/>
        </w:rPr>
        <w:t xml:space="preserve">Regulatory Submission &amp; Testing    | QA / Regulatory   | PM            | Engineers, KCL        | Executive Team  </w:t>
      </w:r>
    </w:p>
    <w:p w:rsidRPr="00CA4FE4" w:rsidR="00CA4FE4" w:rsidP="00DA33DC" w:rsidRDefault="00CA4FE4" w14:paraId="3EC8D391" w14:textId="77777777">
      <w:pPr>
        <w:rPr>
          <w:rStyle w:val="SubtleEmphasis"/>
        </w:rPr>
      </w:pPr>
      <w:r w:rsidRPr="00CA4FE4">
        <w:rPr>
          <w:rStyle w:val="SubtleEmphasis"/>
        </w:rPr>
        <w:t xml:space="preserve">Marketing Strategy &amp; Launch         | Marketing         | Marketing Director | Sales &amp; Ops     | PM  </w:t>
      </w:r>
    </w:p>
    <w:p w:rsidRPr="00CA4FE4" w:rsidR="00CA4FE4" w:rsidP="00DA33DC" w:rsidRDefault="00CA4FE4" w14:paraId="39693A9E" w14:textId="77777777">
      <w:pPr>
        <w:rPr>
          <w:rStyle w:val="SubtleEmphasis"/>
        </w:rPr>
      </w:pPr>
      <w:r w:rsidRPr="00CA4FE4">
        <w:rPr>
          <w:rStyle w:val="SubtleEmphasis"/>
        </w:rPr>
        <w:t xml:space="preserve">Manufacturing &amp; Production           | Operations       | Ops Manager   | Engineering, Suppliers| PM  </w:t>
      </w:r>
    </w:p>
    <w:p w:rsidRPr="00CA4FE4" w:rsidR="00CA4FE4" w:rsidP="00DA33DC" w:rsidRDefault="00CA4FE4" w14:paraId="14FA8A2E" w14:textId="77777777">
      <w:pPr>
        <w:rPr>
          <w:rStyle w:val="SubtleEmphasis"/>
        </w:rPr>
      </w:pPr>
      <w:r w:rsidRPr="1512E119" w:rsidR="00CA4FE4">
        <w:rPr>
          <w:rStyle w:val="SubtleEmphasis"/>
        </w:rPr>
        <w:t xml:space="preserve">Post-launch Support &amp; Feedback       | Customer Services | Support Lead | Marketing, Eng        | Executive Team  </w:t>
      </w:r>
    </w:p>
    <w:p w:rsidR="1512E119" w:rsidP="1512E119" w:rsidRDefault="1512E119" w14:paraId="3126895F" w14:textId="39B4571D">
      <w:pPr>
        <w:keepNext w:val="1"/>
        <w:keepLines w:val="1"/>
        <w:spacing w:before="160" w:after="80"/>
      </w:pPr>
    </w:p>
    <w:p w:rsidRPr="00CA4FE4" w:rsidR="00CA4FE4" w:rsidP="1512E119" w:rsidRDefault="00CA4FE4" w14:paraId="51D0E603" w14:textId="4DB80E8B">
      <w:pPr>
        <w:rPr>
          <w:rFonts w:ascii="Arial" w:hAnsi="Arial" w:eastAsia="Arial" w:cs="Arial"/>
          <w:b w:val="0"/>
          <w:bCs w:val="0"/>
          <w:i w:val="0"/>
          <w:iCs w:val="0"/>
          <w:caps w:val="0"/>
          <w:smallCaps w:val="0"/>
          <w:noProof w:val="0"/>
          <w:color w:val="000000" w:themeColor="text1" w:themeTint="FF" w:themeShade="FF"/>
          <w:sz w:val="24"/>
          <w:szCs w:val="24"/>
          <w:lang w:val="en-GB"/>
        </w:rPr>
      </w:pPr>
      <w:r w:rsidRPr="1512E119" w:rsidR="44D1DCAB">
        <w:rPr>
          <w:rFonts w:ascii="Arial" w:hAnsi="Arial" w:eastAsia="Arial" w:cs="Arial"/>
          <w:b w:val="1"/>
          <w:bCs w:val="1"/>
          <w:i w:val="0"/>
          <w:iCs w:val="0"/>
          <w:caps w:val="0"/>
          <w:smallCaps w:val="0"/>
          <w:noProof w:val="0"/>
          <w:color w:val="000000" w:themeColor="text1" w:themeTint="FF" w:themeShade="FF"/>
          <w:sz w:val="24"/>
          <w:szCs w:val="24"/>
          <w:lang w:val="en-GB"/>
        </w:rPr>
        <w:t>6. Stakeholder Engagement and Conflict Management: The 4Cs Model</w:t>
      </w:r>
    </w:p>
    <w:p w:rsidRPr="00CA4FE4" w:rsidR="00CA4FE4" w:rsidP="1512E119" w:rsidRDefault="00CA4FE4" w14:paraId="0446B003" w14:textId="26995DEA">
      <w:pPr>
        <w:keepNext w:val="1"/>
        <w:keepLines w:val="1"/>
        <w:spacing w:before="160" w:after="80"/>
        <w:rPr>
          <w:rFonts w:ascii="Arial" w:hAnsi="Arial" w:eastAsia="Arial" w:cs="Arial"/>
          <w:b w:val="1"/>
          <w:bCs w:val="1"/>
          <w:i w:val="0"/>
          <w:iCs w:val="0"/>
          <w:caps w:val="0"/>
          <w:smallCaps w:val="0"/>
          <w:noProof w:val="0"/>
          <w:color w:val="0F4761" w:themeColor="accent1" w:themeTint="FF" w:themeShade="BF"/>
          <w:sz w:val="22"/>
          <w:szCs w:val="22"/>
          <w:lang w:val="en-GB"/>
        </w:rPr>
      </w:pPr>
    </w:p>
    <w:p w:rsidRPr="00CA4FE4" w:rsidR="00CA4FE4" w:rsidP="1512E119" w:rsidRDefault="00CA4FE4" w14:paraId="1CD78403" w14:textId="700E28A5">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 xml:space="preserve">The 4Cs framework, consisting of </w:t>
      </w:r>
      <w:r w:rsidRPr="1512E119" w:rsidR="420F6CE1">
        <w:rPr>
          <w:rFonts w:ascii="Arial" w:hAnsi="Arial" w:eastAsia="Arial" w:cs="Arial"/>
          <w:b w:val="1"/>
          <w:bCs w:val="1"/>
          <w:i w:val="0"/>
          <w:iCs w:val="0"/>
          <w:caps w:val="0"/>
          <w:smallCaps w:val="0"/>
          <w:noProof w:val="0"/>
          <w:color w:val="000000" w:themeColor="text1" w:themeTint="FF" w:themeShade="FF"/>
          <w:sz w:val="22"/>
          <w:szCs w:val="22"/>
          <w:lang w:val="en-GB"/>
        </w:rPr>
        <w:t>Communication, Coordination, Cooperation and Collaboration</w:t>
      </w: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 provides a structured approach for managing stakeholder relationships and reducing conflict during complex projects (Martin, Nolte &amp; Vitola, 2015). For Garmin UK’s smartwatch development project, involving advanced health-monitoring features such as heart rate, SpO₂ and sleep tracking, the model supports effective engagement between internal departments, external suppliers, research institutions and customers. Applying the 4Cs approach enables Garmin to align stakeholder expectations, resolve disagreements constructively and create a shared commitment towards successful product delivery.</w:t>
      </w:r>
    </w:p>
    <w:p w:rsidRPr="00CA4FE4" w:rsidR="00CA4FE4" w:rsidP="1512E119" w:rsidRDefault="00CA4FE4" w14:paraId="4834FFE3" w14:textId="4A189AFE">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6.1 Communication</w:t>
      </w:r>
    </w:p>
    <w:p w:rsidRPr="00CA4FE4" w:rsidR="00CA4FE4" w:rsidP="1512E119" w:rsidRDefault="00CA4FE4" w14:paraId="5F384BEE" w14:textId="63DEB3CE">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Communication focuses on ensuring that accurate, timely and transparent information is shared between all stakeholders. Effective communication reduces uncertainty, improves decision-making and prevents misunderstandings between groups with different priorities.</w:t>
      </w:r>
    </w:p>
    <w:p w:rsidRPr="00CA4FE4" w:rsidR="00CA4FE4" w:rsidP="1512E119" w:rsidRDefault="00CA4FE4" w14:paraId="5425955B" w14:textId="663D6DA1">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For Garmin’s smartwatch project, communication can be strengthened through several methods. Regular executive reports can provide senior leaders with updates regarding project progress, financial performance, risks and important decisions. Engineering teams can use daily meetings to discuss technical challenges, identify obstacles and agree immediate solutions. Cross-functional meetings involving engineering, marketing and operations teams can help balance technical requirements, customer expectations and production limitations.</w:t>
      </w:r>
    </w:p>
    <w:p w:rsidRPr="00CA4FE4" w:rsidR="00CA4FE4" w:rsidP="1512E119" w:rsidRDefault="00CA4FE4" w14:paraId="4972AA7D" w14:textId="46416BD3">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Engagement with external stakeholders is equally important. Discussions with research partners, including academic institutions, allow scientific findings to influence product development and health-monitoring accuracy. Consumer testing sessions provide valuable feedback about usability, design preferences and potential improvements before market release.</w:t>
      </w:r>
    </w:p>
    <w:p w:rsidRPr="00CA4FE4" w:rsidR="00CA4FE4" w:rsidP="1512E119" w:rsidRDefault="00CA4FE4" w14:paraId="1296DAE5" w14:textId="5DD274AA">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Communication also plays an important role in managing conflict. For example, disagreements may occur when engineers prioritise technical limitations while marketing teams request additional features to increase consumer appeal. Structured discussions allow both groups to explain their concerns, evaluate alternatives and reach realistic agreements. Maintaining written records of decisions improves transparency, avoids repeated discussions and ensures accountability throughout the project.</w:t>
      </w:r>
    </w:p>
    <w:p w:rsidRPr="00CA4FE4" w:rsidR="00CA4FE4" w:rsidP="1512E119" w:rsidRDefault="00CA4FE4" w14:paraId="528B4A8A" w14:textId="4EB30CF8">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6.2 Coordination</w:t>
      </w:r>
    </w:p>
    <w:p w:rsidRPr="00CA4FE4" w:rsidR="00CA4FE4" w:rsidP="1512E119" w:rsidRDefault="00CA4FE4" w14:paraId="523EED71" w14:textId="1E2D4559">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Coordination involves organising activities, managing dependencies and ensuring that different stakeholders work towards common project objectives. Since Garmin’s smartwatch requires cooperation between hardware development, software integration, manufacturing and regulatory approval, effective coordination is essential.</w:t>
      </w:r>
    </w:p>
    <w:p w:rsidRPr="00CA4FE4" w:rsidR="00CA4FE4" w:rsidP="1512E119" w:rsidRDefault="00CA4FE4" w14:paraId="1DCB5C17" w14:textId="50220779">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A detailed project schedule can be used to identify relationships between different activities, including sensor development, software testing, compliance checks and production preparation. Digital project management systems can support task monitoring by showing responsibilities, deadlines and progress updates across departments.</w:t>
      </w:r>
    </w:p>
    <w:p w:rsidRPr="00CA4FE4" w:rsidR="00CA4FE4" w:rsidP="1512E119" w:rsidRDefault="00CA4FE4" w14:paraId="0B8B6164" w14:textId="717D7B16">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Regular risk assessment meetings allow potential delays or resource problems to be identified before they negatively affect project performance. A central project plan managed by the project manager ensures that all teams follow the same direction and prevents duplicated efforts.</w:t>
      </w:r>
    </w:p>
    <w:p w:rsidRPr="00CA4FE4" w:rsidR="00CA4FE4" w:rsidP="1512E119" w:rsidRDefault="00CA4FE4" w14:paraId="2F070D4A" w14:textId="6CA038B0">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Coordination also assists conflict resolution. For instance, supplier delays involving biometric components could affect manufacturing schedules and product launch dates. Through effective planning and communication, the project manager can adjust priorities, negotiate revised deadlines or identify alternative solutions. This approach ensures operational challenges are managed without damaging stakeholder relationships.</w:t>
      </w:r>
    </w:p>
    <w:p w:rsidRPr="00CA4FE4" w:rsidR="00CA4FE4" w:rsidP="1512E119" w:rsidRDefault="00CA4FE4" w14:paraId="695C5D0D" w14:textId="274B89C6">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6.3 Cooperation</w:t>
      </w:r>
    </w:p>
    <w:p w:rsidRPr="00CA4FE4" w:rsidR="00CA4FE4" w:rsidP="1512E119" w:rsidRDefault="00CA4FE4" w14:paraId="3D03C1FC" w14:textId="202A8F45">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Cooperation refers to stakeholders working together towards shared goals while maintaining trust, respect and commitment. Within Garmin’s smartwatch project, cooperation encourages different groups to focus on overall project success rather than individual departmental objectives.</w:t>
      </w:r>
    </w:p>
    <w:p w:rsidRPr="00CA4FE4" w:rsidR="00CA4FE4" w:rsidP="1512E119" w:rsidRDefault="00CA4FE4" w14:paraId="15C96E45" w14:textId="2AE51368">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A cooperative environment can be developed by establishing shared performance indicators, including product quality, regulatory approval, customer satisfaction and delivery targets. Recognising achievements during key development stages can improve motivation and strengthen relationships between teams.</w:t>
      </w:r>
    </w:p>
    <w:p w:rsidRPr="00CA4FE4" w:rsidR="00CA4FE4" w:rsidP="1512E119" w:rsidRDefault="00CA4FE4" w14:paraId="4F73B5D7" w14:textId="3219D614">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Garmin can also create joint problem-solving groups involving engineering specialists, marketing professionals and operational managers. These groups encourage employees to combine different perspectives when addressing challenges.</w:t>
      </w:r>
    </w:p>
    <w:p w:rsidRPr="00CA4FE4" w:rsidR="00CA4FE4" w:rsidP="1512E119" w:rsidRDefault="00CA4FE4" w14:paraId="12D590BA" w14:textId="3A410396">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Conflicts may arise when departments have competing priorities. For example, marketing teams may request additional health features, while engineers may believe these cannot be delivered within the available timeframe. Cooperation allows stakeholders to discuss priorities openly and identify compromises, such as introducing additional features through future updates. Focusing on common objectives, including product safety, reliability and customer value, encourages constructive negotiation.</w:t>
      </w:r>
    </w:p>
    <w:p w:rsidRPr="00CA4FE4" w:rsidR="00CA4FE4" w:rsidP="1512E119" w:rsidRDefault="00CA4FE4" w14:paraId="5AEBA63A" w14:textId="31C17916">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6.4 Collaboration</w:t>
      </w:r>
    </w:p>
    <w:p w:rsidRPr="00CA4FE4" w:rsidR="00CA4FE4" w:rsidP="1512E119" w:rsidRDefault="00CA4FE4" w14:paraId="1EF0DB39" w14:textId="588D8E20">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Collaboration represents the highest level of stakeholder engagement, where individuals and organisations actively share knowledge, responsibility and decision-making. Unlike simple cooperation, collaboration involves joint creation and shared ownership of outcomes.</w:t>
      </w:r>
    </w:p>
    <w:p w:rsidRPr="00CA4FE4" w:rsidR="00CA4FE4" w:rsidP="1512E119" w:rsidRDefault="00CA4FE4" w14:paraId="77BB4B92" w14:textId="63AB2D61">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For Garmin UK, collaboration can be achieved through product design workshops involving engineers, suppliers, researchers and consumers. These sessions allow stakeholders to contribute ideas regarding sensor performance, user experience and health-related functions.</w:t>
      </w:r>
    </w:p>
    <w:p w:rsidRPr="00CA4FE4" w:rsidR="00CA4FE4" w:rsidP="1512E119" w:rsidRDefault="00CA4FE4" w14:paraId="1AA23AB2" w14:textId="77CD3A54">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Working closely with component suppliers can improve technical integration by allowing early testing of hardware and software compatibility. Collaboration with regulatory specialists at an early stage can also ensure that documentation and testing procedures meet required standards, reducing approval delays.</w:t>
      </w:r>
    </w:p>
    <w:p w:rsidRPr="00CA4FE4" w:rsidR="00CA4FE4" w:rsidP="1512E119" w:rsidRDefault="00CA4FE4" w14:paraId="101B63A4" w14:textId="623A3F82">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Consumer involvement through pilot programmes enables Garmin to evaluate prototypes in real-world situations. Feedback from users and research partners can then be incorporated into final product improvements.</w:t>
      </w:r>
    </w:p>
    <w:p w:rsidRPr="00CA4FE4" w:rsidR="00CA4FE4" w:rsidP="1512E119" w:rsidRDefault="00CA4FE4" w14:paraId="285CE168" w14:textId="42828A02">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Collaboration is also valuable for managing disagreements. When stakeholders participate in shared decision-making, conflicts are less likely to become personal disputes. Interest-based negotiation encourages solutions that satisfy multiple stakeholder needs rather than prioritising one group. Joint risk assessments and structured decision processes provide guidance when difficult choices must be made.</w:t>
      </w:r>
    </w:p>
    <w:p w:rsidRPr="00CA4FE4" w:rsidR="00CA4FE4" w:rsidP="1512E119" w:rsidRDefault="00CA4FE4" w14:paraId="2E1F7C59" w14:textId="02C67408">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Overall, applying the 4Cs model allows Garmin UK to transform stakeholder conflict into opportunities for improvement and innovation. Effective communication builds transparency, coordination improves efficiency, cooperation strengthens relationships, and collaboration encourages creativity. Together, these approaches support successful project delivery while enhancing Garmin’s reputation as a reliable provider of wearable health technology</w:t>
      </w:r>
    </w:p>
    <w:p w:rsidRPr="00CA4FE4" w:rsidR="00CA4FE4" w:rsidP="1512E119" w:rsidRDefault="00CA4FE4" w14:paraId="5C5593FA" w14:textId="7E1E70B8">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7. Impact of Stakeholder Engagement and Recommendations</w:t>
      </w:r>
    </w:p>
    <w:p w:rsidRPr="00CA4FE4" w:rsidR="00CA4FE4" w:rsidP="1512E119" w:rsidRDefault="00CA4FE4" w14:paraId="7324AB4C" w14:textId="6E945CFB">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7.1 Impact on Business Performance</w:t>
      </w:r>
    </w:p>
    <w:p w:rsidRPr="00CA4FE4" w:rsidR="00CA4FE4" w:rsidP="1512E119" w:rsidRDefault="00CA4FE4" w14:paraId="0D392FF2" w14:textId="4ABF66B0">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Effective stakeholder engagement can significantly influence Garmin UK’s ability to successfully develop and launch its health-focused smartwatch. By involving relevant stakeholders throughout the project lifecycle, Garmin can improve innovation, reduce operational risks, strengthen financial outcomes and enhance its market reputation.</w:t>
      </w:r>
    </w:p>
    <w:p w:rsidRPr="00CA4FE4" w:rsidR="00CA4FE4" w:rsidP="1512E119" w:rsidRDefault="00CA4FE4" w14:paraId="4B222CAC" w14:textId="3DA2C9D0">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Innovation</w:t>
      </w:r>
    </w:p>
    <w:p w:rsidRPr="00CA4FE4" w:rsidR="00CA4FE4" w:rsidP="1512E119" w:rsidRDefault="00CA4FE4" w14:paraId="1BBD5F64" w14:textId="27DD19AD">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Stakeholder involvement is essential for improving innovation within Garmin’s smartwatch development process. Collaboration with research institutions, healthcare professionals and technology specialists enables Garmin to combine internal expertise with external knowledge. Working with academic partners can support the validation of health-monitoring features and improve confidence in measurements such as heart rate, SpO₂ levels and sleep analysis.</w:t>
      </w:r>
    </w:p>
    <w:p w:rsidRPr="00CA4FE4" w:rsidR="00CA4FE4" w:rsidP="1512E119" w:rsidRDefault="00CA4FE4" w14:paraId="319B4AF8" w14:textId="7294EFB2">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Engaging customers during the design and testing stages also provides valuable insights into user expectations and practical challenges. Consumer feedback allows Garmin to improve usability, identify design weaknesses and develop features that provide genuine value. Open collaboration enables organisations to access wider knowledge sources, accelerating innovation and improving competitive advantage.</w:t>
      </w:r>
    </w:p>
    <w:p w:rsidRPr="00CA4FE4" w:rsidR="00CA4FE4" w:rsidP="1512E119" w:rsidRDefault="00CA4FE4" w14:paraId="6B6F4634" w14:textId="4DC7DF1D">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Furthermore, partnerships with external experts can support the development of advanced digital health solutions. By integrating scientific evidence with technological capability, Garmin can strengthen the reliability of its products and establish greater credibility within the expanding wearable health market.</w:t>
      </w:r>
    </w:p>
    <w:p w:rsidRPr="00CA4FE4" w:rsidR="00CA4FE4" w:rsidP="1512E119" w:rsidRDefault="00CA4FE4" w14:paraId="003F7DFE" w14:textId="7C894454">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Operational Efficiency</w:t>
      </w:r>
    </w:p>
    <w:p w:rsidRPr="00CA4FE4" w:rsidR="00CA4FE4" w:rsidP="1512E119" w:rsidRDefault="00CA4FE4" w14:paraId="05D7D5BB" w14:textId="6F3F83A8">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Strong stakeholder management improves operational performance by ensuring that different departments and external partners remain aligned. Clear communication between engineering teams, suppliers, regulatory specialists and marketing departments reduces errors, avoids unnecessary duplication and supports smoother project delivery.</w:t>
      </w:r>
    </w:p>
    <w:p w:rsidRPr="00CA4FE4" w:rsidR="00CA4FE4" w:rsidP="1512E119" w:rsidRDefault="00CA4FE4" w14:paraId="3745E31F" w14:textId="528B1982">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Early involvement of suppliers helps Garmin identify possible production difficulties, particularly regarding critical components such as biometric sensors. Similarly, cooperation with regulatory experts ensures that compliance requirements are considered throughout development rather than addressed at the final stage.</w:t>
      </w:r>
    </w:p>
    <w:p w:rsidRPr="00CA4FE4" w:rsidR="00CA4FE4" w:rsidP="1512E119" w:rsidRDefault="00CA4FE4" w14:paraId="0F7EA8B0" w14:textId="3E546A8B">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A coordinated approach allows potential risks to be identified earlier, reducing delays, additional costs and redesign requirements. Effective stakeholder engagement therefore contributes to faster production processes, improved resource management and a more efficient route from product development to market launch.</w:t>
      </w:r>
    </w:p>
    <w:p w:rsidRPr="00CA4FE4" w:rsidR="00CA4FE4" w:rsidP="1512E119" w:rsidRDefault="00CA4FE4" w14:paraId="01964177" w14:textId="31ADF458">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Financial Performance</w:t>
      </w:r>
    </w:p>
    <w:p w:rsidRPr="00CA4FE4" w:rsidR="00CA4FE4" w:rsidP="1512E119" w:rsidRDefault="00CA4FE4" w14:paraId="6EED226D" w14:textId="2DF8879C">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Stakeholder engagement can also improve Garmin’s financial performance by reducing uncertainty and improving decision-making. Strong relationships with investors, suppliers, regulators and internal teams create confidence that the project is being managed effectively.</w:t>
      </w:r>
    </w:p>
    <w:p w:rsidRPr="00CA4FE4" w:rsidR="00CA4FE4" w:rsidP="1512E119" w:rsidRDefault="00CA4FE4" w14:paraId="6621A721" w14:textId="446F81FD">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Collaborative planning between departments improves budgeting accuracy and ensures that resources are allocated appropriately. Effective risk management reduces unexpected expenses caused by delays, compliance failures or production problems.</w:t>
      </w:r>
    </w:p>
    <w:p w:rsidRPr="00CA4FE4" w:rsidR="00CA4FE4" w:rsidP="1512E119" w:rsidRDefault="00CA4FE4" w14:paraId="38674F5D" w14:textId="634C75E3">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Additionally, a scientifically supported health smartwatch may create opportunities beyond direct consumer sales. Garmin could develop partnerships with healthcare providers, research organisations and wellness programmes, creating additional revenue streams and strengthening its position within the digital health sector.</w:t>
      </w:r>
    </w:p>
    <w:p w:rsidRPr="00CA4FE4" w:rsidR="00CA4FE4" w:rsidP="1512E119" w:rsidRDefault="00CA4FE4" w14:paraId="1A1D6B16" w14:textId="77831DCF">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Market Performance and Reputation</w:t>
      </w:r>
    </w:p>
    <w:p w:rsidRPr="00CA4FE4" w:rsidR="00CA4FE4" w:rsidP="1512E119" w:rsidRDefault="00CA4FE4" w14:paraId="452E0E5F" w14:textId="641D29B0">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Stakeholder engagement contributes significantly to Garmin’s reputation and competitive positioning. As wearable technology becomes increasingly connected with healthcare, customers and organisations require greater confidence in product accuracy, privacy and reliability.</w:t>
      </w:r>
    </w:p>
    <w:p w:rsidRPr="00CA4FE4" w:rsidR="00CA4FE4" w:rsidP="1512E119" w:rsidRDefault="00CA4FE4" w14:paraId="4AD10540" w14:textId="32BC281C">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Collaboration with research institutions and compliance with regulatory standards can help Garmin move beyond being viewed only as a fitness technology company and establish itself as a trusted health technology provider. Transparent relationships with consumers, regulators and suppliers strengthen brand credibility and encourage customer loyalty.</w:t>
      </w:r>
    </w:p>
    <w:p w:rsidRPr="00CA4FE4" w:rsidR="00CA4FE4" w:rsidP="1512E119" w:rsidRDefault="00CA4FE4" w14:paraId="2DEAFCE8" w14:textId="0D277F5A">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A strong reputation for reliability and ethical practice can differentiate Garmin from competitors while supporting long-term growth within the wearable technology market.</w:t>
      </w:r>
    </w:p>
    <w:p w:rsidRPr="00CA4FE4" w:rsidR="00CA4FE4" w:rsidP="1512E119" w:rsidRDefault="00CA4FE4" w14:paraId="46364C84" w14:textId="68CBDCB0">
      <w:pPr>
        <w:rPr>
          <w:rFonts w:ascii="Arial" w:hAnsi="Arial" w:eastAsia="Arial" w:cs="Arial"/>
          <w:b w:val="0"/>
          <w:bCs w:val="0"/>
          <w:i w:val="0"/>
          <w:iCs w:val="0"/>
          <w:caps w:val="0"/>
          <w:smallCaps w:val="0"/>
          <w:noProof w:val="0"/>
          <w:color w:val="000000" w:themeColor="text1" w:themeTint="FF" w:themeShade="FF"/>
          <w:sz w:val="24"/>
          <w:szCs w:val="24"/>
          <w:lang w:val="en-GB"/>
        </w:rPr>
      </w:pPr>
    </w:p>
    <w:p w:rsidRPr="00CA4FE4" w:rsidR="00CA4FE4" w:rsidP="1512E119" w:rsidRDefault="00CA4FE4" w14:paraId="242D6A3E" w14:textId="706B6CEA">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7.2 Recommendations</w:t>
      </w:r>
    </w:p>
    <w:p w:rsidRPr="00CA4FE4" w:rsidR="00CA4FE4" w:rsidP="1512E119" w:rsidRDefault="00CA4FE4" w14:paraId="5F869374" w14:textId="2C4C35CE">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Develop a Formal Stakeholder Governance Structure</w:t>
      </w:r>
    </w:p>
    <w:p w:rsidRPr="00CA4FE4" w:rsidR="00CA4FE4" w:rsidP="1512E119" w:rsidRDefault="00CA4FE4" w14:paraId="0946662A" w14:textId="6F2D70D3">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Garmin should establish a permanent stakeholder management committee involving senior managers, engineers, regulatory specialists, supply chain representatives and customer research teams. This group would monitor progress, manage risks and ensure that stakeholder interests remain aligned throughout the project.</w:t>
      </w:r>
    </w:p>
    <w:p w:rsidRPr="00CA4FE4" w:rsidR="00CA4FE4" w:rsidP="1512E119" w:rsidRDefault="00CA4FE4" w14:paraId="66EB90E3" w14:textId="33CB9922">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A formal governance structure would improve accountability, strengthen communication and allow quicker responses to emerging challenges.</w:t>
      </w:r>
    </w:p>
    <w:p w:rsidRPr="00CA4FE4" w:rsidR="00CA4FE4" w:rsidP="1512E119" w:rsidRDefault="00CA4FE4" w14:paraId="012852EC" w14:textId="50C30457">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Introduce an Integrated Digital Engagement Platform</w:t>
      </w:r>
    </w:p>
    <w:p w:rsidRPr="00CA4FE4" w:rsidR="00CA4FE4" w:rsidP="1512E119" w:rsidRDefault="00CA4FE4" w14:paraId="77870D6A" w14:textId="2375A26A">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Garmin should implement a centralised digital platform where project information, decisions, responsibilities and feedback can be accessed by authorised stakeholders. Such a system would improve transparency and reduce communication gaps between departments and external partners.</w:t>
      </w:r>
    </w:p>
    <w:p w:rsidRPr="00CA4FE4" w:rsidR="00CA4FE4" w:rsidP="1512E119" w:rsidRDefault="00CA4FE4" w14:paraId="74CEF687" w14:textId="6C3EE8CD">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A shared platform would also support better collaboration by ensuring that all stakeholders have access to updated information.</w:t>
      </w:r>
    </w:p>
    <w:p w:rsidRPr="00CA4FE4" w:rsidR="00CA4FE4" w:rsidP="1512E119" w:rsidRDefault="00CA4FE4" w14:paraId="1E73BE13" w14:textId="783B6B0A">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Strengthen Research and Healthcare Partnerships</w:t>
      </w:r>
    </w:p>
    <w:p w:rsidRPr="00CA4FE4" w:rsidR="00CA4FE4" w:rsidP="1512E119" w:rsidRDefault="00CA4FE4" w14:paraId="28F26C19" w14:textId="2EB411BA">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Garmin should expand relationships with universities, healthcare organisations and research institutions. Existing partnerships, including work with King’s College London, provide opportunities to improve scientific validation and develop more reliable health-monitoring technologies.</w:t>
      </w:r>
    </w:p>
    <w:p w:rsidRPr="00CA4FE4" w:rsidR="00CA4FE4" w:rsidP="1512E119" w:rsidRDefault="00CA4FE4" w14:paraId="27F947AD" w14:textId="481184B8">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These collaborations can increase customer confidence and support Garmin’s growth within the healthcare technology sector.</w:t>
      </w:r>
    </w:p>
    <w:p w:rsidRPr="00CA4FE4" w:rsidR="00CA4FE4" w:rsidP="1512E119" w:rsidRDefault="00CA4FE4" w14:paraId="42E24B1C" w14:textId="74FA2C2F">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Create a Consumer Co-Creation Programme</w:t>
      </w:r>
    </w:p>
    <w:p w:rsidRPr="00CA4FE4" w:rsidR="00CA4FE4" w:rsidP="1512E119" w:rsidRDefault="00CA4FE4" w14:paraId="52684ED9" w14:textId="4714F9C9">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Garmin should establish a user involvement programme where customers participate in prototype testing and provide feedback during development. This approach ensures that products are designed around real user needs rather than assumptions.</w:t>
      </w:r>
    </w:p>
    <w:p w:rsidRPr="00CA4FE4" w:rsidR="00CA4FE4" w:rsidP="1512E119" w:rsidRDefault="00CA4FE4" w14:paraId="34FDD997" w14:textId="6D88D196">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Continuous consumer involvement can improve satisfaction, strengthen brand loyalty and reduce the risk of unsuccessful product launches.</w:t>
      </w:r>
    </w:p>
    <w:p w:rsidRPr="00CA4FE4" w:rsidR="00CA4FE4" w:rsidP="1512E119" w:rsidRDefault="00CA4FE4" w14:paraId="160AFDDE" w14:textId="106E5FA1">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Improve Supply Chain Resilience</w:t>
      </w:r>
    </w:p>
    <w:p w:rsidRPr="00CA4FE4" w:rsidR="00CA4FE4" w:rsidP="1512E119" w:rsidRDefault="00CA4FE4" w14:paraId="5363E8AE" w14:textId="2A3EB64D">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Garmin should reduce dependence on individual suppliers by developing relationships with multiple providers for essential components such as sensors and electronic parts. Supplier diversification can minimise disruption risks and improve production reliability.</w:t>
      </w:r>
    </w:p>
    <w:p w:rsidRPr="00CA4FE4" w:rsidR="00CA4FE4" w:rsidP="1512E119" w:rsidRDefault="00CA4FE4" w14:paraId="04321995" w14:textId="59CDA34E">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A more resilient supply chain would help Garmin maintain consistent quality and meet market demand effectively.</w:t>
      </w:r>
    </w:p>
    <w:p w:rsidRPr="00CA4FE4" w:rsidR="00CA4FE4" w:rsidP="1512E119" w:rsidRDefault="00CA4FE4" w14:paraId="76CACA92" w14:textId="3BB221FA">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Provide Stakeholder Management Training</w:t>
      </w:r>
    </w:p>
    <w:p w:rsidRPr="00CA4FE4" w:rsidR="00CA4FE4" w:rsidP="1512E119" w:rsidRDefault="00CA4FE4" w14:paraId="1CD2DCE3" w14:textId="24023DA7">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Employees involved in the project should receive training in communication, negotiation and conflict resolution. Developing these skills would help teams manage disagreements professionally and maintain positive relationships across different areas of the organisation.</w:t>
      </w:r>
    </w:p>
    <w:p w:rsidRPr="00CA4FE4" w:rsidR="00CA4FE4" w:rsidP="1512E119" w:rsidRDefault="00CA4FE4" w14:paraId="35CFFDFE" w14:textId="4249C126">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Training based on the 4Cs model would encourage stronger collaboration and improve overall project performance.</w:t>
      </w:r>
    </w:p>
    <w:p w:rsidRPr="00CA4FE4" w:rsidR="00CA4FE4" w:rsidP="1512E119" w:rsidRDefault="00CA4FE4" w14:paraId="044364AB" w14:textId="670ACA94">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Maintain Continuous Post-Launch Engagement</w:t>
      </w:r>
    </w:p>
    <w:p w:rsidRPr="00CA4FE4" w:rsidR="00CA4FE4" w:rsidP="1512E119" w:rsidRDefault="00CA4FE4" w14:paraId="3C1FD070" w14:textId="2AC4D19E">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Stakeholder engagement should continue after product release rather than ending at launch. Regular discussions with customers, regulators and research partners can provide valuable feedback for future improvements.</w:t>
      </w:r>
    </w:p>
    <w:p w:rsidRPr="00CA4FE4" w:rsidR="00CA4FE4" w:rsidP="1512E119" w:rsidRDefault="00CA4FE4" w14:paraId="26FBDD5D" w14:textId="343215DE">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Monitoring user experiences and technological developments will allow Garmin to update products effectively and maintain market relevance.</w:t>
      </w:r>
    </w:p>
    <w:p w:rsidRPr="00CA4FE4" w:rsidR="00CA4FE4" w:rsidP="1512E119" w:rsidRDefault="00CA4FE4" w14:paraId="44C07AD8" w14:textId="7306E20C">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Enhance Sustainability and Ethical Practices</w:t>
      </w:r>
    </w:p>
    <w:p w:rsidRPr="00CA4FE4" w:rsidR="00CA4FE4" w:rsidP="1512E119" w:rsidRDefault="00CA4FE4" w14:paraId="735AF07E" w14:textId="6FFA8D36">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Garmin should continue improving environmental and ethical practices by increasing supply chain transparency, supporting responsible sourcing and developing sustainable product designs. Building on its conflict minerals reporting (Garmin, 2024), the company can strengthen stakeholder trust and demonstrate commitment to responsible business practices.</w:t>
      </w:r>
    </w:p>
    <w:p w:rsidRPr="00CA4FE4" w:rsidR="00CA4FE4" w:rsidP="1512E119" w:rsidRDefault="00CA4FE4" w14:paraId="0D88F696" w14:textId="41C8D1BB">
      <w:pPr>
        <w:pStyle w:val="Normal"/>
        <w:keepNext w:val="1"/>
        <w:keepLines w:val="1"/>
        <w:rPr>
          <w:rFonts w:ascii="Arial" w:hAnsi="Arial" w:eastAsia="Arial" w:cs="Arial"/>
          <w:b w:val="1"/>
          <w:bCs w:val="1"/>
          <w:i w:val="0"/>
          <w:iCs w:val="0"/>
          <w:caps w:val="0"/>
          <w:smallCaps w:val="0"/>
          <w:noProof w:val="0"/>
          <w:color w:val="0F4761" w:themeColor="accent1" w:themeTint="FF" w:themeShade="BF"/>
          <w:sz w:val="22"/>
          <w:szCs w:val="22"/>
          <w:lang w:val="en-GB"/>
        </w:rPr>
      </w:pPr>
      <w:r w:rsidRPr="1512E119" w:rsidR="420F6CE1">
        <w:rPr>
          <w:b w:val="1"/>
          <w:bCs w:val="1"/>
          <w:noProof w:val="0"/>
          <w:lang w:val="en-GB"/>
        </w:rPr>
        <w:t>8. Conclusion</w:t>
      </w:r>
    </w:p>
    <w:p w:rsidRPr="00CA4FE4" w:rsidR="00CA4FE4" w:rsidP="1512E119" w:rsidRDefault="00CA4FE4" w14:paraId="347A956A" w14:textId="767EE1CF">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The development of Garmin UK’s health-focused smartwatch presents a valuable opportunity to strengthen its position within the wearable health technology market. However, successful delivery requires more than technical expertise; it depends on effective stakeholder engagement, clear communication and strong collaboration between internal and external stakeholders.</w:t>
      </w:r>
    </w:p>
    <w:p w:rsidRPr="00CA4FE4" w:rsidR="00CA4FE4" w:rsidP="1512E119" w:rsidRDefault="00CA4FE4" w14:paraId="6732F004" w14:textId="7966ADC2">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Using stakeholder management frameworks and the 4Cs model, Garmin can create a structured approach to managing expectations, resolving conflicts and encouraging innovation. Communication improves transparency, coordination ensures efficient resource management, cooperation strengthens relationships, and collaboration supports shared decision-making. These practices enable Garmin to reduce risks, improve product quality and increase stakeholder confidence.</w:t>
      </w:r>
    </w:p>
    <w:p w:rsidRPr="00CA4FE4" w:rsidR="00CA4FE4" w:rsidP="1512E119" w:rsidRDefault="00CA4FE4" w14:paraId="1B99AAB2" w14:textId="45D3D02F">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Effective engagement also contributes to wider organisational benefits, including improved innovation, operational efficiency, financial control and market reputation. By maintaining strong relationships with customers, suppliers, regulators and research partners, Garmin can develop a smartwatch that is both technologically advanced and trusted by users.</w:t>
      </w:r>
    </w:p>
    <w:p w:rsidRPr="00CA4FE4" w:rsidR="00CA4FE4" w:rsidP="1512E119" w:rsidRDefault="00CA4FE4" w14:paraId="1B9E7764" w14:textId="735E0655">
      <w:pPr>
        <w:rPr>
          <w:rFonts w:ascii="Arial" w:hAnsi="Arial" w:eastAsia="Arial" w:cs="Arial"/>
          <w:b w:val="0"/>
          <w:bCs w:val="0"/>
          <w:i w:val="0"/>
          <w:iCs w:val="0"/>
          <w:caps w:val="0"/>
          <w:smallCaps w:val="0"/>
          <w:noProof w:val="0"/>
          <w:color w:val="000000" w:themeColor="text1" w:themeTint="FF" w:themeShade="FF"/>
          <w:sz w:val="22"/>
          <w:szCs w:val="22"/>
          <w:lang w:val="en-GB"/>
        </w:rPr>
      </w:pPr>
      <w:r w:rsidRPr="1512E119" w:rsidR="420F6CE1">
        <w:rPr>
          <w:rFonts w:ascii="Arial" w:hAnsi="Arial" w:eastAsia="Arial" w:cs="Arial"/>
          <w:b w:val="0"/>
          <w:bCs w:val="0"/>
          <w:i w:val="0"/>
          <w:iCs w:val="0"/>
          <w:caps w:val="0"/>
          <w:smallCaps w:val="0"/>
          <w:noProof w:val="0"/>
          <w:color w:val="000000" w:themeColor="text1" w:themeTint="FF" w:themeShade="FF"/>
          <w:sz w:val="22"/>
          <w:szCs w:val="22"/>
          <w:lang w:val="en-GB"/>
        </w:rPr>
        <w:t>Overall, stakeholder engagement should be considered a strategic capability rather than a short-term project activity. Continuous collaboration, ethical practices and feedback mechanisms will help Garmin remain competitive and support long-term success in the evolving wearable health technology industry.</w:t>
      </w:r>
    </w:p>
    <w:p w:rsidRPr="00CA4FE4" w:rsidR="00CA4FE4" w:rsidP="00CA4FE4" w:rsidRDefault="00CA4FE4" w14:paraId="6A93C4D3" w14:textId="330B8509">
      <w:pPr>
        <w:rPr>
          <w:rFonts w:ascii="Arial" w:hAnsi="Arial" w:cs="Arial"/>
          <w:sz w:val="22"/>
          <w:szCs w:val="22"/>
        </w:rPr>
      </w:pPr>
    </w:p>
    <w:p w:rsidRPr="00CA4FE4" w:rsidR="00CA4FE4" w:rsidP="00CA4FE4" w:rsidRDefault="00CA4FE4" w14:paraId="09A4ECA5" w14:textId="77777777">
      <w:pPr>
        <w:rPr>
          <w:rFonts w:ascii="Arial" w:hAnsi="Arial" w:cs="Arial"/>
          <w:sz w:val="22"/>
          <w:szCs w:val="22"/>
        </w:rPr>
      </w:pPr>
      <w:r w:rsidRPr="00CA4FE4">
        <w:rPr>
          <w:rFonts w:ascii="Arial" w:hAnsi="Arial" w:cs="Arial"/>
          <w:sz w:val="22"/>
          <w:szCs w:val="22"/>
        </w:rPr>
        <w:pict w14:anchorId="4AB251C8">
          <v:rect id="_x0000_i1101" style="width:0;height:1.5pt" o:hr="t" o:hrstd="t" o:hralign="center" fillcolor="#a0a0a0" stroked="f"/>
        </w:pict>
      </w:r>
    </w:p>
    <w:p w:rsidR="00442E86" w:rsidP="00CA4FE4" w:rsidRDefault="00442E86" w14:paraId="56434D1E" w14:textId="77777777">
      <w:pPr>
        <w:rPr>
          <w:rFonts w:ascii="Arial" w:hAnsi="Arial" w:cs="Arial"/>
          <w:b/>
          <w:bCs/>
          <w:sz w:val="22"/>
          <w:szCs w:val="22"/>
        </w:rPr>
      </w:pPr>
    </w:p>
    <w:p w:rsidR="00442E86" w:rsidP="00CA4FE4" w:rsidRDefault="00442E86" w14:paraId="654442A5" w14:textId="77777777">
      <w:pPr>
        <w:rPr>
          <w:rFonts w:ascii="Arial" w:hAnsi="Arial" w:cs="Arial"/>
          <w:b/>
          <w:bCs/>
          <w:sz w:val="22"/>
          <w:szCs w:val="22"/>
        </w:rPr>
      </w:pPr>
    </w:p>
    <w:p w:rsidR="00442E86" w:rsidP="00CA4FE4" w:rsidRDefault="00442E86" w14:paraId="322B755D" w14:textId="77777777">
      <w:pPr>
        <w:rPr>
          <w:rFonts w:ascii="Arial" w:hAnsi="Arial" w:cs="Arial"/>
          <w:b/>
          <w:bCs/>
          <w:sz w:val="22"/>
          <w:szCs w:val="22"/>
        </w:rPr>
      </w:pPr>
    </w:p>
    <w:p w:rsidR="00442E86" w:rsidP="00CA4FE4" w:rsidRDefault="00442E86" w14:paraId="2EAF1668" w14:textId="77777777">
      <w:pPr>
        <w:rPr>
          <w:rFonts w:ascii="Arial" w:hAnsi="Arial" w:cs="Arial"/>
          <w:b/>
          <w:bCs/>
          <w:sz w:val="22"/>
          <w:szCs w:val="22"/>
        </w:rPr>
      </w:pPr>
    </w:p>
    <w:p w:rsidR="00442E86" w:rsidP="00CA4FE4" w:rsidRDefault="00442E86" w14:paraId="000B5110" w14:textId="77777777">
      <w:pPr>
        <w:rPr>
          <w:rFonts w:ascii="Arial" w:hAnsi="Arial" w:cs="Arial"/>
          <w:b/>
          <w:bCs/>
          <w:sz w:val="22"/>
          <w:szCs w:val="22"/>
        </w:rPr>
      </w:pPr>
    </w:p>
    <w:p w:rsidR="00442E86" w:rsidP="00CA4FE4" w:rsidRDefault="00442E86" w14:paraId="7CDA7A81" w14:textId="77777777">
      <w:pPr>
        <w:rPr>
          <w:rFonts w:ascii="Arial" w:hAnsi="Arial" w:cs="Arial"/>
          <w:b/>
          <w:bCs/>
          <w:sz w:val="22"/>
          <w:szCs w:val="22"/>
        </w:rPr>
      </w:pPr>
    </w:p>
    <w:p w:rsidR="00442E86" w:rsidP="00CA4FE4" w:rsidRDefault="00442E86" w14:paraId="1D38BB37" w14:textId="77777777">
      <w:pPr>
        <w:rPr>
          <w:rFonts w:ascii="Arial" w:hAnsi="Arial" w:cs="Arial"/>
          <w:b/>
          <w:bCs/>
          <w:sz w:val="22"/>
          <w:szCs w:val="22"/>
        </w:rPr>
      </w:pPr>
    </w:p>
    <w:p w:rsidR="00442E86" w:rsidP="00CA4FE4" w:rsidRDefault="00442E86" w14:paraId="6A9A6650" w14:textId="77777777">
      <w:pPr>
        <w:rPr>
          <w:rFonts w:ascii="Arial" w:hAnsi="Arial" w:cs="Arial"/>
          <w:b/>
          <w:bCs/>
          <w:sz w:val="22"/>
          <w:szCs w:val="22"/>
        </w:rPr>
      </w:pPr>
    </w:p>
    <w:p w:rsidR="00442E86" w:rsidP="00CA4FE4" w:rsidRDefault="00442E86" w14:paraId="72BFA731" w14:textId="77777777">
      <w:pPr>
        <w:rPr>
          <w:rFonts w:ascii="Arial" w:hAnsi="Arial" w:cs="Arial"/>
          <w:b/>
          <w:bCs/>
          <w:sz w:val="22"/>
          <w:szCs w:val="22"/>
        </w:rPr>
      </w:pPr>
    </w:p>
    <w:p w:rsidR="00442E86" w:rsidP="00CA4FE4" w:rsidRDefault="00442E86" w14:paraId="25407ACE" w14:textId="77777777">
      <w:pPr>
        <w:rPr>
          <w:rFonts w:ascii="Arial" w:hAnsi="Arial" w:cs="Arial"/>
          <w:b/>
          <w:bCs/>
          <w:sz w:val="22"/>
          <w:szCs w:val="22"/>
        </w:rPr>
      </w:pPr>
    </w:p>
    <w:p w:rsidRPr="00CA4FE4" w:rsidR="00CA4FE4" w:rsidP="00CA4FE4" w:rsidRDefault="00CA4FE4" w14:paraId="1717375B" w14:textId="3D7DFC2F">
      <w:pPr/>
      <w:r w:rsidRPr="1512E119" w:rsidR="00CA4FE4">
        <w:rPr>
          <w:rFonts w:ascii="Arial" w:hAnsi="Arial" w:cs="Arial"/>
          <w:b w:val="1"/>
          <w:bCs w:val="1"/>
          <w:sz w:val="22"/>
          <w:szCs w:val="22"/>
        </w:rPr>
        <w:t>References</w:t>
      </w:r>
    </w:p>
    <w:p w:rsidR="602DFAE1" w:rsidP="1512E119" w:rsidRDefault="602DFAE1" w14:paraId="1D47CAA2" w14:textId="2DF0D892">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Abdulaziz Alnhari, A. and Qureshi, R. (2024) ‘Unified External Stakeholder Engagement and Requirements Strategy’, </w:t>
      </w:r>
      <w:r w:rsidRPr="1512E119" w:rsidR="602DFAE1">
        <w:rPr>
          <w:rFonts w:ascii="Arial" w:hAnsi="Arial" w:eastAsia="Arial" w:cs="Arial"/>
          <w:i w:val="0"/>
          <w:iCs w:val="0"/>
          <w:noProof w:val="0"/>
          <w:sz w:val="22"/>
          <w:szCs w:val="22"/>
          <w:lang w:val="en-GB"/>
        </w:rPr>
        <w:t>arXiv</w:t>
      </w:r>
      <w:r w:rsidRPr="1512E119" w:rsidR="602DFAE1">
        <w:rPr>
          <w:rFonts w:ascii="Arial" w:hAnsi="Arial" w:eastAsia="Arial" w:cs="Arial"/>
          <w:i w:val="0"/>
          <w:iCs w:val="0"/>
          <w:noProof w:val="0"/>
          <w:sz w:val="22"/>
          <w:szCs w:val="22"/>
          <w:lang w:val="en-GB"/>
        </w:rPr>
        <w:t xml:space="preserve">. Available at: </w:t>
      </w:r>
      <w:hyperlink r:id="R4ee77e4ab3ed4c86">
        <w:r w:rsidRPr="1512E119" w:rsidR="602DFAE1">
          <w:rPr>
            <w:rStyle w:val="Hyperlink"/>
            <w:i w:val="0"/>
            <w:iCs w:val="0"/>
            <w:noProof w:val="0"/>
            <w:lang w:val="en-GB"/>
          </w:rPr>
          <w:t>https://arxiv.org/abs/2409.05019</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1304027A" w14:textId="55DF5C01">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Bose, R. and Leung, A. (2022) ‘Regulatory and data-protection challenges in medical wearables’, </w:t>
      </w:r>
      <w:r w:rsidRPr="1512E119" w:rsidR="602DFAE1">
        <w:rPr>
          <w:rFonts w:ascii="Arial" w:hAnsi="Arial" w:eastAsia="Arial" w:cs="Arial"/>
          <w:i w:val="0"/>
          <w:iCs w:val="0"/>
          <w:noProof w:val="0"/>
          <w:sz w:val="22"/>
          <w:szCs w:val="22"/>
          <w:lang w:val="en-GB"/>
        </w:rPr>
        <w:t>Journal of Health Technology Policy</w:t>
      </w:r>
      <w:r w:rsidRPr="1512E119" w:rsidR="602DFAE1">
        <w:rPr>
          <w:rFonts w:ascii="Arial" w:hAnsi="Arial" w:eastAsia="Arial" w:cs="Arial"/>
          <w:i w:val="0"/>
          <w:iCs w:val="0"/>
          <w:noProof w:val="0"/>
          <w:sz w:val="22"/>
          <w:szCs w:val="22"/>
          <w:lang w:val="en-GB"/>
        </w:rPr>
        <w:t>, 11(2), pp. 145–159.</w:t>
      </w:r>
    </w:p>
    <w:p w:rsidR="602DFAE1" w:rsidP="1512E119" w:rsidRDefault="602DFAE1" w14:paraId="25915936" w14:textId="445A2EF6">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Colley, R. (2021) ‘Political risk and UK technology trade post-Brexit’, </w:t>
      </w:r>
      <w:r w:rsidRPr="1512E119" w:rsidR="602DFAE1">
        <w:rPr>
          <w:rFonts w:ascii="Arial" w:hAnsi="Arial" w:eastAsia="Arial" w:cs="Arial"/>
          <w:i w:val="0"/>
          <w:iCs w:val="0"/>
          <w:noProof w:val="0"/>
          <w:sz w:val="22"/>
          <w:szCs w:val="22"/>
          <w:lang w:val="en-GB"/>
        </w:rPr>
        <w:t>British Policy Journal</w:t>
      </w:r>
      <w:r w:rsidRPr="1512E119" w:rsidR="602DFAE1">
        <w:rPr>
          <w:rFonts w:ascii="Arial" w:hAnsi="Arial" w:eastAsia="Arial" w:cs="Arial"/>
          <w:i w:val="0"/>
          <w:iCs w:val="0"/>
          <w:noProof w:val="0"/>
          <w:sz w:val="22"/>
          <w:szCs w:val="22"/>
          <w:lang w:val="en-GB"/>
        </w:rPr>
        <w:t>, 30(4), pp. 320–333.</w:t>
      </w:r>
    </w:p>
    <w:p w:rsidR="602DFAE1" w:rsidP="1512E119" w:rsidRDefault="602DFAE1" w14:paraId="11DB3F86" w14:textId="68B6C679">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Détienne, F. (2006) ‘Collaborative design: Managing task interdependencies and multiple perspectives’, </w:t>
      </w:r>
      <w:r w:rsidRPr="1512E119" w:rsidR="602DFAE1">
        <w:rPr>
          <w:rFonts w:ascii="Arial" w:hAnsi="Arial" w:eastAsia="Arial" w:cs="Arial"/>
          <w:i w:val="0"/>
          <w:iCs w:val="0"/>
          <w:noProof w:val="0"/>
          <w:sz w:val="22"/>
          <w:szCs w:val="22"/>
          <w:lang w:val="en-GB"/>
        </w:rPr>
        <w:t>arXiv</w:t>
      </w:r>
      <w:r w:rsidRPr="1512E119" w:rsidR="602DFAE1">
        <w:rPr>
          <w:rFonts w:ascii="Arial" w:hAnsi="Arial" w:eastAsia="Arial" w:cs="Arial"/>
          <w:i w:val="0"/>
          <w:iCs w:val="0"/>
          <w:noProof w:val="0"/>
          <w:sz w:val="22"/>
          <w:szCs w:val="22"/>
          <w:lang w:val="en-GB"/>
        </w:rPr>
        <w:t xml:space="preserve">. Available at: </w:t>
      </w:r>
      <w:hyperlink r:id="Rbb4ea8c0295846e5">
        <w:r w:rsidRPr="1512E119" w:rsidR="602DFAE1">
          <w:rPr>
            <w:rStyle w:val="Hyperlink"/>
            <w:i w:val="0"/>
            <w:iCs w:val="0"/>
            <w:noProof w:val="0"/>
            <w:lang w:val="en-GB"/>
          </w:rPr>
          <w:t>https://arxiv.org/abs/cs/061115</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61CA815D" w14:textId="7CADE0AA">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Digitimes (2023) ‘Garmin saw 23% growth in fitness-related wearables’, </w:t>
      </w:r>
      <w:r w:rsidRPr="1512E119" w:rsidR="602DFAE1">
        <w:rPr>
          <w:rFonts w:ascii="Arial" w:hAnsi="Arial" w:eastAsia="Arial" w:cs="Arial"/>
          <w:i w:val="0"/>
          <w:iCs w:val="0"/>
          <w:noProof w:val="0"/>
          <w:sz w:val="22"/>
          <w:szCs w:val="22"/>
          <w:lang w:val="en-GB"/>
        </w:rPr>
        <w:t>Digitimes</w:t>
      </w:r>
      <w:r w:rsidRPr="1512E119" w:rsidR="602DFAE1">
        <w:rPr>
          <w:rFonts w:ascii="Arial" w:hAnsi="Arial" w:eastAsia="Arial" w:cs="Arial"/>
          <w:i w:val="0"/>
          <w:iCs w:val="0"/>
          <w:noProof w:val="0"/>
          <w:sz w:val="22"/>
          <w:szCs w:val="22"/>
          <w:lang w:val="en-GB"/>
        </w:rPr>
        <w:t xml:space="preserve">. Available at: </w:t>
      </w:r>
      <w:hyperlink r:id="R53c6e84920434775">
        <w:r w:rsidRPr="1512E119" w:rsidR="602DFAE1">
          <w:rPr>
            <w:rStyle w:val="Hyperlink"/>
            <w:i w:val="0"/>
            <w:iCs w:val="0"/>
            <w:noProof w:val="0"/>
            <w:lang w:val="en-GB"/>
          </w:rPr>
          <w:t>https://www.digitimes.com/news/a20231020PD207/</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0C94FC30" w14:textId="46D21C63">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Futuresource Consulting (2024) </w:t>
      </w:r>
      <w:r w:rsidRPr="1512E119" w:rsidR="602DFAE1">
        <w:rPr>
          <w:rFonts w:ascii="Arial" w:hAnsi="Arial" w:eastAsia="Arial" w:cs="Arial"/>
          <w:i w:val="0"/>
          <w:iCs w:val="0"/>
          <w:noProof w:val="0"/>
          <w:sz w:val="22"/>
          <w:szCs w:val="22"/>
          <w:lang w:val="en-GB"/>
        </w:rPr>
        <w:t>Health is at Hand: Wrist-Worn Wearables Growth Forecast</w:t>
      </w:r>
      <w:r w:rsidRPr="1512E119" w:rsidR="602DFAE1">
        <w:rPr>
          <w:rFonts w:ascii="Arial" w:hAnsi="Arial" w:eastAsia="Arial" w:cs="Arial"/>
          <w:i w:val="0"/>
          <w:iCs w:val="0"/>
          <w:noProof w:val="0"/>
          <w:sz w:val="22"/>
          <w:szCs w:val="22"/>
          <w:lang w:val="en-GB"/>
        </w:rPr>
        <w:t xml:space="preserve">. Available at: </w:t>
      </w:r>
      <w:hyperlink r:id="R76f976dcd91b4def">
        <w:r w:rsidRPr="1512E119" w:rsidR="602DFAE1">
          <w:rPr>
            <w:rStyle w:val="Hyperlink"/>
            <w:i w:val="0"/>
            <w:iCs w:val="0"/>
            <w:noProof w:val="0"/>
            <w:lang w:val="en-GB"/>
          </w:rPr>
          <w:t>https://www.futuresource-consulting.com</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724F28FE" w14:textId="06F297EA">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Garmin Ltd (2024) </w:t>
      </w:r>
      <w:r w:rsidRPr="1512E119" w:rsidR="602DFAE1">
        <w:rPr>
          <w:rFonts w:ascii="Arial" w:hAnsi="Arial" w:eastAsia="Arial" w:cs="Arial"/>
          <w:i w:val="0"/>
          <w:iCs w:val="0"/>
          <w:noProof w:val="0"/>
          <w:sz w:val="22"/>
          <w:szCs w:val="22"/>
          <w:lang w:val="en-GB"/>
        </w:rPr>
        <w:t>Corporate Impact Report 2024</w:t>
      </w:r>
      <w:r w:rsidRPr="1512E119" w:rsidR="602DFAE1">
        <w:rPr>
          <w:rFonts w:ascii="Arial" w:hAnsi="Arial" w:eastAsia="Arial" w:cs="Arial"/>
          <w:i w:val="0"/>
          <w:iCs w:val="0"/>
          <w:noProof w:val="0"/>
          <w:sz w:val="22"/>
          <w:szCs w:val="22"/>
          <w:lang w:val="en-GB"/>
        </w:rPr>
        <w:t xml:space="preserve">. Available at: </w:t>
      </w:r>
      <w:hyperlink r:id="Rfc7357a0c6c14555">
        <w:r w:rsidRPr="1512E119" w:rsidR="602DFAE1">
          <w:rPr>
            <w:rStyle w:val="Hyperlink"/>
            <w:i w:val="0"/>
            <w:iCs w:val="0"/>
            <w:noProof w:val="0"/>
            <w:lang w:val="en-GB"/>
          </w:rPr>
          <w:t>https://www8.garmin.com/sustainability/reports-policies/corp-responsibility</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2ED72E63" w14:textId="36BF2328">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Garmin Ltd (2024) </w:t>
      </w:r>
      <w:r w:rsidRPr="1512E119" w:rsidR="602DFAE1">
        <w:rPr>
          <w:rFonts w:ascii="Arial" w:hAnsi="Arial" w:eastAsia="Arial" w:cs="Arial"/>
          <w:i w:val="0"/>
          <w:iCs w:val="0"/>
          <w:noProof w:val="0"/>
          <w:sz w:val="22"/>
          <w:szCs w:val="22"/>
          <w:lang w:val="en-GB"/>
        </w:rPr>
        <w:t>Conflict Minerals Report 2024</w:t>
      </w:r>
      <w:r w:rsidRPr="1512E119" w:rsidR="602DFAE1">
        <w:rPr>
          <w:rFonts w:ascii="Arial" w:hAnsi="Arial" w:eastAsia="Arial" w:cs="Arial"/>
          <w:i w:val="0"/>
          <w:iCs w:val="0"/>
          <w:noProof w:val="0"/>
          <w:sz w:val="22"/>
          <w:szCs w:val="22"/>
          <w:lang w:val="en-GB"/>
        </w:rPr>
        <w:t xml:space="preserve">. Available at: </w:t>
      </w:r>
      <w:hyperlink r:id="R107557a16ef64cb8">
        <w:r w:rsidRPr="1512E119" w:rsidR="602DFAE1">
          <w:rPr>
            <w:rStyle w:val="Hyperlink"/>
            <w:i w:val="0"/>
            <w:iCs w:val="0"/>
            <w:noProof w:val="0"/>
            <w:lang w:val="en-GB"/>
          </w:rPr>
          <w:t>https://www8.garmin.com/sustainability/reports-policies/conflict-minerals</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38638E4B" w14:textId="6F28DF6B">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Grand View Research (2024) ‘UK wearable medical devices market analysis, 2030’. Available at: </w:t>
      </w:r>
      <w:hyperlink r:id="Rbadaf86f83d44c68">
        <w:r w:rsidRPr="1512E119" w:rsidR="602DFAE1">
          <w:rPr>
            <w:rStyle w:val="Hyperlink"/>
            <w:i w:val="0"/>
            <w:iCs w:val="0"/>
            <w:noProof w:val="0"/>
            <w:lang w:val="en-GB"/>
          </w:rPr>
          <w:t>https://www.grandviewresearch.com/press-release/uk-wearable-medical-devices-market-analysis</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72458110" w14:textId="248C0238">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Industry Today (2025) ‘Fitness tracker market (2025–2035): CAGR 10.58%’, </w:t>
      </w:r>
      <w:r w:rsidRPr="1512E119" w:rsidR="602DFAE1">
        <w:rPr>
          <w:rFonts w:ascii="Arial" w:hAnsi="Arial" w:eastAsia="Arial" w:cs="Arial"/>
          <w:i w:val="0"/>
          <w:iCs w:val="0"/>
          <w:noProof w:val="0"/>
          <w:sz w:val="22"/>
          <w:szCs w:val="22"/>
          <w:lang w:val="en-GB"/>
        </w:rPr>
        <w:t>Industry Today</w:t>
      </w:r>
      <w:r w:rsidRPr="1512E119" w:rsidR="602DFAE1">
        <w:rPr>
          <w:rFonts w:ascii="Arial" w:hAnsi="Arial" w:eastAsia="Arial" w:cs="Arial"/>
          <w:i w:val="0"/>
          <w:iCs w:val="0"/>
          <w:noProof w:val="0"/>
          <w:sz w:val="22"/>
          <w:szCs w:val="22"/>
          <w:lang w:val="en-GB"/>
        </w:rPr>
        <w:t xml:space="preserve">. Available at: </w:t>
      </w:r>
      <w:hyperlink r:id="Ra1fbabb3d81a4a75">
        <w:r w:rsidRPr="1512E119" w:rsidR="602DFAE1">
          <w:rPr>
            <w:rStyle w:val="Hyperlink"/>
            <w:i w:val="0"/>
            <w:iCs w:val="0"/>
            <w:noProof w:val="0"/>
            <w:lang w:val="en-GB"/>
          </w:rPr>
          <w:t>https://industrytoday.co.uk/electrical/fitness-tracker-market-2025-2035-cagr-1058</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7C44B448" w14:textId="22D3F4C6">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Industry Today (2025) ‘Outdoor smart watch market (2024–2032) driven by fitness and innovation’, </w:t>
      </w:r>
      <w:r w:rsidRPr="1512E119" w:rsidR="602DFAE1">
        <w:rPr>
          <w:rFonts w:ascii="Arial" w:hAnsi="Arial" w:eastAsia="Arial" w:cs="Arial"/>
          <w:i w:val="0"/>
          <w:iCs w:val="0"/>
          <w:noProof w:val="0"/>
          <w:sz w:val="22"/>
          <w:szCs w:val="22"/>
          <w:lang w:val="en-GB"/>
        </w:rPr>
        <w:t>Industry Today</w:t>
      </w:r>
      <w:r w:rsidRPr="1512E119" w:rsidR="602DFAE1">
        <w:rPr>
          <w:rFonts w:ascii="Arial" w:hAnsi="Arial" w:eastAsia="Arial" w:cs="Arial"/>
          <w:i w:val="0"/>
          <w:iCs w:val="0"/>
          <w:noProof w:val="0"/>
          <w:sz w:val="22"/>
          <w:szCs w:val="22"/>
          <w:lang w:val="en-GB"/>
        </w:rPr>
        <w:t xml:space="preserve">. Available at: </w:t>
      </w:r>
      <w:hyperlink r:id="R76d79e79b5474b92">
        <w:r w:rsidRPr="1512E119" w:rsidR="602DFAE1">
          <w:rPr>
            <w:rStyle w:val="Hyperlink"/>
            <w:i w:val="0"/>
            <w:iCs w:val="0"/>
            <w:noProof w:val="0"/>
            <w:lang w:val="en-GB"/>
          </w:rPr>
          <w:t>https://industrytoday.co.uk/electrical/outdoor-smart-watch-market-2024-2032-driven-by-fitness-and-innovation</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1E3948D6" w14:textId="483EA70E">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Johnson, G., Scholes, K. and Whittington, R. (2020) </w:t>
      </w:r>
      <w:r w:rsidRPr="1512E119" w:rsidR="602DFAE1">
        <w:rPr>
          <w:rFonts w:ascii="Arial" w:hAnsi="Arial" w:eastAsia="Arial" w:cs="Arial"/>
          <w:i w:val="0"/>
          <w:iCs w:val="0"/>
          <w:noProof w:val="0"/>
          <w:sz w:val="22"/>
          <w:szCs w:val="22"/>
          <w:lang w:val="en-GB"/>
        </w:rPr>
        <w:t>Exploring Corporate Strategy</w:t>
      </w:r>
      <w:r w:rsidRPr="1512E119" w:rsidR="602DFAE1">
        <w:rPr>
          <w:rFonts w:ascii="Arial" w:hAnsi="Arial" w:eastAsia="Arial" w:cs="Arial"/>
          <w:i w:val="0"/>
          <w:iCs w:val="0"/>
          <w:noProof w:val="0"/>
          <w:sz w:val="22"/>
          <w:szCs w:val="22"/>
          <w:lang w:val="en-GB"/>
        </w:rPr>
        <w:t>. 12th edn. Harlow: Pearson.</w:t>
      </w:r>
    </w:p>
    <w:p w:rsidR="602DFAE1" w:rsidP="1512E119" w:rsidRDefault="602DFAE1" w14:paraId="47B4904C" w14:textId="376D503A">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Kumar, R. and Sharma, P. (2022) ‘Advances in biosensor miniaturisation and their impact on health wearables’, </w:t>
      </w:r>
      <w:r w:rsidRPr="1512E119" w:rsidR="602DFAE1">
        <w:rPr>
          <w:rFonts w:ascii="Arial" w:hAnsi="Arial" w:eastAsia="Arial" w:cs="Arial"/>
          <w:i w:val="0"/>
          <w:iCs w:val="0"/>
          <w:noProof w:val="0"/>
          <w:sz w:val="22"/>
          <w:szCs w:val="22"/>
          <w:lang w:val="en-GB"/>
        </w:rPr>
        <w:t>Journal of Smart Materials</w:t>
      </w:r>
      <w:r w:rsidRPr="1512E119" w:rsidR="602DFAE1">
        <w:rPr>
          <w:rFonts w:ascii="Arial" w:hAnsi="Arial" w:eastAsia="Arial" w:cs="Arial"/>
          <w:i w:val="0"/>
          <w:iCs w:val="0"/>
          <w:noProof w:val="0"/>
          <w:sz w:val="22"/>
          <w:szCs w:val="22"/>
          <w:lang w:val="en-GB"/>
        </w:rPr>
        <w:t>, 9(3), pp. 201–218.</w:t>
      </w:r>
    </w:p>
    <w:p w:rsidR="602DFAE1" w:rsidP="1512E119" w:rsidRDefault="602DFAE1" w14:paraId="328194B8" w14:textId="55540285">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Levine, S. and Prietula, M. (2014) ‘Open collaboration for innovation: Principles and performance’, </w:t>
      </w:r>
      <w:r w:rsidRPr="1512E119" w:rsidR="602DFAE1">
        <w:rPr>
          <w:rFonts w:ascii="Arial" w:hAnsi="Arial" w:eastAsia="Arial" w:cs="Arial"/>
          <w:i w:val="0"/>
          <w:iCs w:val="0"/>
          <w:noProof w:val="0"/>
          <w:sz w:val="22"/>
          <w:szCs w:val="22"/>
          <w:lang w:val="en-GB"/>
        </w:rPr>
        <w:t>arXiv</w:t>
      </w:r>
      <w:r w:rsidRPr="1512E119" w:rsidR="602DFAE1">
        <w:rPr>
          <w:rFonts w:ascii="Arial" w:hAnsi="Arial" w:eastAsia="Arial" w:cs="Arial"/>
          <w:i w:val="0"/>
          <w:iCs w:val="0"/>
          <w:noProof w:val="0"/>
          <w:sz w:val="22"/>
          <w:szCs w:val="22"/>
          <w:lang w:val="en-GB"/>
        </w:rPr>
        <w:t xml:space="preserve">. Available at: </w:t>
      </w:r>
      <w:hyperlink r:id="Rf68d1f795a3d4350">
        <w:r w:rsidRPr="1512E119" w:rsidR="602DFAE1">
          <w:rPr>
            <w:rStyle w:val="Hyperlink"/>
            <w:i w:val="0"/>
            <w:iCs w:val="0"/>
            <w:noProof w:val="0"/>
            <w:lang w:val="en-GB"/>
          </w:rPr>
          <w:t>https://arxiv.org/abs/cs/0611151</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2500362F" w14:textId="54C4DF9F">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Martin, E.C., Nolte, I. and Vitola, E. (2015) ‘Communication, cooperation, coordination, collaboration – the 4Cs’, </w:t>
      </w:r>
      <w:r w:rsidRPr="1512E119" w:rsidR="602DFAE1">
        <w:rPr>
          <w:rFonts w:ascii="Arial" w:hAnsi="Arial" w:eastAsia="Arial" w:cs="Arial"/>
          <w:i w:val="0"/>
          <w:iCs w:val="0"/>
          <w:noProof w:val="0"/>
          <w:sz w:val="22"/>
          <w:szCs w:val="22"/>
          <w:lang w:val="en-GB"/>
        </w:rPr>
        <w:t>Disasters</w:t>
      </w:r>
      <w:r w:rsidRPr="1512E119" w:rsidR="602DFAE1">
        <w:rPr>
          <w:rFonts w:ascii="Arial" w:hAnsi="Arial" w:eastAsia="Arial" w:cs="Arial"/>
          <w:i w:val="0"/>
          <w:iCs w:val="0"/>
          <w:noProof w:val="0"/>
          <w:sz w:val="22"/>
          <w:szCs w:val="22"/>
          <w:lang w:val="en-GB"/>
        </w:rPr>
        <w:t>, 39(3), pp. 512–533.</w:t>
      </w:r>
    </w:p>
    <w:p w:rsidR="602DFAE1" w:rsidP="1512E119" w:rsidRDefault="602DFAE1" w14:paraId="2B06B212" w14:textId="16891BE9">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Mitchell, R.K., Agle, B.R. and Wood, D.J. (1997) ‘Toward a theory of stakeholder identification and salience’, </w:t>
      </w:r>
      <w:r w:rsidRPr="1512E119" w:rsidR="602DFAE1">
        <w:rPr>
          <w:rFonts w:ascii="Arial" w:hAnsi="Arial" w:eastAsia="Arial" w:cs="Arial"/>
          <w:i w:val="0"/>
          <w:iCs w:val="0"/>
          <w:noProof w:val="0"/>
          <w:sz w:val="22"/>
          <w:szCs w:val="22"/>
          <w:lang w:val="en-GB"/>
        </w:rPr>
        <w:t>Academy of Management Review</w:t>
      </w:r>
      <w:r w:rsidRPr="1512E119" w:rsidR="602DFAE1">
        <w:rPr>
          <w:rFonts w:ascii="Arial" w:hAnsi="Arial" w:eastAsia="Arial" w:cs="Arial"/>
          <w:i w:val="0"/>
          <w:iCs w:val="0"/>
          <w:noProof w:val="0"/>
          <w:sz w:val="22"/>
          <w:szCs w:val="22"/>
          <w:lang w:val="en-GB"/>
        </w:rPr>
        <w:t>, 22(4), pp. 853–886.</w:t>
      </w:r>
    </w:p>
    <w:p w:rsidR="602DFAE1" w:rsidP="1512E119" w:rsidRDefault="602DFAE1" w14:paraId="7F732D6D" w14:textId="3E870193">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Munoz, R. (2022) ‘Economic pressures in consumer health innovation’, </w:t>
      </w:r>
      <w:r w:rsidRPr="1512E119" w:rsidR="602DFAE1">
        <w:rPr>
          <w:rFonts w:ascii="Arial" w:hAnsi="Arial" w:eastAsia="Arial" w:cs="Arial"/>
          <w:i w:val="0"/>
          <w:iCs w:val="0"/>
          <w:noProof w:val="0"/>
          <w:sz w:val="22"/>
          <w:szCs w:val="22"/>
          <w:lang w:val="en-GB"/>
        </w:rPr>
        <w:t>European Health Economics Journal</w:t>
      </w:r>
      <w:r w:rsidRPr="1512E119" w:rsidR="602DFAE1">
        <w:rPr>
          <w:rFonts w:ascii="Arial" w:hAnsi="Arial" w:eastAsia="Arial" w:cs="Arial"/>
          <w:i w:val="0"/>
          <w:iCs w:val="0"/>
          <w:noProof w:val="0"/>
          <w:sz w:val="22"/>
          <w:szCs w:val="22"/>
          <w:lang w:val="en-GB"/>
        </w:rPr>
        <w:t>, 7(2), pp. 110–125.</w:t>
      </w:r>
    </w:p>
    <w:p w:rsidR="602DFAE1" w:rsidP="1512E119" w:rsidRDefault="602DFAE1" w14:paraId="368E7CAA" w14:textId="4574CA4C">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The Guardian</w:t>
      </w:r>
      <w:r w:rsidRPr="1512E119" w:rsidR="602DFAE1">
        <w:rPr>
          <w:rFonts w:ascii="Arial" w:hAnsi="Arial" w:eastAsia="Arial" w:cs="Arial"/>
          <w:i w:val="0"/>
          <w:iCs w:val="0"/>
          <w:noProof w:val="0"/>
          <w:sz w:val="22"/>
          <w:szCs w:val="22"/>
          <w:lang w:val="en-GB"/>
        </w:rPr>
        <w:t xml:space="preserve"> (2025) ‘Smartwatches offer little insight into stress levels, researchers find’, 8 August. Available at: </w:t>
      </w:r>
      <w:hyperlink r:id="R969cc7d119c1412f">
        <w:r w:rsidRPr="1512E119" w:rsidR="602DFAE1">
          <w:rPr>
            <w:rStyle w:val="Hyperlink"/>
            <w:i w:val="0"/>
            <w:iCs w:val="0"/>
            <w:noProof w:val="0"/>
            <w:lang w:val="en-GB"/>
          </w:rPr>
          <w:t>https://www.theguardian.com/technology/2025/aug/08/smartwatches-offer-little-insight-into-stress-levels</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15540062" w14:textId="5BEC5084">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Tom’s Guide</w:t>
      </w:r>
      <w:r w:rsidRPr="1512E119" w:rsidR="602DFAE1">
        <w:rPr>
          <w:rFonts w:ascii="Arial" w:hAnsi="Arial" w:eastAsia="Arial" w:cs="Arial"/>
          <w:i w:val="0"/>
          <w:iCs w:val="0"/>
          <w:noProof w:val="0"/>
          <w:sz w:val="22"/>
          <w:szCs w:val="22"/>
          <w:lang w:val="en-GB"/>
        </w:rPr>
        <w:t xml:space="preserve"> (2025) ‘Apple Watch Ultra 2 beats Garmin in accuracy, study finds’, 28 August. Available at: </w:t>
      </w:r>
      <w:hyperlink r:id="R89ac079e11664945">
        <w:r w:rsidRPr="1512E119" w:rsidR="602DFAE1">
          <w:rPr>
            <w:rStyle w:val="Hyperlink"/>
            <w:i w:val="0"/>
            <w:iCs w:val="0"/>
            <w:noProof w:val="0"/>
            <w:lang w:val="en-GB"/>
          </w:rPr>
          <w:t>https://www.tomsguide.com</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6D7514FA" w14:textId="2EB0DC31">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Xames, M.D. and Topcu, T.G. (2025) ‘Stakeholder perspectives on digital twin implementation challenges in healthcare’, </w:t>
      </w:r>
      <w:r w:rsidRPr="1512E119" w:rsidR="602DFAE1">
        <w:rPr>
          <w:rFonts w:ascii="Arial" w:hAnsi="Arial" w:eastAsia="Arial" w:cs="Arial"/>
          <w:i w:val="0"/>
          <w:iCs w:val="0"/>
          <w:noProof w:val="0"/>
          <w:sz w:val="22"/>
          <w:szCs w:val="22"/>
          <w:lang w:val="en-GB"/>
        </w:rPr>
        <w:t>arXiv</w:t>
      </w:r>
      <w:r w:rsidRPr="1512E119" w:rsidR="602DFAE1">
        <w:rPr>
          <w:rFonts w:ascii="Arial" w:hAnsi="Arial" w:eastAsia="Arial" w:cs="Arial"/>
          <w:i w:val="0"/>
          <w:iCs w:val="0"/>
          <w:noProof w:val="0"/>
          <w:sz w:val="22"/>
          <w:szCs w:val="22"/>
          <w:lang w:val="en-GB"/>
        </w:rPr>
        <w:t xml:space="preserve">. Available at: </w:t>
      </w:r>
      <w:hyperlink r:id="R92cb7650f2294d25">
        <w:r w:rsidRPr="1512E119" w:rsidR="602DFAE1">
          <w:rPr>
            <w:rStyle w:val="Hyperlink"/>
            <w:i w:val="0"/>
            <w:iCs w:val="0"/>
            <w:noProof w:val="0"/>
            <w:lang w:val="en-GB"/>
          </w:rPr>
          <w:t>https://arxiv.org/abs/2508.00936</w:t>
        </w:r>
      </w:hyperlink>
      <w:r w:rsidRPr="1512E119" w:rsidR="602DFAE1">
        <w:rPr>
          <w:rFonts w:ascii="Arial" w:hAnsi="Arial" w:eastAsia="Arial" w:cs="Arial"/>
          <w:i w:val="0"/>
          <w:iCs w:val="0"/>
          <w:noProof w:val="0"/>
          <w:sz w:val="22"/>
          <w:szCs w:val="22"/>
          <w:lang w:val="en-GB"/>
        </w:rPr>
        <w:t xml:space="preserve"> (Accessed: 9 July 2026).</w:t>
      </w:r>
    </w:p>
    <w:p w:rsidR="602DFAE1" w:rsidP="1512E119" w:rsidRDefault="602DFAE1" w14:paraId="3AE8B80C" w14:textId="246D2042">
      <w:pPr>
        <w:rPr>
          <w:rFonts w:ascii="Arial" w:hAnsi="Arial" w:eastAsia="Arial" w:cs="Arial"/>
          <w:i w:val="0"/>
          <w:iCs w:val="0"/>
          <w:noProof w:val="0"/>
          <w:sz w:val="22"/>
          <w:szCs w:val="22"/>
          <w:lang w:val="en-GB"/>
        </w:rPr>
      </w:pPr>
      <w:r w:rsidRPr="1512E119" w:rsidR="602DFAE1">
        <w:rPr>
          <w:rFonts w:ascii="Arial" w:hAnsi="Arial" w:eastAsia="Arial" w:cs="Arial"/>
          <w:i w:val="0"/>
          <w:iCs w:val="0"/>
          <w:noProof w:val="0"/>
          <w:sz w:val="22"/>
          <w:szCs w:val="22"/>
          <w:lang w:val="en-GB"/>
        </w:rPr>
        <w:t xml:space="preserve">West, M. (2019) </w:t>
      </w:r>
      <w:r w:rsidRPr="1512E119" w:rsidR="602DFAE1">
        <w:rPr>
          <w:rFonts w:ascii="Arial" w:hAnsi="Arial" w:eastAsia="Arial" w:cs="Arial"/>
          <w:i w:val="0"/>
          <w:iCs w:val="0"/>
          <w:noProof w:val="0"/>
          <w:sz w:val="22"/>
          <w:szCs w:val="22"/>
          <w:lang w:val="en-GB"/>
        </w:rPr>
        <w:t>Collaborative Teamwork in Organisations</w:t>
      </w:r>
      <w:r w:rsidRPr="1512E119" w:rsidR="602DFAE1">
        <w:rPr>
          <w:rFonts w:ascii="Arial" w:hAnsi="Arial" w:eastAsia="Arial" w:cs="Arial"/>
          <w:i w:val="0"/>
          <w:iCs w:val="0"/>
          <w:noProof w:val="0"/>
          <w:sz w:val="22"/>
          <w:szCs w:val="22"/>
          <w:lang w:val="en-GB"/>
        </w:rPr>
        <w:t>. 2nd edn. Oxford: Oxford University Press.</w:t>
      </w:r>
    </w:p>
    <w:p w:rsidR="1512E119" w:rsidP="1512E119" w:rsidRDefault="1512E119" w14:paraId="18954A43" w14:textId="53418E45">
      <w:pPr>
        <w:rPr>
          <w:rFonts w:ascii="Arial" w:hAnsi="Arial" w:cs="Arial"/>
          <w:b w:val="1"/>
          <w:bCs w:val="1"/>
          <w:i w:val="0"/>
          <w:iCs w:val="0"/>
          <w:sz w:val="22"/>
          <w:szCs w:val="22"/>
        </w:rPr>
      </w:pPr>
    </w:p>
    <w:p w:rsidRPr="00442E86" w:rsidR="00B3661F" w:rsidRDefault="00B3661F" w14:paraId="3B59759F" w14:textId="77777777">
      <w:pPr>
        <w:rPr>
          <w:rFonts w:ascii="Arial" w:hAnsi="Arial" w:cs="Arial"/>
          <w:sz w:val="22"/>
          <w:szCs w:val="22"/>
        </w:rPr>
      </w:pPr>
    </w:p>
    <w:sectPr w:rsidRPr="00442E86" w:rsidR="00B3661F" w:rsidSect="002F60C1">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4465"/>
    <w:multiLevelType w:val="multilevel"/>
    <w:tmpl w:val="54F001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4D7544E"/>
    <w:multiLevelType w:val="multilevel"/>
    <w:tmpl w:val="DE34FC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81D6C5A"/>
    <w:multiLevelType w:val="multilevel"/>
    <w:tmpl w:val="32A2BA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8420F43"/>
    <w:multiLevelType w:val="multilevel"/>
    <w:tmpl w:val="56D8F9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CCE5AB6"/>
    <w:multiLevelType w:val="multilevel"/>
    <w:tmpl w:val="A30A2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AF70F5"/>
    <w:multiLevelType w:val="multilevel"/>
    <w:tmpl w:val="817037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3455F14"/>
    <w:multiLevelType w:val="multilevel"/>
    <w:tmpl w:val="B50073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EAE3397"/>
    <w:multiLevelType w:val="multilevel"/>
    <w:tmpl w:val="D9BEF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FD7AFA"/>
    <w:multiLevelType w:val="multilevel"/>
    <w:tmpl w:val="2C60A9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C27715B"/>
    <w:multiLevelType w:val="multilevel"/>
    <w:tmpl w:val="036223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FB658A7"/>
    <w:multiLevelType w:val="multilevel"/>
    <w:tmpl w:val="7B3653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2933F28"/>
    <w:multiLevelType w:val="multilevel"/>
    <w:tmpl w:val="2214CE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7641DCA"/>
    <w:multiLevelType w:val="multilevel"/>
    <w:tmpl w:val="FE26C5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D700E4C"/>
    <w:multiLevelType w:val="multilevel"/>
    <w:tmpl w:val="62C238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E8B6863"/>
    <w:multiLevelType w:val="multilevel"/>
    <w:tmpl w:val="D8A820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32B678F"/>
    <w:multiLevelType w:val="multilevel"/>
    <w:tmpl w:val="6436CB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6036CD4"/>
    <w:multiLevelType w:val="multilevel"/>
    <w:tmpl w:val="AA620A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65B048B"/>
    <w:multiLevelType w:val="multilevel"/>
    <w:tmpl w:val="F1669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9BA5BA6"/>
    <w:multiLevelType w:val="multilevel"/>
    <w:tmpl w:val="841228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AFE62E1"/>
    <w:multiLevelType w:val="multilevel"/>
    <w:tmpl w:val="35EAB9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D535A84"/>
    <w:multiLevelType w:val="multilevel"/>
    <w:tmpl w:val="A49A33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DDF42F4"/>
    <w:multiLevelType w:val="multilevel"/>
    <w:tmpl w:val="8182FD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E47651B"/>
    <w:multiLevelType w:val="multilevel"/>
    <w:tmpl w:val="01509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730E9B"/>
    <w:multiLevelType w:val="multilevel"/>
    <w:tmpl w:val="ED789C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6EEB03CD"/>
    <w:multiLevelType w:val="multilevel"/>
    <w:tmpl w:val="1E9C8E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78022DF5"/>
    <w:multiLevelType w:val="multilevel"/>
    <w:tmpl w:val="802C96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9B85362"/>
    <w:multiLevelType w:val="multilevel"/>
    <w:tmpl w:val="557CD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97394E"/>
    <w:multiLevelType w:val="multilevel"/>
    <w:tmpl w:val="36584E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FEF4099"/>
    <w:multiLevelType w:val="multilevel"/>
    <w:tmpl w:val="C87A6D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40603067">
    <w:abstractNumId w:val="1"/>
  </w:num>
  <w:num w:numId="2" w16cid:durableId="1398161117">
    <w:abstractNumId w:val="14"/>
  </w:num>
  <w:num w:numId="3" w16cid:durableId="649868349">
    <w:abstractNumId w:val="16"/>
  </w:num>
  <w:num w:numId="4" w16cid:durableId="921182493">
    <w:abstractNumId w:val="13"/>
  </w:num>
  <w:num w:numId="5" w16cid:durableId="245261311">
    <w:abstractNumId w:val="2"/>
  </w:num>
  <w:num w:numId="6" w16cid:durableId="1097562837">
    <w:abstractNumId w:val="22"/>
  </w:num>
  <w:num w:numId="7" w16cid:durableId="629869157">
    <w:abstractNumId w:val="4"/>
  </w:num>
  <w:num w:numId="8" w16cid:durableId="928538271">
    <w:abstractNumId w:val="0"/>
  </w:num>
  <w:num w:numId="9" w16cid:durableId="1284579896">
    <w:abstractNumId w:val="10"/>
  </w:num>
  <w:num w:numId="10" w16cid:durableId="1338195549">
    <w:abstractNumId w:val="21"/>
  </w:num>
  <w:num w:numId="11" w16cid:durableId="219441442">
    <w:abstractNumId w:val="12"/>
  </w:num>
  <w:num w:numId="12" w16cid:durableId="1455560936">
    <w:abstractNumId w:val="6"/>
  </w:num>
  <w:num w:numId="13" w16cid:durableId="1220360864">
    <w:abstractNumId w:val="11"/>
  </w:num>
  <w:num w:numId="14" w16cid:durableId="1771925680">
    <w:abstractNumId w:val="15"/>
  </w:num>
  <w:num w:numId="15" w16cid:durableId="1634290293">
    <w:abstractNumId w:val="18"/>
  </w:num>
  <w:num w:numId="16" w16cid:durableId="223764681">
    <w:abstractNumId w:val="8"/>
  </w:num>
  <w:num w:numId="17" w16cid:durableId="1637374304">
    <w:abstractNumId w:val="9"/>
  </w:num>
  <w:num w:numId="18" w16cid:durableId="985620398">
    <w:abstractNumId w:val="24"/>
  </w:num>
  <w:num w:numId="19" w16cid:durableId="1123773546">
    <w:abstractNumId w:val="20"/>
  </w:num>
  <w:num w:numId="20" w16cid:durableId="1463231415">
    <w:abstractNumId w:val="25"/>
  </w:num>
  <w:num w:numId="21" w16cid:durableId="1687781090">
    <w:abstractNumId w:val="17"/>
  </w:num>
  <w:num w:numId="22" w16cid:durableId="1688435450">
    <w:abstractNumId w:val="28"/>
  </w:num>
  <w:num w:numId="23" w16cid:durableId="256408620">
    <w:abstractNumId w:val="7"/>
  </w:num>
  <w:num w:numId="24" w16cid:durableId="216555543">
    <w:abstractNumId w:val="19"/>
  </w:num>
  <w:num w:numId="25" w16cid:durableId="979265838">
    <w:abstractNumId w:val="26"/>
  </w:num>
  <w:num w:numId="26" w16cid:durableId="1755319746">
    <w:abstractNumId w:val="23"/>
  </w:num>
  <w:num w:numId="27" w16cid:durableId="644510444">
    <w:abstractNumId w:val="27"/>
  </w:num>
  <w:num w:numId="28" w16cid:durableId="953712465">
    <w:abstractNumId w:val="5"/>
  </w:num>
  <w:num w:numId="29" w16cid:durableId="649480643">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606"/>
    <w:rsid w:val="000F0395"/>
    <w:rsid w:val="00143606"/>
    <w:rsid w:val="001A0F62"/>
    <w:rsid w:val="001B182C"/>
    <w:rsid w:val="001E5CDA"/>
    <w:rsid w:val="00281AD6"/>
    <w:rsid w:val="002B6357"/>
    <w:rsid w:val="002B6A17"/>
    <w:rsid w:val="002E039F"/>
    <w:rsid w:val="002F60C1"/>
    <w:rsid w:val="00307E78"/>
    <w:rsid w:val="00374AD0"/>
    <w:rsid w:val="004168B3"/>
    <w:rsid w:val="00440B35"/>
    <w:rsid w:val="00442E86"/>
    <w:rsid w:val="004C65C7"/>
    <w:rsid w:val="005414EC"/>
    <w:rsid w:val="00547E71"/>
    <w:rsid w:val="005561B0"/>
    <w:rsid w:val="00592A98"/>
    <w:rsid w:val="005B0605"/>
    <w:rsid w:val="00611352"/>
    <w:rsid w:val="00697349"/>
    <w:rsid w:val="006B190F"/>
    <w:rsid w:val="006F128D"/>
    <w:rsid w:val="007D7716"/>
    <w:rsid w:val="008A349C"/>
    <w:rsid w:val="008C2025"/>
    <w:rsid w:val="0099662D"/>
    <w:rsid w:val="009D44B2"/>
    <w:rsid w:val="00AB77CF"/>
    <w:rsid w:val="00AD1FFF"/>
    <w:rsid w:val="00AD47C6"/>
    <w:rsid w:val="00B3661F"/>
    <w:rsid w:val="00B81F30"/>
    <w:rsid w:val="00B939B2"/>
    <w:rsid w:val="00BA0D9B"/>
    <w:rsid w:val="00BA5F41"/>
    <w:rsid w:val="00BD61B2"/>
    <w:rsid w:val="00C10A1E"/>
    <w:rsid w:val="00C9331E"/>
    <w:rsid w:val="00CA4FE4"/>
    <w:rsid w:val="00D969FD"/>
    <w:rsid w:val="00DA33DC"/>
    <w:rsid w:val="00DA5EF3"/>
    <w:rsid w:val="00DC6437"/>
    <w:rsid w:val="00DC7CF7"/>
    <w:rsid w:val="00DD3604"/>
    <w:rsid w:val="00E17348"/>
    <w:rsid w:val="00E20C44"/>
    <w:rsid w:val="00E6246B"/>
    <w:rsid w:val="00E718C1"/>
    <w:rsid w:val="00E773E9"/>
    <w:rsid w:val="00EE5163"/>
    <w:rsid w:val="03F80886"/>
    <w:rsid w:val="0471FAC9"/>
    <w:rsid w:val="0975778F"/>
    <w:rsid w:val="098F7D7D"/>
    <w:rsid w:val="0A1C8ABA"/>
    <w:rsid w:val="0A363626"/>
    <w:rsid w:val="0ACC6A49"/>
    <w:rsid w:val="0D4212B2"/>
    <w:rsid w:val="0DF0BA4E"/>
    <w:rsid w:val="0E3FDB11"/>
    <w:rsid w:val="0E93C51F"/>
    <w:rsid w:val="102181E6"/>
    <w:rsid w:val="1512E119"/>
    <w:rsid w:val="16690156"/>
    <w:rsid w:val="17BF844C"/>
    <w:rsid w:val="1AD20F7C"/>
    <w:rsid w:val="1C868E47"/>
    <w:rsid w:val="1D0DD725"/>
    <w:rsid w:val="2A67CB92"/>
    <w:rsid w:val="2AE7886F"/>
    <w:rsid w:val="2B66BCDA"/>
    <w:rsid w:val="2DC1F688"/>
    <w:rsid w:val="2E57CD87"/>
    <w:rsid w:val="303FDE2A"/>
    <w:rsid w:val="30DF1FC3"/>
    <w:rsid w:val="3183DD66"/>
    <w:rsid w:val="326459BD"/>
    <w:rsid w:val="33B70A7E"/>
    <w:rsid w:val="3619B76B"/>
    <w:rsid w:val="363DF450"/>
    <w:rsid w:val="420F6CE1"/>
    <w:rsid w:val="422D534F"/>
    <w:rsid w:val="427AB243"/>
    <w:rsid w:val="4489D7AF"/>
    <w:rsid w:val="44CD8003"/>
    <w:rsid w:val="44D1DCAB"/>
    <w:rsid w:val="4AC9E258"/>
    <w:rsid w:val="4E452952"/>
    <w:rsid w:val="50FBC63A"/>
    <w:rsid w:val="593F7034"/>
    <w:rsid w:val="59F919B1"/>
    <w:rsid w:val="5D2E438A"/>
    <w:rsid w:val="5EDC3B72"/>
    <w:rsid w:val="602DFAE1"/>
    <w:rsid w:val="6081C929"/>
    <w:rsid w:val="6109490E"/>
    <w:rsid w:val="61ECE2B2"/>
    <w:rsid w:val="6525048E"/>
    <w:rsid w:val="66B2ECFF"/>
    <w:rsid w:val="69A6FF4F"/>
    <w:rsid w:val="6CAECFE3"/>
    <w:rsid w:val="6F29ECF1"/>
    <w:rsid w:val="78EF429F"/>
    <w:rsid w:val="7D5229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5549A"/>
  <w15:chartTrackingRefBased/>
  <w15:docId w15:val="{671A1E82-8E02-494D-84F4-E9334BB761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4360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360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36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36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6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6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6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6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60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4360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4360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4360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4360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4360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4360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4360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4360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43606"/>
    <w:rPr>
      <w:rFonts w:eastAsiaTheme="majorEastAsia" w:cstheme="majorBidi"/>
      <w:color w:val="272727" w:themeColor="text1" w:themeTint="D8"/>
    </w:rPr>
  </w:style>
  <w:style w:type="paragraph" w:styleId="Title">
    <w:name w:val="Title"/>
    <w:basedOn w:val="Normal"/>
    <w:next w:val="Normal"/>
    <w:link w:val="TitleChar"/>
    <w:uiPriority w:val="10"/>
    <w:qFormat/>
    <w:rsid w:val="0014360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4360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4360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436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606"/>
    <w:pPr>
      <w:spacing w:before="160"/>
      <w:jc w:val="center"/>
    </w:pPr>
    <w:rPr>
      <w:i/>
      <w:iCs/>
      <w:color w:val="404040" w:themeColor="text1" w:themeTint="BF"/>
    </w:rPr>
  </w:style>
  <w:style w:type="character" w:styleId="QuoteChar" w:customStyle="1">
    <w:name w:val="Quote Char"/>
    <w:basedOn w:val="DefaultParagraphFont"/>
    <w:link w:val="Quote"/>
    <w:uiPriority w:val="29"/>
    <w:rsid w:val="00143606"/>
    <w:rPr>
      <w:i/>
      <w:iCs/>
      <w:color w:val="404040" w:themeColor="text1" w:themeTint="BF"/>
    </w:rPr>
  </w:style>
  <w:style w:type="paragraph" w:styleId="ListParagraph">
    <w:name w:val="List Paragraph"/>
    <w:basedOn w:val="Normal"/>
    <w:uiPriority w:val="34"/>
    <w:qFormat/>
    <w:rsid w:val="00143606"/>
    <w:pPr>
      <w:ind w:left="720"/>
      <w:contextualSpacing/>
    </w:pPr>
  </w:style>
  <w:style w:type="character" w:styleId="IntenseEmphasis">
    <w:name w:val="Intense Emphasis"/>
    <w:basedOn w:val="DefaultParagraphFont"/>
    <w:uiPriority w:val="21"/>
    <w:qFormat/>
    <w:rsid w:val="00143606"/>
    <w:rPr>
      <w:i/>
      <w:iCs/>
      <w:color w:val="0F4761" w:themeColor="accent1" w:themeShade="BF"/>
    </w:rPr>
  </w:style>
  <w:style w:type="paragraph" w:styleId="IntenseQuote">
    <w:name w:val="Intense Quote"/>
    <w:basedOn w:val="Normal"/>
    <w:next w:val="Normal"/>
    <w:link w:val="IntenseQuoteChar"/>
    <w:uiPriority w:val="30"/>
    <w:qFormat/>
    <w:rsid w:val="0014360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43606"/>
    <w:rPr>
      <w:i/>
      <w:iCs/>
      <w:color w:val="0F4761" w:themeColor="accent1" w:themeShade="BF"/>
    </w:rPr>
  </w:style>
  <w:style w:type="character" w:styleId="IntenseReference">
    <w:name w:val="Intense Reference"/>
    <w:basedOn w:val="DefaultParagraphFont"/>
    <w:uiPriority w:val="32"/>
    <w:qFormat/>
    <w:rsid w:val="00143606"/>
    <w:rPr>
      <w:b/>
      <w:bCs/>
      <w:smallCaps/>
      <w:color w:val="0F4761" w:themeColor="accent1" w:themeShade="BF"/>
      <w:spacing w:val="5"/>
    </w:rPr>
  </w:style>
  <w:style w:type="paragraph" w:styleId="NoSpacing">
    <w:name w:val="No Spacing"/>
    <w:link w:val="NoSpacingChar"/>
    <w:uiPriority w:val="1"/>
    <w:qFormat/>
    <w:rsid w:val="006F128D"/>
    <w:pPr>
      <w:spacing w:after="0" w:line="240" w:lineRule="auto"/>
    </w:pPr>
    <w:rPr>
      <w:kern w:val="0"/>
      <w:sz w:val="22"/>
      <w:szCs w:val="22"/>
      <w14:ligatures w14:val="none"/>
    </w:rPr>
  </w:style>
  <w:style w:type="character" w:styleId="NoSpacingChar" w:customStyle="1">
    <w:name w:val="No Spacing Char"/>
    <w:basedOn w:val="DefaultParagraphFont"/>
    <w:link w:val="NoSpacing"/>
    <w:uiPriority w:val="1"/>
    <w:rsid w:val="006F128D"/>
    <w:rPr>
      <w:kern w:val="0"/>
      <w:sz w:val="22"/>
      <w:szCs w:val="22"/>
      <w14:ligatures w14:val="none"/>
    </w:rPr>
  </w:style>
  <w:style w:type="character" w:styleId="Hyperlink">
    <w:name w:val="Hyperlink"/>
    <w:basedOn w:val="DefaultParagraphFont"/>
    <w:uiPriority w:val="99"/>
    <w:unhideWhenUsed/>
    <w:rsid w:val="00CA4FE4"/>
    <w:rPr>
      <w:color w:val="467886" w:themeColor="hyperlink"/>
      <w:u w:val="single"/>
    </w:rPr>
  </w:style>
  <w:style w:type="character" w:styleId="UnresolvedMention">
    <w:name w:val="Unresolved Mention"/>
    <w:basedOn w:val="DefaultParagraphFont"/>
    <w:uiPriority w:val="99"/>
    <w:semiHidden/>
    <w:unhideWhenUsed/>
    <w:rsid w:val="00CA4FE4"/>
    <w:rPr>
      <w:color w:val="605E5C"/>
      <w:shd w:val="clear" w:color="auto" w:fill="E1DFDD"/>
    </w:rPr>
  </w:style>
  <w:style w:type="character" w:styleId="SubtleEmphasis">
    <w:name w:val="Subtle Emphasis"/>
    <w:basedOn w:val="DefaultParagraphFont"/>
    <w:uiPriority w:val="19"/>
    <w:qFormat/>
    <w:rsid w:val="00DA33D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numbering" Target="numbering.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 Type="http://schemas.openxmlformats.org/officeDocument/2006/relationships/hyperlink" Target="https://arxiv.org/abs/2409.05019" TargetMode="External" Id="R4ee77e4ab3ed4c86" /><Relationship Type="http://schemas.openxmlformats.org/officeDocument/2006/relationships/hyperlink" Target="https://arxiv.org/abs/cs/061115" TargetMode="External" Id="Rbb4ea8c0295846e5" /><Relationship Type="http://schemas.openxmlformats.org/officeDocument/2006/relationships/hyperlink" Target="https://www.digitimes.com/news/a20231020PD207/" TargetMode="External" Id="R53c6e84920434775" /><Relationship Type="http://schemas.openxmlformats.org/officeDocument/2006/relationships/hyperlink" Target="https://www.futuresource-consulting.com/" TargetMode="External" Id="R76f976dcd91b4def" /><Relationship Type="http://schemas.openxmlformats.org/officeDocument/2006/relationships/hyperlink" Target="https://www8.garmin.com/sustainability/reports-policies/corp-responsibility" TargetMode="External" Id="Rfc7357a0c6c14555" /><Relationship Type="http://schemas.openxmlformats.org/officeDocument/2006/relationships/hyperlink" Target="https://www8.garmin.com/sustainability/reports-policies/conflict-minerals" TargetMode="External" Id="R107557a16ef64cb8" /><Relationship Type="http://schemas.openxmlformats.org/officeDocument/2006/relationships/hyperlink" Target="https://www.grandviewresearch.com/press-release/uk-wearable-medical-devices-market-analysis" TargetMode="External" Id="Rbadaf86f83d44c68" /><Relationship Type="http://schemas.openxmlformats.org/officeDocument/2006/relationships/hyperlink" Target="https://industrytoday.co.uk/electrical/fitness-tracker-market-2025-2035-cagr-1058" TargetMode="External" Id="Ra1fbabb3d81a4a75" /><Relationship Type="http://schemas.openxmlformats.org/officeDocument/2006/relationships/hyperlink" Target="https://industrytoday.co.uk/electrical/outdoor-smart-watch-market-2024-2032-driven-by-fitness-and-innovation" TargetMode="External" Id="R76d79e79b5474b92" /><Relationship Type="http://schemas.openxmlformats.org/officeDocument/2006/relationships/hyperlink" Target="https://arxiv.org/abs/cs/0611151" TargetMode="External" Id="Rf68d1f795a3d4350" /><Relationship Type="http://schemas.openxmlformats.org/officeDocument/2006/relationships/hyperlink" Target="https://www.theguardian.com/technology/2025/aug/08/smartwatches-offer-little-insight-into-stress-levels" TargetMode="External" Id="R969cc7d119c1412f" /><Relationship Type="http://schemas.openxmlformats.org/officeDocument/2006/relationships/hyperlink" Target="https://www.tomsguide.com/" TargetMode="External" Id="R89ac079e11664945" /><Relationship Type="http://schemas.openxmlformats.org/officeDocument/2006/relationships/hyperlink" Target="https://arxiv.org/abs/2508.00936" TargetMode="External" Id="R92cb7650f2294d2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3C1209-962E-4883-B09B-9C8A952C3C2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2333845@Student.uwtsd.ac.uk</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Understanding and Engaging Stakeholders (LCLM5001)</dc:title>
  <dc:subject>Lecturer Name: Eric Osei</dc:subject>
  <dc:creator>Muhib Akbar (2333845)</dc:creator>
  <keywords/>
  <dc:description/>
  <lastModifiedBy>Muhib Akbar (2333845)</lastModifiedBy>
  <revision>54</revision>
  <dcterms:created xsi:type="dcterms:W3CDTF">2025-11-16T10:29:00.0000000Z</dcterms:created>
  <dcterms:modified xsi:type="dcterms:W3CDTF">2026-07-09T13:03:21.3454647Z</dcterms:modified>
</coreProperties>
</file>