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1924" w:rsidRPr="004B1142" w:rsidRDefault="005F1924" w:rsidP="005F1924">
      <w:pPr>
        <w:jc w:val="center"/>
        <w:rPr>
          <w:rFonts w:cstheme="minorHAnsi"/>
          <w:b/>
        </w:rPr>
      </w:pPr>
      <w:bookmarkStart w:id="0" w:name="_GoBack"/>
      <w:bookmarkEnd w:id="0"/>
      <w:r w:rsidRPr="004B1142">
        <w:rPr>
          <w:rFonts w:cstheme="minorHAnsi"/>
          <w:b/>
        </w:rPr>
        <w:t xml:space="preserve">Chapter summary. </w:t>
      </w:r>
    </w:p>
    <w:p w:rsidR="005F1924" w:rsidRPr="004B1142" w:rsidRDefault="005F1924" w:rsidP="005F1924">
      <w:pPr>
        <w:jc w:val="center"/>
        <w:rPr>
          <w:rFonts w:cstheme="minorHAnsi"/>
          <w:b/>
        </w:rPr>
      </w:pPr>
      <w:r w:rsidRPr="004B1142">
        <w:rPr>
          <w:rFonts w:cstheme="minorHAnsi"/>
          <w:b/>
        </w:rPr>
        <w:t>Richard Gross</w:t>
      </w:r>
    </w:p>
    <w:p w:rsidR="005F1924" w:rsidRPr="004B1142" w:rsidRDefault="005F1924" w:rsidP="005F1924">
      <w:pPr>
        <w:jc w:val="center"/>
        <w:rPr>
          <w:rFonts w:cstheme="minorHAnsi"/>
          <w:b/>
        </w:rPr>
      </w:pPr>
      <w:r w:rsidRPr="004B1142">
        <w:rPr>
          <w:rFonts w:cstheme="minorHAnsi"/>
          <w:b/>
        </w:rPr>
        <w:t>2010</w:t>
      </w:r>
    </w:p>
    <w:p w:rsidR="005F1924" w:rsidRPr="004B1142" w:rsidRDefault="005F1924" w:rsidP="005F1924">
      <w:pPr>
        <w:jc w:val="center"/>
        <w:rPr>
          <w:rFonts w:cstheme="minorHAnsi"/>
          <w:b/>
        </w:rPr>
      </w:pPr>
      <w:r w:rsidRPr="004B1142">
        <w:rPr>
          <w:rFonts w:cstheme="minorHAnsi"/>
          <w:b/>
        </w:rPr>
        <w:t>Psychology: The science of mind and behaviour.</w:t>
      </w:r>
    </w:p>
    <w:p w:rsidR="005F1924" w:rsidRPr="004B1142" w:rsidRDefault="005F1924" w:rsidP="005F1924">
      <w:pPr>
        <w:jc w:val="center"/>
        <w:rPr>
          <w:rFonts w:cstheme="minorHAnsi"/>
          <w:b/>
        </w:rPr>
      </w:pPr>
      <w:r w:rsidRPr="004B1142">
        <w:rPr>
          <w:rFonts w:cstheme="minorHAnsi"/>
          <w:b/>
        </w:rPr>
        <w:t>Chapter 37: Adolescence.</w:t>
      </w:r>
    </w:p>
    <w:p w:rsidR="005F1924" w:rsidRPr="004B1142" w:rsidRDefault="005F1924" w:rsidP="005F1924">
      <w:pPr>
        <w:spacing w:after="240" w:line="240" w:lineRule="auto"/>
        <w:rPr>
          <w:rFonts w:eastAsia="Times New Roman" w:cstheme="minorHAnsi"/>
          <w:color w:val="000000"/>
          <w:lang w:eastAsia="en-GB"/>
        </w:rPr>
      </w:pPr>
    </w:p>
    <w:p w:rsidR="005F1924" w:rsidRPr="004B1142" w:rsidRDefault="005F1924" w:rsidP="00E62679">
      <w:pPr>
        <w:spacing w:after="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The term adolescence </w:t>
      </w:r>
      <w:r w:rsidRPr="00ED45E6">
        <w:rPr>
          <w:rFonts w:eastAsia="Times New Roman" w:cstheme="minorHAnsi"/>
          <w:noProof/>
          <w:color w:val="000000"/>
          <w:lang w:eastAsia="en-GB"/>
        </w:rPr>
        <w:t>is derived</w:t>
      </w:r>
      <w:r w:rsidRPr="004B1142">
        <w:rPr>
          <w:rFonts w:eastAsia="Times New Roman" w:cstheme="minorHAnsi"/>
          <w:color w:val="000000"/>
          <w:lang w:eastAsia="en-GB"/>
        </w:rPr>
        <w:t xml:space="preserve"> from </w:t>
      </w:r>
      <w:r w:rsidRPr="00ED45E6">
        <w:rPr>
          <w:rFonts w:eastAsia="Times New Roman" w:cstheme="minorHAnsi"/>
          <w:noProof/>
          <w:color w:val="000000"/>
          <w:lang w:eastAsia="en-GB"/>
        </w:rPr>
        <w:t>adolescere</w:t>
      </w:r>
      <w:r w:rsidRPr="004B1142">
        <w:rPr>
          <w:rFonts w:eastAsia="Times New Roman" w:cstheme="minorHAnsi"/>
          <w:color w:val="000000"/>
          <w:lang w:eastAsia="en-GB"/>
        </w:rPr>
        <w:t xml:space="preserve">, a Latin word meaning growing to become mature (p. 576). </w:t>
      </w:r>
      <w:r w:rsidRPr="00ED45E6">
        <w:rPr>
          <w:rFonts w:eastAsia="Times New Roman" w:cstheme="minorHAnsi"/>
          <w:noProof/>
          <w:color w:val="000000"/>
          <w:lang w:eastAsia="en-GB"/>
        </w:rPr>
        <w:t>Adolescence</w:t>
      </w:r>
      <w:r w:rsidRPr="004B1142">
        <w:rPr>
          <w:rFonts w:eastAsia="Times New Roman" w:cstheme="minorHAnsi"/>
          <w:color w:val="000000"/>
          <w:lang w:eastAsia="en-GB"/>
        </w:rPr>
        <w:t xml:space="preserve"> is a period of enormous physiological and behavioural changes, historically taken to be </w:t>
      </w:r>
      <w:r w:rsidRPr="004B1142">
        <w:rPr>
          <w:rFonts w:eastAsia="Times New Roman" w:cstheme="minorHAnsi"/>
          <w:noProof/>
          <w:color w:val="000000"/>
          <w:lang w:eastAsia="en-GB"/>
        </w:rPr>
        <w:t>the period of transition between childhood and adulthood.</w:t>
      </w:r>
      <w:r w:rsidRPr="004B1142">
        <w:rPr>
          <w:rFonts w:eastAsia="Times New Roman" w:cstheme="minorHAnsi"/>
          <w:color w:val="000000"/>
          <w:lang w:eastAsia="en-GB"/>
        </w:rPr>
        <w:t xml:space="preserve"> It is also a period marked by changes in relationships and expectations (p. 577). In industrialised societies, rites to mark this, </w:t>
      </w:r>
      <w:r w:rsidRPr="004B1142">
        <w:rPr>
          <w:rFonts w:eastAsia="Times New Roman" w:cstheme="minorHAnsi"/>
          <w:noProof/>
          <w:color w:val="000000"/>
          <w:lang w:eastAsia="en-GB"/>
        </w:rPr>
        <w:t>generally</w:t>
      </w:r>
      <w:r w:rsidRPr="004B1142">
        <w:rPr>
          <w:rFonts w:eastAsia="Times New Roman" w:cstheme="minorHAnsi"/>
          <w:color w:val="000000"/>
          <w:lang w:eastAsia="en-GB"/>
        </w:rPr>
        <w:t xml:space="preserve"> do not exist, unlike in traditional </w:t>
      </w:r>
      <w:r w:rsidRPr="00ED45E6">
        <w:rPr>
          <w:rFonts w:eastAsia="Times New Roman" w:cstheme="minorHAnsi"/>
          <w:noProof/>
          <w:color w:val="000000"/>
          <w:lang w:eastAsia="en-GB"/>
        </w:rPr>
        <w:t>societies</w:t>
      </w:r>
      <w:r w:rsidRPr="004B1142">
        <w:rPr>
          <w:rFonts w:eastAsia="Times New Roman" w:cstheme="minorHAnsi"/>
          <w:color w:val="000000"/>
          <w:lang w:eastAsia="en-GB"/>
        </w:rPr>
        <w:t xml:space="preserve"> where it </w:t>
      </w:r>
      <w:r w:rsidRPr="004B1142">
        <w:rPr>
          <w:rFonts w:eastAsia="Times New Roman" w:cstheme="minorHAnsi"/>
          <w:noProof/>
          <w:color w:val="000000"/>
          <w:lang w:eastAsia="en-GB"/>
        </w:rPr>
        <w:t>is characterised</w:t>
      </w:r>
      <w:r w:rsidRPr="004B1142">
        <w:rPr>
          <w:rFonts w:eastAsia="Times New Roman" w:cstheme="minorHAnsi"/>
          <w:color w:val="000000"/>
          <w:lang w:eastAsia="en-GB"/>
        </w:rPr>
        <w:t xml:space="preserve"> by </w:t>
      </w:r>
      <w:r w:rsidRPr="004B1142">
        <w:rPr>
          <w:rFonts w:eastAsia="Times New Roman" w:cstheme="minorHAnsi"/>
          <w:noProof/>
          <w:color w:val="000000"/>
          <w:lang w:eastAsia="en-GB"/>
        </w:rPr>
        <w:t>rituals</w:t>
      </w:r>
      <w:r w:rsidRPr="004B1142">
        <w:rPr>
          <w:rFonts w:eastAsia="Times New Roman" w:cstheme="minorHAnsi"/>
          <w:color w:val="000000"/>
          <w:lang w:eastAsia="en-GB"/>
        </w:rPr>
        <w:t>, like circumcision (Hendry and Kloep, 1999), a</w:t>
      </w:r>
      <w:r w:rsidRPr="004B1142">
        <w:rPr>
          <w:rFonts w:eastAsia="Times New Roman" w:cstheme="minorHAnsi"/>
          <w:noProof/>
          <w:color w:val="000000"/>
          <w:lang w:eastAsia="en-GB"/>
        </w:rPr>
        <w:t>s cited by Gross.</w:t>
      </w:r>
    </w:p>
    <w:p w:rsidR="00D03A2C" w:rsidRPr="004B1142" w:rsidRDefault="005F1924" w:rsidP="00E62679">
      <w:pPr>
        <w:spacing w:after="0" w:line="240" w:lineRule="auto"/>
        <w:rPr>
          <w:rFonts w:eastAsia="Times New Roman" w:cstheme="minorHAnsi"/>
          <w:noProof/>
          <w:color w:val="000000"/>
          <w:lang w:eastAsia="en-GB"/>
        </w:rPr>
      </w:pPr>
      <w:r w:rsidRPr="004B1142">
        <w:rPr>
          <w:rFonts w:eastAsia="Times New Roman" w:cstheme="minorHAnsi"/>
          <w:color w:val="000000"/>
          <w:lang w:eastAsia="en-GB"/>
        </w:rPr>
        <w:br/>
      </w:r>
      <w:r w:rsidR="00E62679">
        <w:rPr>
          <w:rFonts w:eastAsia="Times New Roman" w:cstheme="minorHAnsi"/>
          <w:color w:val="000000"/>
          <w:lang w:eastAsia="en-GB"/>
        </w:rPr>
        <w:t xml:space="preserve"> </w:t>
      </w:r>
      <w:r w:rsidR="00E62679">
        <w:rPr>
          <w:rFonts w:eastAsia="Times New Roman" w:cstheme="minorHAnsi"/>
          <w:color w:val="000000"/>
          <w:lang w:eastAsia="en-GB"/>
        </w:rPr>
        <w:tab/>
      </w:r>
      <w:r w:rsidRPr="004B1142">
        <w:rPr>
          <w:rFonts w:eastAsia="Times New Roman" w:cstheme="minorHAnsi"/>
          <w:color w:val="000000"/>
          <w:lang w:eastAsia="en-GB"/>
        </w:rPr>
        <w:t>The shifts experienced by adolescents, in transition</w:t>
      </w:r>
      <w:r w:rsidRPr="004B1142">
        <w:rPr>
          <w:rFonts w:eastAsia="Times New Roman" w:cstheme="minorHAnsi"/>
          <w:noProof/>
          <w:color w:val="000000"/>
          <w:lang w:eastAsia="en-GB"/>
        </w:rPr>
        <w:t>,</w:t>
      </w:r>
      <w:r w:rsidRPr="004B1142">
        <w:rPr>
          <w:rFonts w:eastAsia="Times New Roman" w:cstheme="minorHAnsi"/>
          <w:color w:val="000000"/>
          <w:lang w:eastAsia="en-GB"/>
        </w:rPr>
        <w:t xml:space="preserve"> may </w:t>
      </w:r>
      <w:r w:rsidRPr="004B1142">
        <w:rPr>
          <w:rFonts w:eastAsia="Times New Roman" w:cstheme="minorHAnsi"/>
          <w:noProof/>
          <w:color w:val="000000"/>
          <w:lang w:eastAsia="en-GB"/>
        </w:rPr>
        <w:t>be categorised</w:t>
      </w:r>
      <w:r w:rsidRPr="004B1142">
        <w:rPr>
          <w:rFonts w:eastAsia="Times New Roman" w:cstheme="minorHAnsi"/>
          <w:color w:val="000000"/>
          <w:lang w:eastAsia="en-GB"/>
        </w:rPr>
        <w:t xml:space="preserve"> as normative or non-normative.</w:t>
      </w:r>
      <w:r w:rsidRPr="004B1142">
        <w:rPr>
          <w:rFonts w:eastAsia="Times New Roman" w:cstheme="minorHAnsi"/>
          <w:noProof/>
          <w:color w:val="000000"/>
          <w:lang w:eastAsia="en-GB"/>
        </w:rPr>
        <w:t xml:space="preserve"> Normalizing maturational variations include wet dreams, first menstruation, voice breaking, growth spurt, beginning of sexual arousal, increasing responsibility and autonomy, changes in reproductive organs and gender-role identity (p. 578). Non-normative, on the other hand, includes natural disasters, incest, war, disruption, risk-taking behaviour and peer network disruption.</w:t>
      </w:r>
      <w:r w:rsidRPr="004B1142">
        <w:rPr>
          <w:rFonts w:eastAsia="Times New Roman" w:cstheme="minorHAnsi"/>
          <w:color w:val="000000"/>
          <w:lang w:eastAsia="en-GB"/>
        </w:rPr>
        <w:t xml:space="preserve"> During adolescence, individuals adjust to puberty which involves bodily changes. </w:t>
      </w:r>
      <w:r w:rsidRPr="004B1142">
        <w:rPr>
          <w:rFonts w:eastAsia="Times New Roman" w:cstheme="minorHAnsi"/>
          <w:color w:val="000000"/>
          <w:lang w:eastAsia="en-GB"/>
        </w:rPr>
        <w:br/>
      </w:r>
    </w:p>
    <w:p w:rsidR="005F1924" w:rsidRPr="004B1142" w:rsidRDefault="005F1924" w:rsidP="00E62679">
      <w:pPr>
        <w:spacing w:after="0" w:line="240" w:lineRule="auto"/>
        <w:ind w:firstLine="720"/>
        <w:rPr>
          <w:rFonts w:eastAsia="Times New Roman" w:cstheme="minorHAnsi"/>
          <w:noProof/>
          <w:color w:val="000000"/>
          <w:lang w:eastAsia="en-GB"/>
        </w:rPr>
      </w:pPr>
      <w:r w:rsidRPr="004B1142">
        <w:rPr>
          <w:rFonts w:eastAsia="Times New Roman" w:cstheme="minorHAnsi"/>
          <w:noProof/>
          <w:color w:val="000000"/>
          <w:lang w:eastAsia="en-GB"/>
        </w:rPr>
        <w:t xml:space="preserve">Several theories attempt to explain adolescence. </w:t>
      </w:r>
      <w:r w:rsidRPr="004B1142">
        <w:rPr>
          <w:rFonts w:eastAsia="Times New Roman" w:cstheme="minorHAnsi"/>
          <w:noProof/>
          <w:lang w:eastAsia="en-GB"/>
        </w:rPr>
        <w:t xml:space="preserve">Hall’s </w:t>
      </w:r>
      <w:r w:rsidRPr="00ED45E6">
        <w:rPr>
          <w:rFonts w:eastAsia="Times New Roman" w:cstheme="minorHAnsi"/>
          <w:noProof/>
          <w:lang w:eastAsia="en-GB"/>
        </w:rPr>
        <w:t>theory</w:t>
      </w:r>
      <w:r w:rsidRPr="004B1142">
        <w:rPr>
          <w:rFonts w:eastAsia="Times New Roman" w:cstheme="minorHAnsi"/>
          <w:noProof/>
          <w:lang w:eastAsia="en-GB"/>
        </w:rPr>
        <w:t>, influenced by</w:t>
      </w:r>
      <w:r w:rsidRPr="004B1142">
        <w:rPr>
          <w:rFonts w:eastAsia="Times New Roman" w:cstheme="minorHAnsi"/>
          <w:noProof/>
          <w:color w:val="000000"/>
          <w:lang w:eastAsia="en-GB"/>
        </w:rPr>
        <w:t xml:space="preserve"> Darwin’s evolution theory, refers to youth as a period of stress and storm, characterised by more intense emotional reactions, extreme mood swings, delinquent behaviours and mental disorders (especially depression and anxiety)</w:t>
      </w:r>
      <w:r w:rsidRPr="004B1142">
        <w:rPr>
          <w:rFonts w:eastAsia="Times New Roman" w:cstheme="minorHAnsi"/>
          <w:color w:val="000000"/>
          <w:lang w:eastAsia="en-GB"/>
        </w:rPr>
        <w:t xml:space="preserve"> (</w:t>
      </w:r>
      <w:r w:rsidRPr="004B1142">
        <w:rPr>
          <w:rFonts w:eastAsia="Times New Roman" w:cstheme="minorHAnsi"/>
          <w:noProof/>
          <w:color w:val="000000"/>
          <w:lang w:eastAsia="en-GB"/>
        </w:rPr>
        <w:t>p. 582).</w:t>
      </w:r>
    </w:p>
    <w:p w:rsidR="00A62B9A" w:rsidRPr="004B1142" w:rsidRDefault="00A62B9A" w:rsidP="00A62B9A">
      <w:pPr>
        <w:spacing w:after="0" w:line="240" w:lineRule="auto"/>
        <w:rPr>
          <w:rFonts w:eastAsia="Times New Roman" w:cstheme="minorHAnsi"/>
          <w:noProof/>
          <w:color w:val="000000"/>
          <w:lang w:eastAsia="en-GB"/>
        </w:rPr>
      </w:pPr>
    </w:p>
    <w:p w:rsidR="005F1924" w:rsidRPr="004B1142" w:rsidRDefault="005F1924" w:rsidP="00E62679">
      <w:pPr>
        <w:spacing w:after="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Ericson’s theory associates adolescence with an </w:t>
      </w:r>
      <w:r w:rsidRPr="004B1142">
        <w:rPr>
          <w:rFonts w:eastAsia="Times New Roman" w:cstheme="minorHAnsi"/>
          <w:noProof/>
          <w:color w:val="000000"/>
          <w:lang w:eastAsia="en-GB"/>
        </w:rPr>
        <w:t>identity</w:t>
      </w:r>
      <w:r w:rsidRPr="004B1142">
        <w:rPr>
          <w:rFonts w:eastAsia="Times New Roman" w:cstheme="minorHAnsi"/>
          <w:color w:val="000000"/>
          <w:lang w:eastAsia="en-GB"/>
        </w:rPr>
        <w:t xml:space="preserve"> crisis </w:t>
      </w:r>
      <w:r w:rsidRPr="004B1142">
        <w:rPr>
          <w:rFonts w:eastAsia="Times New Roman" w:cstheme="minorHAnsi"/>
          <w:noProof/>
          <w:color w:val="000000"/>
          <w:lang w:eastAsia="en-GB"/>
        </w:rPr>
        <w:t xml:space="preserve">(p. 582). </w:t>
      </w:r>
      <w:r w:rsidRPr="004B1142">
        <w:rPr>
          <w:rFonts w:eastAsia="Times New Roman" w:cstheme="minorHAnsi"/>
          <w:color w:val="000000"/>
          <w:lang w:eastAsia="en-GB"/>
        </w:rPr>
        <w:t xml:space="preserve">One major challenge that adolescents </w:t>
      </w:r>
      <w:r w:rsidRPr="00ED45E6">
        <w:rPr>
          <w:rFonts w:eastAsia="Times New Roman" w:cstheme="minorHAnsi"/>
          <w:noProof/>
          <w:color w:val="000000"/>
          <w:lang w:eastAsia="en-GB"/>
        </w:rPr>
        <w:t>experience,</w:t>
      </w:r>
      <w:r w:rsidRPr="004B1142">
        <w:rPr>
          <w:rFonts w:eastAsia="Times New Roman" w:cstheme="minorHAnsi"/>
          <w:color w:val="000000"/>
          <w:lang w:eastAsia="en-GB"/>
        </w:rPr>
        <w:t xml:space="preserve"> relates to a strong sense of personal identity. The successful formation of </w:t>
      </w:r>
      <w:r w:rsidRPr="00ED45E6">
        <w:rPr>
          <w:rFonts w:eastAsia="Times New Roman" w:cstheme="minorHAnsi"/>
          <w:noProof/>
          <w:color w:val="000000"/>
          <w:lang w:eastAsia="en-GB"/>
        </w:rPr>
        <w:t>identity</w:t>
      </w:r>
      <w:r w:rsidRPr="004B1142">
        <w:rPr>
          <w:rFonts w:eastAsia="Times New Roman" w:cstheme="minorHAnsi"/>
          <w:color w:val="000000"/>
          <w:lang w:eastAsia="en-GB"/>
        </w:rPr>
        <w:t xml:space="preserve"> </w:t>
      </w:r>
      <w:r w:rsidRPr="004B1142">
        <w:rPr>
          <w:rFonts w:eastAsia="Times New Roman" w:cstheme="minorHAnsi"/>
          <w:noProof/>
          <w:color w:val="000000"/>
          <w:lang w:eastAsia="en-GB"/>
        </w:rPr>
        <w:t>is characterised</w:t>
      </w:r>
      <w:r w:rsidRPr="004B1142">
        <w:rPr>
          <w:rFonts w:eastAsia="Times New Roman" w:cstheme="minorHAnsi"/>
          <w:color w:val="000000"/>
          <w:lang w:eastAsia="en-GB"/>
        </w:rPr>
        <w:t xml:space="preserve"> by finding meaning and purpose in life and having the assurance that one will receive recognition from </w:t>
      </w:r>
      <w:r w:rsidRPr="004B1142">
        <w:rPr>
          <w:rFonts w:eastAsia="Times New Roman" w:cstheme="minorHAnsi"/>
          <w:noProof/>
          <w:color w:val="000000"/>
          <w:lang w:eastAsia="en-GB"/>
        </w:rPr>
        <w:t>significant</w:t>
      </w:r>
      <w:r w:rsidRPr="004B1142">
        <w:rPr>
          <w:rFonts w:eastAsia="Times New Roman" w:cstheme="minorHAnsi"/>
          <w:color w:val="000000"/>
          <w:lang w:eastAsia="en-GB"/>
        </w:rPr>
        <w:t xml:space="preserve"> others. Identity confusion </w:t>
      </w:r>
      <w:r w:rsidRPr="00ED45E6">
        <w:rPr>
          <w:rFonts w:eastAsia="Times New Roman" w:cstheme="minorHAnsi"/>
          <w:noProof/>
          <w:color w:val="000000"/>
          <w:lang w:eastAsia="en-GB"/>
        </w:rPr>
        <w:t>is distinguished</w:t>
      </w:r>
      <w:r w:rsidRPr="004B1142">
        <w:rPr>
          <w:rFonts w:eastAsia="Times New Roman" w:cstheme="minorHAnsi"/>
          <w:color w:val="000000"/>
          <w:lang w:eastAsia="en-GB"/>
        </w:rPr>
        <w:t xml:space="preserve"> by a sense of inner shame and feelings, which can </w:t>
      </w:r>
      <w:r w:rsidRPr="004B1142">
        <w:rPr>
          <w:rFonts w:eastAsia="Times New Roman" w:cstheme="minorHAnsi"/>
          <w:noProof/>
          <w:color w:val="000000"/>
          <w:lang w:eastAsia="en-GB"/>
        </w:rPr>
        <w:t>result in</w:t>
      </w:r>
      <w:r w:rsidRPr="004B1142">
        <w:rPr>
          <w:rFonts w:eastAsia="Times New Roman" w:cstheme="minorHAnsi"/>
          <w:color w:val="000000"/>
          <w:lang w:eastAsia="en-GB"/>
        </w:rPr>
        <w:t xml:space="preserve"> </w:t>
      </w:r>
      <w:r w:rsidRPr="004B1142">
        <w:rPr>
          <w:rFonts w:eastAsia="Times New Roman" w:cstheme="minorHAnsi"/>
          <w:noProof/>
          <w:color w:val="000000"/>
          <w:lang w:eastAsia="en-GB"/>
        </w:rPr>
        <w:t xml:space="preserve">different </w:t>
      </w:r>
      <w:r w:rsidRPr="004B1142">
        <w:rPr>
          <w:rFonts w:eastAsia="Times New Roman" w:cstheme="minorHAnsi"/>
          <w:color w:val="000000"/>
          <w:lang w:eastAsia="en-GB"/>
        </w:rPr>
        <w:t>aspects of the individual’s life, including intimacy, time perspective, industry and identity.</w:t>
      </w:r>
    </w:p>
    <w:p w:rsidR="00A62B9A" w:rsidRPr="004B1142" w:rsidRDefault="00A62B9A" w:rsidP="00A62B9A">
      <w:pPr>
        <w:spacing w:after="0" w:line="240" w:lineRule="auto"/>
        <w:rPr>
          <w:rFonts w:eastAsia="Times New Roman" w:cstheme="minorHAnsi"/>
          <w:color w:val="000000"/>
          <w:lang w:eastAsia="en-GB"/>
        </w:rPr>
      </w:pPr>
    </w:p>
    <w:p w:rsidR="005F1924" w:rsidRPr="004B1142" w:rsidRDefault="005F1924" w:rsidP="00E62679">
      <w:pPr>
        <w:spacing w:after="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Sociologists note that change is an </w:t>
      </w:r>
      <w:r w:rsidRPr="00ED45E6">
        <w:rPr>
          <w:rFonts w:eastAsia="Times New Roman" w:cstheme="minorHAnsi"/>
          <w:noProof/>
          <w:color w:val="000000"/>
          <w:lang w:eastAsia="en-GB"/>
        </w:rPr>
        <w:t>important</w:t>
      </w:r>
      <w:r w:rsidRPr="004B1142">
        <w:rPr>
          <w:rFonts w:eastAsia="Times New Roman" w:cstheme="minorHAnsi"/>
          <w:color w:val="000000"/>
          <w:lang w:eastAsia="en-GB"/>
        </w:rPr>
        <w:t xml:space="preserve"> aspect of development during adolescence (p. 585). Changing </w:t>
      </w:r>
      <w:r w:rsidRPr="00ED45E6">
        <w:rPr>
          <w:rFonts w:eastAsia="Times New Roman" w:cstheme="minorHAnsi"/>
          <w:noProof/>
          <w:color w:val="000000"/>
          <w:lang w:eastAsia="en-GB"/>
        </w:rPr>
        <w:t>school</w:t>
      </w:r>
      <w:r w:rsidRPr="004B1142">
        <w:rPr>
          <w:rFonts w:eastAsia="Times New Roman" w:cstheme="minorHAnsi"/>
          <w:color w:val="000000"/>
          <w:lang w:eastAsia="en-GB"/>
        </w:rPr>
        <w:t xml:space="preserve">, home or job, all involve changing relationships or developing new ones with the adolescent often having different or </w:t>
      </w:r>
      <w:r w:rsidRPr="004B1142">
        <w:rPr>
          <w:rFonts w:eastAsia="Times New Roman" w:cstheme="minorHAnsi"/>
          <w:noProof/>
          <w:color w:val="000000"/>
          <w:lang w:eastAsia="en-GB"/>
        </w:rPr>
        <w:t>higher</w:t>
      </w:r>
      <w:r w:rsidRPr="004B1142">
        <w:rPr>
          <w:rFonts w:eastAsia="Times New Roman" w:cstheme="minorHAnsi"/>
          <w:color w:val="000000"/>
          <w:lang w:eastAsia="en-GB"/>
        </w:rPr>
        <w:t xml:space="preserve"> expectations. These changes in expectations commonly </w:t>
      </w:r>
      <w:r w:rsidRPr="004B1142">
        <w:rPr>
          <w:rFonts w:eastAsia="Times New Roman" w:cstheme="minorHAnsi"/>
          <w:noProof/>
          <w:color w:val="000000"/>
          <w:lang w:eastAsia="en-GB"/>
        </w:rPr>
        <w:t>demand</w:t>
      </w:r>
      <w:r w:rsidRPr="004B1142">
        <w:rPr>
          <w:rFonts w:eastAsia="Times New Roman" w:cstheme="minorHAnsi"/>
          <w:color w:val="000000"/>
          <w:lang w:eastAsia="en-GB"/>
        </w:rPr>
        <w:t xml:space="preserve"> the individual’s conception of themselves and </w:t>
      </w:r>
      <w:r w:rsidRPr="00ED45E6">
        <w:rPr>
          <w:rFonts w:eastAsia="Times New Roman" w:cstheme="minorHAnsi"/>
          <w:noProof/>
          <w:color w:val="000000"/>
          <w:lang w:eastAsia="en-GB"/>
        </w:rPr>
        <w:t>speeds</w:t>
      </w:r>
      <w:r w:rsidRPr="004B1142">
        <w:rPr>
          <w:rFonts w:eastAsia="Times New Roman" w:cstheme="minorHAnsi"/>
          <w:color w:val="000000"/>
          <w:lang w:eastAsia="en-GB"/>
        </w:rPr>
        <w:t xml:space="preserve"> up the process of socialising. For some individuals, this may be problematic as different socialising agencies may present, conflicting demands and values.  </w:t>
      </w:r>
      <w:r w:rsidRPr="004B1142">
        <w:rPr>
          <w:rFonts w:eastAsia="Times New Roman" w:cstheme="minorHAnsi"/>
          <w:color w:val="000000"/>
          <w:lang w:eastAsia="en-GB"/>
        </w:rPr>
        <w:br/>
      </w:r>
    </w:p>
    <w:p w:rsidR="005F1924" w:rsidRPr="004B1142" w:rsidRDefault="005F1924" w:rsidP="00E62679">
      <w:pPr>
        <w:spacing w:after="24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Marcia’s identity status model attempts to explain how youths adopt sexual, ideological, and vocational roles given the specific social contexts in which they find themselves (p. 585). The model proposes that </w:t>
      </w:r>
      <w:r w:rsidRPr="004B1142">
        <w:rPr>
          <w:rFonts w:eastAsia="Times New Roman" w:cstheme="minorHAnsi"/>
          <w:noProof/>
          <w:color w:val="000000"/>
          <w:lang w:eastAsia="en-GB"/>
        </w:rPr>
        <w:t>adolescents</w:t>
      </w:r>
      <w:r w:rsidRPr="004B1142">
        <w:rPr>
          <w:rFonts w:eastAsia="Times New Roman" w:cstheme="minorHAnsi"/>
          <w:color w:val="000000"/>
          <w:lang w:eastAsia="en-GB"/>
        </w:rPr>
        <w:t xml:space="preserve"> may adopt, or fail to </w:t>
      </w:r>
      <w:r w:rsidRPr="004B1142">
        <w:rPr>
          <w:rFonts w:eastAsia="Times New Roman" w:cstheme="minorHAnsi"/>
          <w:noProof/>
          <w:color w:val="000000"/>
          <w:lang w:eastAsia="en-GB"/>
        </w:rPr>
        <w:t>embrace</w:t>
      </w:r>
      <w:r w:rsidRPr="004B1142">
        <w:rPr>
          <w:rFonts w:eastAsia="Times New Roman" w:cstheme="minorHAnsi"/>
          <w:color w:val="000000"/>
          <w:lang w:eastAsia="en-GB"/>
        </w:rPr>
        <w:t xml:space="preserve"> identity values and roles that define their identity.</w:t>
      </w:r>
    </w:p>
    <w:p w:rsidR="005F1924" w:rsidRPr="004B1142" w:rsidRDefault="005F1924" w:rsidP="005F1924">
      <w:pPr>
        <w:spacing w:after="240" w:line="240" w:lineRule="auto"/>
        <w:rPr>
          <w:rFonts w:eastAsia="Times New Roman" w:cstheme="minorHAnsi"/>
          <w:color w:val="000000"/>
          <w:lang w:eastAsia="en-GB"/>
        </w:rPr>
      </w:pPr>
    </w:p>
    <w:p w:rsidR="005F1924" w:rsidRPr="004B1142" w:rsidRDefault="005F1924" w:rsidP="00E62679">
      <w:pPr>
        <w:spacing w:after="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Coleman’s focal theory, by dealing with one issue at a time, most adolescents </w:t>
      </w:r>
      <w:r w:rsidRPr="004B1142">
        <w:rPr>
          <w:rFonts w:eastAsia="Times New Roman" w:cstheme="minorHAnsi"/>
          <w:noProof/>
          <w:color w:val="000000"/>
          <w:lang w:eastAsia="en-GB"/>
        </w:rPr>
        <w:t>can</w:t>
      </w:r>
      <w:r w:rsidRPr="004B1142">
        <w:rPr>
          <w:rFonts w:eastAsia="Times New Roman" w:cstheme="minorHAnsi"/>
          <w:color w:val="000000"/>
          <w:lang w:eastAsia="en-GB"/>
        </w:rPr>
        <w:t xml:space="preserve"> cope with several </w:t>
      </w:r>
      <w:r w:rsidRPr="004B1142">
        <w:rPr>
          <w:rFonts w:eastAsia="Times New Roman" w:cstheme="minorHAnsi"/>
          <w:noProof/>
          <w:color w:val="000000"/>
          <w:lang w:eastAsia="en-GB"/>
        </w:rPr>
        <w:t>problems</w:t>
      </w:r>
      <w:r w:rsidRPr="004B1142">
        <w:rPr>
          <w:rFonts w:eastAsia="Times New Roman" w:cstheme="minorHAnsi"/>
          <w:color w:val="000000"/>
          <w:lang w:eastAsia="en-GB"/>
        </w:rPr>
        <w:t xml:space="preserve"> that they face during the transition period (p. 585).  When they deal with more than one </w:t>
      </w:r>
      <w:r w:rsidRPr="004B1142">
        <w:rPr>
          <w:rFonts w:eastAsia="Times New Roman" w:cstheme="minorHAnsi"/>
          <w:noProof/>
          <w:color w:val="000000"/>
          <w:lang w:eastAsia="en-GB"/>
        </w:rPr>
        <w:t>issue</w:t>
      </w:r>
      <w:r w:rsidRPr="004B1142">
        <w:rPr>
          <w:rFonts w:eastAsia="Times New Roman" w:cstheme="minorHAnsi"/>
          <w:color w:val="000000"/>
          <w:lang w:eastAsia="en-GB"/>
        </w:rPr>
        <w:t xml:space="preserve"> at a time, they experience stress, more so if the changes </w:t>
      </w:r>
      <w:r w:rsidRPr="004B1142">
        <w:rPr>
          <w:rFonts w:eastAsia="Times New Roman" w:cstheme="minorHAnsi"/>
          <w:noProof/>
          <w:color w:val="000000"/>
          <w:lang w:eastAsia="en-GB"/>
        </w:rPr>
        <w:t>happen</w:t>
      </w:r>
      <w:r w:rsidRPr="004B1142">
        <w:rPr>
          <w:rFonts w:eastAsia="Times New Roman" w:cstheme="minorHAnsi"/>
          <w:color w:val="000000"/>
          <w:lang w:eastAsia="en-GB"/>
        </w:rPr>
        <w:t xml:space="preserve"> suddenly or too early.  </w:t>
      </w:r>
      <w:r w:rsidRPr="004B1142">
        <w:rPr>
          <w:rFonts w:eastAsia="Times New Roman" w:cstheme="minorHAnsi"/>
          <w:color w:val="000000"/>
          <w:lang w:eastAsia="en-GB"/>
        </w:rPr>
        <w:br/>
      </w:r>
    </w:p>
    <w:p w:rsidR="005F1924" w:rsidRPr="004B1142" w:rsidRDefault="005F1924" w:rsidP="00E62679">
      <w:pPr>
        <w:spacing w:after="240" w:line="240" w:lineRule="auto"/>
        <w:ind w:firstLine="720"/>
        <w:rPr>
          <w:rFonts w:eastAsia="Times New Roman" w:cstheme="minorHAnsi"/>
          <w:color w:val="000000"/>
          <w:lang w:eastAsia="en-GB"/>
        </w:rPr>
      </w:pPr>
      <w:r w:rsidRPr="004B1142">
        <w:rPr>
          <w:rFonts w:eastAsia="Times New Roman" w:cstheme="minorHAnsi"/>
          <w:noProof/>
          <w:color w:val="000000"/>
          <w:lang w:eastAsia="en-GB"/>
        </w:rPr>
        <w:t>Contrary</w:t>
      </w:r>
      <w:r w:rsidRPr="004B1142">
        <w:rPr>
          <w:rFonts w:eastAsia="Times New Roman" w:cstheme="minorHAnsi"/>
          <w:color w:val="000000"/>
          <w:lang w:eastAsia="en-GB"/>
        </w:rPr>
        <w:t xml:space="preserve"> identity, is likely to develop in adolescents when they fail to negotiate new relationships with their parents (Kroger, 2007), </w:t>
      </w:r>
      <w:r w:rsidR="00BE1A27" w:rsidRPr="004B1142">
        <w:rPr>
          <w:rFonts w:eastAsia="Times New Roman" w:cstheme="minorHAnsi"/>
          <w:color w:val="000000"/>
          <w:lang w:eastAsia="en-GB"/>
        </w:rPr>
        <w:t>a</w:t>
      </w:r>
      <w:r w:rsidRPr="004B1142">
        <w:rPr>
          <w:rFonts w:eastAsia="Times New Roman" w:cstheme="minorHAnsi"/>
          <w:color w:val="000000"/>
          <w:lang w:eastAsia="en-GB"/>
        </w:rPr>
        <w:t xml:space="preserve">s cited in Gross, (2010). It is also </w:t>
      </w:r>
      <w:r w:rsidRPr="004B1142">
        <w:rPr>
          <w:rFonts w:eastAsia="Times New Roman" w:cstheme="minorHAnsi"/>
          <w:noProof/>
          <w:color w:val="000000"/>
          <w:lang w:eastAsia="en-GB"/>
        </w:rPr>
        <w:t>expected</w:t>
      </w:r>
      <w:r w:rsidRPr="004B1142">
        <w:rPr>
          <w:rFonts w:eastAsia="Times New Roman" w:cstheme="minorHAnsi"/>
          <w:color w:val="000000"/>
          <w:lang w:eastAsia="en-GB"/>
        </w:rPr>
        <w:t xml:space="preserve"> to be the case when parents become overly critical of their adolescent children.  During adolescence, the child-parent relationship changes to the </w:t>
      </w:r>
      <w:r w:rsidRPr="004B1142">
        <w:rPr>
          <w:rFonts w:eastAsia="Times New Roman" w:cstheme="minorHAnsi"/>
          <w:noProof/>
          <w:color w:val="000000"/>
          <w:lang w:eastAsia="en-GB"/>
        </w:rPr>
        <w:t>young-adult-parent</w:t>
      </w:r>
      <w:r w:rsidRPr="004B1142">
        <w:rPr>
          <w:rFonts w:eastAsia="Times New Roman" w:cstheme="minorHAnsi"/>
          <w:color w:val="000000"/>
          <w:lang w:eastAsia="en-GB"/>
        </w:rPr>
        <w:t xml:space="preserve"> </w:t>
      </w:r>
      <w:r w:rsidRPr="004B1142">
        <w:rPr>
          <w:rFonts w:eastAsia="Times New Roman" w:cstheme="minorHAnsi"/>
          <w:noProof/>
          <w:color w:val="000000"/>
          <w:lang w:eastAsia="en-GB"/>
        </w:rPr>
        <w:t>relationship</w:t>
      </w:r>
      <w:r w:rsidRPr="004B1142">
        <w:rPr>
          <w:rFonts w:eastAsia="Times New Roman" w:cstheme="minorHAnsi"/>
          <w:color w:val="000000"/>
          <w:lang w:eastAsia="en-GB"/>
        </w:rPr>
        <w:t xml:space="preserve">. For most adolescents, their relationship with parents is perceived to be more reciprocal and equal, with openness to discussion and negotiation with parents being the norm. While many adolescents get along with their parents, conflicts sometimes arise, </w:t>
      </w:r>
      <w:r w:rsidRPr="004B1142">
        <w:rPr>
          <w:rFonts w:eastAsia="Times New Roman" w:cstheme="minorHAnsi"/>
          <w:noProof/>
          <w:color w:val="000000"/>
          <w:lang w:eastAsia="en-GB"/>
        </w:rPr>
        <w:t>especially</w:t>
      </w:r>
      <w:r w:rsidRPr="004B1142">
        <w:rPr>
          <w:rFonts w:eastAsia="Times New Roman" w:cstheme="minorHAnsi"/>
          <w:color w:val="000000"/>
          <w:lang w:eastAsia="en-GB"/>
        </w:rPr>
        <w:t xml:space="preserve"> when parents expect their adolescent children to be more independent or do not grant them autonomy.</w:t>
      </w: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4A1047" w:rsidRPr="004B1142" w:rsidRDefault="004A1047" w:rsidP="005F1924">
      <w:pPr>
        <w:spacing w:after="240" w:line="240" w:lineRule="auto"/>
        <w:rPr>
          <w:rFonts w:eastAsia="Times New Roman" w:cstheme="minorHAnsi"/>
          <w:color w:val="000000"/>
          <w:lang w:eastAsia="en-GB"/>
        </w:rPr>
      </w:pPr>
    </w:p>
    <w:p w:rsidR="004A1047" w:rsidRPr="004B1142" w:rsidRDefault="004A1047" w:rsidP="005F1924">
      <w:pPr>
        <w:spacing w:after="240" w:line="240" w:lineRule="auto"/>
        <w:rPr>
          <w:rFonts w:eastAsia="Times New Roman" w:cstheme="minorHAnsi"/>
          <w:color w:val="000000"/>
          <w:lang w:eastAsia="en-GB"/>
        </w:rPr>
      </w:pPr>
    </w:p>
    <w:p w:rsidR="004A1047" w:rsidRPr="004B1142" w:rsidRDefault="004A1047" w:rsidP="005F1924">
      <w:pPr>
        <w:spacing w:after="240" w:line="240" w:lineRule="auto"/>
        <w:rPr>
          <w:rFonts w:eastAsia="Times New Roman" w:cstheme="minorHAnsi"/>
          <w:color w:val="000000"/>
          <w:lang w:eastAsia="en-GB"/>
        </w:rPr>
      </w:pPr>
    </w:p>
    <w:p w:rsidR="004A1047" w:rsidRPr="004B1142" w:rsidRDefault="004A1047"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5F1924" w:rsidRPr="004B1142" w:rsidRDefault="005F1924" w:rsidP="005F1924">
      <w:pPr>
        <w:spacing w:after="240" w:line="240" w:lineRule="auto"/>
        <w:jc w:val="center"/>
        <w:rPr>
          <w:rFonts w:eastAsia="Times New Roman" w:cstheme="minorHAnsi"/>
          <w:color w:val="000000"/>
          <w:lang w:eastAsia="en-GB"/>
        </w:rPr>
      </w:pPr>
      <w:r w:rsidRPr="004B1142">
        <w:rPr>
          <w:rFonts w:eastAsia="Times New Roman" w:cstheme="minorHAnsi"/>
          <w:color w:val="000000"/>
          <w:lang w:eastAsia="en-GB"/>
        </w:rPr>
        <w:t>References</w:t>
      </w:r>
    </w:p>
    <w:p w:rsidR="005F1924" w:rsidRPr="004B1142" w:rsidRDefault="005F1924" w:rsidP="00CA45EA">
      <w:pPr>
        <w:spacing w:after="240" w:line="240" w:lineRule="auto"/>
        <w:rPr>
          <w:rFonts w:eastAsia="Times New Roman" w:cstheme="minorHAnsi"/>
          <w:color w:val="000000"/>
          <w:lang w:eastAsia="en-GB"/>
        </w:rPr>
      </w:pPr>
      <w:r w:rsidRPr="004B1142">
        <w:rPr>
          <w:rFonts w:eastAsia="Times New Roman" w:cstheme="minorHAnsi"/>
          <w:color w:val="000000"/>
          <w:lang w:eastAsia="en-GB"/>
        </w:rPr>
        <w:br/>
        <w:t xml:space="preserve">Kroger, J. (2007). </w:t>
      </w:r>
      <w:r w:rsidRPr="004B1142">
        <w:rPr>
          <w:rFonts w:eastAsia="Times New Roman" w:cstheme="minorHAnsi"/>
          <w:i/>
          <w:color w:val="000000"/>
          <w:lang w:eastAsia="en-GB"/>
        </w:rPr>
        <w:t>Identity development: Adolescence through Adulthood</w:t>
      </w:r>
      <w:r w:rsidRPr="004B1142">
        <w:rPr>
          <w:rFonts w:eastAsia="Times New Roman" w:cstheme="minorHAnsi"/>
          <w:color w:val="000000"/>
          <w:lang w:eastAsia="en-GB"/>
        </w:rPr>
        <w:t>. London: Sage.</w:t>
      </w:r>
    </w:p>
    <w:p w:rsidR="005F1924" w:rsidRPr="004B1142" w:rsidRDefault="005F1924" w:rsidP="005F1924">
      <w:pPr>
        <w:spacing w:after="240" w:line="240" w:lineRule="auto"/>
        <w:rPr>
          <w:rFonts w:eastAsia="Times New Roman" w:cstheme="minorHAnsi"/>
          <w:color w:val="000000"/>
          <w:lang w:eastAsia="en-GB"/>
        </w:rPr>
      </w:pPr>
      <w:r w:rsidRPr="004B1142">
        <w:rPr>
          <w:rFonts w:eastAsia="Times New Roman" w:cstheme="minorHAnsi"/>
          <w:color w:val="000000"/>
          <w:lang w:eastAsia="en-GB"/>
        </w:rPr>
        <w:t xml:space="preserve">Gross, R. (2010). Chapter 37. Adolescence. </w:t>
      </w:r>
      <w:r w:rsidRPr="004B1142">
        <w:rPr>
          <w:rFonts w:eastAsia="Times New Roman" w:cstheme="minorHAnsi"/>
          <w:i/>
          <w:color w:val="000000"/>
          <w:lang w:eastAsia="en-GB"/>
        </w:rPr>
        <w:t xml:space="preserve">Gross Psychology. </w:t>
      </w:r>
    </w:p>
    <w:p w:rsidR="005F1924" w:rsidRPr="004B1142" w:rsidRDefault="005F1924" w:rsidP="005F1924">
      <w:pPr>
        <w:spacing w:after="0" w:line="240" w:lineRule="auto"/>
        <w:rPr>
          <w:rFonts w:eastAsia="Times New Roman" w:cstheme="minorHAnsi"/>
          <w:color w:val="000000"/>
          <w:lang w:eastAsia="en-GB"/>
        </w:rPr>
      </w:pPr>
    </w:p>
    <w:p w:rsidR="005F1924" w:rsidRPr="004B1142" w:rsidRDefault="005F1924" w:rsidP="005F1924">
      <w:pPr>
        <w:spacing w:after="60" w:line="240" w:lineRule="auto"/>
        <w:rPr>
          <w:rFonts w:eastAsia="Times New Roman" w:cstheme="minorHAnsi"/>
          <w:color w:val="666666"/>
          <w:lang w:eastAsia="en-GB"/>
        </w:rPr>
      </w:pPr>
    </w:p>
    <w:p w:rsidR="005F1924" w:rsidRPr="004B1142" w:rsidRDefault="005F1924" w:rsidP="005F1924">
      <w:pPr>
        <w:rPr>
          <w:rFonts w:cstheme="minorHAnsi"/>
          <w:b/>
        </w:rPr>
      </w:pPr>
    </w:p>
    <w:p w:rsidR="004F0A0F" w:rsidRPr="004B1142" w:rsidRDefault="005F504F">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6B5525" w:rsidRPr="004B1142" w:rsidRDefault="006B5525">
      <w:pPr>
        <w:rPr>
          <w:rFonts w:cstheme="minorHAnsi"/>
        </w:rPr>
      </w:pPr>
    </w:p>
    <w:p w:rsidR="00F660D3" w:rsidRPr="004B1142" w:rsidRDefault="00F660D3" w:rsidP="00F660D3">
      <w:pPr>
        <w:ind w:firstLine="720"/>
        <w:jc w:val="center"/>
        <w:rPr>
          <w:rFonts w:cstheme="minorHAnsi"/>
          <w:b/>
        </w:rPr>
      </w:pPr>
      <w:r w:rsidRPr="004B1142">
        <w:rPr>
          <w:rFonts w:cstheme="minorHAnsi"/>
          <w:b/>
        </w:rPr>
        <w:lastRenderedPageBreak/>
        <w:t>Anxiety and depression in academic performance.</w:t>
      </w:r>
    </w:p>
    <w:p w:rsidR="00F660D3" w:rsidRPr="004B1142" w:rsidRDefault="00F660D3" w:rsidP="00E62679">
      <w:pPr>
        <w:pStyle w:val="ListParagraph"/>
        <w:ind w:firstLine="720"/>
        <w:rPr>
          <w:rFonts w:cstheme="minorHAnsi"/>
        </w:rPr>
      </w:pPr>
      <w:r w:rsidRPr="004B1142">
        <w:rPr>
          <w:rFonts w:cstheme="minorHAnsi"/>
        </w:rPr>
        <w:t xml:space="preserve">Emotional states like depression and anxiety have been reported internationally in adolescents and children as noted by Spielberger, (2006). </w:t>
      </w:r>
      <w:r w:rsidRPr="004B1142">
        <w:rPr>
          <w:rFonts w:cstheme="minorHAnsi"/>
          <w:noProof/>
        </w:rPr>
        <w:t>Several</w:t>
      </w:r>
      <w:r w:rsidRPr="004B1142">
        <w:rPr>
          <w:rFonts w:cstheme="minorHAnsi"/>
        </w:rPr>
        <w:t xml:space="preserve"> studies conducted in the past have shown that depression and anxiety have a direct </w:t>
      </w:r>
      <w:r w:rsidRPr="004B1142">
        <w:rPr>
          <w:rFonts w:cstheme="minorHAnsi"/>
          <w:noProof/>
        </w:rPr>
        <w:t>negative</w:t>
      </w:r>
      <w:r w:rsidRPr="004B1142">
        <w:rPr>
          <w:rFonts w:cstheme="minorHAnsi"/>
        </w:rPr>
        <w:t xml:space="preserve"> effect on academic performance (Owens, Stevenson &amp; Hardwin, 2012). In their </w:t>
      </w:r>
      <w:r w:rsidRPr="004B1142">
        <w:rPr>
          <w:rFonts w:cstheme="minorHAnsi"/>
          <w:noProof/>
        </w:rPr>
        <w:t>study,</w:t>
      </w:r>
      <w:r w:rsidRPr="004B1142">
        <w:rPr>
          <w:rFonts w:cstheme="minorHAnsi"/>
        </w:rPr>
        <w:t xml:space="preserve"> they predict that young people who are affected by anxiety and depression tend to have a lower academic performance due to increased worry about tests, which is shown to have </w:t>
      </w:r>
      <w:r w:rsidRPr="004B1142">
        <w:rPr>
          <w:rFonts w:cstheme="minorHAnsi"/>
          <w:noProof/>
        </w:rPr>
        <w:t>a negative</w:t>
      </w:r>
      <w:r w:rsidRPr="004B1142">
        <w:rPr>
          <w:rFonts w:cstheme="minorHAnsi"/>
        </w:rPr>
        <w:t xml:space="preserve"> effect on the central executive process of the working memory. </w:t>
      </w:r>
      <w:r w:rsidRPr="004B1142">
        <w:rPr>
          <w:rFonts w:cstheme="minorHAnsi"/>
          <w:noProof/>
        </w:rPr>
        <w:t>The study aimed</w:t>
      </w:r>
      <w:r w:rsidRPr="004B1142">
        <w:rPr>
          <w:rFonts w:cstheme="minorHAnsi"/>
        </w:rPr>
        <w:t xml:space="preserve"> to investigate the relationship between the working memory, worry and the </w:t>
      </w:r>
      <w:r w:rsidRPr="004B1142">
        <w:rPr>
          <w:rFonts w:cstheme="minorHAnsi"/>
          <w:noProof/>
        </w:rPr>
        <w:t>adverse</w:t>
      </w:r>
      <w:r w:rsidRPr="004B1142">
        <w:rPr>
          <w:rFonts w:cstheme="minorHAnsi"/>
        </w:rPr>
        <w:t xml:space="preserve"> </w:t>
      </w:r>
      <w:r w:rsidRPr="004B1142">
        <w:rPr>
          <w:rFonts w:cstheme="minorHAnsi"/>
          <w:noProof/>
        </w:rPr>
        <w:t>impact</w:t>
      </w:r>
      <w:r w:rsidRPr="004B1142">
        <w:rPr>
          <w:rFonts w:cstheme="minorHAnsi"/>
        </w:rPr>
        <w:t xml:space="preserve"> it could have on academic performance. The study </w:t>
      </w:r>
      <w:r w:rsidRPr="004B1142">
        <w:rPr>
          <w:rFonts w:cstheme="minorHAnsi"/>
          <w:noProof/>
        </w:rPr>
        <w:t>was designed</w:t>
      </w:r>
      <w:r w:rsidRPr="004B1142">
        <w:rPr>
          <w:rFonts w:cstheme="minorHAnsi"/>
        </w:rPr>
        <w:t xml:space="preserve"> to test two potential systems that explain the relationship between depression and anxiety and the reduction in academic </w:t>
      </w:r>
      <w:r w:rsidRPr="004B1142">
        <w:rPr>
          <w:rFonts w:cstheme="minorHAnsi"/>
          <w:noProof/>
        </w:rPr>
        <w:t>achievement</w:t>
      </w:r>
      <w:r w:rsidRPr="004B1142">
        <w:rPr>
          <w:rFonts w:cstheme="minorHAnsi"/>
        </w:rPr>
        <w:t>.</w:t>
      </w:r>
    </w:p>
    <w:p w:rsidR="00F660D3" w:rsidRPr="004B1142" w:rsidRDefault="00F660D3" w:rsidP="00F660D3">
      <w:pPr>
        <w:pStyle w:val="ListParagraph"/>
        <w:rPr>
          <w:rFonts w:cstheme="minorHAnsi"/>
        </w:rPr>
      </w:pPr>
    </w:p>
    <w:p w:rsidR="00F660D3" w:rsidRPr="004B1142" w:rsidRDefault="00F660D3" w:rsidP="00E62679">
      <w:pPr>
        <w:pStyle w:val="ListParagraph"/>
        <w:ind w:firstLine="720"/>
        <w:rPr>
          <w:rFonts w:cstheme="minorHAnsi"/>
          <w:noProof/>
        </w:rPr>
      </w:pPr>
      <w:r w:rsidRPr="004B1142">
        <w:rPr>
          <w:rFonts w:cstheme="minorHAnsi"/>
        </w:rPr>
        <w:t xml:space="preserve">The focus of this study, which </w:t>
      </w:r>
      <w:r w:rsidRPr="004B1142">
        <w:rPr>
          <w:rFonts w:cstheme="minorHAnsi"/>
          <w:noProof/>
        </w:rPr>
        <w:t>was conducted</w:t>
      </w:r>
      <w:r w:rsidRPr="004B1142">
        <w:rPr>
          <w:rFonts w:cstheme="minorHAnsi"/>
        </w:rPr>
        <w:t xml:space="preserve"> in two </w:t>
      </w:r>
      <w:r w:rsidRPr="004B1142">
        <w:rPr>
          <w:rFonts w:cstheme="minorHAnsi"/>
          <w:noProof/>
        </w:rPr>
        <w:t>stages</w:t>
      </w:r>
      <w:r w:rsidRPr="004B1142">
        <w:rPr>
          <w:rFonts w:cstheme="minorHAnsi"/>
        </w:rPr>
        <w:t xml:space="preserve"> that involved the use of school test data, self-report questionnaires and a battery</w:t>
      </w:r>
      <w:r w:rsidRPr="004B1142">
        <w:rPr>
          <w:rFonts w:cstheme="minorHAnsi"/>
          <w:noProof/>
        </w:rPr>
        <w:t xml:space="preserve"> of computerised</w:t>
      </w:r>
      <w:r w:rsidRPr="004B1142">
        <w:rPr>
          <w:rFonts w:cstheme="minorHAnsi"/>
        </w:rPr>
        <w:t xml:space="preserve"> working memory tasks. The first study tested the concept that worry about tests </w:t>
      </w:r>
      <w:r w:rsidRPr="004B1142">
        <w:rPr>
          <w:rFonts w:cstheme="minorHAnsi"/>
          <w:noProof/>
        </w:rPr>
        <w:t>connects</w:t>
      </w:r>
      <w:r w:rsidRPr="004B1142">
        <w:rPr>
          <w:rFonts w:cstheme="minorHAnsi"/>
        </w:rPr>
        <w:t xml:space="preserve"> the relationship between </w:t>
      </w:r>
      <w:r w:rsidRPr="004B1142">
        <w:rPr>
          <w:rFonts w:cstheme="minorHAnsi"/>
          <w:noProof/>
        </w:rPr>
        <w:t>negative</w:t>
      </w:r>
      <w:r w:rsidRPr="004B1142">
        <w:rPr>
          <w:rFonts w:cstheme="minorHAnsi"/>
        </w:rPr>
        <w:t xml:space="preserve"> affect and academic performance (p. 436). The first study involved 80 children (48 girls and 32 boys) aged 12-13 from one UK secondary school. The second study tested the different influences of the central executive, versus working memory processes. The second </w:t>
      </w:r>
      <w:r w:rsidRPr="004B1142">
        <w:rPr>
          <w:rFonts w:cstheme="minorHAnsi"/>
          <w:noProof/>
        </w:rPr>
        <w:t>research</w:t>
      </w:r>
      <w:r w:rsidRPr="004B1142">
        <w:rPr>
          <w:rFonts w:cstheme="minorHAnsi"/>
        </w:rPr>
        <w:t xml:space="preserve"> </w:t>
      </w:r>
      <w:r w:rsidRPr="004B1142">
        <w:rPr>
          <w:rFonts w:cstheme="minorHAnsi"/>
          <w:noProof/>
        </w:rPr>
        <w:t>featured</w:t>
      </w:r>
      <w:r w:rsidRPr="004B1142">
        <w:rPr>
          <w:rFonts w:cstheme="minorHAnsi"/>
        </w:rPr>
        <w:t xml:space="preserve"> 31 pupils (16 girls, 15 boys) aged 12-13 from one secondary school in the UK. Data collected from the </w:t>
      </w:r>
      <w:r w:rsidRPr="004B1142">
        <w:rPr>
          <w:rFonts w:cstheme="minorHAnsi"/>
          <w:noProof/>
        </w:rPr>
        <w:t>study</w:t>
      </w:r>
      <w:r w:rsidRPr="004B1142">
        <w:rPr>
          <w:rFonts w:cstheme="minorHAnsi"/>
        </w:rPr>
        <w:t xml:space="preserve"> </w:t>
      </w:r>
      <w:r w:rsidRPr="004B1142">
        <w:rPr>
          <w:rFonts w:cstheme="minorHAnsi"/>
          <w:noProof/>
        </w:rPr>
        <w:t>was analysed</w:t>
      </w:r>
      <w:r w:rsidRPr="004B1142">
        <w:rPr>
          <w:rFonts w:cstheme="minorHAnsi"/>
        </w:rPr>
        <w:t xml:space="preserve"> </w:t>
      </w:r>
      <w:r w:rsidRPr="004B1142">
        <w:rPr>
          <w:rFonts w:cstheme="minorHAnsi"/>
          <w:noProof/>
        </w:rPr>
        <w:t xml:space="preserve">statistically using STATA 11.1 software. The mediation hypothesis was tested by calculating the indirect effects using MPL S 5.1 which was based on the method recommended by Dearing and Hamilton, (2006). In this regard, academic test measures were transformed and combined to create a composite score of academic performance. </w:t>
      </w:r>
    </w:p>
    <w:p w:rsidR="00F660D3" w:rsidRPr="004B1142" w:rsidRDefault="00F660D3" w:rsidP="00F660D3">
      <w:pPr>
        <w:pStyle w:val="ListParagraph"/>
        <w:rPr>
          <w:rFonts w:cstheme="minorHAnsi"/>
          <w:noProof/>
        </w:rPr>
      </w:pPr>
    </w:p>
    <w:p w:rsidR="00F660D3" w:rsidRPr="004B1142" w:rsidRDefault="00F660D3" w:rsidP="00E62679">
      <w:pPr>
        <w:pStyle w:val="ListParagraph"/>
        <w:ind w:firstLine="720"/>
        <w:rPr>
          <w:rFonts w:cstheme="minorHAnsi"/>
          <w:noProof/>
        </w:rPr>
      </w:pPr>
      <w:r w:rsidRPr="004B1142">
        <w:rPr>
          <w:rFonts w:cstheme="minorHAnsi"/>
          <w:noProof/>
        </w:rPr>
        <w:t>The result of the study showed that high levels of depression and anxiety are significantly associated with low academic performance. According to the results, higher levels of depression and anxiety were linked to lower academic performance. The study confirms that anxiety has an adverse effect on the working memory as it drains resources causing declines in test performance. The study found the significant indirect impact on worry-anxiety and academic performance. This indicates that depression and anxiety are associated with increased levels of worry and therefore are related to low academic achievement. The study findings support the mediation hypothesis with the researchers noting that the central executive processes and worry, mediate the link between an adverse effect and academic achievement.</w:t>
      </w:r>
    </w:p>
    <w:p w:rsidR="00F660D3" w:rsidRPr="004B1142" w:rsidRDefault="00F660D3" w:rsidP="00F660D3">
      <w:pPr>
        <w:pStyle w:val="ListParagraph"/>
        <w:rPr>
          <w:rFonts w:cstheme="minorHAnsi"/>
          <w:noProof/>
        </w:rPr>
      </w:pPr>
    </w:p>
    <w:p w:rsidR="007C773F" w:rsidRDefault="00F660D3" w:rsidP="00783216">
      <w:pPr>
        <w:pStyle w:val="ListParagraph"/>
        <w:ind w:firstLine="720"/>
        <w:rPr>
          <w:rFonts w:cstheme="minorHAnsi"/>
          <w:noProof/>
        </w:rPr>
      </w:pPr>
      <w:r w:rsidRPr="004B1142">
        <w:rPr>
          <w:rFonts w:cstheme="minorHAnsi"/>
          <w:noProof/>
        </w:rPr>
        <w:t xml:space="preserve">The study had some limitations, as acknowledged by the researchers. For one, the second study indicated indirect effects from depression and anxiety on worry and working memory, which could have arisen as a result of the small sample used in the second study and that a replication of this study should be repeated using a more extensive sampling. </w:t>
      </w:r>
      <w:r w:rsidR="00E62679">
        <w:rPr>
          <w:rFonts w:cstheme="minorHAnsi"/>
          <w:noProof/>
        </w:rPr>
        <w:t xml:space="preserve">     </w:t>
      </w:r>
      <w:r w:rsidRPr="004B1142">
        <w:rPr>
          <w:rFonts w:cstheme="minorHAnsi"/>
          <w:noProof/>
        </w:rPr>
        <w:t>Furthermore, the two studies applied the cross-sectional design to test the model's credibility, limiting the conclusions. Considering the limitations of the study, the researchers recommended further research in the same area using longitudinal studies using more participants and experimental methods.</w:t>
      </w:r>
    </w:p>
    <w:p w:rsidR="007C773F" w:rsidRDefault="007C773F" w:rsidP="00783216">
      <w:pPr>
        <w:pStyle w:val="ListParagraph"/>
        <w:ind w:firstLine="720"/>
        <w:rPr>
          <w:rFonts w:cstheme="minorHAnsi"/>
          <w:noProof/>
        </w:rPr>
      </w:pPr>
    </w:p>
    <w:p w:rsidR="00F660D3" w:rsidRPr="008120C9" w:rsidRDefault="00F660D3" w:rsidP="008120C9">
      <w:pPr>
        <w:jc w:val="center"/>
        <w:rPr>
          <w:rFonts w:cstheme="minorHAnsi"/>
          <w:noProof/>
        </w:rPr>
      </w:pPr>
      <w:r w:rsidRPr="008120C9">
        <w:rPr>
          <w:rFonts w:cstheme="minorHAnsi"/>
          <w:noProof/>
        </w:rPr>
        <w:lastRenderedPageBreak/>
        <w:t>References</w:t>
      </w:r>
    </w:p>
    <w:p w:rsidR="00F660D3" w:rsidRPr="004B1142" w:rsidRDefault="00F660D3" w:rsidP="00F660D3">
      <w:pPr>
        <w:pStyle w:val="ListParagraph"/>
        <w:rPr>
          <w:rFonts w:cstheme="minorHAnsi"/>
          <w:noProof/>
        </w:rPr>
      </w:pPr>
    </w:p>
    <w:p w:rsidR="00F660D3" w:rsidRPr="004B1142" w:rsidRDefault="00F660D3" w:rsidP="00F660D3">
      <w:pPr>
        <w:pStyle w:val="ListParagraph"/>
        <w:rPr>
          <w:rFonts w:cstheme="minorHAnsi"/>
          <w:noProof/>
        </w:rPr>
      </w:pPr>
    </w:p>
    <w:p w:rsidR="00F660D3" w:rsidRPr="004B1142" w:rsidRDefault="00F660D3" w:rsidP="00F660D3">
      <w:pPr>
        <w:pStyle w:val="ListParagraph"/>
        <w:rPr>
          <w:rFonts w:cstheme="minorHAnsi"/>
          <w:color w:val="222222"/>
          <w:shd w:val="clear" w:color="auto" w:fill="FFFFFF"/>
        </w:rPr>
      </w:pPr>
      <w:r w:rsidRPr="004B1142">
        <w:rPr>
          <w:rFonts w:cstheme="minorHAnsi"/>
          <w:color w:val="222222"/>
          <w:shd w:val="clear" w:color="auto" w:fill="FFFFFF"/>
        </w:rPr>
        <w:t xml:space="preserve">Dearing, E., &amp; Hamilton, L. C. (2006). V. Contemporary advances and classic advice for </w:t>
      </w:r>
      <w:r w:rsidRPr="004B1142">
        <w:rPr>
          <w:rFonts w:cstheme="minorHAnsi"/>
          <w:noProof/>
          <w:color w:val="222222"/>
          <w:shd w:val="clear" w:color="auto" w:fill="FFFFFF"/>
        </w:rPr>
        <w:t>analyzing</w:t>
      </w:r>
      <w:r w:rsidRPr="004B1142">
        <w:rPr>
          <w:rFonts w:cstheme="minorHAnsi"/>
          <w:color w:val="222222"/>
          <w:shd w:val="clear" w:color="auto" w:fill="FFFFFF"/>
        </w:rPr>
        <w:t xml:space="preserve"> </w:t>
      </w:r>
    </w:p>
    <w:p w:rsidR="00F660D3" w:rsidRPr="004B1142" w:rsidRDefault="00F660D3" w:rsidP="00F660D3">
      <w:pPr>
        <w:pStyle w:val="ListParagraph"/>
        <w:rPr>
          <w:rFonts w:cstheme="minorHAnsi"/>
          <w:color w:val="222222"/>
          <w:shd w:val="clear" w:color="auto" w:fill="FFFFFF"/>
        </w:rPr>
      </w:pPr>
    </w:p>
    <w:p w:rsidR="00F660D3" w:rsidRPr="004B1142" w:rsidRDefault="00F660D3" w:rsidP="00F660D3">
      <w:pPr>
        <w:pStyle w:val="ListParagraph"/>
        <w:ind w:left="1440"/>
        <w:rPr>
          <w:rFonts w:cstheme="minorHAnsi"/>
          <w:i/>
          <w:iCs/>
          <w:noProof/>
          <w:color w:val="222222"/>
          <w:shd w:val="clear" w:color="auto" w:fill="FFFFFF"/>
        </w:rPr>
      </w:pPr>
      <w:r w:rsidRPr="004B1142">
        <w:rPr>
          <w:rFonts w:cstheme="minorHAnsi"/>
          <w:noProof/>
          <w:color w:val="222222"/>
          <w:shd w:val="clear" w:color="auto" w:fill="FFFFFF"/>
        </w:rPr>
        <w:t>mediating</w:t>
      </w:r>
      <w:r w:rsidRPr="004B1142">
        <w:rPr>
          <w:rFonts w:cstheme="minorHAnsi"/>
          <w:color w:val="222222"/>
          <w:shd w:val="clear" w:color="auto" w:fill="FFFFFF"/>
        </w:rPr>
        <w:t xml:space="preserve"> and moderating variables. </w:t>
      </w:r>
      <w:r w:rsidRPr="004B1142">
        <w:rPr>
          <w:rFonts w:cstheme="minorHAnsi"/>
          <w:i/>
          <w:iCs/>
          <w:noProof/>
          <w:color w:val="222222"/>
          <w:shd w:val="clear" w:color="auto" w:fill="FFFFFF"/>
        </w:rPr>
        <w:t xml:space="preserve">Monographs of the Society for Research in Child </w:t>
      </w:r>
    </w:p>
    <w:p w:rsidR="00F660D3" w:rsidRPr="004B1142" w:rsidRDefault="00F660D3" w:rsidP="00F660D3">
      <w:pPr>
        <w:pStyle w:val="ListParagraph"/>
        <w:ind w:left="1440"/>
        <w:rPr>
          <w:rFonts w:cstheme="minorHAnsi"/>
          <w:i/>
          <w:iCs/>
          <w:noProof/>
          <w:color w:val="222222"/>
          <w:shd w:val="clear" w:color="auto" w:fill="FFFFFF"/>
        </w:rPr>
      </w:pPr>
    </w:p>
    <w:p w:rsidR="00F660D3" w:rsidRPr="004B1142" w:rsidRDefault="00F660D3" w:rsidP="00F660D3">
      <w:pPr>
        <w:pStyle w:val="ListParagraph"/>
        <w:ind w:left="1440"/>
        <w:rPr>
          <w:rFonts w:cstheme="minorHAnsi"/>
          <w:noProof/>
        </w:rPr>
      </w:pPr>
      <w:r w:rsidRPr="004B1142">
        <w:rPr>
          <w:rFonts w:cstheme="minorHAnsi"/>
          <w:i/>
          <w:iCs/>
          <w:noProof/>
          <w:color w:val="222222"/>
          <w:shd w:val="clear" w:color="auto" w:fill="FFFFFF"/>
        </w:rPr>
        <w:t>Development</w:t>
      </w:r>
      <w:r w:rsidRPr="004B1142">
        <w:rPr>
          <w:rFonts w:cstheme="minorHAnsi"/>
          <w:noProof/>
          <w:color w:val="222222"/>
          <w:shd w:val="clear" w:color="auto" w:fill="FFFFFF"/>
        </w:rPr>
        <w:t>,</w:t>
      </w:r>
      <w:r w:rsidRPr="004B1142">
        <w:rPr>
          <w:rFonts w:cstheme="minorHAnsi"/>
          <w:color w:val="222222"/>
          <w:shd w:val="clear" w:color="auto" w:fill="FFFFFF"/>
        </w:rPr>
        <w:t> </w:t>
      </w:r>
      <w:r w:rsidRPr="004B1142">
        <w:rPr>
          <w:rFonts w:cstheme="minorHAnsi"/>
          <w:i/>
          <w:iCs/>
          <w:color w:val="222222"/>
          <w:shd w:val="clear" w:color="auto" w:fill="FFFFFF"/>
        </w:rPr>
        <w:t>71</w:t>
      </w:r>
      <w:r w:rsidRPr="004B1142">
        <w:rPr>
          <w:rFonts w:cstheme="minorHAnsi"/>
          <w:color w:val="222222"/>
          <w:shd w:val="clear" w:color="auto" w:fill="FFFFFF"/>
        </w:rPr>
        <w:t xml:space="preserve">(3), 88-104. </w:t>
      </w:r>
      <w:r w:rsidRPr="004B1142">
        <w:rPr>
          <w:rFonts w:cstheme="minorHAnsi"/>
          <w:noProof/>
        </w:rPr>
        <w:t>doi:10.1111/j.1540-5834.2006.00406.x</w:t>
      </w:r>
    </w:p>
    <w:p w:rsidR="00F660D3" w:rsidRPr="004B1142" w:rsidRDefault="00F660D3" w:rsidP="00F660D3">
      <w:pPr>
        <w:pStyle w:val="ListParagraph"/>
        <w:rPr>
          <w:rFonts w:cstheme="minorHAnsi"/>
          <w:noProof/>
        </w:rPr>
      </w:pPr>
    </w:p>
    <w:p w:rsidR="00F660D3" w:rsidRPr="004B1142" w:rsidRDefault="00F660D3" w:rsidP="00F660D3">
      <w:pPr>
        <w:pStyle w:val="ListParagraph"/>
        <w:rPr>
          <w:rFonts w:cstheme="minorHAnsi"/>
          <w:color w:val="222222"/>
          <w:shd w:val="clear" w:color="auto" w:fill="FFFFFF"/>
        </w:rPr>
      </w:pPr>
      <w:r w:rsidRPr="004B1142">
        <w:rPr>
          <w:rFonts w:cstheme="minorHAnsi"/>
          <w:color w:val="222222"/>
          <w:shd w:val="clear" w:color="auto" w:fill="FFFFFF"/>
        </w:rPr>
        <w:t xml:space="preserve">Owens, M., Stevenson, J., Hadwin, J. A., &amp; Norgate, R. (2012). Anxiety and depression in </w:t>
      </w:r>
    </w:p>
    <w:p w:rsidR="00F660D3" w:rsidRPr="004B1142" w:rsidRDefault="00F660D3" w:rsidP="00F660D3">
      <w:pPr>
        <w:pStyle w:val="ListParagraph"/>
        <w:rPr>
          <w:rFonts w:cstheme="minorHAnsi"/>
          <w:color w:val="222222"/>
          <w:shd w:val="clear" w:color="auto" w:fill="FFFFFF"/>
        </w:rPr>
      </w:pPr>
    </w:p>
    <w:p w:rsidR="00F660D3" w:rsidRPr="004B1142" w:rsidRDefault="00F660D3" w:rsidP="00F660D3">
      <w:pPr>
        <w:pStyle w:val="ListParagraph"/>
        <w:ind w:left="1440"/>
        <w:rPr>
          <w:rFonts w:cstheme="minorHAnsi"/>
          <w:color w:val="222222"/>
          <w:shd w:val="clear" w:color="auto" w:fill="FFFFFF"/>
        </w:rPr>
      </w:pPr>
      <w:r w:rsidRPr="004B1142">
        <w:rPr>
          <w:rFonts w:cstheme="minorHAnsi"/>
          <w:color w:val="222222"/>
          <w:shd w:val="clear" w:color="auto" w:fill="FFFFFF"/>
        </w:rPr>
        <w:t xml:space="preserve">academic performance: An exploration of the mediating factors of worry and working </w:t>
      </w:r>
    </w:p>
    <w:p w:rsidR="00F660D3" w:rsidRPr="004B1142" w:rsidRDefault="00F660D3" w:rsidP="00F660D3">
      <w:pPr>
        <w:pStyle w:val="ListParagraph"/>
        <w:ind w:left="1440"/>
        <w:rPr>
          <w:rFonts w:cstheme="minorHAnsi"/>
          <w:color w:val="222222"/>
          <w:shd w:val="clear" w:color="auto" w:fill="FFFFFF"/>
        </w:rPr>
      </w:pPr>
    </w:p>
    <w:p w:rsidR="00F660D3" w:rsidRPr="004B1142" w:rsidRDefault="00F660D3" w:rsidP="00F660D3">
      <w:pPr>
        <w:pStyle w:val="ListParagraph"/>
        <w:ind w:left="1440"/>
        <w:rPr>
          <w:rFonts w:cstheme="minorHAnsi"/>
          <w:color w:val="222222"/>
          <w:shd w:val="clear" w:color="auto" w:fill="FFFFFF"/>
        </w:rPr>
      </w:pPr>
      <w:r w:rsidRPr="004B1142">
        <w:rPr>
          <w:rFonts w:cstheme="minorHAnsi"/>
          <w:color w:val="222222"/>
          <w:shd w:val="clear" w:color="auto" w:fill="FFFFFF"/>
        </w:rPr>
        <w:t>memory. </w:t>
      </w:r>
      <w:r w:rsidRPr="004B1142">
        <w:rPr>
          <w:rFonts w:cstheme="minorHAnsi"/>
          <w:i/>
          <w:iCs/>
          <w:color w:val="222222"/>
          <w:shd w:val="clear" w:color="auto" w:fill="FFFFFF"/>
        </w:rPr>
        <w:t>School Psychology International</w:t>
      </w:r>
      <w:r w:rsidRPr="004B1142">
        <w:rPr>
          <w:rFonts w:cstheme="minorHAnsi"/>
          <w:color w:val="222222"/>
          <w:shd w:val="clear" w:color="auto" w:fill="FFFFFF"/>
        </w:rPr>
        <w:t>, </w:t>
      </w:r>
      <w:r w:rsidRPr="004B1142">
        <w:rPr>
          <w:rFonts w:cstheme="minorHAnsi"/>
          <w:i/>
          <w:iCs/>
          <w:color w:val="222222"/>
          <w:shd w:val="clear" w:color="auto" w:fill="FFFFFF"/>
        </w:rPr>
        <w:t>33</w:t>
      </w:r>
      <w:r w:rsidRPr="004B1142">
        <w:rPr>
          <w:rFonts w:cstheme="minorHAnsi"/>
          <w:color w:val="222222"/>
          <w:shd w:val="clear" w:color="auto" w:fill="FFFFFF"/>
        </w:rPr>
        <w:t>(4), 433-449.</w:t>
      </w:r>
    </w:p>
    <w:p w:rsidR="00F660D3" w:rsidRPr="004B1142" w:rsidRDefault="00F660D3" w:rsidP="00F660D3">
      <w:pPr>
        <w:pStyle w:val="ListParagraph"/>
        <w:ind w:left="1440"/>
        <w:rPr>
          <w:rFonts w:cstheme="minorHAnsi"/>
          <w:noProof/>
        </w:rPr>
      </w:pPr>
    </w:p>
    <w:p w:rsidR="00F660D3" w:rsidRPr="004B1142" w:rsidRDefault="00F660D3" w:rsidP="00F660D3">
      <w:pPr>
        <w:pStyle w:val="ListParagraph"/>
        <w:rPr>
          <w:rFonts w:cstheme="minorHAnsi"/>
          <w:color w:val="222222"/>
          <w:shd w:val="clear" w:color="auto" w:fill="FFFFFF"/>
        </w:rPr>
      </w:pPr>
      <w:r w:rsidRPr="004B1142">
        <w:rPr>
          <w:rFonts w:cstheme="minorHAnsi"/>
          <w:color w:val="222222"/>
          <w:shd w:val="clear" w:color="auto" w:fill="FFFFFF"/>
        </w:rPr>
        <w:t xml:space="preserve">Spielberger, C. D. (2006). Cross-cultural assessment of emotional states and personality </w:t>
      </w:r>
    </w:p>
    <w:p w:rsidR="00F660D3" w:rsidRPr="004B1142" w:rsidRDefault="00F660D3" w:rsidP="00F660D3">
      <w:pPr>
        <w:pStyle w:val="ListParagraph"/>
        <w:rPr>
          <w:rFonts w:cstheme="minorHAnsi"/>
          <w:color w:val="222222"/>
          <w:shd w:val="clear" w:color="auto" w:fill="FFFFFF"/>
        </w:rPr>
      </w:pPr>
    </w:p>
    <w:p w:rsidR="00F660D3" w:rsidRPr="004B1142" w:rsidRDefault="00F660D3" w:rsidP="00F660D3">
      <w:pPr>
        <w:pStyle w:val="ListParagraph"/>
        <w:ind w:left="1440"/>
        <w:rPr>
          <w:rFonts w:cstheme="minorHAnsi"/>
          <w:noProof/>
        </w:rPr>
      </w:pPr>
      <w:r w:rsidRPr="004B1142">
        <w:rPr>
          <w:rFonts w:cstheme="minorHAnsi"/>
          <w:color w:val="222222"/>
          <w:shd w:val="clear" w:color="auto" w:fill="FFFFFF"/>
        </w:rPr>
        <w:t>traits. </w:t>
      </w:r>
      <w:r w:rsidRPr="004B1142">
        <w:rPr>
          <w:rFonts w:cstheme="minorHAnsi"/>
          <w:i/>
          <w:iCs/>
          <w:color w:val="222222"/>
          <w:shd w:val="clear" w:color="auto" w:fill="FFFFFF"/>
        </w:rPr>
        <w:t>European Psychologist</w:t>
      </w:r>
      <w:r w:rsidRPr="004B1142">
        <w:rPr>
          <w:rFonts w:cstheme="minorHAnsi"/>
          <w:color w:val="222222"/>
          <w:shd w:val="clear" w:color="auto" w:fill="FFFFFF"/>
        </w:rPr>
        <w:t>, </w:t>
      </w:r>
      <w:r w:rsidRPr="004B1142">
        <w:rPr>
          <w:rFonts w:cstheme="minorHAnsi"/>
          <w:i/>
          <w:iCs/>
          <w:color w:val="222222"/>
          <w:shd w:val="clear" w:color="auto" w:fill="FFFFFF"/>
        </w:rPr>
        <w:t>11</w:t>
      </w:r>
      <w:r w:rsidRPr="004B1142">
        <w:rPr>
          <w:rFonts w:cstheme="minorHAnsi"/>
          <w:color w:val="222222"/>
          <w:shd w:val="clear" w:color="auto" w:fill="FFFFFF"/>
        </w:rPr>
        <w:t xml:space="preserve">(4), 297-303. doi: </w:t>
      </w:r>
      <w:r w:rsidRPr="004B1142">
        <w:rPr>
          <w:rFonts w:cstheme="minorHAnsi"/>
          <w:noProof/>
        </w:rPr>
        <w:t>10.1027/1016-9040.11.4.297</w:t>
      </w:r>
    </w:p>
    <w:p w:rsidR="00FC466E" w:rsidRPr="004B1142" w:rsidRDefault="00FC466E">
      <w:pPr>
        <w:rPr>
          <w:rFonts w:cstheme="minorHAnsi"/>
        </w:rPr>
      </w:pPr>
    </w:p>
    <w:p w:rsidR="007E0C90" w:rsidRPr="004B1142" w:rsidRDefault="007E0C90">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rsidP="001C4336">
      <w:pPr>
        <w:jc w:val="center"/>
        <w:rPr>
          <w:rFonts w:cstheme="minorHAnsi"/>
        </w:rPr>
      </w:pPr>
      <w:r w:rsidRPr="004B1142">
        <w:rPr>
          <w:rFonts w:cstheme="minorHAnsi"/>
        </w:rPr>
        <w:lastRenderedPageBreak/>
        <w:t>References</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rPr>
          <w:rFonts w:cstheme="minorHAnsi"/>
          <w:shd w:val="clear" w:color="auto" w:fill="FFFFFF"/>
        </w:rPr>
      </w:pPr>
      <w:r w:rsidRPr="004B1142">
        <w:rPr>
          <w:rFonts w:cstheme="minorHAnsi"/>
          <w:shd w:val="clear" w:color="auto" w:fill="FFFFFF"/>
        </w:rPr>
        <w:t xml:space="preserve">Bzdok, D., Hartwigsen, G., Reid, A., Laird, A. R., Fox, P. T., &amp; Eickhoff, S. B. (2016). Left inferior parietal </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ind w:left="720"/>
        <w:rPr>
          <w:rFonts w:cstheme="minorHAnsi"/>
          <w:shd w:val="clear" w:color="auto" w:fill="FFFFFF"/>
        </w:rPr>
      </w:pPr>
      <w:r w:rsidRPr="004B1142">
        <w:rPr>
          <w:rFonts w:cstheme="minorHAnsi"/>
          <w:shd w:val="clear" w:color="auto" w:fill="FFFFFF"/>
        </w:rPr>
        <w:t>lobe engagement in social cognition and language. </w:t>
      </w:r>
      <w:r w:rsidRPr="004B1142">
        <w:rPr>
          <w:rFonts w:cstheme="minorHAnsi"/>
          <w:i/>
          <w:iCs/>
          <w:shd w:val="clear" w:color="auto" w:fill="FFFFFF"/>
        </w:rPr>
        <w:t>Neuroscience &amp; Biobehavioral Reviews</w:t>
      </w:r>
      <w:r w:rsidRPr="004B1142">
        <w:rPr>
          <w:rFonts w:cstheme="minorHAnsi"/>
          <w:shd w:val="clear" w:color="auto" w:fill="FFFFFF"/>
        </w:rPr>
        <w:t>, </w:t>
      </w:r>
      <w:r w:rsidRPr="004B1142">
        <w:rPr>
          <w:rFonts w:cstheme="minorHAnsi"/>
          <w:i/>
          <w:iCs/>
          <w:shd w:val="clear" w:color="auto" w:fill="FFFFFF"/>
        </w:rPr>
        <w:t>68</w:t>
      </w:r>
      <w:r w:rsidRPr="004B1142">
        <w:rPr>
          <w:rFonts w:cstheme="minorHAnsi"/>
          <w:shd w:val="clear" w:color="auto" w:fill="FFFFFF"/>
        </w:rPr>
        <w:t xml:space="preserve">, </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ind w:left="720"/>
        <w:rPr>
          <w:rFonts w:cstheme="minorHAnsi"/>
        </w:rPr>
      </w:pPr>
      <w:r w:rsidRPr="004B1142">
        <w:rPr>
          <w:rFonts w:cstheme="minorHAnsi"/>
          <w:shd w:val="clear" w:color="auto" w:fill="FFFFFF"/>
        </w:rPr>
        <w:t xml:space="preserve">319-334. </w:t>
      </w:r>
      <w:r w:rsidRPr="004B1142">
        <w:rPr>
          <w:rFonts w:cstheme="minorHAnsi"/>
        </w:rPr>
        <w:t xml:space="preserve"> doi: 10.1016/j.neubiorev.2016.02.024</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i/>
        </w:rPr>
      </w:pPr>
      <w:r w:rsidRPr="004B1142">
        <w:rPr>
          <w:rFonts w:eastAsia="Times New Roman" w:cstheme="minorHAnsi"/>
        </w:rPr>
        <w:t>Chakkalackal, L.</w:t>
      </w:r>
      <w:r w:rsidRPr="004B1142">
        <w:rPr>
          <w:rFonts w:cstheme="minorHAnsi"/>
        </w:rPr>
        <w:t xml:space="preserve">, Kandola, A., &amp; Tracy, D. (2017). </w:t>
      </w:r>
      <w:r w:rsidRPr="004B1142">
        <w:rPr>
          <w:rFonts w:cstheme="minorHAnsi"/>
          <w:i/>
        </w:rPr>
        <w:t>Computerised cognitive behavioural therapy.</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[Audio podcast]. Retrieved 10 September 2017 from http://www.mentalhealth.org.uk</w:t>
      </w:r>
      <w:r w:rsidRPr="004B1142">
        <w:rPr>
          <w:rFonts w:cstheme="minorHAnsi"/>
        </w:rPr>
        <w:br/>
      </w:r>
      <w:r w:rsidRPr="004B1142">
        <w:rPr>
          <w:rFonts w:cstheme="minorHAnsi"/>
        </w:rPr>
        <w:br/>
        <w:t>/podcasts-and-videos/computerised-cognitive</w:t>
      </w:r>
      <w:r w:rsidR="00266CE6" w:rsidRPr="004B1142">
        <w:rPr>
          <w:rFonts w:cstheme="minorHAnsi"/>
        </w:rPr>
        <w:t>-</w:t>
      </w:r>
      <w:r w:rsidRPr="004B1142">
        <w:rPr>
          <w:rFonts w:cstheme="minorHAnsi"/>
        </w:rPr>
        <w:t>behavioural-therapy</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rPr>
          <w:rFonts w:cstheme="minorHAnsi"/>
          <w:shd w:val="clear" w:color="auto" w:fill="FFFFFF"/>
        </w:rPr>
      </w:pPr>
      <w:r w:rsidRPr="004B1142">
        <w:rPr>
          <w:rFonts w:cstheme="minorHAnsi"/>
          <w:shd w:val="clear" w:color="auto" w:fill="FFFFFF"/>
        </w:rPr>
        <w:t>Cromby, J., Harper, D., &amp; Reavey, P. (2013). </w:t>
      </w:r>
      <w:r w:rsidRPr="004B1142">
        <w:rPr>
          <w:rFonts w:cstheme="minorHAnsi"/>
          <w:i/>
          <w:iCs/>
          <w:shd w:val="clear" w:color="auto" w:fill="FFFFFF"/>
        </w:rPr>
        <w:t>Psychology, mental health and distress</w:t>
      </w:r>
      <w:r w:rsidRPr="004B1142">
        <w:rPr>
          <w:rFonts w:cstheme="minorHAnsi"/>
          <w:shd w:val="clear" w:color="auto" w:fill="FFFFFF"/>
        </w:rPr>
        <w:t xml:space="preserve">. </w:t>
      </w:r>
      <w:r w:rsidRPr="004B1142">
        <w:rPr>
          <w:rFonts w:cstheme="minorHAnsi"/>
        </w:rPr>
        <w:t>New York City, NY:</w:t>
      </w:r>
      <w:r w:rsidRPr="004B1142">
        <w:rPr>
          <w:rFonts w:cstheme="minorHAnsi"/>
          <w:shd w:val="clear" w:color="auto" w:fill="FFFFFF"/>
        </w:rPr>
        <w:t xml:space="preserve"> </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ind w:left="720"/>
        <w:rPr>
          <w:rFonts w:cstheme="minorHAnsi"/>
          <w:shd w:val="clear" w:color="auto" w:fill="FFFFFF"/>
        </w:rPr>
      </w:pPr>
      <w:r w:rsidRPr="004B1142">
        <w:rPr>
          <w:rFonts w:cstheme="minorHAnsi"/>
          <w:shd w:val="clear" w:color="auto" w:fill="FFFFFF"/>
        </w:rPr>
        <w:t>Palgrave Macmillan.</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rPr>
          <w:rFonts w:cstheme="minorHAnsi"/>
          <w:shd w:val="clear" w:color="auto" w:fill="FFFFFF"/>
        </w:rPr>
      </w:pPr>
      <w:r w:rsidRPr="004B1142">
        <w:rPr>
          <w:rFonts w:cstheme="minorHAnsi"/>
          <w:shd w:val="clear" w:color="auto" w:fill="FFFFFF"/>
        </w:rPr>
        <w:t>Davey, G. (2008). </w:t>
      </w:r>
      <w:r w:rsidRPr="004B1142">
        <w:rPr>
          <w:rFonts w:cstheme="minorHAnsi"/>
          <w:i/>
          <w:iCs/>
          <w:shd w:val="clear" w:color="auto" w:fill="FFFFFF"/>
        </w:rPr>
        <w:t>Psychopathology: Research, assessment and treatment in clinical psychology</w:t>
      </w:r>
      <w:r w:rsidRPr="004B1142">
        <w:rPr>
          <w:rFonts w:cstheme="minorHAnsi"/>
          <w:shd w:val="clear" w:color="auto" w:fill="FFFFFF"/>
        </w:rPr>
        <w:t xml:space="preserve">. </w:t>
      </w:r>
    </w:p>
    <w:p w:rsidR="001C4336" w:rsidRPr="004B1142" w:rsidRDefault="001C4336" w:rsidP="001C4336">
      <w:pPr>
        <w:spacing w:after="0"/>
        <w:rPr>
          <w:rFonts w:cstheme="minorHAnsi"/>
        </w:rPr>
      </w:pPr>
    </w:p>
    <w:p w:rsidR="001C4336" w:rsidRPr="004B1142" w:rsidRDefault="005F504F" w:rsidP="001C4336">
      <w:pPr>
        <w:spacing w:after="0"/>
        <w:ind w:left="720"/>
        <w:rPr>
          <w:rFonts w:cstheme="minorHAnsi"/>
        </w:rPr>
      </w:pPr>
      <w:hyperlink r:id="rId6" w:history="1">
        <w:r w:rsidR="001C4336" w:rsidRPr="004B1142">
          <w:rPr>
            <w:rFonts w:cstheme="minorHAnsi"/>
          </w:rPr>
          <w:t>Hoboken,</w:t>
        </w:r>
      </w:hyperlink>
      <w:r w:rsidR="001C4336" w:rsidRPr="004B1142">
        <w:rPr>
          <w:rFonts w:cstheme="minorHAnsi"/>
        </w:rPr>
        <w:t xml:space="preserve"> NJ: Wiley-Blackwell.</w:t>
      </w:r>
    </w:p>
    <w:p w:rsidR="001C4336" w:rsidRPr="004B1142" w:rsidRDefault="001C4336" w:rsidP="001C4336">
      <w:pPr>
        <w:spacing w:after="0"/>
        <w:rPr>
          <w:rFonts w:cstheme="minorHAnsi"/>
        </w:rPr>
      </w:pPr>
    </w:p>
    <w:p w:rsidR="001C4336" w:rsidRPr="004B1142" w:rsidRDefault="001C4336" w:rsidP="001C4336">
      <w:pPr>
        <w:spacing w:after="0"/>
        <w:rPr>
          <w:rFonts w:cstheme="minorHAnsi"/>
        </w:rPr>
      </w:pPr>
      <w:r w:rsidRPr="004B1142">
        <w:rPr>
          <w:rFonts w:cstheme="minorHAnsi"/>
        </w:rPr>
        <w:t xml:space="preserve">Day, S. (2015, September). </w:t>
      </w:r>
      <w:r w:rsidRPr="004B1142">
        <w:rPr>
          <w:rFonts w:cstheme="minorHAnsi"/>
          <w:i/>
        </w:rPr>
        <w:t xml:space="preserve">Families experience of Poverty Stigma in Education. </w:t>
      </w:r>
      <w:r w:rsidRPr="004B1142">
        <w:rPr>
          <w:rFonts w:cstheme="minorHAnsi"/>
        </w:rPr>
        <w:t xml:space="preserve">Oral presentation at </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 xml:space="preserve">British Psychological Society, Developmental Section and Social Section Annual Conference.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Manchester, England.</w:t>
      </w:r>
    </w:p>
    <w:p w:rsidR="001C4336" w:rsidRPr="004B1142" w:rsidRDefault="001C4336" w:rsidP="001C4336">
      <w:pPr>
        <w:spacing w:after="0"/>
        <w:ind w:left="720"/>
        <w:rPr>
          <w:rFonts w:cstheme="minorHAnsi"/>
          <w:shd w:val="clear" w:color="auto" w:fill="FFFFFF"/>
        </w:rPr>
      </w:pPr>
      <w:bookmarkStart w:id="1" w:name="_Hlk497386435"/>
    </w:p>
    <w:bookmarkEnd w:id="1"/>
    <w:p w:rsidR="001C4336" w:rsidRPr="004B1142" w:rsidRDefault="001C4336" w:rsidP="001C4336">
      <w:pPr>
        <w:spacing w:after="0"/>
        <w:rPr>
          <w:rFonts w:cstheme="minorHAnsi"/>
        </w:rPr>
      </w:pPr>
      <w:r w:rsidRPr="004B1142">
        <w:rPr>
          <w:rFonts w:cstheme="minorHAnsi"/>
        </w:rPr>
        <w:t xml:space="preserve">Evans, L., Mitchell, I.D., &amp; Jones, S. (2006). Psychological Response to </w:t>
      </w:r>
      <w:r w:rsidRPr="00ED45E6">
        <w:rPr>
          <w:rFonts w:cstheme="minorHAnsi"/>
          <w:noProof/>
        </w:rPr>
        <w:t>Sport</w:t>
      </w:r>
      <w:r w:rsidRPr="004B1142">
        <w:rPr>
          <w:rFonts w:cstheme="minorHAnsi"/>
        </w:rPr>
        <w:t xml:space="preserve"> Injury. In S. Hanton and S.D. </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 xml:space="preserve">Mellalieu (Eds.), </w:t>
      </w:r>
      <w:r w:rsidRPr="004B1142">
        <w:rPr>
          <w:rFonts w:cstheme="minorHAnsi"/>
          <w:i/>
        </w:rPr>
        <w:t xml:space="preserve">Literature reviews in </w:t>
      </w:r>
      <w:r w:rsidRPr="00ED45E6">
        <w:rPr>
          <w:rFonts w:cstheme="minorHAnsi"/>
          <w:i/>
          <w:noProof/>
        </w:rPr>
        <w:t>Sport</w:t>
      </w:r>
      <w:r w:rsidRPr="004B1142">
        <w:rPr>
          <w:rFonts w:cstheme="minorHAnsi"/>
          <w:i/>
        </w:rPr>
        <w:t xml:space="preserve"> Psychology</w:t>
      </w:r>
      <w:r w:rsidRPr="004B1142">
        <w:rPr>
          <w:rFonts w:cstheme="minorHAnsi"/>
        </w:rPr>
        <w:t xml:space="preserve"> (pp. 289-319). Hauppauge, NY: Nova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highlight w:val="yellow"/>
          <w:shd w:val="clear" w:color="auto" w:fill="FFFFFF"/>
        </w:rPr>
      </w:pPr>
      <w:r w:rsidRPr="004B1142">
        <w:rPr>
          <w:rFonts w:cstheme="minorHAnsi"/>
        </w:rPr>
        <w:t>Science Publishers.</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rPr>
          <w:rFonts w:cstheme="minorHAnsi"/>
          <w:shd w:val="clear" w:color="auto" w:fill="FFFFFF"/>
        </w:rPr>
      </w:pPr>
      <w:r w:rsidRPr="004B1142">
        <w:rPr>
          <w:rFonts w:cstheme="minorHAnsi"/>
          <w:shd w:val="clear" w:color="auto" w:fill="FFFFFF"/>
        </w:rPr>
        <w:t>Geekie, J., &amp; Read, J. (2009). </w:t>
      </w:r>
      <w:r w:rsidRPr="004B1142">
        <w:rPr>
          <w:rFonts w:cstheme="minorHAnsi"/>
          <w:i/>
          <w:iCs/>
          <w:shd w:val="clear" w:color="auto" w:fill="FFFFFF"/>
        </w:rPr>
        <w:t>Making sense of madness: Contesting the meaning of schizophrenia</w:t>
      </w:r>
      <w:r w:rsidRPr="004B1142">
        <w:rPr>
          <w:rFonts w:cstheme="minorHAnsi"/>
          <w:shd w:val="clear" w:color="auto" w:fill="FFFFFF"/>
        </w:rPr>
        <w:t xml:space="preserve">. </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 xml:space="preserve">[e-book]. </w:t>
      </w:r>
      <w:r w:rsidRPr="004B1142">
        <w:rPr>
          <w:rFonts w:cstheme="minorHAnsi"/>
          <w:shd w:val="clear" w:color="auto" w:fill="FFFFFF"/>
        </w:rPr>
        <w:t xml:space="preserve">London, England: Routledge, Taylor &amp; Francis. </w:t>
      </w:r>
      <w:r w:rsidRPr="004B1142">
        <w:rPr>
          <w:rFonts w:cstheme="minorHAnsi"/>
        </w:rPr>
        <w:t xml:space="preserve">Retrieved from </w:t>
      </w:r>
    </w:p>
    <w:p w:rsidR="001C4336" w:rsidRPr="004B1142" w:rsidRDefault="001C4336" w:rsidP="001C4336">
      <w:pPr>
        <w:spacing w:after="0"/>
        <w:rPr>
          <w:rFonts w:cstheme="minorHAnsi"/>
          <w:color w:val="000000" w:themeColor="text1"/>
        </w:rPr>
      </w:pPr>
    </w:p>
    <w:p w:rsidR="001C4336" w:rsidRPr="004B1142" w:rsidRDefault="001C4336" w:rsidP="001C4336">
      <w:pPr>
        <w:spacing w:after="0"/>
        <w:ind w:left="720"/>
        <w:rPr>
          <w:rFonts w:cstheme="minorHAnsi"/>
          <w:color w:val="000000" w:themeColor="text1"/>
        </w:rPr>
      </w:pPr>
      <w:r w:rsidRPr="004B1142">
        <w:rPr>
          <w:rFonts w:cstheme="minorHAnsi"/>
          <w:color w:val="000000" w:themeColor="text1"/>
          <w:shd w:val="clear" w:color="auto" w:fill="FFFFFF"/>
        </w:rPr>
        <w:t>http://www.tandfebooks.com/doi/view/10.4324/9780203878422</w:t>
      </w:r>
    </w:p>
    <w:p w:rsidR="001C4336" w:rsidRPr="004B1142" w:rsidRDefault="001C4336" w:rsidP="001C4336">
      <w:pPr>
        <w:spacing w:after="0"/>
        <w:rPr>
          <w:rFonts w:cstheme="minorHAnsi"/>
          <w:b/>
        </w:rPr>
      </w:pPr>
    </w:p>
    <w:p w:rsidR="001C4336" w:rsidRPr="004B1142" w:rsidRDefault="001C4336" w:rsidP="001C4336">
      <w:pPr>
        <w:spacing w:after="0"/>
        <w:rPr>
          <w:rFonts w:cstheme="minorHAnsi"/>
          <w:color w:val="222222"/>
          <w:shd w:val="clear" w:color="auto" w:fill="FFFFFF"/>
        </w:rPr>
      </w:pPr>
      <w:r w:rsidRPr="004B1142">
        <w:rPr>
          <w:rFonts w:cstheme="minorHAnsi"/>
          <w:color w:val="222222"/>
          <w:shd w:val="clear" w:color="auto" w:fill="FFFFFF"/>
        </w:rPr>
        <w:t>Gigliotti, D. (Producer), &amp; Russell, D. O. (Director). (2012). </w:t>
      </w:r>
      <w:r w:rsidRPr="004B1142">
        <w:rPr>
          <w:rFonts w:cstheme="minorHAnsi"/>
          <w:i/>
          <w:iCs/>
          <w:color w:val="222222"/>
          <w:shd w:val="clear" w:color="auto" w:fill="FFFFFF"/>
        </w:rPr>
        <w:t>Silver linings playbook</w:t>
      </w:r>
      <w:r w:rsidRPr="004B1142">
        <w:rPr>
          <w:rFonts w:cstheme="minorHAnsi"/>
          <w:color w:val="222222"/>
          <w:shd w:val="clear" w:color="auto" w:fill="FFFFFF"/>
        </w:rPr>
        <w:t xml:space="preserve">. [Motion picture]. New </w:t>
      </w:r>
    </w:p>
    <w:p w:rsidR="001C4336" w:rsidRPr="004B1142" w:rsidRDefault="001C4336" w:rsidP="001C4336">
      <w:pPr>
        <w:spacing w:after="0"/>
        <w:rPr>
          <w:rFonts w:cstheme="minorHAnsi"/>
          <w:color w:val="222222"/>
          <w:shd w:val="clear" w:color="auto" w:fill="FFFFFF"/>
        </w:rPr>
      </w:pPr>
    </w:p>
    <w:p w:rsidR="001C4336" w:rsidRPr="004B1142" w:rsidRDefault="001C4336" w:rsidP="001C4336">
      <w:pPr>
        <w:spacing w:after="0"/>
        <w:ind w:left="720"/>
        <w:rPr>
          <w:rFonts w:cstheme="minorHAnsi"/>
        </w:rPr>
      </w:pPr>
      <w:r w:rsidRPr="004B1142">
        <w:rPr>
          <w:rFonts w:cstheme="minorHAnsi"/>
          <w:color w:val="222222"/>
          <w:shd w:val="clear" w:color="auto" w:fill="FFFFFF"/>
        </w:rPr>
        <w:t>York City, NY: The Weinstein Company (TWC).</w:t>
      </w:r>
    </w:p>
    <w:p w:rsidR="001C4336" w:rsidRPr="004B1142" w:rsidRDefault="001C4336" w:rsidP="001C4336">
      <w:pPr>
        <w:spacing w:after="0"/>
        <w:ind w:left="720"/>
        <w:rPr>
          <w:rFonts w:cstheme="minorHAnsi"/>
        </w:rPr>
      </w:pPr>
    </w:p>
    <w:p w:rsidR="001C4336" w:rsidRPr="004B1142" w:rsidRDefault="001C4336" w:rsidP="001C4336">
      <w:pPr>
        <w:pStyle w:val="HTMLPreformatted"/>
        <w:rPr>
          <w:rFonts w:asciiTheme="minorHAnsi" w:hAnsiTheme="minorHAnsi" w:cstheme="minorHAnsi"/>
          <w:sz w:val="22"/>
          <w:szCs w:val="22"/>
          <w:shd w:val="clear" w:color="auto" w:fill="FFFFFF"/>
        </w:rPr>
      </w:pPr>
      <w:r w:rsidRPr="004B1142">
        <w:rPr>
          <w:rFonts w:asciiTheme="minorHAnsi" w:hAnsiTheme="minorHAnsi" w:cstheme="minorHAnsi"/>
          <w:sz w:val="22"/>
          <w:szCs w:val="22"/>
          <w:shd w:val="clear" w:color="auto" w:fill="FFFFFF"/>
        </w:rPr>
        <w:lastRenderedPageBreak/>
        <w:t>Hefferon, K., &amp; Boniwell, I. (2011). </w:t>
      </w:r>
      <w:r w:rsidRPr="004B1142">
        <w:rPr>
          <w:rFonts w:asciiTheme="minorHAnsi" w:hAnsiTheme="minorHAnsi" w:cstheme="minorHAnsi"/>
          <w:i/>
          <w:iCs/>
          <w:sz w:val="22"/>
          <w:szCs w:val="22"/>
          <w:shd w:val="clear" w:color="auto" w:fill="FFFFFF"/>
        </w:rPr>
        <w:t>Positive Psychology: Theory, research and applications</w:t>
      </w:r>
      <w:r w:rsidRPr="004B1142">
        <w:rPr>
          <w:rFonts w:asciiTheme="minorHAnsi" w:hAnsiTheme="minorHAnsi" w:cstheme="minorHAnsi"/>
          <w:sz w:val="22"/>
          <w:szCs w:val="22"/>
          <w:shd w:val="clear" w:color="auto" w:fill="FFFFFF"/>
        </w:rPr>
        <w:t xml:space="preserve">. </w:t>
      </w:r>
    </w:p>
    <w:p w:rsidR="001C4336" w:rsidRPr="004B1142" w:rsidRDefault="001C4336" w:rsidP="001C4336">
      <w:pPr>
        <w:pStyle w:val="HTMLPreformatted"/>
        <w:rPr>
          <w:rFonts w:asciiTheme="minorHAnsi" w:hAnsiTheme="minorHAnsi" w:cstheme="minorHAnsi"/>
          <w:sz w:val="22"/>
          <w:szCs w:val="22"/>
          <w:shd w:val="clear" w:color="auto" w:fill="FFFFFF"/>
        </w:rPr>
      </w:pPr>
    </w:p>
    <w:p w:rsidR="001C4336" w:rsidRPr="004B1142" w:rsidRDefault="001C4336" w:rsidP="001C4336">
      <w:pPr>
        <w:spacing w:after="0"/>
        <w:ind w:left="720"/>
        <w:rPr>
          <w:rFonts w:cstheme="minorHAnsi"/>
          <w:shd w:val="clear" w:color="auto" w:fill="FFFFFF"/>
        </w:rPr>
      </w:pPr>
      <w:r w:rsidRPr="004B1142">
        <w:rPr>
          <w:rFonts w:cstheme="minorHAnsi"/>
          <w:shd w:val="clear" w:color="auto" w:fill="FFFFFF"/>
        </w:rPr>
        <w:t>New York, NY: Open University Press.</w:t>
      </w:r>
      <w:r w:rsidR="0002329B">
        <w:rPr>
          <w:rStyle w:val="FootnoteReference"/>
          <w:rFonts w:cstheme="minorHAnsi"/>
          <w:shd w:val="clear" w:color="auto" w:fill="FFFFFF"/>
        </w:rPr>
        <w:footnoteReference w:id="1"/>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rPr>
      </w:pPr>
      <w:r w:rsidRPr="004B1142">
        <w:rPr>
          <w:rFonts w:cstheme="minorHAnsi"/>
        </w:rPr>
        <w:t xml:space="preserve">Holt, M. (2017). </w:t>
      </w:r>
      <w:r w:rsidRPr="004B1142">
        <w:rPr>
          <w:rFonts w:cstheme="minorHAnsi"/>
          <w:i/>
        </w:rPr>
        <w:t xml:space="preserve">Bullying and suicide: What’s the connection? </w:t>
      </w:r>
      <w:r w:rsidRPr="004B1142">
        <w:rPr>
          <w:rFonts w:cstheme="minorHAnsi"/>
        </w:rPr>
        <w:t xml:space="preserve">Retrieved from </w:t>
      </w:r>
    </w:p>
    <w:p w:rsidR="001C4336" w:rsidRPr="004B1142" w:rsidRDefault="001C4336" w:rsidP="001C4336">
      <w:pPr>
        <w:spacing w:after="0"/>
        <w:rPr>
          <w:rFonts w:cstheme="minorHAnsi"/>
          <w:color w:val="000000" w:themeColor="text1"/>
        </w:rPr>
      </w:pPr>
    </w:p>
    <w:p w:rsidR="001C4336" w:rsidRPr="004B1142" w:rsidRDefault="001C4336" w:rsidP="001C4336">
      <w:pPr>
        <w:spacing w:after="0"/>
        <w:ind w:left="720"/>
        <w:rPr>
          <w:rFonts w:cstheme="minorHAnsi"/>
          <w:color w:val="000000" w:themeColor="text1"/>
        </w:rPr>
      </w:pPr>
      <w:r w:rsidRPr="004B1142">
        <w:rPr>
          <w:rFonts w:cstheme="minorHAnsi"/>
          <w:color w:val="000000" w:themeColor="text1"/>
        </w:rPr>
        <w:t>http://theconversation.com/bullying-and-suicide-whats-the-connection-82353</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rPr>
      </w:pPr>
      <w:r w:rsidRPr="004B1142">
        <w:rPr>
          <w:rFonts w:cstheme="minorHAnsi"/>
        </w:rPr>
        <w:t xml:space="preserve">Marsh, S. (2017, July 31). Eating disorders in men rise by 70% in NHS figures. </w:t>
      </w:r>
      <w:r w:rsidRPr="004B1142">
        <w:rPr>
          <w:rFonts w:cstheme="minorHAnsi"/>
          <w:i/>
        </w:rPr>
        <w:t xml:space="preserve">The Guardian. </w:t>
      </w:r>
      <w:r w:rsidRPr="004B1142">
        <w:rPr>
          <w:rFonts w:cstheme="minorHAnsi"/>
        </w:rPr>
        <w:t xml:space="preserve">Retrieved </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fro</w:t>
      </w:r>
      <w:r w:rsidRPr="004B1142">
        <w:rPr>
          <w:rFonts w:cstheme="minorHAnsi"/>
          <w:color w:val="000000" w:themeColor="text1"/>
        </w:rPr>
        <w:t xml:space="preserve">m </w:t>
      </w:r>
      <w:hyperlink r:id="rId7" w:history="1">
        <w:r w:rsidRPr="004B1142">
          <w:rPr>
            <w:rStyle w:val="Hyperlink"/>
            <w:rFonts w:cstheme="minorHAnsi"/>
            <w:color w:val="000000" w:themeColor="text1"/>
          </w:rPr>
          <w:t>https://www.theguardian.com</w:t>
        </w:r>
      </w:hyperlink>
    </w:p>
    <w:p w:rsidR="001C4336" w:rsidRPr="004B1142" w:rsidRDefault="001C4336" w:rsidP="001C4336">
      <w:pPr>
        <w:spacing w:after="0"/>
        <w:rPr>
          <w:rFonts w:cstheme="minorHAnsi"/>
        </w:rPr>
      </w:pPr>
    </w:p>
    <w:p w:rsidR="001C4336" w:rsidRPr="004B1142" w:rsidRDefault="001C4336" w:rsidP="001C4336">
      <w:pPr>
        <w:spacing w:after="0"/>
        <w:rPr>
          <w:rFonts w:cstheme="minorHAnsi"/>
          <w:iCs/>
          <w:color w:val="000000"/>
          <w:bdr w:val="none" w:sz="0" w:space="0" w:color="auto" w:frame="1"/>
          <w:shd w:val="clear" w:color="auto" w:fill="FFFFFF"/>
        </w:rPr>
      </w:pPr>
      <w:r w:rsidRPr="004B1142">
        <w:rPr>
          <w:rFonts w:cstheme="minorHAnsi"/>
          <w:color w:val="000000"/>
          <w:shd w:val="clear" w:color="auto" w:fill="FFFFFF"/>
        </w:rPr>
        <w:t xml:space="preserve">Mohamed, S. (2011). </w:t>
      </w:r>
      <w:r w:rsidRPr="004B1142">
        <w:rPr>
          <w:rFonts w:cstheme="minorHAnsi"/>
          <w:i/>
          <w:iCs/>
          <w:color w:val="000000"/>
          <w:bdr w:val="none" w:sz="0" w:space="0" w:color="auto" w:frame="1"/>
          <w:shd w:val="clear" w:color="auto" w:fill="FFFFFF"/>
        </w:rPr>
        <w:t xml:space="preserve">Stigma and Mental Illness: Are There Cultural Differences? </w:t>
      </w:r>
      <w:r w:rsidRPr="004B1142">
        <w:rPr>
          <w:rFonts w:cstheme="minorHAnsi"/>
          <w:iCs/>
          <w:color w:val="000000"/>
          <w:bdr w:val="none" w:sz="0" w:space="0" w:color="auto" w:frame="1"/>
          <w:shd w:val="clear" w:color="auto" w:fill="FFFFFF"/>
        </w:rPr>
        <w:t xml:space="preserve">(Doctoral dissertation, </w:t>
      </w:r>
    </w:p>
    <w:p w:rsidR="001C4336" w:rsidRPr="004B1142" w:rsidRDefault="001C4336" w:rsidP="001C4336">
      <w:pPr>
        <w:spacing w:after="0"/>
        <w:rPr>
          <w:rFonts w:cstheme="minorHAnsi"/>
          <w:color w:val="000000"/>
          <w:shd w:val="clear" w:color="auto" w:fill="FFFFFF"/>
        </w:rPr>
      </w:pPr>
    </w:p>
    <w:p w:rsidR="001C4336" w:rsidRPr="004B1142" w:rsidRDefault="001C4336" w:rsidP="001C4336">
      <w:pPr>
        <w:spacing w:after="0"/>
        <w:ind w:left="720"/>
        <w:rPr>
          <w:rFonts w:cstheme="minorHAnsi"/>
          <w:color w:val="000000"/>
          <w:shd w:val="clear" w:color="auto" w:fill="FFFFFF"/>
        </w:rPr>
      </w:pPr>
      <w:r w:rsidRPr="004B1142">
        <w:rPr>
          <w:rFonts w:cstheme="minorHAnsi"/>
          <w:color w:val="000000"/>
          <w:shd w:val="clear" w:color="auto" w:fill="FFFFFF"/>
        </w:rPr>
        <w:t>University of East Anglia</w:t>
      </w:r>
      <w:r w:rsidRPr="004B1142">
        <w:rPr>
          <w:rFonts w:cstheme="minorHAnsi"/>
          <w:iCs/>
          <w:color w:val="000000"/>
          <w:bdr w:val="none" w:sz="0" w:space="0" w:color="auto" w:frame="1"/>
          <w:shd w:val="clear" w:color="auto" w:fill="FFFFFF"/>
        </w:rPr>
        <w:t xml:space="preserve">, </w:t>
      </w:r>
      <w:r w:rsidRPr="004B1142">
        <w:rPr>
          <w:rFonts w:cstheme="minorHAnsi"/>
          <w:color w:val="000000"/>
          <w:shd w:val="clear" w:color="auto" w:fill="FFFFFF"/>
        </w:rPr>
        <w:t xml:space="preserve">Norwich, UK). Available from British Library, EThOS, </w:t>
      </w:r>
    </w:p>
    <w:p w:rsidR="001C4336" w:rsidRPr="004B1142" w:rsidRDefault="001C4336" w:rsidP="001C4336">
      <w:pPr>
        <w:spacing w:after="0"/>
        <w:ind w:left="720"/>
        <w:rPr>
          <w:rFonts w:cstheme="minorHAnsi"/>
          <w:color w:val="000000"/>
          <w:shd w:val="clear" w:color="auto" w:fill="FFFFFF"/>
        </w:rPr>
      </w:pPr>
    </w:p>
    <w:p w:rsidR="001C4336" w:rsidRPr="004B1142" w:rsidRDefault="001C4336" w:rsidP="001C4336">
      <w:pPr>
        <w:spacing w:after="0"/>
        <w:ind w:left="720"/>
        <w:rPr>
          <w:rFonts w:cstheme="minorHAnsi"/>
        </w:rPr>
      </w:pPr>
      <w:r w:rsidRPr="004B1142">
        <w:rPr>
          <w:rFonts w:cstheme="minorHAnsi"/>
          <w:color w:val="000000"/>
          <w:shd w:val="clear" w:color="auto" w:fill="FFFFFF"/>
        </w:rPr>
        <w:t>(</w:t>
      </w:r>
      <w:r w:rsidRPr="00ED45E6">
        <w:rPr>
          <w:rFonts w:cstheme="minorHAnsi"/>
          <w:noProof/>
        </w:rPr>
        <w:t>uk</w:t>
      </w:r>
      <w:r w:rsidRPr="004B1142">
        <w:rPr>
          <w:rFonts w:cstheme="minorHAnsi"/>
        </w:rPr>
        <w:t>.bl.ethos.573771)</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i/>
        </w:rPr>
      </w:pPr>
      <w:r w:rsidRPr="004B1142">
        <w:rPr>
          <w:rFonts w:cstheme="minorHAnsi"/>
          <w:color w:val="0E0E0E"/>
          <w:shd w:val="clear" w:color="auto" w:fill="FFFFFF"/>
        </w:rPr>
        <w:t>National Institute for Health and Care Excellence</w:t>
      </w:r>
      <w:r w:rsidRPr="004B1142">
        <w:rPr>
          <w:rFonts w:cstheme="minorHAnsi"/>
        </w:rPr>
        <w:t xml:space="preserve">, (2017). </w:t>
      </w:r>
      <w:r w:rsidRPr="004B1142">
        <w:rPr>
          <w:rFonts w:cstheme="minorHAnsi"/>
          <w:i/>
        </w:rPr>
        <w:t xml:space="preserve">Social and emotional </w:t>
      </w:r>
      <w:r w:rsidRPr="00ED45E6">
        <w:rPr>
          <w:rFonts w:cstheme="minorHAnsi"/>
          <w:i/>
          <w:noProof/>
        </w:rPr>
        <w:t>wellbeing</w:t>
      </w:r>
      <w:r w:rsidRPr="004B1142">
        <w:rPr>
          <w:rFonts w:cstheme="minorHAnsi"/>
          <w:i/>
        </w:rPr>
        <w:t xml:space="preserve"> of</w:t>
      </w:r>
    </w:p>
    <w:p w:rsidR="001C4336" w:rsidRPr="004B1142" w:rsidRDefault="001C4336" w:rsidP="001C4336">
      <w:pPr>
        <w:spacing w:after="0"/>
        <w:rPr>
          <w:rFonts w:cstheme="minorHAnsi"/>
          <w:i/>
        </w:rPr>
      </w:pPr>
    </w:p>
    <w:p w:rsidR="001C4336" w:rsidRPr="004B1142" w:rsidRDefault="001C4336" w:rsidP="001C4336">
      <w:pPr>
        <w:spacing w:after="0"/>
        <w:ind w:left="720"/>
        <w:rPr>
          <w:rFonts w:cstheme="minorHAnsi"/>
        </w:rPr>
      </w:pPr>
      <w:r w:rsidRPr="004B1142">
        <w:rPr>
          <w:rFonts w:cstheme="minorHAnsi"/>
          <w:i/>
        </w:rPr>
        <w:t>vulnerable children under 5</w:t>
      </w:r>
      <w:r w:rsidRPr="004B1142">
        <w:rPr>
          <w:rFonts w:cstheme="minorHAnsi"/>
        </w:rPr>
        <w:t xml:space="preserve">. [Interactive flowchart]. Retrieved from </w:t>
      </w:r>
      <w:r w:rsidRPr="004B1142">
        <w:rPr>
          <w:rFonts w:cstheme="minorHAnsi"/>
          <w:color w:val="000000" w:themeColor="text1"/>
        </w:rPr>
        <w:t>http://pathways.nice.org.uk</w:t>
      </w:r>
      <w:r w:rsidRPr="004B1142">
        <w:rPr>
          <w:rFonts w:cstheme="minorHAnsi"/>
          <w:color w:val="000000" w:themeColor="text1"/>
        </w:rPr>
        <w:br/>
      </w:r>
      <w:r w:rsidRPr="004B1142">
        <w:rPr>
          <w:rFonts w:cstheme="minorHAnsi"/>
          <w:color w:val="000000" w:themeColor="text1"/>
        </w:rPr>
        <w:br/>
        <w:t>/pathways/social-and-emotional-wellbeing-for-children-and-young-people#path=view%3A</w:t>
      </w:r>
      <w:r w:rsidRPr="004B1142">
        <w:rPr>
          <w:rFonts w:cstheme="minorHAnsi"/>
          <w:color w:val="000000" w:themeColor="text1"/>
        </w:rPr>
        <w:br/>
      </w:r>
      <w:r w:rsidRPr="004B1142">
        <w:rPr>
          <w:rFonts w:cstheme="minorHAnsi"/>
          <w:color w:val="000000" w:themeColor="text1"/>
        </w:rPr>
        <w:br/>
        <w:t>/pathways/social-and-emotional-wellbeing-for-children-and-young-people/social-and</w:t>
      </w:r>
      <w:r w:rsidRPr="004B1142">
        <w:rPr>
          <w:rFonts w:cstheme="minorHAnsi"/>
          <w:color w:val="000000" w:themeColor="text1"/>
        </w:rPr>
        <w:br/>
      </w:r>
      <w:r w:rsidRPr="004B1142">
        <w:rPr>
          <w:rFonts w:cstheme="minorHAnsi"/>
          <w:color w:val="000000" w:themeColor="text1"/>
        </w:rPr>
        <w:br/>
        <w:t>-emotional-wellbeing-of-vulnerable-children-under-5.xml&amp;content=view-index</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rPr>
      </w:pPr>
      <w:r w:rsidRPr="004B1142">
        <w:rPr>
          <w:rFonts w:cstheme="minorHAnsi"/>
        </w:rPr>
        <w:t xml:space="preserve">Office for National Statistics (2017). </w:t>
      </w:r>
      <w:r w:rsidRPr="004B1142">
        <w:rPr>
          <w:rFonts w:cstheme="minorHAnsi"/>
          <w:i/>
        </w:rPr>
        <w:t>Adult drinking habits in Great Britain: 2005 to 2016</w:t>
      </w:r>
      <w:r w:rsidRPr="004B1142">
        <w:rPr>
          <w:rFonts w:cstheme="minorHAnsi"/>
        </w:rPr>
        <w:t xml:space="preserve">. Retrieved from </w:t>
      </w:r>
    </w:p>
    <w:p w:rsidR="001C4336" w:rsidRPr="004B1142" w:rsidRDefault="001C4336" w:rsidP="001C4336">
      <w:pPr>
        <w:spacing w:after="0"/>
        <w:rPr>
          <w:rFonts w:cstheme="minorHAnsi"/>
          <w:color w:val="000000" w:themeColor="text1"/>
        </w:rPr>
      </w:pPr>
    </w:p>
    <w:p w:rsidR="001C4336" w:rsidRPr="004B1142" w:rsidRDefault="001C4336" w:rsidP="001C4336">
      <w:pPr>
        <w:spacing w:after="0"/>
        <w:ind w:left="720"/>
        <w:rPr>
          <w:rFonts w:cstheme="minorHAnsi"/>
          <w:color w:val="000000" w:themeColor="text1"/>
        </w:rPr>
      </w:pPr>
      <w:r w:rsidRPr="004B1142">
        <w:rPr>
          <w:rFonts w:cstheme="minorHAnsi"/>
          <w:color w:val="000000" w:themeColor="text1"/>
        </w:rPr>
        <w:t>https://www.ons.gov.uk/peoplepopulationandcommunity/healthandsocialcare</w:t>
      </w:r>
      <w:r w:rsidRPr="004B1142">
        <w:rPr>
          <w:rFonts w:cstheme="minorHAnsi"/>
          <w:color w:val="000000" w:themeColor="text1"/>
        </w:rPr>
        <w:br/>
      </w:r>
      <w:r w:rsidRPr="004B1142">
        <w:rPr>
          <w:rFonts w:cstheme="minorHAnsi"/>
          <w:color w:val="000000" w:themeColor="text1"/>
        </w:rPr>
        <w:br/>
        <w:t>/drugusealcoholandsmoking/bulletins</w:t>
      </w:r>
      <w:r w:rsidRPr="004B1142">
        <w:rPr>
          <w:rFonts w:cstheme="minorHAnsi"/>
          <w:color w:val="000000" w:themeColor="text1"/>
        </w:rPr>
        <w:br/>
      </w:r>
      <w:r w:rsidRPr="004B1142">
        <w:rPr>
          <w:rFonts w:cstheme="minorHAnsi"/>
          <w:color w:val="000000" w:themeColor="text1"/>
        </w:rPr>
        <w:br/>
        <w:t>/opinionsandlifestylesurveyadultdrinkinghabitsingreatbritain/2005to2016</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rPr>
          <w:rFonts w:cstheme="minorHAnsi"/>
          <w:shd w:val="clear" w:color="auto" w:fill="FFFFFF"/>
        </w:rPr>
      </w:pPr>
      <w:r w:rsidRPr="004B1142">
        <w:rPr>
          <w:rFonts w:cstheme="minorHAnsi"/>
          <w:shd w:val="clear" w:color="auto" w:fill="FFFFFF"/>
        </w:rPr>
        <w:t xml:space="preserve">Oliver, E. J., Mawn, L., Stain, H. J., Bambra, C. L., Torgerson, C., Oliver, A., &amp; Bridle, C. (2014). Should we </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ind w:left="720"/>
        <w:rPr>
          <w:rFonts w:cstheme="minorHAnsi"/>
          <w:shd w:val="clear" w:color="auto" w:fill="FFFFFF"/>
        </w:rPr>
      </w:pPr>
      <w:r w:rsidRPr="004B1142">
        <w:rPr>
          <w:rFonts w:cstheme="minorHAnsi"/>
          <w:shd w:val="clear" w:color="auto" w:fill="FFFFFF"/>
        </w:rPr>
        <w:t xml:space="preserve">‘hug a hoodie’? Protocol for a systematic review and meta-analysis of interventions with young </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ind w:left="720"/>
        <w:rPr>
          <w:rFonts w:cstheme="minorHAnsi"/>
        </w:rPr>
      </w:pPr>
      <w:r w:rsidRPr="004B1142">
        <w:rPr>
          <w:rFonts w:cstheme="minorHAnsi"/>
          <w:shd w:val="clear" w:color="auto" w:fill="FFFFFF"/>
        </w:rPr>
        <w:t>people not in employment, education or training (so-called NEETs). </w:t>
      </w:r>
      <w:r w:rsidRPr="004B1142">
        <w:rPr>
          <w:rFonts w:cstheme="minorHAnsi"/>
          <w:i/>
          <w:iCs/>
          <w:shd w:val="clear" w:color="auto" w:fill="FFFFFF"/>
        </w:rPr>
        <w:t>Systematic reviews</w:t>
      </w:r>
      <w:r w:rsidRPr="004B1142">
        <w:rPr>
          <w:rFonts w:cstheme="minorHAnsi"/>
          <w:shd w:val="clear" w:color="auto" w:fill="FFFFFF"/>
        </w:rPr>
        <w:t>, </w:t>
      </w:r>
      <w:r w:rsidRPr="004B1142">
        <w:rPr>
          <w:rFonts w:cstheme="minorHAnsi"/>
          <w:i/>
          <w:iCs/>
          <w:shd w:val="clear" w:color="auto" w:fill="FFFFFF"/>
        </w:rPr>
        <w:t>3</w:t>
      </w:r>
      <w:r w:rsidRPr="004B1142">
        <w:rPr>
          <w:rFonts w:cstheme="minorHAnsi"/>
          <w:shd w:val="clear" w:color="auto" w:fill="FFFFFF"/>
        </w:rPr>
        <w:t xml:space="preserve">(1), 73. </w:t>
      </w:r>
      <w:r w:rsidRPr="004B1142">
        <w:rPr>
          <w:rFonts w:cstheme="minorHAnsi"/>
        </w:rPr>
        <w:t xml:space="preserve">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DOI: 10.1186/2046-4053-3-73</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rPr>
      </w:pPr>
      <w:r w:rsidRPr="004B1142">
        <w:rPr>
          <w:rFonts w:cstheme="minorHAnsi"/>
        </w:rPr>
        <w:t>Phelps, C., Minou, M., Baker, A., Hughes, C., French, H., Hawkins, W., Leeuwenberg, A., Crabtree, R., &amp;</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 xml:space="preserve">Hutchings, P.B. (2017). Necessary but not sufficient? Engaging young people in the development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 xml:space="preserve">of an avatar‐based online intervention designed to provide psychosocial support to young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people affected by their own or a family member's cancer diagnosis. </w:t>
      </w:r>
      <w:r w:rsidRPr="004B1142">
        <w:rPr>
          <w:rFonts w:cstheme="minorHAnsi"/>
          <w:i/>
        </w:rPr>
        <w:t>Health Expectations</w:t>
      </w:r>
      <w:r w:rsidRPr="004B1142">
        <w:rPr>
          <w:rFonts w:cstheme="minorHAnsi"/>
        </w:rPr>
        <w:t>, </w:t>
      </w:r>
      <w:r w:rsidRPr="004B1142">
        <w:rPr>
          <w:rFonts w:cstheme="minorHAnsi"/>
          <w:i/>
        </w:rPr>
        <w:t>20</w:t>
      </w:r>
      <w:r w:rsidRPr="004B1142">
        <w:rPr>
          <w:rFonts w:cstheme="minorHAnsi"/>
        </w:rPr>
        <w:t xml:space="preserve">(3),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459-470.</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shd w:val="clear" w:color="auto" w:fill="FFFFFF"/>
        </w:rPr>
      </w:pPr>
      <w:r w:rsidRPr="004B1142">
        <w:rPr>
          <w:rFonts w:cstheme="minorHAnsi"/>
          <w:shd w:val="clear" w:color="auto" w:fill="FFFFFF"/>
        </w:rPr>
        <w:t xml:space="preserve">Vartanian, L. R., Trewartha, T., &amp; Vanman, E. J. (2016). Disgust predicts prejudice and discrimination </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ind w:left="720"/>
        <w:rPr>
          <w:rFonts w:cstheme="minorHAnsi"/>
        </w:rPr>
      </w:pPr>
      <w:r w:rsidRPr="004B1142">
        <w:rPr>
          <w:rFonts w:cstheme="minorHAnsi"/>
          <w:shd w:val="clear" w:color="auto" w:fill="FFFFFF"/>
        </w:rPr>
        <w:t>toward individuals with obesity. </w:t>
      </w:r>
      <w:r w:rsidRPr="004B1142">
        <w:rPr>
          <w:rFonts w:cstheme="minorHAnsi"/>
          <w:i/>
          <w:iCs/>
          <w:shd w:val="clear" w:color="auto" w:fill="FFFFFF"/>
        </w:rPr>
        <w:t>Journal of Applied Social Psychology</w:t>
      </w:r>
      <w:r w:rsidRPr="004B1142">
        <w:rPr>
          <w:rFonts w:cstheme="minorHAnsi"/>
          <w:shd w:val="clear" w:color="auto" w:fill="FFFFFF"/>
        </w:rPr>
        <w:t>, </w:t>
      </w:r>
      <w:r w:rsidRPr="004B1142">
        <w:rPr>
          <w:rFonts w:cstheme="minorHAnsi"/>
          <w:i/>
          <w:iCs/>
          <w:shd w:val="clear" w:color="auto" w:fill="FFFFFF"/>
        </w:rPr>
        <w:t>46</w:t>
      </w:r>
      <w:r w:rsidRPr="004B1142">
        <w:rPr>
          <w:rFonts w:cstheme="minorHAnsi"/>
          <w:shd w:val="clear" w:color="auto" w:fill="FFFFFF"/>
        </w:rPr>
        <w:t>(6), 369-375.</w:t>
      </w:r>
    </w:p>
    <w:p w:rsidR="001C4336" w:rsidRPr="004B1142" w:rsidRDefault="001C4336" w:rsidP="001C4336">
      <w:pPr>
        <w:spacing w:after="0"/>
        <w:rPr>
          <w:rFonts w:cstheme="minorHAnsi"/>
        </w:rPr>
      </w:pPr>
    </w:p>
    <w:p w:rsidR="001C4336" w:rsidRPr="004B1142" w:rsidRDefault="001C4336" w:rsidP="001C4336">
      <w:pPr>
        <w:spacing w:after="0"/>
        <w:rPr>
          <w:rFonts w:cstheme="minorHAnsi"/>
          <w:i/>
        </w:rPr>
      </w:pPr>
      <w:r w:rsidRPr="004B1142">
        <w:rPr>
          <w:rFonts w:cstheme="minorHAnsi"/>
        </w:rPr>
        <w:t xml:space="preserve">Williamson, H. (2016, October). </w:t>
      </w:r>
      <w:r w:rsidRPr="004B1142">
        <w:rPr>
          <w:rFonts w:cstheme="minorHAnsi"/>
          <w:i/>
        </w:rPr>
        <w:t>Supporting adolescents struggling with appearance-altering</w:t>
      </w:r>
    </w:p>
    <w:p w:rsidR="001C4336" w:rsidRPr="004B1142" w:rsidRDefault="001C4336" w:rsidP="001C4336">
      <w:pPr>
        <w:spacing w:after="0"/>
        <w:rPr>
          <w:rFonts w:cstheme="minorHAnsi"/>
          <w:i/>
        </w:rPr>
      </w:pPr>
    </w:p>
    <w:p w:rsidR="001C4336" w:rsidRPr="004B1142" w:rsidRDefault="001C4336" w:rsidP="001C4336">
      <w:pPr>
        <w:spacing w:after="0"/>
        <w:ind w:left="720"/>
        <w:rPr>
          <w:rFonts w:cstheme="minorHAnsi"/>
          <w:i/>
        </w:rPr>
      </w:pPr>
      <w:r w:rsidRPr="004B1142">
        <w:rPr>
          <w:rFonts w:cstheme="minorHAnsi"/>
          <w:i/>
        </w:rPr>
        <w:t>conditions:</w:t>
      </w:r>
      <w:r w:rsidRPr="004B1142">
        <w:rPr>
          <w:rFonts w:cstheme="minorHAnsi"/>
        </w:rPr>
        <w:t xml:space="preserve"> </w:t>
      </w:r>
      <w:r w:rsidRPr="004B1142">
        <w:rPr>
          <w:rFonts w:cstheme="minorHAnsi"/>
          <w:i/>
        </w:rPr>
        <w:t>The feasibility of using an online psychosocial intervention (YP Face</w:t>
      </w:r>
    </w:p>
    <w:p w:rsidR="001C4336" w:rsidRPr="004B1142" w:rsidRDefault="001C4336" w:rsidP="001C4336">
      <w:pPr>
        <w:spacing w:after="0"/>
        <w:ind w:left="720"/>
        <w:rPr>
          <w:rFonts w:cstheme="minorHAnsi"/>
          <w:i/>
        </w:rPr>
      </w:pPr>
    </w:p>
    <w:p w:rsidR="001C4336" w:rsidRPr="004B1142" w:rsidRDefault="001C4336" w:rsidP="001C4336">
      <w:pPr>
        <w:spacing w:after="0"/>
        <w:ind w:left="720"/>
        <w:rPr>
          <w:rFonts w:cstheme="minorHAnsi"/>
        </w:rPr>
      </w:pPr>
      <w:r w:rsidRPr="004B1142">
        <w:rPr>
          <w:rFonts w:cstheme="minorHAnsi"/>
          <w:i/>
        </w:rPr>
        <w:t>IT) in primary care.</w:t>
      </w:r>
      <w:r w:rsidRPr="004B1142">
        <w:rPr>
          <w:rFonts w:cstheme="minorHAnsi"/>
        </w:rPr>
        <w:t xml:space="preserve"> Conference poster presented at the Annual Primary Care Conference, Royal</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 xml:space="preserve">College of General Practitioners, </w:t>
      </w:r>
      <w:r w:rsidRPr="004B1142">
        <w:rPr>
          <w:rFonts w:cstheme="minorHAnsi"/>
          <w:shd w:val="clear" w:color="auto" w:fill="FFFFFF"/>
        </w:rPr>
        <w:t>Harrogate</w:t>
      </w:r>
      <w:r w:rsidRPr="004B1142">
        <w:rPr>
          <w:rFonts w:cstheme="minorHAnsi"/>
        </w:rPr>
        <w:t>, England.</w:t>
      </w:r>
    </w:p>
    <w:p w:rsidR="001C4336" w:rsidRPr="004B1142" w:rsidRDefault="001C4336" w:rsidP="001C4336">
      <w:pPr>
        <w:spacing w:after="0"/>
        <w:rPr>
          <w:rFonts w:cstheme="minorHAnsi"/>
          <w:color w:val="000000"/>
          <w:shd w:val="clear" w:color="auto" w:fill="FFFFFF"/>
        </w:rPr>
      </w:pPr>
    </w:p>
    <w:p w:rsidR="001C4336" w:rsidRPr="004B1142" w:rsidRDefault="001C4336" w:rsidP="001C4336">
      <w:pPr>
        <w:spacing w:after="0"/>
        <w:rPr>
          <w:rFonts w:cstheme="minorHAnsi"/>
        </w:rPr>
      </w:pPr>
      <w:r w:rsidRPr="004B1142">
        <w:rPr>
          <w:rFonts w:cstheme="minorHAnsi"/>
        </w:rPr>
        <w:t>Young, E. (2017, September 18). Women know better than men what other women are</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 xml:space="preserve">thinking and feeling. </w:t>
      </w:r>
      <w:r w:rsidRPr="004B1142">
        <w:rPr>
          <w:rFonts w:cstheme="minorHAnsi"/>
          <w:i/>
        </w:rPr>
        <w:t xml:space="preserve">Research Digest, The British Psychological Society. </w:t>
      </w:r>
      <w:r w:rsidRPr="004B1142">
        <w:rPr>
          <w:rFonts w:cstheme="minorHAnsi"/>
        </w:rPr>
        <w:t xml:space="preserve">Retrieved from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https://digest.bps.org.uk/2017/09/18/women-know-better-than-men-what-other-women-are</w:t>
      </w:r>
      <w:r w:rsidRPr="004B1142">
        <w:rPr>
          <w:rFonts w:cstheme="minorHAnsi"/>
        </w:rPr>
        <w:br/>
      </w:r>
      <w:r w:rsidRPr="004B1142">
        <w:rPr>
          <w:rFonts w:cstheme="minorHAnsi"/>
        </w:rPr>
        <w:br/>
        <w:t>-thinking-and-feeling/</w:t>
      </w:r>
    </w:p>
    <w:p w:rsidR="001C4336" w:rsidRPr="00F23F90" w:rsidRDefault="001C4336" w:rsidP="001C4336">
      <w:pPr>
        <w:spacing w:after="0"/>
        <w:ind w:left="720"/>
        <w:rPr>
          <w:rFonts w:cstheme="minorHAnsi"/>
        </w:rPr>
      </w:pPr>
    </w:p>
    <w:p w:rsidR="001C4336" w:rsidRDefault="001C4336" w:rsidP="001C4336">
      <w:pPr>
        <w:rPr>
          <w:b/>
          <w:sz w:val="28"/>
          <w:szCs w:val="28"/>
        </w:rPr>
      </w:pPr>
    </w:p>
    <w:p w:rsidR="001C4336" w:rsidRDefault="001C4336" w:rsidP="001C4336">
      <w:pPr>
        <w:rPr>
          <w:b/>
          <w:sz w:val="28"/>
          <w:szCs w:val="28"/>
        </w:rPr>
      </w:pPr>
    </w:p>
    <w:p w:rsidR="001C4336" w:rsidRDefault="001C4336" w:rsidP="001C4336">
      <w:pPr>
        <w:rPr>
          <w:b/>
          <w:sz w:val="28"/>
          <w:szCs w:val="28"/>
        </w:rPr>
      </w:pPr>
    </w:p>
    <w:p w:rsidR="001C4336" w:rsidRDefault="001C4336" w:rsidP="001C4336">
      <w:pPr>
        <w:jc w:val="right"/>
      </w:pPr>
    </w:p>
    <w:p w:rsidR="001C4336" w:rsidRDefault="001C4336" w:rsidP="001C4336">
      <w:pPr>
        <w:jc w:val="right"/>
      </w:pPr>
    </w:p>
    <w:p w:rsidR="001C4336" w:rsidRDefault="001C4336" w:rsidP="001C4336">
      <w:pPr>
        <w:jc w:val="right"/>
      </w:pPr>
    </w:p>
    <w:p w:rsidR="001C4336" w:rsidRDefault="001C4336" w:rsidP="001C4336">
      <w:pPr>
        <w:jc w:val="right"/>
      </w:pPr>
    </w:p>
    <w:p w:rsidR="004B1142" w:rsidRDefault="004B1142" w:rsidP="001C4336">
      <w:pPr>
        <w:jc w:val="right"/>
      </w:pPr>
    </w:p>
    <w:p w:rsidR="001C4336" w:rsidRDefault="001C4336" w:rsidP="001C4336">
      <w:pPr>
        <w:shd w:val="clear" w:color="auto" w:fill="FFFFFF"/>
        <w:spacing w:after="240"/>
        <w:rPr>
          <w:rFonts w:ascii="Arial" w:hAnsi="Arial" w:cs="Arial"/>
          <w:color w:val="000000"/>
          <w:sz w:val="18"/>
          <w:szCs w:val="18"/>
        </w:rPr>
      </w:pPr>
      <w:r>
        <w:rPr>
          <w:rFonts w:ascii="Arial" w:hAnsi="Arial" w:cs="Arial"/>
          <w:color w:val="000000"/>
          <w:sz w:val="18"/>
          <w:szCs w:val="18"/>
        </w:rPr>
        <w:lastRenderedPageBreak/>
        <w:t>From: SM Journals Style Expert &lt;</w:t>
      </w:r>
      <w:hyperlink r:id="rId8" w:history="1">
        <w:r>
          <w:rPr>
            <w:rStyle w:val="Hyperlink"/>
            <w:rFonts w:ascii="Arial" w:hAnsi="Arial" w:cs="Arial"/>
            <w:sz w:val="18"/>
            <w:szCs w:val="18"/>
          </w:rPr>
          <w:t>SJournalsStyleExpert@apa.org</w:t>
        </w:r>
      </w:hyperlink>
      <w:r>
        <w:rPr>
          <w:rFonts w:ascii="Arial" w:hAnsi="Arial" w:cs="Arial"/>
          <w:color w:val="000000"/>
          <w:sz w:val="18"/>
          <w:szCs w:val="18"/>
        </w:rPr>
        <w:t>&gt;</w:t>
      </w:r>
      <w:r>
        <w:rPr>
          <w:rFonts w:ascii="Arial" w:hAnsi="Arial" w:cs="Arial"/>
          <w:color w:val="000000"/>
          <w:sz w:val="18"/>
          <w:szCs w:val="18"/>
        </w:rPr>
        <w:br/>
        <w:t>To: "jane@paill.net" &lt;</w:t>
      </w:r>
      <w:hyperlink r:id="rId9" w:history="1">
        <w:r w:rsidRPr="00693CC2">
          <w:rPr>
            <w:rStyle w:val="Hyperlink"/>
            <w:rFonts w:ascii="Arial" w:hAnsi="Arial" w:cs="Arial"/>
            <w:sz w:val="18"/>
            <w:szCs w:val="18"/>
          </w:rPr>
          <w:t>jane@paill.net</w:t>
        </w:r>
      </w:hyperlink>
      <w:r>
        <w:rPr>
          <w:rFonts w:ascii="Arial" w:hAnsi="Arial" w:cs="Arial"/>
          <w:color w:val="000000"/>
          <w:sz w:val="18"/>
          <w:szCs w:val="18"/>
        </w:rPr>
        <w:t>&gt;</w:t>
      </w:r>
      <w:r>
        <w:rPr>
          <w:rFonts w:ascii="Arial" w:hAnsi="Arial" w:cs="Arial"/>
          <w:color w:val="000000"/>
          <w:sz w:val="18"/>
          <w:szCs w:val="18"/>
        </w:rPr>
        <w:br/>
        <w:t>Sent: Thu, 02 Nov 2017 9:40 pm</w:t>
      </w:r>
      <w:r>
        <w:rPr>
          <w:rFonts w:ascii="Arial" w:hAnsi="Arial" w:cs="Arial"/>
          <w:color w:val="000000"/>
          <w:sz w:val="18"/>
          <w:szCs w:val="18"/>
        </w:rPr>
        <w:br/>
        <w:t>Subject: Re: APA Reference issue:</w:t>
      </w: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Thank you for your question! Because </w:t>
      </w:r>
      <w:r>
        <w:rPr>
          <w:rFonts w:ascii="Calibri" w:hAnsi="Calibri" w:cs="Calibri"/>
          <w:i/>
          <w:iCs/>
          <w:color w:val="000000"/>
        </w:rPr>
        <w:t>Positive Psychology: Theory, Research, and Applications</w:t>
      </w:r>
      <w:r>
        <w:rPr>
          <w:rFonts w:ascii="Calibri" w:hAnsi="Calibri" w:cs="Calibri"/>
          <w:color w:val="000000"/>
        </w:rPr>
        <w:t> is an authored book, you need only one reference: that for the book as a whole. It should look like this (note that only one location is needed--when two are mentioned,  use the first location--and only the imprint name is needed--the parent publishing company is implied and so does not need to be mentioned):</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Hefferon, K., &amp; Boniwell, I. (2011). </w:t>
      </w:r>
      <w:r>
        <w:rPr>
          <w:rFonts w:ascii="Calibri" w:hAnsi="Calibri" w:cs="Calibri"/>
          <w:i/>
          <w:iCs/>
          <w:color w:val="000000"/>
        </w:rPr>
        <w:t>Positive psychology: Theory, research, and applications. </w:t>
      </w:r>
      <w:r>
        <w:rPr>
          <w:rFonts w:ascii="Calibri" w:hAnsi="Calibri" w:cs="Calibri"/>
          <w:color w:val="000000"/>
        </w:rPr>
        <w:t>Maidenhead, United Kingdom: Open University Press.</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The reference takes a hanging indent, but my e-mail program does not allow me to put that in.</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When you want to cite a specific chapter, do so in the in-text citation:</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Example:</w:t>
      </w: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Here is the specific point about positive psychology I wanted to make (Hefferon &amp; Boniwell, 2011, Chapter 5).</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You can find more on citing parts of a source here: </w:t>
      </w:r>
      <w:hyperlink r:id="rId10" w:tgtFrame="_blank" w:history="1">
        <w:r>
          <w:rPr>
            <w:rStyle w:val="Hyperlink"/>
            <w:rFonts w:ascii="Calibri" w:hAnsi="Calibri" w:cs="Calibri"/>
          </w:rPr>
          <w:t>http://blog.apastyle.org/apastyle/2013/11/how-to-cite-part-of-a-work.html</w:t>
        </w:r>
      </w:hyperlink>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I hope this helps!</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Best,</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Stefanie Lazer</w:t>
      </w: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Consulting Editor</w:t>
      </w:r>
    </w:p>
    <w:p w:rsidR="001C4336" w:rsidRDefault="001C4336" w:rsidP="001C4336">
      <w:pPr>
        <w:pStyle w:val="NormalWeb"/>
        <w:shd w:val="clear" w:color="auto" w:fill="FFFFFF"/>
        <w:spacing w:before="0" w:beforeAutospacing="0" w:after="240" w:afterAutospacing="0"/>
        <w:rPr>
          <w:rFonts w:ascii="Calibri" w:hAnsi="Calibri" w:cs="Calibri"/>
          <w:color w:val="000000"/>
        </w:rPr>
      </w:pPr>
      <w:r>
        <w:rPr>
          <w:rFonts w:ascii="Calibri" w:hAnsi="Calibri" w:cs="Calibri"/>
          <w:color w:val="000000"/>
        </w:rPr>
        <w:t>American Psychological Association</w:t>
      </w:r>
    </w:p>
    <w:p w:rsidR="001C4336" w:rsidRDefault="005F504F" w:rsidP="001C4336">
      <w:pPr>
        <w:rPr>
          <w:rFonts w:ascii="Times New Roman" w:hAnsi="Times New Roman" w:cs="Times New Roman"/>
        </w:rPr>
      </w:pPr>
      <w:r>
        <w:pict>
          <v:rect id="_x0000_i1025" style="width:625.5pt;height:1.5pt" o:hrpct="0" o:hralign="center" o:hrstd="t" o:hrnoshade="t" o:hr="t" fillcolor="black" stroked="f"/>
        </w:pict>
      </w:r>
    </w:p>
    <w:p w:rsidR="001C4336" w:rsidRDefault="001C4336"/>
    <w:sectPr w:rsidR="001C4336" w:rsidSect="00BE23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04F" w:rsidRDefault="005F504F" w:rsidP="00805973">
      <w:pPr>
        <w:spacing w:after="0" w:line="240" w:lineRule="auto"/>
      </w:pPr>
      <w:r>
        <w:separator/>
      </w:r>
    </w:p>
  </w:endnote>
  <w:endnote w:type="continuationSeparator" w:id="0">
    <w:p w:rsidR="005F504F" w:rsidRDefault="005F504F" w:rsidP="00805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04F" w:rsidRDefault="005F504F" w:rsidP="00805973">
      <w:pPr>
        <w:spacing w:after="0" w:line="240" w:lineRule="auto"/>
      </w:pPr>
      <w:r>
        <w:separator/>
      </w:r>
    </w:p>
  </w:footnote>
  <w:footnote w:type="continuationSeparator" w:id="0">
    <w:p w:rsidR="005F504F" w:rsidRDefault="005F504F" w:rsidP="00805973">
      <w:pPr>
        <w:spacing w:after="0" w:line="240" w:lineRule="auto"/>
      </w:pPr>
      <w:r>
        <w:continuationSeparator/>
      </w:r>
    </w:p>
  </w:footnote>
  <w:footnote w:id="1">
    <w:p w:rsidR="0002329B" w:rsidRDefault="0002329B">
      <w:pPr>
        <w:pStyle w:val="FootnoteText"/>
      </w:pPr>
      <w:r>
        <w:rPr>
          <w:rStyle w:val="FootnoteReference"/>
        </w:rPr>
        <w:footnoteRef/>
      </w:r>
      <w:r>
        <w:t xml:space="preserve"> See email below.</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E2NTY2NjU0NDIxsDBW0lEKTi0uzszPAykwqgUAGttUsSwAAAA="/>
  </w:docVars>
  <w:rsids>
    <w:rsidRoot w:val="00FC5C6F"/>
    <w:rsid w:val="0002329B"/>
    <w:rsid w:val="00044FEE"/>
    <w:rsid w:val="00067D41"/>
    <w:rsid w:val="00131A58"/>
    <w:rsid w:val="001C4336"/>
    <w:rsid w:val="00266CE6"/>
    <w:rsid w:val="002B3D3A"/>
    <w:rsid w:val="00482E15"/>
    <w:rsid w:val="004A1047"/>
    <w:rsid w:val="004B1142"/>
    <w:rsid w:val="005F1924"/>
    <w:rsid w:val="005F504F"/>
    <w:rsid w:val="006B5525"/>
    <w:rsid w:val="006F6979"/>
    <w:rsid w:val="00783216"/>
    <w:rsid w:val="007C773F"/>
    <w:rsid w:val="007E0C90"/>
    <w:rsid w:val="00805973"/>
    <w:rsid w:val="008120C9"/>
    <w:rsid w:val="00916DF5"/>
    <w:rsid w:val="009475AF"/>
    <w:rsid w:val="00A62B9A"/>
    <w:rsid w:val="00AD4D9F"/>
    <w:rsid w:val="00B92C2D"/>
    <w:rsid w:val="00BE1A27"/>
    <w:rsid w:val="00BE230E"/>
    <w:rsid w:val="00CA45EA"/>
    <w:rsid w:val="00D03A2C"/>
    <w:rsid w:val="00DA51C0"/>
    <w:rsid w:val="00E4389D"/>
    <w:rsid w:val="00E45BFA"/>
    <w:rsid w:val="00E62679"/>
    <w:rsid w:val="00E81F1B"/>
    <w:rsid w:val="00E9464B"/>
    <w:rsid w:val="00ED45E6"/>
    <w:rsid w:val="00F660D3"/>
    <w:rsid w:val="00FC466E"/>
    <w:rsid w:val="00FC5C6F"/>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13EA3A-9599-4E15-A875-21A748818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19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0D3"/>
    <w:pPr>
      <w:ind w:left="720"/>
      <w:contextualSpacing/>
    </w:pPr>
  </w:style>
  <w:style w:type="paragraph" w:styleId="HTMLPreformatted">
    <w:name w:val="HTML Preformatted"/>
    <w:basedOn w:val="Normal"/>
    <w:link w:val="HTMLPreformattedChar"/>
    <w:uiPriority w:val="99"/>
    <w:unhideWhenUsed/>
    <w:rsid w:val="001C4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1C4336"/>
    <w:rPr>
      <w:rFonts w:ascii="Courier New" w:eastAsia="Times New Roman" w:hAnsi="Courier New" w:cs="Courier New"/>
      <w:sz w:val="20"/>
      <w:szCs w:val="20"/>
      <w:lang w:val="en-US"/>
    </w:rPr>
  </w:style>
  <w:style w:type="character" w:styleId="Hyperlink">
    <w:name w:val="Hyperlink"/>
    <w:basedOn w:val="DefaultParagraphFont"/>
    <w:uiPriority w:val="99"/>
    <w:unhideWhenUsed/>
    <w:rsid w:val="001C4336"/>
    <w:rPr>
      <w:color w:val="0563C1" w:themeColor="hyperlink"/>
      <w:u w:val="single"/>
    </w:rPr>
  </w:style>
  <w:style w:type="paragraph" w:styleId="NormalWeb">
    <w:name w:val="Normal (Web)"/>
    <w:basedOn w:val="Normal"/>
    <w:uiPriority w:val="99"/>
    <w:semiHidden/>
    <w:unhideWhenUsed/>
    <w:rsid w:val="001C433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059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5973"/>
    <w:rPr>
      <w:sz w:val="20"/>
      <w:szCs w:val="20"/>
    </w:rPr>
  </w:style>
  <w:style w:type="character" w:styleId="FootnoteReference">
    <w:name w:val="footnote reference"/>
    <w:basedOn w:val="DefaultParagraphFont"/>
    <w:uiPriority w:val="99"/>
    <w:semiHidden/>
    <w:unhideWhenUsed/>
    <w:rsid w:val="008059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ournalsStyleExpert@apa.org" TargetMode="External"/><Relationship Id="rId3" Type="http://schemas.openxmlformats.org/officeDocument/2006/relationships/webSettings" Target="webSettings.xml"/><Relationship Id="rId7" Type="http://schemas.openxmlformats.org/officeDocument/2006/relationships/hyperlink" Target="https://www.theguardian.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sa=t&amp;rct=j&amp;q=&amp;esrc=s&amp;source=web&amp;cd=4&amp;cad=rja&amp;uact=8&amp;ved=0ahUKEwj41b2KqZDXAhXCXBoKHcffBvcQs2YIQSgAMAM&amp;url=https%3A%2F%2Fen.wikipedia.org%2Fwiki%2FHoboken%2C_New_Jersey&amp;usg=AOvVaw02HUFpYdtSw5CIG0ljQkzP"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blog.apastyle.org/apastyle/2013/11/how-to-cite-part-of-a-work.html" TargetMode="External"/><Relationship Id="rId4" Type="http://schemas.openxmlformats.org/officeDocument/2006/relationships/footnotes" Target="footnotes.xml"/><Relationship Id="rId9" Type="http://schemas.openxmlformats.org/officeDocument/2006/relationships/hyperlink" Target="mailto:jane@pail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2156</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Gonzalez (1703398)</dc:creator>
  <cp:keywords/>
  <dc:description/>
  <cp:lastModifiedBy>Jane Gonzalez (1703398)</cp:lastModifiedBy>
  <cp:revision>32</cp:revision>
  <dcterms:created xsi:type="dcterms:W3CDTF">2017-11-05T11:02:00Z</dcterms:created>
  <dcterms:modified xsi:type="dcterms:W3CDTF">2017-11-12T15:51:00Z</dcterms:modified>
</cp:coreProperties>
</file>