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786824B" wp14:paraId="731C56A6" wp14:textId="75084723">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u w:val="single"/>
          <w:lang w:val="en-GB"/>
        </w:rPr>
        <w:t>Discuss how Carl Rogers’ person-centred therapeutic approach and other humanist theories support the work of TA’s and LSA’s in schools.</w:t>
      </w:r>
    </w:p>
    <w:p xmlns:wp14="http://schemas.microsoft.com/office/word/2010/wordml" w:rsidP="4786824B" wp14:paraId="1BE10C17" wp14:textId="405AF916">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06F623AD" wp14:textId="091F5C5C">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This essay aims to discuss the person-centred therapeutic approach by Carl Rogers and other influential humanist theorists and how their theories support teaching assistants and learning supports assistants work in schools</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786824B" wp14:paraId="780DACB8" wp14:textId="62202AFB">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6BA5BB06" wp14:textId="1904F011">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evidence seems to suggest that Rogers’ theory concentrates on changing the teacher's role in the classroom. Bates (2019) emphasises on the environment and the facilitation of the process given to the child to arrive at their own destination and not the authority,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expertise</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teaching the child what you want them to learn (Bates, 2019, p. 64).</w:t>
      </w:r>
    </w:p>
    <w:p xmlns:wp14="http://schemas.microsoft.com/office/word/2010/wordml" w:rsidP="4786824B" wp14:paraId="3C5A93C0" wp14:textId="4921F958">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0D1C0D21" wp14:textId="3197520F">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Rogers believes that the environment is the most important part of learning explaining, </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‘his inability to teach anyone anything, merely to provide an environment conductive to effective learning’</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(Bates,2019, p.64). This suggests that Rogers believes a child/person can get more out of a positive and enriched environment than they would from a teacher telling them what they want them to learn. </w:t>
      </w:r>
    </w:p>
    <w:p xmlns:wp14="http://schemas.microsoft.com/office/word/2010/wordml" w:rsidP="4786824B" wp14:paraId="049C0ED4" wp14:textId="5EEEAE14">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4BC78CC3" wp14:textId="0FA2A339">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work of Carl Rogers was studied by a school in Wales, and the person cantered approach was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facilitated</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by continuously adapting learning experiences for the needs of the students. The theory makes the educators question how it feels to be a student in their setting. The setting wants the students to be able to build on their confidence, grow their self-esteem, and to feel the excitement when they discover and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ccomplish</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something without an educator teaching them. Loose parts were used in this setting to support the person-centred approach, and they believe the students are capable and creative. The level of students work at are recognised as their development level, and the choices they make can give them a vast number of possibilities. The educators learn and investigate with the student and experience the excitement while discovering something new through learning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(Estyn, 2024).</w:t>
      </w:r>
    </w:p>
    <w:p xmlns:wp14="http://schemas.microsoft.com/office/word/2010/wordml" w:rsidP="4786824B" wp14:paraId="7F244322" wp14:textId="62AC7BCC">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1CA1D83D" wp14:textId="31770568">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Rogers also believes that life experiences are impaired and supported immensely by the hypothesis we are born with and innate tendency towards self-actualization. Roger voices that if a child is not given a vast range of life experiences the child’s ability to be open,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authentic</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genuine is restricted. Rogers also expresses that caregivers must provide positive support and acceptance without judgement towards children and infants at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a high level</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be able to improve the experiences provided in life and education (Martin, 2025).</w:t>
      </w:r>
    </w:p>
    <w:p xmlns:wp14="http://schemas.microsoft.com/office/word/2010/wordml" w:rsidP="4786824B" wp14:paraId="531EDB03" wp14:textId="2284A837">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7EC0513B" wp14:textId="6F2D11D5">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Rogers and Maslow share the similar beliefs when it comes to how a person should learn. It is believed that Maslow encourages a person to learn and discover their authentic self to find their identity. It is said Maslow believed courses and T-groups should be included in the curriculum to motivate students to give time to learning about their genuine selves (Feigenbaum, 2023). Rogers and Maslow both believe students need a positive and safe environment to be able to develop and learn in efficiently. Both Rogers and Maslow emphasize their humanists' theories are paramount for the students emotional and psychological wellbeing and therefore influence their learning. The students are the forefront and centred of their approach (Kumari, 2024). Although Maslow would argue that before this, the student’s basic survival needs must be met to be able to learn efficiently. It is said that Maslow believes environmental and interpersonal barriers can restrict and make it difficult for students to move up the hierarchy needs if the basic needs are not met first. Maslow is also said to believe, at higher levels, a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student</w:t>
      </w:r>
      <w:r w:rsidRPr="4786824B" w:rsidR="448364A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needs become less physiological and sort term and become psychological and long term if they are not met (McLeod, 2025b).</w:t>
      </w:r>
    </w:p>
    <w:p xmlns:wp14="http://schemas.microsoft.com/office/word/2010/wordml" w:rsidP="4786824B" wp14:paraId="062D7773" wp14:textId="238079B5">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654EF48C" wp14:textId="11B2EA90">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“Humanistic education aims to nurture the whole person, including their cognitive, emotional, social, and spiritual dimensions.” (Dr Kumari, 2024, p.2447-24522448).</w:t>
      </w:r>
    </w:p>
    <w:p xmlns:wp14="http://schemas.microsoft.com/office/word/2010/wordml" w:rsidP="4786824B" wp14:paraId="75FBFB15" wp14:textId="30CF160C">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description explains Rogers and Maslow's theory by emphasizing on the whole person and the way they believe a student should be nurtured and not told what to do. </w:t>
      </w:r>
    </w:p>
    <w:p xmlns:wp14="http://schemas.microsoft.com/office/word/2010/wordml" w:rsidP="4786824B" wp14:paraId="6ED577A1" wp14:textId="47CD3140">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432BDB22" wp14:textId="259870C9">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Individual emotional growth and positive relationships are highlighted as the most important part of a student's experience in school and is highly influenced by the work or a Teaching Assistant (TA) and Learning Support Assistants (LSA) in the setting</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role of the TA and LSA is paramount to the student's time in school, they are with them a majority amount of their school life They spend time getting to know their students and their personality. They use Rogers and Maslow's approach by making the student and their education experience person cantered. The TA’s and LSA’s spend time creating a bond with the student and create a safe and enriched environment they feel comfortable in. A TA will share emotions with students to be able to sympathise with them when they are feeling low or misunderstood.  A TA and LSA will have gotten to know a student's triggers and are able to deal with a situation by knowing what to do in the moment, where it mind be moving environment to a </w:t>
      </w:r>
      <w:r w:rsidRPr="4786824B" w:rsidR="743AE8CB">
        <w:rPr>
          <w:rFonts w:ascii="Calibri" w:hAnsi="Calibri" w:eastAsia="Calibri" w:cs="Calibri"/>
          <w:b w:val="0"/>
          <w:bCs w:val="0"/>
          <w:i w:val="0"/>
          <w:iCs w:val="0"/>
          <w:caps w:val="0"/>
          <w:smallCaps w:val="0"/>
          <w:noProof w:val="0"/>
          <w:color w:val="000000" w:themeColor="text1" w:themeTint="FF" w:themeShade="FF"/>
          <w:sz w:val="24"/>
          <w:szCs w:val="24"/>
          <w:lang w:val="en-GB"/>
        </w:rPr>
        <w:t>safer</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place for the student. This has all come from Rogers and other humanistic theory information TA and LSA are given when learning their role as a TA or LSA.</w:t>
      </w:r>
    </w:p>
    <w:p xmlns:wp14="http://schemas.microsoft.com/office/word/2010/wordml" w:rsidP="4786824B" wp14:paraId="4BCF172B" wp14:textId="7CAAE414">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440CE47D" wp14:textId="74932ED9">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humanist that touches on the same values of Rogers is Maxine Greene. Greene was a female humanist that believe in aesthetic encounters. </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 xml:space="preserve">"The Maxine Greene Institute aspires to create an open space where no particular entity, individual or manifesto dominates. We welcome conversation, debate, and multiple perspectives </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pertaining to</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the evolution of aesthetic education and the notion of social imagination</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(Maxinegreene.org, 2026) </w:t>
      </w:r>
    </w:p>
    <w:p xmlns:wp14="http://schemas.microsoft.com/office/word/2010/wordml" w:rsidP="4786824B" wp14:paraId="6C0BAB10" wp14:textId="7CD31013">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3CB79D8E" wp14:textId="3E4CE131">
      <w:pPr>
        <w:spacing w:before="30" w:after="30" w:line="360" w:lineRule="auto"/>
        <w:ind w:left="0" w:right="567"/>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Maxine Greene Institute aspires to create an open space where no particular entity, individual or manifesto dominates. We welcome conversation, debate, and multiple perspectives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pertaining to</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evolution of aesthetic education and the notion of social imagination (Greene, 2026). </w:t>
      </w:r>
    </w:p>
    <w:p xmlns:wp14="http://schemas.microsoft.com/office/word/2010/wordml" w:rsidP="4786824B" wp14:paraId="55E3B23B" wp14:textId="06F5B31E">
      <w:pPr>
        <w:spacing w:before="30" w:after="30" w:line="360" w:lineRule="auto"/>
        <w:ind w:left="720" w:right="85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31EDC97D" wp14:textId="068DD77A">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53C95F4B" wp14:textId="57EB3BA4">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Greene </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w:t>
      </w:r>
      <w:r w:rsidRPr="4786824B" w:rsidR="13280F22">
        <w:rPr>
          <w:rFonts w:ascii="Calibri" w:hAnsi="Calibri" w:eastAsia="Calibri" w:cs="Calibri"/>
          <w:b w:val="0"/>
          <w:bCs w:val="0"/>
          <w:i w:val="1"/>
          <w:iCs w:val="1"/>
          <w:caps w:val="0"/>
          <w:smallCaps w:val="0"/>
          <w:noProof w:val="0"/>
          <w:color w:val="333333"/>
          <w:sz w:val="24"/>
          <w:szCs w:val="24"/>
          <w:lang w:val="en-GB"/>
        </w:rPr>
        <w:t xml:space="preserve">The proper way to encounter another person is to be open to them, to be ready to see new dimensions, new facets of the other, to recognize the possibility of some fresh perception or understanding, so you may know the other better, appreciate that person more variously.”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(Greene, 2001). </w:t>
      </w:r>
    </w:p>
    <w:p xmlns:wp14="http://schemas.microsoft.com/office/word/2010/wordml" w:rsidP="4786824B" wp14:paraId="3ECE75C1" wp14:textId="4C43006E">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4E5FA7F0" wp14:textId="06B436D2">
      <w:pPr>
        <w:spacing w:before="30" w:after="30" w:line="360" w:lineRule="auto"/>
        <w:ind w:left="0" w:right="567"/>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333333"/>
          <w:sz w:val="24"/>
          <w:szCs w:val="24"/>
          <w:lang w:val="en-GB"/>
        </w:rPr>
        <w:t xml:space="preserve">The proper way to encounter another person is to be open to them, to be ready to see new dimensions, new facets of the other, to recognize the possibility of some fresh perception or understanding, so you may know the other better, appreciate that person more variously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(Greene, 2001).</w:t>
      </w:r>
    </w:p>
    <w:p xmlns:wp14="http://schemas.microsoft.com/office/word/2010/wordml" w:rsidP="4786824B" wp14:paraId="2950C8D5" wp14:textId="5661FF69">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38717B98" wp14:textId="470876D8">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1DE72679" wp14:textId="7DD7C910">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also co-insides with how the Rogers humanistic theories support the work of TA’s and LSA’s in school setting and getting to the know person, not being judgemental and being open minded. </w:t>
      </w:r>
    </w:p>
    <w:p xmlns:wp14="http://schemas.microsoft.com/office/word/2010/wordml" w:rsidP="4786824B" wp14:paraId="14751F60" wp14:textId="0EC248FB">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2EE71828" wp14:textId="1BB0BD58">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Dr Kumaris’ (2024) evidence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indicates</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Rogers</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person centred approach empowers students to take control of the journey through education and encourages students to be independent,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strong</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engaged learners. By giving the students the right environment, it gives the students the opportunity to direct their learning themselves. As a result, students learn from their mistakes instead of getting disappointed they are getting things wrong.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Rogers</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theory understands and believes the importance of the role of the educator is to give student the ability to become self-actualization. It encourages students to work towards goals they set themselves supported by the TA’s and LSA’s. By using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Rogers</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person cantered and therapeutic approach students can feel empowered to magnify motivation and to be able to steer their way through modern educational barriers and triggers in school settings with the support given to them throughout their learning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(Dr</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Kumari, 2024, p. 2447-24522449).</w:t>
      </w:r>
    </w:p>
    <w:p xmlns:wp14="http://schemas.microsoft.com/office/word/2010/wordml" w:rsidP="4786824B" wp14:paraId="6A3CB0B2" wp14:textId="4330E881">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41CEFE5F" wp14:textId="2207AFEC">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conclusion, Carl Rogers, Abraham Maslow, Maxine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Greene,</w:t>
      </w:r>
      <w:r w:rsidRPr="4786824B" w:rsidR="28BF0CF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research</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from Bob Bates and from schools included in Estyn reports believe that by creating a nurturing and engaging environment for students to learn in is most important. Valuable support from Teaching Assistants and Learning Support Assistant who follow Rogers and other Humanist person-centred approaches show the positive outcomes for the students in the settings. The role of the TA’s and LSA’s includes building positive, trustful,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respectful</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non-judgemental relationships with the students. The research suggests that if the educators create an engaging and safe space for the student to learn they will flourish in education, and their emotional and psychological well-being will improve. </w:t>
      </w:r>
    </w:p>
    <w:p xmlns:wp14="http://schemas.microsoft.com/office/word/2010/wordml" w:rsidP="4786824B" wp14:paraId="7AE480F3" wp14:textId="12EC0321">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715DE201" wp14:textId="2C9998C9">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Research also recognises that when a student is being provided the basic needs in life, as Maslow would argue that a person’s most important need is physical survival including breathing, water, food, shelter, clothing and sleep, and until this is fulfilled, they cannot move on to learn efficiently (McLeod, 2025). As Roger emphasizes continuously in his research, the caregivers and educators must experience the learning and investigation with the student to be able to support them the best way possible. They need to engage with the student to be able to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truly involve</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themselves in the process The educators need to believe in the student and let them lead the way on their journey.</w:t>
      </w:r>
    </w:p>
    <w:p xmlns:wp14="http://schemas.microsoft.com/office/word/2010/wordml" w:rsidP="4786824B" wp14:paraId="7F9470D3" wp14:textId="6B0F02C5">
      <w:pPr>
        <w:spacing w:after="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br/>
      </w:r>
    </w:p>
    <w:p xmlns:wp14="http://schemas.microsoft.com/office/word/2010/wordml" w:rsidP="4786824B" wp14:paraId="2E131971" wp14:textId="314FF71D">
      <w:pPr>
        <w:spacing w:after="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0E5D30E4" wp14:textId="5C6E3815">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449A822A" wp14:textId="0930DD69">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3C3A6E60" wp14:textId="3046D55A">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2B6BDC1A" wp14:textId="17589BF4">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7F129588" wp14:textId="6E8A641E">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4108631A" wp14:textId="4C91BC28">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4C12247C" wp14:textId="06DE2A14">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61BA5D02" wp14:textId="146DD69E">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52E8DFB7" wp14:textId="3A5C82B3">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11CD62BC" wp14:textId="717001FB">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5A805D60" wp14:textId="3AC49ADF">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15D2561A" wp14:textId="3FB9AD3E">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340D6823" wp14:textId="38179C1C">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4F456F1F" wp14:textId="3E3C0636">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694C94FF" wp14:textId="4E58CC37">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345D5C5B" wp14:textId="1BD0249E">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349A4FCB" wp14:textId="2808045F">
      <w:pPr>
        <w:spacing w:before="30" w:after="3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519D8700" wp14:textId="6431A442">
      <w:pPr>
        <w:spacing w:before="30" w:after="30"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26D500E1" wp14:textId="2BC7EABD">
      <w:pPr>
        <w:spacing w:before="30" w:after="30" w:line="240" w:lineRule="auto"/>
        <w:jc w:val="both"/>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u w:val="single"/>
          <w:lang w:val="en-GB"/>
        </w:rPr>
        <w:t>Reference List</w:t>
      </w:r>
    </w:p>
    <w:p xmlns:wp14="http://schemas.microsoft.com/office/word/2010/wordml" w:rsidP="4786824B" wp14:paraId="05076617" wp14:textId="17353808">
      <w:pPr>
        <w:spacing w:before="30" w:after="30" w:line="240" w:lineRule="auto"/>
        <w:jc w:val="both"/>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xmlns:wp14="http://schemas.microsoft.com/office/word/2010/wordml" w:rsidP="4786824B" wp14:paraId="540EAFB9" wp14:textId="393D6BA9">
      <w:pPr>
        <w:spacing w:after="240"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Bates, B. (2019). </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 xml:space="preserve">Learning Theories </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 xml:space="preserve">Simplified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it-IT"/>
        </w:rPr>
        <w:t>2nd ed. London: Sage.</w:t>
      </w:r>
    </w:p>
    <w:p xmlns:wp14="http://schemas.microsoft.com/office/word/2010/wordml" w:rsidP="4786824B" wp14:paraId="3C59BDD5" wp14:textId="5AC1C920">
      <w:pPr>
        <w:spacing w:after="240"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it-IT"/>
        </w:rPr>
      </w:pPr>
    </w:p>
    <w:p xmlns:wp14="http://schemas.microsoft.com/office/word/2010/wordml" w:rsidP="4786824B" wp14:paraId="2771B996" wp14:textId="33AEDC6B">
      <w:pPr>
        <w:pStyle w:val="Normal"/>
        <w:spacing w:after="240"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it-IT"/>
        </w:rPr>
        <w:t>Estyn</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it-IT"/>
        </w:rPr>
        <w:t xml:space="preserve">.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(2024). </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 xml:space="preserve">How To Facilitate a Child Centred Approach Using Loose Parts </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To</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Enhance Creativity, Resilience </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And</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Collaborative Skills. - Estyn</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78f4a012f5914ada">
        <w:r w:rsidRPr="4786824B" w:rsidR="13280F22">
          <w:rPr>
            <w:rStyle w:val="Hyperlink"/>
            <w:rFonts w:ascii="Calibri" w:hAnsi="Calibri" w:eastAsia="Calibri" w:cs="Calibri"/>
            <w:b w:val="0"/>
            <w:bCs w:val="0"/>
            <w:i w:val="0"/>
            <w:iCs w:val="0"/>
            <w:caps w:val="0"/>
            <w:smallCaps w:val="0"/>
            <w:strike w:val="0"/>
            <w:dstrike w:val="0"/>
            <w:noProof w:val="0"/>
            <w:sz w:val="24"/>
            <w:szCs w:val="24"/>
            <w:lang w:val="en-GB"/>
          </w:rPr>
          <w:t>https://estyn.gov.wales/improvement-resources/how-to-facilitate-a-child-centred-approach-using-loose-parts-to-enhance-creativity-resilience-and-collaborative-skills/</w:t>
        </w:r>
      </w:hyperlink>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4786824B" wp14:paraId="7DB5250E" wp14:textId="604CAAAC">
      <w:pPr>
        <w:pStyle w:val="Normal"/>
        <w:spacing w:after="240"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6CB65B39" wp14:textId="324DFA6D">
      <w:pPr>
        <w:pStyle w:val="Normal"/>
        <w:spacing w:after="240"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Martin, J. (2025). Carl Rogers’ struggle to be ‘real’ and its implications for understanding psychologists’ life–work connections and sociocultural impact. </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Theory &amp; Psychology</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35(2). </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doi:https</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://doi.org/10.1177/09593543251324158.</w:t>
      </w:r>
    </w:p>
    <w:p xmlns:wp14="http://schemas.microsoft.com/office/word/2010/wordml" w:rsidP="4786824B" wp14:paraId="6D245DFE" wp14:textId="4697647E">
      <w:pPr>
        <w:spacing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33A1D9D2" wp14:textId="159D0F4D">
      <w:pPr>
        <w:spacing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Feigenbaum,K.D</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.(2023). A Critique of Abraham Maslow and Carl Rogers as Educators. </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Journal of Humanistic Psychology</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64(1</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).Doi://https://doi.org/10.1177/0021678231154819</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4786824B" wp14:paraId="32C3D17F" wp14:textId="556BFC3C">
      <w:pPr>
        <w:spacing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585A6ABA" wp14:textId="71618478">
      <w:pPr>
        <w:spacing w:after="240"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Kumari, S. (2024). Humanism in Education: Fostering Student-</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Centered</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Learning Through Maslow’s and Rogers’ Theories. </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International Journal of Research Publication and Reviews</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5(7), pp.2447–2452. Available at: </w:t>
      </w:r>
      <w:hyperlink r:id="R094631974c2240a3">
        <w:r w:rsidRPr="4786824B" w:rsidR="13280F22">
          <w:rPr>
            <w:rStyle w:val="Hyperlink"/>
            <w:rFonts w:ascii="Calibri" w:hAnsi="Calibri" w:eastAsia="Calibri" w:cs="Calibri"/>
            <w:b w:val="0"/>
            <w:bCs w:val="0"/>
            <w:i w:val="0"/>
            <w:iCs w:val="0"/>
            <w:caps w:val="0"/>
            <w:smallCaps w:val="0"/>
            <w:strike w:val="0"/>
            <w:dstrike w:val="0"/>
            <w:noProof w:val="0"/>
            <w:sz w:val="24"/>
            <w:szCs w:val="24"/>
            <w:lang w:val="en-GB"/>
          </w:rPr>
          <w:t>https://www.researchgate.net/profile/Shambhavi-Kumari-9/publication/388007137_Humanism_in_Education_Fostering_Student-Centered_Learning_Through_Maslow</w:t>
        </w:r>
      </w:hyperlink>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4786824B" wp14:paraId="6CA253EA" wp14:textId="7CEE1381">
      <w:pPr>
        <w:spacing w:after="240"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614B088D" wp14:textId="03E1717C">
      <w:pPr>
        <w:spacing w:after="240"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Maxinegreene.org. (2026). </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Welcome To Zscaler Directory Authentication</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cff12c7d4cc24f52">
        <w:r w:rsidRPr="4786824B" w:rsidR="13280F22">
          <w:rPr>
            <w:rStyle w:val="Hyperlink"/>
            <w:rFonts w:ascii="Calibri" w:hAnsi="Calibri" w:eastAsia="Calibri" w:cs="Calibri"/>
            <w:b w:val="0"/>
            <w:bCs w:val="0"/>
            <w:i w:val="0"/>
            <w:iCs w:val="0"/>
            <w:caps w:val="0"/>
            <w:smallCaps w:val="0"/>
            <w:strike w:val="0"/>
            <w:dstrike w:val="0"/>
            <w:noProof w:val="0"/>
            <w:sz w:val="24"/>
            <w:szCs w:val="24"/>
            <w:lang w:val="en-GB"/>
          </w:rPr>
          <w:t>https://maxinegreene.org/aboutmaxine</w:t>
        </w:r>
      </w:hyperlink>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3 Jan. 2026].</w:t>
      </w:r>
    </w:p>
    <w:p xmlns:wp14="http://schemas.microsoft.com/office/word/2010/wordml" w:rsidP="4786824B" wp14:paraId="315657C8" wp14:textId="2EE22A52">
      <w:pPr>
        <w:spacing w:after="240"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44967CF9" wp14:textId="428D1D93">
      <w:pPr>
        <w:spacing w:after="240"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Greene, M. (2001). </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Variations on a Blue Guitar</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Teachers College Press.</w:t>
      </w:r>
    </w:p>
    <w:p xmlns:wp14="http://schemas.microsoft.com/office/word/2010/wordml" w:rsidP="4786824B" wp14:paraId="080EA3DC" wp14:textId="5C7CBDDA">
      <w:pPr>
        <w:spacing w:after="240"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786824B" wp14:paraId="5D81CC07" wp14:textId="3004FF14">
      <w:pPr>
        <w:spacing w:after="240"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McLeod, S. (2025). </w:t>
      </w:r>
      <w:r w:rsidRPr="4786824B" w:rsidR="13280F22">
        <w:rPr>
          <w:rFonts w:ascii="Calibri" w:hAnsi="Calibri" w:eastAsia="Calibri" w:cs="Calibri"/>
          <w:b w:val="0"/>
          <w:bCs w:val="0"/>
          <w:i w:val="1"/>
          <w:iCs w:val="1"/>
          <w:caps w:val="0"/>
          <w:smallCaps w:val="0"/>
          <w:noProof w:val="0"/>
          <w:color w:val="000000" w:themeColor="text1" w:themeTint="FF" w:themeShade="FF"/>
          <w:sz w:val="24"/>
          <w:szCs w:val="24"/>
          <w:lang w:val="en-GB"/>
        </w:rPr>
        <w:t>Maslow’s hierarchy of needs</w:t>
      </w:r>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Simply Psychology. Available at: </w:t>
      </w:r>
      <w:hyperlink r:id="Ra4e9a57a2f694b87">
        <w:r w:rsidRPr="4786824B" w:rsidR="13280F22">
          <w:rPr>
            <w:rStyle w:val="Hyperlink"/>
            <w:rFonts w:ascii="Calibri" w:hAnsi="Calibri" w:eastAsia="Calibri" w:cs="Calibri"/>
            <w:b w:val="0"/>
            <w:bCs w:val="0"/>
            <w:i w:val="0"/>
            <w:iCs w:val="0"/>
            <w:caps w:val="0"/>
            <w:smallCaps w:val="0"/>
            <w:strike w:val="0"/>
            <w:dstrike w:val="0"/>
            <w:noProof w:val="0"/>
            <w:sz w:val="24"/>
            <w:szCs w:val="24"/>
            <w:lang w:val="en-GB"/>
          </w:rPr>
          <w:t>https://www.simplypsychology.org/maslow.html</w:t>
        </w:r>
      </w:hyperlink>
      <w:r w:rsidRPr="4786824B" w:rsidR="13280F22">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4786824B" wp14:paraId="32BE1886" wp14:textId="7A231231">
      <w:pPr>
        <w:spacing w:after="24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40100FB2"/>
    <w:sectPr>
      <w:pgSz w:w="11906" w:h="16838" w:orient="portrait"/>
      <w:pgMar w:top="1440" w:right="1440" w:bottom="1440" w:left="1440" w:header="720" w:footer="720" w:gutter="0"/>
      <w:cols w:space="720"/>
      <w:docGrid w:linePitch="360"/>
      <w:headerReference w:type="default" r:id="Ra1f262c3e8a04a91"/>
      <w:footerReference w:type="default" r:id="R80d94eaf7eb7454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786824B" w:rsidTr="4786824B" w14:paraId="423EFB5D">
      <w:trPr>
        <w:trHeight w:val="300"/>
      </w:trPr>
      <w:tc>
        <w:tcPr>
          <w:tcW w:w="3005" w:type="dxa"/>
          <w:tcMar/>
        </w:tcPr>
        <w:p w:rsidR="4786824B" w:rsidP="4786824B" w:rsidRDefault="4786824B" w14:paraId="10C16007" w14:textId="2ED397F8">
          <w:pPr>
            <w:pStyle w:val="Header"/>
            <w:bidi w:val="0"/>
            <w:ind w:left="-115"/>
            <w:jc w:val="left"/>
          </w:pPr>
        </w:p>
      </w:tc>
      <w:tc>
        <w:tcPr>
          <w:tcW w:w="3005" w:type="dxa"/>
          <w:tcMar/>
        </w:tcPr>
        <w:p w:rsidR="4786824B" w:rsidP="4786824B" w:rsidRDefault="4786824B" w14:paraId="65A3F675" w14:textId="06121D25">
          <w:pPr>
            <w:pStyle w:val="Header"/>
            <w:bidi w:val="0"/>
            <w:jc w:val="center"/>
          </w:pPr>
        </w:p>
      </w:tc>
      <w:tc>
        <w:tcPr>
          <w:tcW w:w="3005" w:type="dxa"/>
          <w:tcMar/>
        </w:tcPr>
        <w:p w:rsidR="4786824B" w:rsidP="4786824B" w:rsidRDefault="4786824B" w14:paraId="16AFBE92" w14:textId="5432E435">
          <w:pPr>
            <w:pStyle w:val="Header"/>
            <w:bidi w:val="0"/>
            <w:ind w:right="-115"/>
            <w:jc w:val="right"/>
          </w:pPr>
        </w:p>
      </w:tc>
    </w:tr>
  </w:tbl>
  <w:p w:rsidR="4786824B" w:rsidP="4786824B" w:rsidRDefault="4786824B" w14:paraId="1734FCDB" w14:textId="2805222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786824B" w:rsidTr="4786824B" w14:paraId="2366DA18">
      <w:trPr>
        <w:trHeight w:val="300"/>
      </w:trPr>
      <w:tc>
        <w:tcPr>
          <w:tcW w:w="3005" w:type="dxa"/>
          <w:tcMar/>
        </w:tcPr>
        <w:p w:rsidR="4786824B" w:rsidP="4786824B" w:rsidRDefault="4786824B" w14:paraId="2256538B" w14:textId="0CB26121">
          <w:pPr>
            <w:pStyle w:val="Header"/>
            <w:bidi w:val="0"/>
            <w:ind w:left="-115"/>
            <w:jc w:val="left"/>
          </w:pPr>
          <w:r>
            <w:fldChar w:fldCharType="begin"/>
          </w:r>
          <w:r>
            <w:instrText xml:space="preserve">PAGE</w:instrText>
          </w:r>
          <w:r>
            <w:fldChar w:fldCharType="separate"/>
          </w:r>
          <w:r>
            <w:fldChar w:fldCharType="end"/>
          </w:r>
        </w:p>
      </w:tc>
      <w:tc>
        <w:tcPr>
          <w:tcW w:w="3005" w:type="dxa"/>
          <w:tcMar/>
        </w:tcPr>
        <w:p w:rsidR="4786824B" w:rsidP="4786824B" w:rsidRDefault="4786824B" w14:paraId="19A3A255" w14:textId="769F384A">
          <w:pPr>
            <w:pStyle w:val="Header"/>
            <w:bidi w:val="0"/>
            <w:jc w:val="center"/>
          </w:pPr>
        </w:p>
      </w:tc>
      <w:tc>
        <w:tcPr>
          <w:tcW w:w="3005" w:type="dxa"/>
          <w:tcMar/>
        </w:tcPr>
        <w:p w:rsidR="4786824B" w:rsidP="4786824B" w:rsidRDefault="4786824B" w14:paraId="0D4E9371" w14:textId="7ABEFA68">
          <w:pPr>
            <w:pStyle w:val="Header"/>
            <w:bidi w:val="0"/>
            <w:ind w:right="-115"/>
            <w:jc w:val="right"/>
          </w:pPr>
        </w:p>
      </w:tc>
    </w:tr>
  </w:tbl>
  <w:p w:rsidR="4786824B" w:rsidP="4786824B" w:rsidRDefault="4786824B" w14:paraId="08044ED2" w14:textId="3D0F5E5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174D20"/>
    <w:rsid w:val="13280F22"/>
    <w:rsid w:val="1932DA50"/>
    <w:rsid w:val="1E05E08A"/>
    <w:rsid w:val="1EAF3FC3"/>
    <w:rsid w:val="28BF0CFD"/>
    <w:rsid w:val="29F65D8A"/>
    <w:rsid w:val="448364A3"/>
    <w:rsid w:val="4786824B"/>
    <w:rsid w:val="47FBAE5A"/>
    <w:rsid w:val="48174D20"/>
    <w:rsid w:val="4FFF8169"/>
    <w:rsid w:val="542BAE3C"/>
    <w:rsid w:val="64805F87"/>
    <w:rsid w:val="6E376F07"/>
    <w:rsid w:val="6E4E23A2"/>
    <w:rsid w:val="72034932"/>
    <w:rsid w:val="743AE8CB"/>
    <w:rsid w:val="77D3B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5CAAD"/>
  <w15:chartTrackingRefBased/>
  <w15:docId w15:val="{7A1F5C48-C19B-4485-B754-BD1B87F0B6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786824B"/>
    <w:rPr>
      <w:color w:val="467886"/>
      <w:u w:val="single"/>
    </w:rPr>
  </w:style>
  <w:style w:type="paragraph" w:styleId="Header">
    <w:uiPriority w:val="99"/>
    <w:name w:val="header"/>
    <w:basedOn w:val="Normal"/>
    <w:unhideWhenUsed/>
    <w:rsid w:val="4786824B"/>
    <w:pPr>
      <w:tabs>
        <w:tab w:val="center" w:leader="none" w:pos="4680"/>
        <w:tab w:val="right" w:leader="none" w:pos="9360"/>
      </w:tabs>
      <w:spacing w:after="0" w:line="240" w:lineRule="auto"/>
    </w:pPr>
  </w:style>
  <w:style w:type="paragraph" w:styleId="Footer">
    <w:uiPriority w:val="99"/>
    <w:name w:val="footer"/>
    <w:basedOn w:val="Normal"/>
    <w:unhideWhenUsed/>
    <w:rsid w:val="4786824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styn.gov.wales/improvement-resources/how-to-facilitate-a-child-centred-approach-using-loose-parts-to-enhance-creativity-resilience-and-collaborative-skills/" TargetMode="External" Id="R78f4a012f5914ada" /><Relationship Type="http://schemas.openxmlformats.org/officeDocument/2006/relationships/hyperlink" Target="https://www.researchgate.net/profile/Shambhavi-Kumari-9/publication/388007137_Humanism_in_Education_Fostering_Student-Centered_Learning_Through_Maslow" TargetMode="External" Id="R094631974c2240a3" /><Relationship Type="http://schemas.openxmlformats.org/officeDocument/2006/relationships/hyperlink" Target="https://maxinegreene.org/aboutmaxine" TargetMode="External" Id="Rcff12c7d4cc24f52" /><Relationship Type="http://schemas.openxmlformats.org/officeDocument/2006/relationships/hyperlink" Target="https://www.simplypsychology.org/maslow.html" TargetMode="External" Id="Ra4e9a57a2f694b87" /><Relationship Type="http://schemas.openxmlformats.org/officeDocument/2006/relationships/header" Target="/word/header.xml" Id="Ra1f262c3e8a04a91" /><Relationship Type="http://schemas.openxmlformats.org/officeDocument/2006/relationships/footer" Target="/word/footer.xml" Id="R80d94eaf7eb7454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Evans (2507030)</dc:creator>
  <keywords/>
  <dc:description/>
  <lastModifiedBy>Ffion Evans (2507030)</lastModifiedBy>
  <revision>2</revision>
  <dcterms:created xsi:type="dcterms:W3CDTF">2026-01-11T13:01:25.6246249Z</dcterms:created>
  <dcterms:modified xsi:type="dcterms:W3CDTF">2026-01-11T13:11:05.1798940Z</dcterms:modified>
</coreProperties>
</file>