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18C04" w14:textId="77777777" w:rsidR="00001C85" w:rsidRPr="00001C85" w:rsidRDefault="00001C85" w:rsidP="00001C85">
      <w:pPr>
        <w:jc w:val="center"/>
        <w:rPr>
          <w:rFonts w:ascii="Arial" w:hAnsi="Arial" w:cs="Arial"/>
          <w:b/>
          <w:bCs/>
          <w:sz w:val="22"/>
          <w:szCs w:val="22"/>
        </w:rPr>
      </w:pPr>
    </w:p>
    <w:p w14:paraId="1A15561D" w14:textId="783CADD3" w:rsidR="00001C85" w:rsidRPr="00001C85" w:rsidRDefault="00001C85" w:rsidP="00001C85">
      <w:pPr>
        <w:jc w:val="center"/>
        <w:rPr>
          <w:rFonts w:ascii="Arial" w:hAnsi="Arial" w:cs="Arial"/>
          <w:b/>
          <w:bCs/>
          <w:sz w:val="22"/>
          <w:szCs w:val="22"/>
        </w:rPr>
      </w:pPr>
      <w:r w:rsidRPr="00001C85">
        <w:rPr>
          <w:rFonts w:ascii="Arial" w:hAnsi="Arial" w:cs="Arial"/>
          <w:b/>
          <w:bCs/>
          <w:sz w:val="22"/>
          <w:szCs w:val="22"/>
        </w:rPr>
        <w:t>Student Name:</w:t>
      </w:r>
      <w:r w:rsidR="000879CD">
        <w:rPr>
          <w:rFonts w:ascii="Arial" w:hAnsi="Arial" w:cs="Arial"/>
          <w:b/>
          <w:bCs/>
          <w:sz w:val="22"/>
          <w:szCs w:val="22"/>
        </w:rPr>
        <w:t xml:space="preserve"> Sarah N’guessan</w:t>
      </w:r>
    </w:p>
    <w:p w14:paraId="3F955626" w14:textId="697D9A70" w:rsidR="00001C85" w:rsidRPr="00001C85" w:rsidRDefault="00001C85" w:rsidP="00001C85">
      <w:pPr>
        <w:jc w:val="center"/>
        <w:rPr>
          <w:rFonts w:ascii="Arial" w:hAnsi="Arial" w:cs="Arial"/>
          <w:b/>
          <w:bCs/>
          <w:sz w:val="22"/>
          <w:szCs w:val="22"/>
        </w:rPr>
      </w:pPr>
      <w:r w:rsidRPr="00001C85">
        <w:rPr>
          <w:rFonts w:ascii="Arial" w:hAnsi="Arial" w:cs="Arial"/>
          <w:b/>
          <w:bCs/>
          <w:sz w:val="22"/>
          <w:szCs w:val="22"/>
        </w:rPr>
        <w:t>Student ID:</w:t>
      </w:r>
      <w:r w:rsidR="000879CD">
        <w:rPr>
          <w:rFonts w:ascii="Arial" w:hAnsi="Arial" w:cs="Arial"/>
          <w:b/>
          <w:bCs/>
          <w:sz w:val="22"/>
          <w:szCs w:val="22"/>
        </w:rPr>
        <w:t xml:space="preserve"> 2127140</w:t>
      </w:r>
    </w:p>
    <w:p w14:paraId="5F16D1CF" w14:textId="77777777" w:rsidR="00001C85" w:rsidRPr="00001C85" w:rsidRDefault="00001C85" w:rsidP="00001C85">
      <w:pPr>
        <w:jc w:val="center"/>
        <w:rPr>
          <w:rFonts w:ascii="Arial" w:hAnsi="Arial" w:cs="Arial"/>
          <w:b/>
          <w:bCs/>
          <w:sz w:val="22"/>
          <w:szCs w:val="22"/>
        </w:rPr>
      </w:pPr>
    </w:p>
    <w:p w14:paraId="097BE285" w14:textId="77777777" w:rsidR="00001C85" w:rsidRPr="00001C85" w:rsidRDefault="00001C85" w:rsidP="00001C85">
      <w:pPr>
        <w:jc w:val="center"/>
        <w:rPr>
          <w:rFonts w:ascii="Arial" w:hAnsi="Arial" w:cs="Arial"/>
          <w:b/>
          <w:bCs/>
          <w:sz w:val="22"/>
          <w:szCs w:val="22"/>
        </w:rPr>
      </w:pPr>
    </w:p>
    <w:p w14:paraId="70ADC681" w14:textId="77777777" w:rsidR="00001C85" w:rsidRPr="00001C85" w:rsidRDefault="00001C85" w:rsidP="00001C85">
      <w:pPr>
        <w:jc w:val="center"/>
        <w:rPr>
          <w:rFonts w:ascii="Arial" w:hAnsi="Arial" w:cs="Arial"/>
          <w:b/>
          <w:bCs/>
          <w:sz w:val="22"/>
          <w:szCs w:val="22"/>
        </w:rPr>
      </w:pPr>
      <w:r w:rsidRPr="00001C85">
        <w:rPr>
          <w:rFonts w:ascii="Arial" w:hAnsi="Arial" w:cs="Arial"/>
          <w:b/>
          <w:bCs/>
          <w:sz w:val="22"/>
          <w:szCs w:val="22"/>
        </w:rPr>
        <w:t>Module Name: Strategic Management</w:t>
      </w:r>
    </w:p>
    <w:p w14:paraId="55A539EC" w14:textId="77777777" w:rsidR="00001C85" w:rsidRPr="00001C85" w:rsidRDefault="00001C85" w:rsidP="00001C85">
      <w:pPr>
        <w:jc w:val="center"/>
        <w:rPr>
          <w:rFonts w:ascii="Arial" w:hAnsi="Arial" w:cs="Arial"/>
          <w:b/>
          <w:bCs/>
          <w:sz w:val="22"/>
          <w:szCs w:val="22"/>
        </w:rPr>
      </w:pPr>
      <w:r w:rsidRPr="00001C85">
        <w:rPr>
          <w:rFonts w:ascii="Arial" w:hAnsi="Arial" w:cs="Arial"/>
          <w:b/>
          <w:bCs/>
          <w:sz w:val="22"/>
          <w:szCs w:val="22"/>
        </w:rPr>
        <w:t>Module Code: LCLM6001</w:t>
      </w:r>
    </w:p>
    <w:p w14:paraId="3EAC04B3" w14:textId="77777777" w:rsidR="00001C85" w:rsidRPr="00001C85" w:rsidRDefault="00001C85" w:rsidP="00001C85">
      <w:pPr>
        <w:jc w:val="center"/>
        <w:rPr>
          <w:rFonts w:ascii="Arial" w:hAnsi="Arial" w:cs="Arial"/>
          <w:b/>
          <w:bCs/>
          <w:sz w:val="22"/>
          <w:szCs w:val="22"/>
        </w:rPr>
      </w:pPr>
    </w:p>
    <w:p w14:paraId="683D2B6E" w14:textId="77777777" w:rsidR="00001C85" w:rsidRPr="00001C85" w:rsidRDefault="00001C85" w:rsidP="00001C85">
      <w:pPr>
        <w:jc w:val="center"/>
        <w:rPr>
          <w:rFonts w:ascii="Arial" w:hAnsi="Arial" w:cs="Arial"/>
          <w:b/>
          <w:bCs/>
          <w:sz w:val="22"/>
          <w:szCs w:val="22"/>
        </w:rPr>
      </w:pPr>
      <w:r w:rsidRPr="00001C85">
        <w:rPr>
          <w:rFonts w:ascii="Arial" w:hAnsi="Arial" w:cs="Arial"/>
          <w:b/>
          <w:bCs/>
          <w:sz w:val="22"/>
          <w:szCs w:val="22"/>
        </w:rPr>
        <w:t>Lecturer’s Name: Dr Laila Maazouz</w:t>
      </w:r>
    </w:p>
    <w:p w14:paraId="0DB80417" w14:textId="77777777" w:rsidR="00001C85" w:rsidRPr="00001C85" w:rsidRDefault="00001C85" w:rsidP="00001C85">
      <w:pPr>
        <w:jc w:val="center"/>
        <w:rPr>
          <w:rFonts w:ascii="Arial" w:hAnsi="Arial" w:cs="Arial"/>
          <w:b/>
          <w:bCs/>
          <w:sz w:val="22"/>
          <w:szCs w:val="22"/>
        </w:rPr>
      </w:pPr>
    </w:p>
    <w:p w14:paraId="678193C3" w14:textId="77777777" w:rsidR="00001C85" w:rsidRPr="00001C85" w:rsidRDefault="00001C85" w:rsidP="00001C85">
      <w:pPr>
        <w:jc w:val="center"/>
        <w:rPr>
          <w:rFonts w:ascii="Arial" w:hAnsi="Arial" w:cs="Arial"/>
          <w:b/>
          <w:bCs/>
          <w:sz w:val="22"/>
          <w:szCs w:val="22"/>
        </w:rPr>
      </w:pPr>
      <w:r w:rsidRPr="00001C85">
        <w:rPr>
          <w:rFonts w:ascii="Arial" w:hAnsi="Arial" w:cs="Arial"/>
          <w:b/>
          <w:bCs/>
          <w:sz w:val="22"/>
          <w:szCs w:val="22"/>
        </w:rPr>
        <w:t xml:space="preserve">Strategic Management Report </w:t>
      </w:r>
    </w:p>
    <w:p w14:paraId="710E7C86" w14:textId="77777777" w:rsidR="00001C85" w:rsidRPr="00001C85" w:rsidRDefault="00001C85" w:rsidP="00001C85">
      <w:pPr>
        <w:jc w:val="center"/>
        <w:rPr>
          <w:rFonts w:ascii="Arial" w:hAnsi="Arial" w:cs="Arial"/>
          <w:b/>
          <w:bCs/>
          <w:sz w:val="22"/>
          <w:szCs w:val="22"/>
        </w:rPr>
      </w:pPr>
      <w:r w:rsidRPr="00001C85">
        <w:rPr>
          <w:rFonts w:ascii="Arial" w:hAnsi="Arial" w:cs="Arial"/>
          <w:b/>
          <w:bCs/>
          <w:sz w:val="22"/>
          <w:szCs w:val="22"/>
        </w:rPr>
        <w:t xml:space="preserve">For </w:t>
      </w:r>
    </w:p>
    <w:p w14:paraId="01045EDE" w14:textId="599DA4FF" w:rsidR="00042460" w:rsidRDefault="000879CD" w:rsidP="00001C85">
      <w:pPr>
        <w:jc w:val="center"/>
        <w:rPr>
          <w:rFonts w:ascii="Arial" w:hAnsi="Arial" w:cs="Arial"/>
          <w:b/>
          <w:bCs/>
          <w:sz w:val="22"/>
          <w:szCs w:val="22"/>
        </w:rPr>
      </w:pPr>
      <w:r>
        <w:rPr>
          <w:rFonts w:ascii="Arial" w:hAnsi="Arial" w:cs="Arial"/>
          <w:b/>
          <w:bCs/>
          <w:sz w:val="22"/>
          <w:szCs w:val="22"/>
        </w:rPr>
        <w:t>Tesla</w:t>
      </w:r>
    </w:p>
    <w:p w14:paraId="766577EA" w14:textId="77777777" w:rsidR="00042460" w:rsidRDefault="00042460">
      <w:pPr>
        <w:rPr>
          <w:rFonts w:ascii="Arial" w:hAnsi="Arial" w:cs="Arial"/>
          <w:b/>
          <w:bCs/>
          <w:sz w:val="22"/>
          <w:szCs w:val="22"/>
        </w:rPr>
      </w:pPr>
    </w:p>
    <w:p w14:paraId="44A3A054" w14:textId="77777777" w:rsidR="00042460" w:rsidRDefault="00042460">
      <w:pPr>
        <w:rPr>
          <w:rFonts w:ascii="Arial" w:hAnsi="Arial" w:cs="Arial"/>
          <w:b/>
          <w:bCs/>
          <w:sz w:val="22"/>
          <w:szCs w:val="22"/>
        </w:rPr>
      </w:pPr>
    </w:p>
    <w:p w14:paraId="4D820E5B" w14:textId="77777777" w:rsidR="00042460" w:rsidRDefault="00042460">
      <w:pPr>
        <w:rPr>
          <w:rFonts w:ascii="Arial" w:hAnsi="Arial" w:cs="Arial"/>
          <w:b/>
          <w:bCs/>
          <w:sz w:val="22"/>
          <w:szCs w:val="22"/>
        </w:rPr>
      </w:pPr>
    </w:p>
    <w:p w14:paraId="35FC5875" w14:textId="77777777" w:rsidR="00042460" w:rsidRDefault="00042460">
      <w:pPr>
        <w:rPr>
          <w:rFonts w:ascii="Arial" w:hAnsi="Arial" w:cs="Arial"/>
          <w:b/>
          <w:bCs/>
          <w:sz w:val="22"/>
          <w:szCs w:val="22"/>
        </w:rPr>
      </w:pPr>
    </w:p>
    <w:p w14:paraId="4E5BA410" w14:textId="77777777" w:rsidR="00042460" w:rsidRDefault="00042460">
      <w:pPr>
        <w:rPr>
          <w:rFonts w:ascii="Arial" w:hAnsi="Arial" w:cs="Arial"/>
          <w:b/>
          <w:bCs/>
          <w:sz w:val="22"/>
          <w:szCs w:val="22"/>
        </w:rPr>
      </w:pPr>
    </w:p>
    <w:p w14:paraId="40B1F591" w14:textId="77777777" w:rsidR="00042460" w:rsidRDefault="00042460">
      <w:pPr>
        <w:rPr>
          <w:rFonts w:ascii="Arial" w:hAnsi="Arial" w:cs="Arial"/>
          <w:b/>
          <w:bCs/>
          <w:sz w:val="22"/>
          <w:szCs w:val="22"/>
        </w:rPr>
      </w:pPr>
    </w:p>
    <w:p w14:paraId="12EF075C" w14:textId="77777777" w:rsidR="00042460" w:rsidRDefault="00042460">
      <w:pPr>
        <w:rPr>
          <w:rFonts w:ascii="Arial" w:hAnsi="Arial" w:cs="Arial"/>
          <w:b/>
          <w:bCs/>
          <w:sz w:val="22"/>
          <w:szCs w:val="22"/>
        </w:rPr>
      </w:pPr>
    </w:p>
    <w:p w14:paraId="70F3F563" w14:textId="77777777" w:rsidR="00042460" w:rsidRDefault="00042460">
      <w:pPr>
        <w:rPr>
          <w:rFonts w:ascii="Arial" w:hAnsi="Arial" w:cs="Arial"/>
          <w:b/>
          <w:bCs/>
          <w:sz w:val="22"/>
          <w:szCs w:val="22"/>
        </w:rPr>
      </w:pPr>
    </w:p>
    <w:p w14:paraId="2C212137" w14:textId="77777777" w:rsidR="00042460" w:rsidRDefault="00042460">
      <w:pPr>
        <w:rPr>
          <w:rFonts w:ascii="Arial" w:hAnsi="Arial" w:cs="Arial"/>
          <w:b/>
          <w:bCs/>
          <w:sz w:val="22"/>
          <w:szCs w:val="22"/>
        </w:rPr>
      </w:pPr>
    </w:p>
    <w:p w14:paraId="1D53B916" w14:textId="77777777" w:rsidR="00CF2713" w:rsidRDefault="00CF2713">
      <w:pPr>
        <w:rPr>
          <w:rFonts w:ascii="Arial" w:hAnsi="Arial" w:cs="Arial"/>
          <w:b/>
          <w:bCs/>
          <w:sz w:val="22"/>
          <w:szCs w:val="22"/>
        </w:rPr>
      </w:pPr>
    </w:p>
    <w:p w14:paraId="2CF17314" w14:textId="77777777" w:rsidR="00CF2713" w:rsidRDefault="00CF2713">
      <w:pPr>
        <w:rPr>
          <w:rFonts w:ascii="Arial" w:hAnsi="Arial" w:cs="Arial"/>
          <w:b/>
          <w:bCs/>
          <w:sz w:val="22"/>
          <w:szCs w:val="22"/>
        </w:rPr>
      </w:pPr>
    </w:p>
    <w:p w14:paraId="1F979F1C" w14:textId="77777777" w:rsidR="00CF2713" w:rsidRDefault="00CF2713">
      <w:pPr>
        <w:rPr>
          <w:rFonts w:ascii="Arial" w:hAnsi="Arial" w:cs="Arial"/>
          <w:b/>
          <w:bCs/>
          <w:sz w:val="22"/>
          <w:szCs w:val="22"/>
        </w:rPr>
      </w:pPr>
    </w:p>
    <w:p w14:paraId="513CFF68" w14:textId="77777777" w:rsidR="00CF2713" w:rsidRDefault="00CF2713">
      <w:pPr>
        <w:rPr>
          <w:rFonts w:ascii="Arial" w:hAnsi="Arial" w:cs="Arial"/>
          <w:b/>
          <w:bCs/>
          <w:sz w:val="22"/>
          <w:szCs w:val="22"/>
        </w:rPr>
      </w:pPr>
    </w:p>
    <w:p w14:paraId="41FA0E54" w14:textId="77777777" w:rsidR="00CF2713" w:rsidRDefault="00CF2713">
      <w:pPr>
        <w:rPr>
          <w:rFonts w:ascii="Arial" w:hAnsi="Arial" w:cs="Arial"/>
          <w:b/>
          <w:bCs/>
          <w:sz w:val="22"/>
          <w:szCs w:val="22"/>
        </w:rPr>
      </w:pPr>
    </w:p>
    <w:p w14:paraId="12B2049E" w14:textId="77777777" w:rsidR="00CF2713" w:rsidRDefault="00CF2713">
      <w:pPr>
        <w:rPr>
          <w:rFonts w:ascii="Arial" w:hAnsi="Arial" w:cs="Arial"/>
          <w:b/>
          <w:bCs/>
          <w:sz w:val="22"/>
          <w:szCs w:val="22"/>
        </w:rPr>
      </w:pPr>
    </w:p>
    <w:p w14:paraId="7521DE40" w14:textId="77777777" w:rsidR="00CF2713" w:rsidRDefault="00CF2713">
      <w:pPr>
        <w:rPr>
          <w:rFonts w:ascii="Arial" w:hAnsi="Arial" w:cs="Arial"/>
          <w:b/>
          <w:bCs/>
          <w:sz w:val="22"/>
          <w:szCs w:val="22"/>
        </w:rPr>
      </w:pPr>
    </w:p>
    <w:p w14:paraId="6568B1D6" w14:textId="77777777" w:rsidR="00CF2713" w:rsidRDefault="00CF2713">
      <w:pPr>
        <w:rPr>
          <w:rFonts w:ascii="Arial" w:hAnsi="Arial" w:cs="Arial"/>
          <w:b/>
          <w:bCs/>
          <w:sz w:val="22"/>
          <w:szCs w:val="22"/>
        </w:rPr>
      </w:pPr>
    </w:p>
    <w:p w14:paraId="2180B7E9" w14:textId="77777777" w:rsidR="00CF2713" w:rsidRDefault="00CF2713">
      <w:pPr>
        <w:rPr>
          <w:rFonts w:ascii="Arial" w:hAnsi="Arial" w:cs="Arial"/>
          <w:b/>
          <w:bCs/>
          <w:sz w:val="22"/>
          <w:szCs w:val="22"/>
        </w:rPr>
      </w:pPr>
    </w:p>
    <w:p w14:paraId="24C62481" w14:textId="7C7B4E88" w:rsidR="00FC5F29" w:rsidRPr="0085218D" w:rsidRDefault="00FC5F29">
      <w:pPr>
        <w:rPr>
          <w:rFonts w:ascii="Arial" w:hAnsi="Arial" w:cs="Arial"/>
          <w:b/>
          <w:bCs/>
          <w:sz w:val="22"/>
          <w:szCs w:val="22"/>
        </w:rPr>
      </w:pPr>
      <w:r w:rsidRPr="0085218D">
        <w:rPr>
          <w:rFonts w:ascii="Arial" w:hAnsi="Arial" w:cs="Arial"/>
          <w:b/>
          <w:bCs/>
          <w:sz w:val="22"/>
          <w:szCs w:val="22"/>
        </w:rPr>
        <w:lastRenderedPageBreak/>
        <w:t xml:space="preserve">Executive Summary </w:t>
      </w:r>
    </w:p>
    <w:p w14:paraId="21D22837" w14:textId="42F5B782" w:rsidR="007441EC" w:rsidRPr="0085218D" w:rsidRDefault="00BC3E51" w:rsidP="007441EC">
      <w:pPr>
        <w:rPr>
          <w:rFonts w:ascii="Arial" w:hAnsi="Arial" w:cs="Arial"/>
          <w:sz w:val="22"/>
          <w:szCs w:val="22"/>
        </w:rPr>
      </w:pPr>
      <w:r w:rsidRPr="0085218D">
        <w:rPr>
          <w:rFonts w:ascii="Arial" w:hAnsi="Arial" w:cs="Arial"/>
          <w:sz w:val="22"/>
          <w:szCs w:val="22"/>
        </w:rPr>
        <w:t>Tesla, Inc. is at the forefront of the worldwide shift to sustainable mobility, renewable energy, and self-driving technology. The company's mission—"to accelerate the world's transition to sustainable energy"—will continue to define its strategy and investments in 2025, as Tesla transitions from a pioneering electric vehicle (EV) manufacturer to an integrated provider of mobility, energy, and advanced robotics solutions. Despite its impressive size, Tesla's path has many of the same obstacles and agile decision-making processes seen in small and medium-sized firms (SMEs), making its growth particularly relevant as a case study for SME strategic management</w:t>
      </w:r>
      <w:sdt>
        <w:sdtPr>
          <w:rPr>
            <w:rFonts w:ascii="Arial" w:hAnsi="Arial" w:cs="Arial"/>
            <w:sz w:val="22"/>
            <w:szCs w:val="22"/>
          </w:rPr>
          <w:id w:val="-339931771"/>
          <w:citation/>
        </w:sdtPr>
        <w:sdtEndPr/>
        <w:sdtContent>
          <w:r w:rsidR="005B54A1" w:rsidRPr="0085218D">
            <w:rPr>
              <w:rFonts w:ascii="Arial" w:hAnsi="Arial" w:cs="Arial"/>
              <w:sz w:val="22"/>
              <w:szCs w:val="22"/>
            </w:rPr>
            <w:fldChar w:fldCharType="begin"/>
          </w:r>
          <w:r w:rsidR="005B54A1" w:rsidRPr="0085218D">
            <w:rPr>
              <w:rFonts w:ascii="Arial" w:hAnsi="Arial" w:cs="Arial"/>
              <w:sz w:val="22"/>
              <w:szCs w:val="22"/>
            </w:rPr>
            <w:instrText xml:space="preserve"> CITATION Dan25 \l 2057 </w:instrText>
          </w:r>
          <w:r w:rsidR="005B54A1" w:rsidRPr="0085218D">
            <w:rPr>
              <w:rFonts w:ascii="Arial" w:hAnsi="Arial" w:cs="Arial"/>
              <w:sz w:val="22"/>
              <w:szCs w:val="22"/>
            </w:rPr>
            <w:fldChar w:fldCharType="separate"/>
          </w:r>
          <w:r w:rsidR="005B54A1" w:rsidRPr="0085218D">
            <w:rPr>
              <w:rFonts w:ascii="Arial" w:hAnsi="Arial" w:cs="Arial"/>
              <w:noProof/>
              <w:sz w:val="22"/>
              <w:szCs w:val="22"/>
            </w:rPr>
            <w:t xml:space="preserve"> (Pereira, 2025)</w:t>
          </w:r>
          <w:r w:rsidR="005B54A1" w:rsidRPr="0085218D">
            <w:rPr>
              <w:rFonts w:ascii="Arial" w:hAnsi="Arial" w:cs="Arial"/>
              <w:sz w:val="22"/>
              <w:szCs w:val="22"/>
            </w:rPr>
            <w:fldChar w:fldCharType="end"/>
          </w:r>
        </w:sdtContent>
      </w:sdt>
      <w:r w:rsidR="001B2018" w:rsidRPr="0085218D">
        <w:rPr>
          <w:rFonts w:ascii="Arial" w:hAnsi="Arial" w:cs="Arial"/>
          <w:sz w:val="22"/>
          <w:szCs w:val="22"/>
        </w:rPr>
        <w:t>.</w:t>
      </w:r>
    </w:p>
    <w:p w14:paraId="161337AB" w14:textId="0E85A4F1" w:rsidR="00D17022" w:rsidRPr="0085218D" w:rsidRDefault="007441EC" w:rsidP="00D17022">
      <w:pPr>
        <w:rPr>
          <w:rFonts w:ascii="Arial" w:hAnsi="Arial" w:cs="Arial"/>
          <w:sz w:val="22"/>
          <w:szCs w:val="22"/>
        </w:rPr>
      </w:pPr>
      <w:r w:rsidRPr="0085218D">
        <w:rPr>
          <w:rFonts w:ascii="Arial" w:hAnsi="Arial" w:cs="Arial"/>
          <w:sz w:val="22"/>
          <w:szCs w:val="22"/>
        </w:rPr>
        <w:t>Over the last year, Tesla has showed great performance and tenacity in the face of international market instability and technology disruptions. In 2024, Tesla delivered approximately 1.8 million vehicles, outpacing industry leaders and catalysing widespread EV adoption in both established and new economies. Simultaneously, it extended its product line to encompass sophisticated energy storage solutions, AI-driven software services, and the debut of robotics-driven automation, with projects like Optimus</w:t>
      </w:r>
      <w:r w:rsidR="00097607" w:rsidRPr="0085218D">
        <w:rPr>
          <w:rFonts w:ascii="Arial" w:hAnsi="Arial" w:cs="Arial"/>
          <w:sz w:val="22"/>
          <w:szCs w:val="22"/>
        </w:rPr>
        <w:t xml:space="preserve"> - </w:t>
      </w:r>
      <w:r w:rsidRPr="0085218D">
        <w:rPr>
          <w:rFonts w:ascii="Arial" w:hAnsi="Arial" w:cs="Arial"/>
          <w:sz w:val="22"/>
          <w:szCs w:val="22"/>
        </w:rPr>
        <w:t>Tesla's humanoid robot</w:t>
      </w:r>
      <w:r w:rsidR="00097607" w:rsidRPr="0085218D">
        <w:rPr>
          <w:rFonts w:ascii="Arial" w:hAnsi="Arial" w:cs="Arial"/>
          <w:sz w:val="22"/>
          <w:szCs w:val="22"/>
        </w:rPr>
        <w:t xml:space="preserve"> - </w:t>
      </w:r>
      <w:r w:rsidRPr="0085218D">
        <w:rPr>
          <w:rFonts w:ascii="Arial" w:hAnsi="Arial" w:cs="Arial"/>
          <w:sz w:val="22"/>
          <w:szCs w:val="22"/>
        </w:rPr>
        <w:t>and large-scale deployments of robotaxis. These advancements pave the way for Tesla's next growth cycle, which will be defined by ongoing operational milestones such as 20 million vehicle deliveries and 1 million commercial robotaxis—ambitious goals that are directly aligned with Tesla's compensation plans, which link leadership performance to business earnings creation and innovation outcomes</w:t>
      </w:r>
      <w:sdt>
        <w:sdtPr>
          <w:rPr>
            <w:rFonts w:ascii="Arial" w:hAnsi="Arial" w:cs="Arial"/>
            <w:sz w:val="22"/>
            <w:szCs w:val="22"/>
          </w:rPr>
          <w:id w:val="-120082767"/>
          <w:citation/>
        </w:sdtPr>
        <w:sdtEndPr/>
        <w:sdtContent>
          <w:r w:rsidR="003C1015" w:rsidRPr="0085218D">
            <w:rPr>
              <w:rFonts w:ascii="Arial" w:hAnsi="Arial" w:cs="Arial"/>
              <w:sz w:val="22"/>
              <w:szCs w:val="22"/>
            </w:rPr>
            <w:fldChar w:fldCharType="begin"/>
          </w:r>
          <w:r w:rsidR="003C1015" w:rsidRPr="0085218D">
            <w:rPr>
              <w:rFonts w:ascii="Arial" w:hAnsi="Arial" w:cs="Arial"/>
              <w:sz w:val="22"/>
              <w:szCs w:val="22"/>
            </w:rPr>
            <w:instrText xml:space="preserve"> CITATION boa \l 2057 </w:instrText>
          </w:r>
          <w:r w:rsidR="003C1015" w:rsidRPr="0085218D">
            <w:rPr>
              <w:rFonts w:ascii="Arial" w:hAnsi="Arial" w:cs="Arial"/>
              <w:sz w:val="22"/>
              <w:szCs w:val="22"/>
            </w:rPr>
            <w:fldChar w:fldCharType="separate"/>
          </w:r>
          <w:r w:rsidR="003C1015" w:rsidRPr="0085218D">
            <w:rPr>
              <w:rFonts w:ascii="Arial" w:hAnsi="Arial" w:cs="Arial"/>
              <w:noProof/>
              <w:sz w:val="22"/>
              <w:szCs w:val="22"/>
            </w:rPr>
            <w:t xml:space="preserve"> (boardmix, n.d.)</w:t>
          </w:r>
          <w:r w:rsidR="003C1015" w:rsidRPr="0085218D">
            <w:rPr>
              <w:rFonts w:ascii="Arial" w:hAnsi="Arial" w:cs="Arial"/>
              <w:sz w:val="22"/>
              <w:szCs w:val="22"/>
            </w:rPr>
            <w:fldChar w:fldCharType="end"/>
          </w:r>
        </w:sdtContent>
      </w:sdt>
      <w:r w:rsidR="001B2018" w:rsidRPr="0085218D">
        <w:rPr>
          <w:rFonts w:ascii="Arial" w:hAnsi="Arial" w:cs="Arial"/>
          <w:sz w:val="22"/>
          <w:szCs w:val="22"/>
        </w:rPr>
        <w:t>.</w:t>
      </w:r>
    </w:p>
    <w:p w14:paraId="7BB4E106" w14:textId="0B4F3863" w:rsidR="00BC3E51" w:rsidRPr="0085218D" w:rsidRDefault="00BC3E51" w:rsidP="00BC3E51">
      <w:pPr>
        <w:rPr>
          <w:rFonts w:ascii="Arial" w:hAnsi="Arial" w:cs="Arial"/>
          <w:sz w:val="22"/>
          <w:szCs w:val="22"/>
        </w:rPr>
      </w:pPr>
    </w:p>
    <w:p w14:paraId="3047AFC6" w14:textId="5E11F413" w:rsidR="00697679" w:rsidRPr="0085218D" w:rsidRDefault="00697679">
      <w:pPr>
        <w:rPr>
          <w:rFonts w:ascii="Arial" w:hAnsi="Arial" w:cs="Arial"/>
          <w:sz w:val="22"/>
          <w:szCs w:val="22"/>
        </w:rPr>
      </w:pPr>
      <w:r w:rsidRPr="0085218D">
        <w:rPr>
          <w:rFonts w:ascii="Arial" w:hAnsi="Arial" w:cs="Arial"/>
          <w:sz w:val="22"/>
          <w:szCs w:val="22"/>
        </w:rPr>
        <w:br w:type="page"/>
      </w:r>
    </w:p>
    <w:p w14:paraId="71CD7862" w14:textId="77777777" w:rsidR="0074249E" w:rsidRPr="0085218D" w:rsidRDefault="0074249E">
      <w:pPr>
        <w:rPr>
          <w:rFonts w:ascii="Arial" w:hAnsi="Arial" w:cs="Arial"/>
          <w:sz w:val="22"/>
          <w:szCs w:val="22"/>
        </w:rPr>
      </w:pPr>
    </w:p>
    <w:p w14:paraId="2F714842" w14:textId="77777777" w:rsidR="0074249E" w:rsidRPr="0085218D" w:rsidRDefault="0074249E">
      <w:pPr>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1450207069"/>
        <w:docPartObj>
          <w:docPartGallery w:val="Table of Contents"/>
          <w:docPartUnique/>
        </w:docPartObj>
      </w:sdtPr>
      <w:sdtEndPr>
        <w:rPr>
          <w:b/>
          <w:bCs/>
          <w:noProof/>
        </w:rPr>
      </w:sdtEndPr>
      <w:sdtContent>
        <w:p w14:paraId="623AD51C" w14:textId="1BA5303E" w:rsidR="00697679" w:rsidRPr="0085218D" w:rsidRDefault="00697679">
          <w:pPr>
            <w:pStyle w:val="TOCHeading"/>
            <w:rPr>
              <w:rFonts w:ascii="Arial" w:hAnsi="Arial" w:cs="Arial"/>
              <w:sz w:val="22"/>
              <w:szCs w:val="22"/>
            </w:rPr>
          </w:pPr>
          <w:r w:rsidRPr="0085218D">
            <w:rPr>
              <w:rFonts w:ascii="Arial" w:hAnsi="Arial" w:cs="Arial"/>
              <w:sz w:val="22"/>
              <w:szCs w:val="22"/>
            </w:rPr>
            <w:t>Contents</w:t>
          </w:r>
        </w:p>
        <w:p w14:paraId="3CDED977" w14:textId="19DD76D3" w:rsidR="00697679" w:rsidRPr="0085218D" w:rsidRDefault="00697679">
          <w:pPr>
            <w:pStyle w:val="TOC1"/>
            <w:tabs>
              <w:tab w:val="right" w:leader="dot" w:pos="9016"/>
            </w:tabs>
            <w:rPr>
              <w:rFonts w:ascii="Arial" w:eastAsiaTheme="minorEastAsia" w:hAnsi="Arial" w:cs="Arial"/>
              <w:noProof/>
              <w:sz w:val="22"/>
              <w:szCs w:val="22"/>
              <w:lang w:eastAsia="en-GB"/>
            </w:rPr>
          </w:pPr>
          <w:r w:rsidRPr="0085218D">
            <w:rPr>
              <w:rFonts w:ascii="Arial" w:hAnsi="Arial" w:cs="Arial"/>
              <w:sz w:val="22"/>
              <w:szCs w:val="22"/>
            </w:rPr>
            <w:fldChar w:fldCharType="begin"/>
          </w:r>
          <w:r w:rsidRPr="0085218D">
            <w:rPr>
              <w:rFonts w:ascii="Arial" w:hAnsi="Arial" w:cs="Arial"/>
              <w:sz w:val="22"/>
              <w:szCs w:val="22"/>
            </w:rPr>
            <w:instrText xml:space="preserve"> TOC \o "1-3" \h \z \u </w:instrText>
          </w:r>
          <w:r w:rsidRPr="0085218D">
            <w:rPr>
              <w:rFonts w:ascii="Arial" w:hAnsi="Arial" w:cs="Arial"/>
              <w:sz w:val="22"/>
              <w:szCs w:val="22"/>
            </w:rPr>
            <w:fldChar w:fldCharType="separate"/>
          </w:r>
          <w:hyperlink w:anchor="_Toc215133705" w:history="1">
            <w:r w:rsidRPr="0085218D">
              <w:rPr>
                <w:rStyle w:val="Hyperlink"/>
                <w:rFonts w:ascii="Arial" w:hAnsi="Arial" w:cs="Arial"/>
                <w:noProof/>
                <w:sz w:val="22"/>
                <w:szCs w:val="22"/>
              </w:rPr>
              <w:t>Introduction</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_Toc215133705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2</w:t>
            </w:r>
            <w:r w:rsidRPr="0085218D">
              <w:rPr>
                <w:rFonts w:ascii="Arial" w:hAnsi="Arial" w:cs="Arial"/>
                <w:noProof/>
                <w:webHidden/>
                <w:sz w:val="22"/>
                <w:szCs w:val="22"/>
              </w:rPr>
              <w:fldChar w:fldCharType="end"/>
            </w:r>
          </w:hyperlink>
        </w:p>
        <w:p w14:paraId="4C4985CB" w14:textId="6859E805"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06" w:history="1">
            <w:r w:rsidRPr="0085218D">
              <w:rPr>
                <w:rStyle w:val="Hyperlink"/>
                <w:rFonts w:ascii="Arial" w:hAnsi="Arial" w:cs="Arial"/>
                <w:noProof/>
                <w:sz w:val="22"/>
                <w:szCs w:val="22"/>
              </w:rPr>
              <w:t>Current Strategic Direction and Goals</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_Toc215133706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2</w:t>
            </w:r>
            <w:r w:rsidRPr="0085218D">
              <w:rPr>
                <w:rFonts w:ascii="Arial" w:hAnsi="Arial" w:cs="Arial"/>
                <w:noProof/>
                <w:webHidden/>
                <w:sz w:val="22"/>
                <w:szCs w:val="22"/>
              </w:rPr>
              <w:fldChar w:fldCharType="end"/>
            </w:r>
          </w:hyperlink>
        </w:p>
        <w:p w14:paraId="3B9E953D" w14:textId="5C83267E"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07" w:history="1">
            <w:r w:rsidRPr="0085218D">
              <w:rPr>
                <w:rStyle w:val="Hyperlink"/>
                <w:rFonts w:ascii="Arial" w:hAnsi="Arial" w:cs="Arial"/>
                <w:noProof/>
                <w:sz w:val="22"/>
                <w:szCs w:val="22"/>
              </w:rPr>
              <w:t>Strategic objectives</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_Toc215133707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4</w:t>
            </w:r>
            <w:r w:rsidRPr="0085218D">
              <w:rPr>
                <w:rFonts w:ascii="Arial" w:hAnsi="Arial" w:cs="Arial"/>
                <w:noProof/>
                <w:webHidden/>
                <w:sz w:val="22"/>
                <w:szCs w:val="22"/>
              </w:rPr>
              <w:fldChar w:fldCharType="end"/>
            </w:r>
          </w:hyperlink>
        </w:p>
        <w:p w14:paraId="4DD00C7E" w14:textId="7D964522"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08" w:history="1">
            <w:r w:rsidRPr="0085218D">
              <w:rPr>
                <w:rStyle w:val="Hyperlink"/>
                <w:rFonts w:ascii="Arial" w:hAnsi="Arial" w:cs="Arial"/>
                <w:noProof/>
                <w:sz w:val="22"/>
                <w:szCs w:val="22"/>
              </w:rPr>
              <w:t>Internal environment swot analysis</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_Toc215133708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4</w:t>
            </w:r>
            <w:r w:rsidRPr="0085218D">
              <w:rPr>
                <w:rFonts w:ascii="Arial" w:hAnsi="Arial" w:cs="Arial"/>
                <w:noProof/>
                <w:webHidden/>
                <w:sz w:val="22"/>
                <w:szCs w:val="22"/>
              </w:rPr>
              <w:fldChar w:fldCharType="end"/>
            </w:r>
          </w:hyperlink>
        </w:p>
        <w:p w14:paraId="417C149E" w14:textId="24C51A45"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09" w:history="1">
            <w:r w:rsidRPr="0085218D">
              <w:rPr>
                <w:rStyle w:val="Hyperlink"/>
                <w:rFonts w:ascii="Arial" w:hAnsi="Arial" w:cs="Arial"/>
                <w:noProof/>
                <w:sz w:val="22"/>
                <w:szCs w:val="22"/>
              </w:rPr>
              <w:t>Porter’s value chains</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_Toc215133709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5</w:t>
            </w:r>
            <w:r w:rsidRPr="0085218D">
              <w:rPr>
                <w:rFonts w:ascii="Arial" w:hAnsi="Arial" w:cs="Arial"/>
                <w:noProof/>
                <w:webHidden/>
                <w:sz w:val="22"/>
                <w:szCs w:val="22"/>
              </w:rPr>
              <w:fldChar w:fldCharType="end"/>
            </w:r>
          </w:hyperlink>
        </w:p>
        <w:p w14:paraId="502FB8E1" w14:textId="2914B978"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10" w:history="1">
            <w:r w:rsidRPr="0085218D">
              <w:rPr>
                <w:rStyle w:val="Hyperlink"/>
                <w:rFonts w:ascii="Arial" w:hAnsi="Arial" w:cs="Arial"/>
                <w:noProof/>
                <w:sz w:val="22"/>
                <w:szCs w:val="22"/>
              </w:rPr>
              <w:t>External environment pestle analysis</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_Toc215133710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6</w:t>
            </w:r>
            <w:r w:rsidRPr="0085218D">
              <w:rPr>
                <w:rFonts w:ascii="Arial" w:hAnsi="Arial" w:cs="Arial"/>
                <w:noProof/>
                <w:webHidden/>
                <w:sz w:val="22"/>
                <w:szCs w:val="22"/>
              </w:rPr>
              <w:fldChar w:fldCharType="end"/>
            </w:r>
          </w:hyperlink>
        </w:p>
        <w:p w14:paraId="51D47484" w14:textId="1ABE190C"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11" w:history="1">
            <w:r w:rsidRPr="0085218D">
              <w:rPr>
                <w:rStyle w:val="Hyperlink"/>
                <w:rFonts w:ascii="Arial" w:hAnsi="Arial" w:cs="Arial"/>
                <w:noProof/>
                <w:sz w:val="22"/>
                <w:szCs w:val="22"/>
              </w:rPr>
              <w:t>Porter’s five forces</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_Toc215133711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7</w:t>
            </w:r>
            <w:r w:rsidRPr="0085218D">
              <w:rPr>
                <w:rFonts w:ascii="Arial" w:hAnsi="Arial" w:cs="Arial"/>
                <w:noProof/>
                <w:webHidden/>
                <w:sz w:val="22"/>
                <w:szCs w:val="22"/>
              </w:rPr>
              <w:fldChar w:fldCharType="end"/>
            </w:r>
          </w:hyperlink>
        </w:p>
        <w:p w14:paraId="5E86D18E" w14:textId="159440D2"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12" w:history="1">
            <w:r w:rsidRPr="0085218D">
              <w:rPr>
                <w:rStyle w:val="Hyperlink"/>
                <w:rFonts w:ascii="Arial" w:hAnsi="Arial" w:cs="Arial"/>
                <w:noProof/>
                <w:sz w:val="22"/>
                <w:szCs w:val="22"/>
              </w:rPr>
              <w:t>Strategic Growth Choices using Ansoff Matrix</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_Toc215133712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8</w:t>
            </w:r>
            <w:r w:rsidRPr="0085218D">
              <w:rPr>
                <w:rFonts w:ascii="Arial" w:hAnsi="Arial" w:cs="Arial"/>
                <w:noProof/>
                <w:webHidden/>
                <w:sz w:val="22"/>
                <w:szCs w:val="22"/>
              </w:rPr>
              <w:fldChar w:fldCharType="end"/>
            </w:r>
          </w:hyperlink>
        </w:p>
        <w:p w14:paraId="75221A1C" w14:textId="302C4E1F" w:rsidR="00697679" w:rsidRPr="0085218D" w:rsidRDefault="00697679">
          <w:pPr>
            <w:pStyle w:val="TOC1"/>
            <w:tabs>
              <w:tab w:val="right" w:leader="dot" w:pos="9016"/>
            </w:tabs>
            <w:rPr>
              <w:rFonts w:ascii="Arial" w:eastAsiaTheme="minorEastAsia" w:hAnsi="Arial" w:cs="Arial"/>
              <w:noProof/>
              <w:sz w:val="22"/>
              <w:szCs w:val="22"/>
              <w:lang w:eastAsia="en-GB"/>
            </w:rPr>
          </w:pPr>
          <w:hyperlink w:anchor="_Toc215133713" w:history="1">
            <w:r w:rsidRPr="0085218D">
              <w:rPr>
                <w:rStyle w:val="Hyperlink"/>
                <w:rFonts w:ascii="Arial" w:hAnsi="Arial" w:cs="Arial"/>
                <w:noProof/>
                <w:sz w:val="22"/>
                <w:szCs w:val="22"/>
              </w:rPr>
              <w:t>Stakeholder analysis using the Mendelow’s power interest matrix</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_Toc215133713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9</w:t>
            </w:r>
            <w:r w:rsidRPr="0085218D">
              <w:rPr>
                <w:rFonts w:ascii="Arial" w:hAnsi="Arial" w:cs="Arial"/>
                <w:noProof/>
                <w:webHidden/>
                <w:sz w:val="22"/>
                <w:szCs w:val="22"/>
              </w:rPr>
              <w:fldChar w:fldCharType="end"/>
            </w:r>
          </w:hyperlink>
        </w:p>
        <w:p w14:paraId="3850A918" w14:textId="43601B39" w:rsidR="00697679" w:rsidRDefault="00697679">
          <w:pPr>
            <w:pStyle w:val="TOC1"/>
            <w:tabs>
              <w:tab w:val="right" w:leader="dot" w:pos="9016"/>
            </w:tabs>
            <w:rPr>
              <w:rFonts w:ascii="Arial" w:hAnsi="Arial" w:cs="Arial"/>
              <w:sz w:val="22"/>
              <w:szCs w:val="22"/>
            </w:rPr>
          </w:pPr>
          <w:hyperlink w:anchor="_Toc215133714" w:history="1">
            <w:r w:rsidRPr="0085218D">
              <w:rPr>
                <w:rStyle w:val="Hyperlink"/>
                <w:rFonts w:ascii="Arial" w:hAnsi="Arial" w:cs="Arial"/>
                <w:noProof/>
                <w:sz w:val="22"/>
                <w:szCs w:val="22"/>
              </w:rPr>
              <w:t>Strategic recommendations &amp; Implementation considerations</w:t>
            </w:r>
            <w:r w:rsidRPr="0085218D">
              <w:rPr>
                <w:rFonts w:ascii="Arial" w:hAnsi="Arial" w:cs="Arial"/>
                <w:noProof/>
                <w:webHidden/>
                <w:sz w:val="22"/>
                <w:szCs w:val="22"/>
              </w:rPr>
              <w:tab/>
            </w:r>
            <w:r w:rsidRPr="0085218D">
              <w:rPr>
                <w:rFonts w:ascii="Arial" w:hAnsi="Arial" w:cs="Arial"/>
                <w:noProof/>
                <w:webHidden/>
                <w:sz w:val="22"/>
                <w:szCs w:val="22"/>
              </w:rPr>
              <w:fldChar w:fldCharType="begin"/>
            </w:r>
            <w:r w:rsidRPr="0085218D">
              <w:rPr>
                <w:rFonts w:ascii="Arial" w:hAnsi="Arial" w:cs="Arial"/>
                <w:noProof/>
                <w:webHidden/>
                <w:sz w:val="22"/>
                <w:szCs w:val="22"/>
              </w:rPr>
              <w:instrText xml:space="preserve"> PAGEREF _Toc215133714 \h </w:instrText>
            </w:r>
            <w:r w:rsidRPr="0085218D">
              <w:rPr>
                <w:rFonts w:ascii="Arial" w:hAnsi="Arial" w:cs="Arial"/>
                <w:noProof/>
                <w:webHidden/>
                <w:sz w:val="22"/>
                <w:szCs w:val="22"/>
              </w:rPr>
            </w:r>
            <w:r w:rsidRPr="0085218D">
              <w:rPr>
                <w:rFonts w:ascii="Arial" w:hAnsi="Arial" w:cs="Arial"/>
                <w:noProof/>
                <w:webHidden/>
                <w:sz w:val="22"/>
                <w:szCs w:val="22"/>
              </w:rPr>
              <w:fldChar w:fldCharType="separate"/>
            </w:r>
            <w:r w:rsidRPr="0085218D">
              <w:rPr>
                <w:rFonts w:ascii="Arial" w:hAnsi="Arial" w:cs="Arial"/>
                <w:noProof/>
                <w:webHidden/>
                <w:sz w:val="22"/>
                <w:szCs w:val="22"/>
              </w:rPr>
              <w:t>10</w:t>
            </w:r>
            <w:r w:rsidRPr="0085218D">
              <w:rPr>
                <w:rFonts w:ascii="Arial" w:hAnsi="Arial" w:cs="Arial"/>
                <w:noProof/>
                <w:webHidden/>
                <w:sz w:val="22"/>
                <w:szCs w:val="22"/>
              </w:rPr>
              <w:fldChar w:fldCharType="end"/>
            </w:r>
          </w:hyperlink>
        </w:p>
        <w:p w14:paraId="735FB75E" w14:textId="79A31594" w:rsidR="00621B75" w:rsidRPr="00621B75" w:rsidRDefault="0048247B" w:rsidP="00621B75">
          <w:r>
            <w:t>Conclusion……………………………………………………………………………………………………11</w:t>
          </w:r>
        </w:p>
        <w:p w14:paraId="060E7482" w14:textId="590122E9" w:rsidR="00697679" w:rsidRPr="0085218D" w:rsidRDefault="00697679">
          <w:pPr>
            <w:rPr>
              <w:rFonts w:ascii="Arial" w:hAnsi="Arial" w:cs="Arial"/>
              <w:sz w:val="22"/>
              <w:szCs w:val="22"/>
            </w:rPr>
          </w:pPr>
          <w:r w:rsidRPr="0085218D">
            <w:rPr>
              <w:rFonts w:ascii="Arial" w:hAnsi="Arial" w:cs="Arial"/>
              <w:b/>
              <w:bCs/>
              <w:noProof/>
              <w:sz w:val="22"/>
              <w:szCs w:val="22"/>
            </w:rPr>
            <w:fldChar w:fldCharType="end"/>
          </w:r>
        </w:p>
      </w:sdtContent>
    </w:sdt>
    <w:p w14:paraId="67EA8A65" w14:textId="77777777" w:rsidR="0074249E" w:rsidRPr="0085218D" w:rsidRDefault="0074249E">
      <w:pPr>
        <w:rPr>
          <w:rFonts w:ascii="Arial" w:hAnsi="Arial" w:cs="Arial"/>
          <w:sz w:val="22"/>
          <w:szCs w:val="22"/>
        </w:rPr>
      </w:pPr>
    </w:p>
    <w:p w14:paraId="549EAC55" w14:textId="77777777" w:rsidR="0074249E" w:rsidRPr="0085218D" w:rsidRDefault="0074249E">
      <w:pPr>
        <w:rPr>
          <w:rFonts w:ascii="Arial" w:hAnsi="Arial" w:cs="Arial"/>
          <w:sz w:val="22"/>
          <w:szCs w:val="22"/>
        </w:rPr>
      </w:pPr>
    </w:p>
    <w:p w14:paraId="28407A6A" w14:textId="72902EA0" w:rsidR="00697679" w:rsidRPr="0085218D" w:rsidRDefault="00697679">
      <w:pPr>
        <w:rPr>
          <w:rFonts w:ascii="Arial" w:hAnsi="Arial" w:cs="Arial"/>
          <w:sz w:val="22"/>
          <w:szCs w:val="22"/>
        </w:rPr>
      </w:pPr>
      <w:r w:rsidRPr="0085218D">
        <w:rPr>
          <w:rFonts w:ascii="Arial" w:hAnsi="Arial" w:cs="Arial"/>
          <w:sz w:val="22"/>
          <w:szCs w:val="22"/>
        </w:rPr>
        <w:br w:type="page"/>
      </w:r>
    </w:p>
    <w:p w14:paraId="2059A70A" w14:textId="77777777" w:rsidR="0074249E" w:rsidRPr="0085218D" w:rsidRDefault="0074249E">
      <w:pPr>
        <w:rPr>
          <w:rFonts w:ascii="Arial" w:hAnsi="Arial" w:cs="Arial"/>
          <w:sz w:val="22"/>
          <w:szCs w:val="22"/>
        </w:rPr>
      </w:pPr>
    </w:p>
    <w:p w14:paraId="1861CB43" w14:textId="66460BD3" w:rsidR="00FC5F29" w:rsidRPr="0085218D" w:rsidRDefault="00DB46D0" w:rsidP="004910AE">
      <w:pPr>
        <w:pStyle w:val="Heading1"/>
        <w:rPr>
          <w:rFonts w:ascii="Arial" w:hAnsi="Arial" w:cs="Arial"/>
          <w:sz w:val="22"/>
          <w:szCs w:val="22"/>
        </w:rPr>
      </w:pPr>
      <w:bookmarkStart w:id="0" w:name="_Toc215133705"/>
      <w:r w:rsidRPr="0085218D">
        <w:rPr>
          <w:rFonts w:ascii="Arial" w:hAnsi="Arial" w:cs="Arial"/>
          <w:sz w:val="22"/>
          <w:szCs w:val="22"/>
        </w:rPr>
        <w:t>Introduction</w:t>
      </w:r>
      <w:bookmarkEnd w:id="0"/>
      <w:r w:rsidRPr="0085218D">
        <w:rPr>
          <w:rFonts w:ascii="Arial" w:hAnsi="Arial" w:cs="Arial"/>
          <w:sz w:val="22"/>
          <w:szCs w:val="22"/>
        </w:rPr>
        <w:t xml:space="preserve"> </w:t>
      </w:r>
    </w:p>
    <w:p w14:paraId="49A13FDB" w14:textId="4267CD41" w:rsidR="0074249E" w:rsidRPr="0085218D" w:rsidRDefault="0074249E" w:rsidP="0074249E">
      <w:pPr>
        <w:rPr>
          <w:rFonts w:ascii="Arial" w:hAnsi="Arial" w:cs="Arial"/>
          <w:sz w:val="22"/>
          <w:szCs w:val="22"/>
        </w:rPr>
      </w:pPr>
      <w:r w:rsidRPr="0085218D">
        <w:rPr>
          <w:rFonts w:ascii="Arial" w:hAnsi="Arial" w:cs="Arial"/>
          <w:sz w:val="22"/>
          <w:szCs w:val="22"/>
        </w:rPr>
        <w:t>Tesla, Inc. is a global leading company in sustainable mobility and renewable energy innovation, based in Austin, Texas. Started in 2003 and named after creator Nikola Tesla, the company has grown from an ambitious startup to one of the world's most valuable automotive and energy technology companies, with projected annual revenues of $95 billion by 2025. Tesla's aim is to "accelerate the world's transition to sustainable energy," which is represented in its comprehensive approach to developing, making, and marketing electric automobiles, battery storage systems, and solar power solutions.</w:t>
      </w:r>
    </w:p>
    <w:p w14:paraId="01C86C0B" w14:textId="6290C02D" w:rsidR="00DB46D0" w:rsidRPr="0085218D" w:rsidRDefault="00A51955">
      <w:pPr>
        <w:rPr>
          <w:rFonts w:ascii="Arial" w:hAnsi="Arial" w:cs="Arial"/>
          <w:sz w:val="22"/>
          <w:szCs w:val="22"/>
        </w:rPr>
      </w:pPr>
      <w:sdt>
        <w:sdtPr>
          <w:rPr>
            <w:rFonts w:ascii="Arial" w:hAnsi="Arial" w:cs="Arial"/>
            <w:sz w:val="22"/>
            <w:szCs w:val="22"/>
          </w:rPr>
          <w:id w:val="1452829569"/>
          <w:citation/>
        </w:sdtPr>
        <w:sdtEndPr/>
        <w:sdtContent>
          <w:r w:rsidR="0052600B" w:rsidRPr="0085218D">
            <w:rPr>
              <w:rFonts w:ascii="Arial" w:hAnsi="Arial" w:cs="Arial"/>
              <w:sz w:val="22"/>
              <w:szCs w:val="22"/>
            </w:rPr>
            <w:fldChar w:fldCharType="begin"/>
          </w:r>
          <w:r w:rsidR="0052600B" w:rsidRPr="0085218D">
            <w:rPr>
              <w:rFonts w:ascii="Arial" w:hAnsi="Arial" w:cs="Arial"/>
              <w:sz w:val="22"/>
              <w:szCs w:val="22"/>
            </w:rPr>
            <w:instrText xml:space="preserve"> CITATION Bri24 \l 2057 </w:instrText>
          </w:r>
          <w:r w:rsidR="0052600B" w:rsidRPr="0085218D">
            <w:rPr>
              <w:rFonts w:ascii="Arial" w:hAnsi="Arial" w:cs="Arial"/>
              <w:sz w:val="22"/>
              <w:szCs w:val="22"/>
            </w:rPr>
            <w:fldChar w:fldCharType="separate"/>
          </w:r>
          <w:r w:rsidR="0052600B" w:rsidRPr="0085218D">
            <w:rPr>
              <w:rFonts w:ascii="Arial" w:hAnsi="Arial" w:cs="Arial"/>
              <w:noProof/>
              <w:sz w:val="22"/>
              <w:szCs w:val="22"/>
            </w:rPr>
            <w:t>(money, 2024)</w:t>
          </w:r>
          <w:r w:rsidR="0052600B" w:rsidRPr="0085218D">
            <w:rPr>
              <w:rFonts w:ascii="Arial" w:hAnsi="Arial" w:cs="Arial"/>
              <w:sz w:val="22"/>
              <w:szCs w:val="22"/>
            </w:rPr>
            <w:fldChar w:fldCharType="end"/>
          </w:r>
        </w:sdtContent>
      </w:sdt>
    </w:p>
    <w:p w14:paraId="418F4A72" w14:textId="72A90B62" w:rsidR="00195DA4" w:rsidRPr="0085218D" w:rsidRDefault="00A65F05" w:rsidP="00195DA4">
      <w:pPr>
        <w:rPr>
          <w:rFonts w:ascii="Arial" w:hAnsi="Arial" w:cs="Arial"/>
          <w:sz w:val="22"/>
          <w:szCs w:val="22"/>
        </w:rPr>
      </w:pPr>
      <w:r w:rsidRPr="0085218D">
        <w:rPr>
          <w:rFonts w:ascii="Arial" w:hAnsi="Arial" w:cs="Arial"/>
          <w:sz w:val="22"/>
          <w:szCs w:val="22"/>
        </w:rPr>
        <w:t xml:space="preserve">Tesla's business is divided into three primary segments: automobile, energy generation and storing, and smart technology development. Its automotive sector comprises the best-selling Model S, Model 3, Model X, and Model Y cars, as well as newer products like the </w:t>
      </w:r>
      <w:proofErr w:type="spellStart"/>
      <w:r w:rsidRPr="0085218D">
        <w:rPr>
          <w:rFonts w:ascii="Arial" w:hAnsi="Arial" w:cs="Arial"/>
          <w:sz w:val="22"/>
          <w:szCs w:val="22"/>
        </w:rPr>
        <w:t>Cybertruck</w:t>
      </w:r>
      <w:proofErr w:type="spellEnd"/>
      <w:r w:rsidRPr="0085218D">
        <w:rPr>
          <w:rFonts w:ascii="Arial" w:hAnsi="Arial" w:cs="Arial"/>
          <w:sz w:val="22"/>
          <w:szCs w:val="22"/>
        </w:rPr>
        <w:t xml:space="preserve"> and its next-generation vehicle platform. The energy division builds and places solar panels, solar roofs, and sophisticated battery technologies such as the Powerwall and Megapack for residential, commercial, and utility clients worldwide. Tesla, known for its vertical integration, owns and runs Gigafactories on three continents, overseeing everything from battery manufacture to AI-powered car software upgrades.</w:t>
      </w:r>
      <w:r w:rsidR="00587E7E" w:rsidRPr="0085218D">
        <w:rPr>
          <w:rFonts w:ascii="Arial" w:hAnsi="Arial" w:cs="Arial"/>
          <w:sz w:val="22"/>
          <w:szCs w:val="22"/>
        </w:rPr>
        <w:t xml:space="preserve"> Tesla's distinctiveness is defined by a constant dedication to advancement, </w:t>
      </w:r>
      <w:r w:rsidR="0048423A" w:rsidRPr="0085218D">
        <w:rPr>
          <w:rFonts w:ascii="Arial" w:hAnsi="Arial" w:cs="Arial"/>
          <w:sz w:val="22"/>
          <w:szCs w:val="22"/>
        </w:rPr>
        <w:t>an</w:t>
      </w:r>
      <w:r w:rsidR="00587E7E" w:rsidRPr="0085218D">
        <w:rPr>
          <w:rFonts w:ascii="Arial" w:hAnsi="Arial" w:cs="Arial"/>
          <w:sz w:val="22"/>
          <w:szCs w:val="22"/>
        </w:rPr>
        <w:t xml:space="preserve"> effortless combination of the software and hardware, and an unusual business strategy based on direct-to-consumer sales, which completely bypasses established dealership networks. Tesla has one of the world's largest and fastest-growing electric car Supercharger networks, defining industry standards and actively promoting the construction of environmental infrastructure. Tesla's culture, led by CEO Elon Musk, remains focused on breakthrough innovation, quick problem-solving, and a vision for global sustainability, establishing the company as both a technological leader and an advocate for social transformation.</w:t>
      </w:r>
      <w:r w:rsidR="00195DA4" w:rsidRPr="0085218D">
        <w:rPr>
          <w:rFonts w:ascii="Arial" w:eastAsia="Times New Roman" w:hAnsi="Arial" w:cs="Arial"/>
          <w:kern w:val="0"/>
          <w:sz w:val="22"/>
          <w:szCs w:val="22"/>
          <w:lang w:eastAsia="en-GB"/>
          <w14:ligatures w14:val="none"/>
        </w:rPr>
        <w:t xml:space="preserve"> </w:t>
      </w:r>
      <w:r w:rsidR="00195DA4" w:rsidRPr="0085218D">
        <w:rPr>
          <w:rFonts w:ascii="Arial" w:hAnsi="Arial" w:cs="Arial"/>
          <w:sz w:val="22"/>
          <w:szCs w:val="22"/>
        </w:rPr>
        <w:t xml:space="preserve">Tesla continues to be at the core of redesigning transit and energy for a low-carbon future, attracting support from clients, financiers, and industry rivals alike despite persistent obstacles like increased rivals, complicated guidelines, supply chain shortcomings, and the need for reasonably priced mass-market models. </w:t>
      </w:r>
      <w:proofErr w:type="gramStart"/>
      <w:r w:rsidR="00195DA4" w:rsidRPr="0085218D">
        <w:rPr>
          <w:rFonts w:ascii="Arial" w:hAnsi="Arial" w:cs="Arial"/>
          <w:sz w:val="22"/>
          <w:szCs w:val="22"/>
        </w:rPr>
        <w:t>In order to</w:t>
      </w:r>
      <w:proofErr w:type="gramEnd"/>
      <w:r w:rsidR="00195DA4" w:rsidRPr="0085218D">
        <w:rPr>
          <w:rFonts w:ascii="Arial" w:hAnsi="Arial" w:cs="Arial"/>
          <w:sz w:val="22"/>
          <w:szCs w:val="22"/>
        </w:rPr>
        <w:t xml:space="preserve"> provide recommendations for sustainable, resilient development in accordance with current SME problems, this strategic study will examine Tesla's market position, internal and external surroundings, and future growth choices.</w:t>
      </w:r>
      <w:r w:rsidR="00087BFA" w:rsidRPr="0085218D">
        <w:rPr>
          <w:rFonts w:ascii="Arial" w:hAnsi="Arial" w:cs="Arial"/>
          <w:sz w:val="22"/>
          <w:szCs w:val="22"/>
        </w:rPr>
        <w:t xml:space="preserve"> (One to two more references)</w:t>
      </w:r>
    </w:p>
    <w:p w14:paraId="03606CD7" w14:textId="3127D813" w:rsidR="00AA04BA" w:rsidRPr="0085218D" w:rsidRDefault="00AA04BA">
      <w:pPr>
        <w:rPr>
          <w:rFonts w:ascii="Arial" w:hAnsi="Arial" w:cs="Arial"/>
          <w:sz w:val="22"/>
          <w:szCs w:val="22"/>
        </w:rPr>
      </w:pPr>
    </w:p>
    <w:p w14:paraId="678E8EC4" w14:textId="77777777" w:rsidR="004E2480" w:rsidRPr="0085218D" w:rsidRDefault="004E2480">
      <w:pPr>
        <w:rPr>
          <w:rFonts w:ascii="Arial" w:hAnsi="Arial" w:cs="Arial"/>
          <w:sz w:val="22"/>
          <w:szCs w:val="22"/>
        </w:rPr>
      </w:pPr>
    </w:p>
    <w:p w14:paraId="6EB966B9" w14:textId="77777777" w:rsidR="004E2480" w:rsidRPr="0085218D" w:rsidRDefault="004E2480">
      <w:pPr>
        <w:rPr>
          <w:rFonts w:ascii="Arial" w:hAnsi="Arial" w:cs="Arial"/>
          <w:sz w:val="22"/>
          <w:szCs w:val="22"/>
        </w:rPr>
      </w:pPr>
    </w:p>
    <w:p w14:paraId="683137A3" w14:textId="6FCF6F26" w:rsidR="004E2480" w:rsidRPr="0085218D" w:rsidRDefault="004E2480" w:rsidP="004910AE">
      <w:pPr>
        <w:pStyle w:val="Heading1"/>
        <w:rPr>
          <w:rFonts w:ascii="Arial" w:hAnsi="Arial" w:cs="Arial"/>
          <w:sz w:val="22"/>
          <w:szCs w:val="22"/>
        </w:rPr>
      </w:pPr>
      <w:bookmarkStart w:id="1" w:name="_Toc215133706"/>
      <w:r w:rsidRPr="0085218D">
        <w:rPr>
          <w:rFonts w:ascii="Arial" w:hAnsi="Arial" w:cs="Arial"/>
          <w:sz w:val="22"/>
          <w:szCs w:val="22"/>
        </w:rPr>
        <w:t>Current Strategic Direction and Goals</w:t>
      </w:r>
      <w:bookmarkEnd w:id="1"/>
    </w:p>
    <w:p w14:paraId="18024C1D" w14:textId="44893B57" w:rsidR="00597D90" w:rsidRPr="0085218D" w:rsidRDefault="00A73912">
      <w:pPr>
        <w:rPr>
          <w:rFonts w:ascii="Arial" w:hAnsi="Arial" w:cs="Arial"/>
          <w:sz w:val="22"/>
          <w:szCs w:val="22"/>
        </w:rPr>
      </w:pPr>
      <w:r w:rsidRPr="0085218D">
        <w:rPr>
          <w:rFonts w:ascii="Arial" w:hAnsi="Arial" w:cs="Arial"/>
          <w:sz w:val="22"/>
          <w:szCs w:val="22"/>
        </w:rPr>
        <w:t xml:space="preserve">Tesla aims to become more than merely an electric car maker by 2025, focussing on three pillars: next-generation cars, machine learning and autonomy platforms, and large-scale energy solutions. The company's objective remains "to accelerate the world's transition to sustainable energy," but its focus has shifted from premium EVs to inexpensive mass-market goods, AI-driven services, and robots, all supported by vertical partnership and digital transformation. Tesla's "master plan" and 2025 growth strategy prioritise sustainable </w:t>
      </w:r>
      <w:r w:rsidRPr="0085218D">
        <w:rPr>
          <w:rFonts w:ascii="Arial" w:hAnsi="Arial" w:cs="Arial"/>
          <w:sz w:val="22"/>
          <w:szCs w:val="22"/>
        </w:rPr>
        <w:lastRenderedPageBreak/>
        <w:t>transportation and energy, monetising software and independence, and applying manufacturing expertise to new categories like robotic people.</w:t>
      </w:r>
      <w:sdt>
        <w:sdtPr>
          <w:rPr>
            <w:rFonts w:ascii="Arial" w:hAnsi="Arial" w:cs="Arial"/>
            <w:sz w:val="22"/>
            <w:szCs w:val="22"/>
          </w:rPr>
          <w:id w:val="1127121469"/>
          <w:citation/>
        </w:sdtPr>
        <w:sdtEndPr/>
        <w:sdtContent>
          <w:r w:rsidR="00055404" w:rsidRPr="0085218D">
            <w:rPr>
              <w:rFonts w:ascii="Arial" w:hAnsi="Arial" w:cs="Arial"/>
              <w:sz w:val="22"/>
              <w:szCs w:val="22"/>
            </w:rPr>
            <w:fldChar w:fldCharType="begin"/>
          </w:r>
          <w:r w:rsidR="00055404" w:rsidRPr="0085218D">
            <w:rPr>
              <w:rFonts w:ascii="Arial" w:hAnsi="Arial" w:cs="Arial"/>
              <w:sz w:val="22"/>
              <w:szCs w:val="22"/>
            </w:rPr>
            <w:instrText xml:space="preserve"> CITATION The251 \l 2057 </w:instrText>
          </w:r>
          <w:r w:rsidR="00055404" w:rsidRPr="0085218D">
            <w:rPr>
              <w:rFonts w:ascii="Arial" w:hAnsi="Arial" w:cs="Arial"/>
              <w:sz w:val="22"/>
              <w:szCs w:val="22"/>
            </w:rPr>
            <w:fldChar w:fldCharType="separate"/>
          </w:r>
          <w:r w:rsidR="00055404" w:rsidRPr="0085218D">
            <w:rPr>
              <w:rFonts w:ascii="Arial" w:hAnsi="Arial" w:cs="Arial"/>
              <w:noProof/>
              <w:sz w:val="22"/>
              <w:szCs w:val="22"/>
            </w:rPr>
            <w:t xml:space="preserve"> (institute, 2025)</w:t>
          </w:r>
          <w:r w:rsidR="00055404" w:rsidRPr="0085218D">
            <w:rPr>
              <w:rFonts w:ascii="Arial" w:hAnsi="Arial" w:cs="Arial"/>
              <w:sz w:val="22"/>
              <w:szCs w:val="22"/>
            </w:rPr>
            <w:fldChar w:fldCharType="end"/>
          </w:r>
        </w:sdtContent>
      </w:sdt>
    </w:p>
    <w:p w14:paraId="50089B64" w14:textId="29294CBE" w:rsidR="000E072B" w:rsidRPr="0085218D" w:rsidRDefault="000E072B">
      <w:pPr>
        <w:rPr>
          <w:rFonts w:ascii="Arial" w:hAnsi="Arial" w:cs="Arial"/>
          <w:sz w:val="22"/>
          <w:szCs w:val="22"/>
        </w:rPr>
      </w:pPr>
      <w:r w:rsidRPr="0085218D">
        <w:rPr>
          <w:rFonts w:ascii="Arial" w:hAnsi="Arial" w:cs="Arial"/>
          <w:sz w:val="22"/>
          <w:szCs w:val="22"/>
        </w:rPr>
        <w:t>Tesla's automotive strategy is to boost volume growth and market share after a slow 2024 by delivering more inexpensive vehicles on a next-generation platform in early 2025. Price cuts, financing promotions, and a redesigned Model Y are being utilised tactically to encourage demand. The medium-term goal is to reach bigger volumes with reduced cost structures through efficient Gigafactories and localised manufacturing in important markets. Tesla is focussing on Full Self-Driving (FSD) as a key strategic differentiator, with plans to launch paid "unsupervised" robotaxi services in Austin and other US cities by 2025. Additionally, the company is exploring licensing FSD to other automakers to generate high-margin software revenue.</w:t>
      </w:r>
      <w:r w:rsidR="00E628F5" w:rsidRPr="0085218D">
        <w:rPr>
          <w:rFonts w:ascii="Arial" w:hAnsi="Arial" w:cs="Arial"/>
          <w:sz w:val="22"/>
          <w:szCs w:val="22"/>
        </w:rPr>
        <w:t xml:space="preserve"> A second significant strategic focus is the dramatic growth of the energy generating and storage industry. Tesla anticipates a 50% year-on-year increase in energy storage installations (Megapack, Powerwall) by 2025, driven by a new Megapack plant in China and expansion of current facilities. This segment is expected to be a significant growth and profit driver in addition automotive. Tesla aims to grow up its Optimus humanoid robot to 1,000 units per month by 2025, with a long-term goal of reaching millions and targeting commercial clients. Tesla's digital transformation program is on investing in AI, software, and automation to improve productivity, enable new services, and maintain its competitive edge via innovation.</w:t>
      </w:r>
      <w:sdt>
        <w:sdtPr>
          <w:rPr>
            <w:rFonts w:ascii="Arial" w:hAnsi="Arial" w:cs="Arial"/>
            <w:sz w:val="22"/>
            <w:szCs w:val="22"/>
          </w:rPr>
          <w:id w:val="573712404"/>
          <w:citation/>
        </w:sdtPr>
        <w:sdtEndPr/>
        <w:sdtContent>
          <w:r w:rsidR="00D9565A" w:rsidRPr="0085218D">
            <w:rPr>
              <w:rFonts w:ascii="Arial" w:hAnsi="Arial" w:cs="Arial"/>
              <w:sz w:val="22"/>
              <w:szCs w:val="22"/>
            </w:rPr>
            <w:fldChar w:fldCharType="begin"/>
          </w:r>
          <w:r w:rsidR="00D9565A" w:rsidRPr="0085218D">
            <w:rPr>
              <w:rFonts w:ascii="Arial" w:hAnsi="Arial" w:cs="Arial"/>
              <w:sz w:val="22"/>
              <w:szCs w:val="22"/>
            </w:rPr>
            <w:instrText xml:space="preserve"> CITATION 2501 \l 2057 </w:instrText>
          </w:r>
          <w:r w:rsidR="00D9565A" w:rsidRPr="0085218D">
            <w:rPr>
              <w:rFonts w:ascii="Arial" w:hAnsi="Arial" w:cs="Arial"/>
              <w:sz w:val="22"/>
              <w:szCs w:val="22"/>
            </w:rPr>
            <w:fldChar w:fldCharType="separate"/>
          </w:r>
          <w:r w:rsidR="00D9565A" w:rsidRPr="0085218D">
            <w:rPr>
              <w:rFonts w:ascii="Arial" w:hAnsi="Arial" w:cs="Arial"/>
              <w:noProof/>
              <w:sz w:val="22"/>
              <w:szCs w:val="22"/>
            </w:rPr>
            <w:t xml:space="preserve"> (Anon., 2025)</w:t>
          </w:r>
          <w:r w:rsidR="00D9565A" w:rsidRPr="0085218D">
            <w:rPr>
              <w:rFonts w:ascii="Arial" w:hAnsi="Arial" w:cs="Arial"/>
              <w:sz w:val="22"/>
              <w:szCs w:val="22"/>
            </w:rPr>
            <w:fldChar w:fldCharType="end"/>
          </w:r>
        </w:sdtContent>
      </w:sdt>
    </w:p>
    <w:p w14:paraId="494EA309" w14:textId="0B84ED25" w:rsidR="00A1462F" w:rsidRPr="0085218D" w:rsidRDefault="00A1462F">
      <w:pPr>
        <w:rPr>
          <w:rFonts w:ascii="Arial" w:hAnsi="Arial" w:cs="Arial"/>
          <w:b/>
          <w:bCs/>
          <w:sz w:val="22"/>
          <w:szCs w:val="22"/>
        </w:rPr>
      </w:pPr>
      <w:r w:rsidRPr="0085218D">
        <w:rPr>
          <w:rFonts w:ascii="Arial" w:hAnsi="Arial" w:cs="Arial"/>
          <w:b/>
          <w:bCs/>
          <w:sz w:val="22"/>
          <w:szCs w:val="22"/>
        </w:rPr>
        <w:t xml:space="preserve">Mission </w:t>
      </w:r>
      <w:r w:rsidR="00087BFA" w:rsidRPr="0085218D">
        <w:rPr>
          <w:rFonts w:ascii="Arial" w:hAnsi="Arial" w:cs="Arial"/>
          <w:b/>
          <w:bCs/>
          <w:sz w:val="22"/>
          <w:szCs w:val="22"/>
        </w:rPr>
        <w:t>- reference</w:t>
      </w:r>
    </w:p>
    <w:p w14:paraId="7518FAE6" w14:textId="4CE13E9A" w:rsidR="00355255" w:rsidRPr="0085218D" w:rsidRDefault="00355255" w:rsidP="008E11F7">
      <w:pPr>
        <w:pStyle w:val="ListParagraph"/>
        <w:numPr>
          <w:ilvl w:val="0"/>
          <w:numId w:val="5"/>
        </w:numPr>
        <w:rPr>
          <w:rFonts w:ascii="Arial" w:hAnsi="Arial" w:cs="Arial"/>
          <w:sz w:val="22"/>
          <w:szCs w:val="22"/>
        </w:rPr>
      </w:pPr>
      <w:r w:rsidRPr="0085218D">
        <w:rPr>
          <w:rFonts w:ascii="Arial" w:hAnsi="Arial" w:cs="Arial"/>
          <w:sz w:val="22"/>
          <w:szCs w:val="22"/>
        </w:rPr>
        <w:t>Tesla's global objective is, "to accelerate the world's transition to environmentally friendly energy."</w:t>
      </w:r>
      <w:r w:rsidRPr="0085218D">
        <w:rPr>
          <w:rFonts w:ascii="Arial" w:hAnsi="Arial" w:cs="Arial"/>
          <w:sz w:val="22"/>
          <w:szCs w:val="22"/>
        </w:rPr>
        <w:br/>
      </w:r>
      <w:r w:rsidRPr="0085218D">
        <w:rPr>
          <w:rFonts w:ascii="Arial" w:hAnsi="Arial" w:cs="Arial"/>
          <w:b/>
          <w:bCs/>
          <w:sz w:val="22"/>
          <w:szCs w:val="22"/>
        </w:rPr>
        <w:br/>
      </w:r>
      <w:r w:rsidR="008E11F7" w:rsidRPr="0085218D">
        <w:rPr>
          <w:rFonts w:ascii="Arial" w:hAnsi="Arial" w:cs="Arial"/>
          <w:sz w:val="22"/>
          <w:szCs w:val="22"/>
        </w:rPr>
        <w:t xml:space="preserve">- </w:t>
      </w:r>
      <w:r w:rsidRPr="0085218D">
        <w:rPr>
          <w:rFonts w:ascii="Arial" w:hAnsi="Arial" w:cs="Arial"/>
          <w:sz w:val="22"/>
          <w:szCs w:val="22"/>
        </w:rPr>
        <w:t>Increasing renewable energy use among households and businesses.</w:t>
      </w:r>
      <w:r w:rsidRPr="0085218D">
        <w:rPr>
          <w:rFonts w:ascii="Arial" w:hAnsi="Arial" w:cs="Arial"/>
          <w:sz w:val="22"/>
          <w:szCs w:val="22"/>
        </w:rPr>
        <w:br/>
      </w:r>
      <w:r w:rsidR="008E11F7" w:rsidRPr="0085218D">
        <w:rPr>
          <w:rFonts w:ascii="Arial" w:hAnsi="Arial" w:cs="Arial"/>
          <w:sz w:val="22"/>
          <w:szCs w:val="22"/>
        </w:rPr>
        <w:t xml:space="preserve">- </w:t>
      </w:r>
      <w:r w:rsidRPr="0085218D">
        <w:rPr>
          <w:rFonts w:ascii="Arial" w:hAnsi="Arial" w:cs="Arial"/>
          <w:sz w:val="22"/>
          <w:szCs w:val="22"/>
        </w:rPr>
        <w:t>Reducing reliance on energy sources energy.</w:t>
      </w:r>
      <w:r w:rsidRPr="0085218D">
        <w:rPr>
          <w:rFonts w:ascii="Arial" w:hAnsi="Arial" w:cs="Arial"/>
          <w:sz w:val="22"/>
          <w:szCs w:val="22"/>
        </w:rPr>
        <w:br/>
      </w:r>
      <w:r w:rsidR="00A83A57" w:rsidRPr="0085218D">
        <w:rPr>
          <w:rFonts w:ascii="Arial" w:hAnsi="Arial" w:cs="Arial"/>
          <w:sz w:val="22"/>
          <w:szCs w:val="22"/>
        </w:rPr>
        <w:t xml:space="preserve">- </w:t>
      </w:r>
      <w:r w:rsidRPr="0085218D">
        <w:rPr>
          <w:rFonts w:ascii="Arial" w:hAnsi="Arial" w:cs="Arial"/>
          <w:sz w:val="22"/>
          <w:szCs w:val="22"/>
        </w:rPr>
        <w:t>Providing high-tech, user-friendly energy solutions</w:t>
      </w:r>
      <w:r w:rsidR="00461296" w:rsidRPr="0085218D">
        <w:rPr>
          <w:rFonts w:ascii="Arial" w:hAnsi="Arial" w:cs="Arial"/>
          <w:sz w:val="22"/>
          <w:szCs w:val="22"/>
        </w:rPr>
        <w:t>.</w:t>
      </w:r>
    </w:p>
    <w:p w14:paraId="6AFC43FE" w14:textId="77777777" w:rsidR="00B36066" w:rsidRPr="0085218D" w:rsidRDefault="00B36066" w:rsidP="004909BA">
      <w:pPr>
        <w:rPr>
          <w:rFonts w:ascii="Arial" w:hAnsi="Arial" w:cs="Arial"/>
          <w:sz w:val="22"/>
          <w:szCs w:val="22"/>
        </w:rPr>
      </w:pPr>
    </w:p>
    <w:p w14:paraId="48F8A312" w14:textId="77777777" w:rsidR="00B36066" w:rsidRPr="0085218D" w:rsidRDefault="00B36066" w:rsidP="004909BA">
      <w:pPr>
        <w:rPr>
          <w:rFonts w:ascii="Arial" w:hAnsi="Arial" w:cs="Arial"/>
          <w:sz w:val="22"/>
          <w:szCs w:val="22"/>
        </w:rPr>
      </w:pPr>
    </w:p>
    <w:p w14:paraId="37A22BB4" w14:textId="4CBDC5E2" w:rsidR="00B36066" w:rsidRPr="0085218D" w:rsidRDefault="00B36066" w:rsidP="004909BA">
      <w:pPr>
        <w:rPr>
          <w:rFonts w:ascii="Arial" w:hAnsi="Arial" w:cs="Arial"/>
          <w:b/>
          <w:bCs/>
          <w:sz w:val="22"/>
          <w:szCs w:val="22"/>
        </w:rPr>
      </w:pPr>
      <w:r w:rsidRPr="0085218D">
        <w:rPr>
          <w:rFonts w:ascii="Arial" w:hAnsi="Arial" w:cs="Arial"/>
          <w:b/>
          <w:bCs/>
          <w:sz w:val="22"/>
          <w:szCs w:val="22"/>
        </w:rPr>
        <w:t xml:space="preserve">Vision </w:t>
      </w:r>
      <w:r w:rsidR="00087BFA" w:rsidRPr="0085218D">
        <w:rPr>
          <w:rFonts w:ascii="Arial" w:hAnsi="Arial" w:cs="Arial"/>
          <w:b/>
          <w:bCs/>
          <w:sz w:val="22"/>
          <w:szCs w:val="22"/>
        </w:rPr>
        <w:t>- reference</w:t>
      </w:r>
    </w:p>
    <w:p w14:paraId="7FED5952" w14:textId="0594C6FB" w:rsidR="004909BA" w:rsidRPr="0085218D" w:rsidRDefault="004909BA" w:rsidP="004909BA">
      <w:pPr>
        <w:rPr>
          <w:rFonts w:ascii="Arial" w:hAnsi="Arial" w:cs="Arial"/>
          <w:sz w:val="22"/>
          <w:szCs w:val="22"/>
        </w:rPr>
      </w:pPr>
      <w:r w:rsidRPr="0085218D">
        <w:rPr>
          <w:rFonts w:ascii="Arial" w:hAnsi="Arial" w:cs="Arial"/>
          <w:sz w:val="22"/>
          <w:szCs w:val="22"/>
        </w:rPr>
        <w:t>Tesla intends "to create the most engaging energy company of the 21st century by driving the world's transition to renewable energy solutions."</w:t>
      </w:r>
    </w:p>
    <w:p w14:paraId="48453CA4" w14:textId="77777777" w:rsidR="004909BA" w:rsidRPr="0085218D" w:rsidRDefault="004909BA" w:rsidP="00B36066">
      <w:pPr>
        <w:pStyle w:val="ListParagraph"/>
        <w:numPr>
          <w:ilvl w:val="0"/>
          <w:numId w:val="5"/>
        </w:numPr>
        <w:rPr>
          <w:rFonts w:ascii="Arial" w:hAnsi="Arial" w:cs="Arial"/>
          <w:sz w:val="22"/>
          <w:szCs w:val="22"/>
        </w:rPr>
      </w:pPr>
      <w:r w:rsidRPr="0085218D">
        <w:rPr>
          <w:rFonts w:ascii="Arial" w:hAnsi="Arial" w:cs="Arial"/>
          <w:sz w:val="22"/>
          <w:szCs w:val="22"/>
        </w:rPr>
        <w:t>Countrywide, Tesla Energy UK views this as:</w:t>
      </w:r>
    </w:p>
    <w:p w14:paraId="23EAC24C" w14:textId="77777777" w:rsidR="004909BA" w:rsidRPr="0085218D" w:rsidRDefault="004909BA" w:rsidP="00B36066">
      <w:pPr>
        <w:pStyle w:val="ListParagraph"/>
        <w:numPr>
          <w:ilvl w:val="0"/>
          <w:numId w:val="5"/>
        </w:numPr>
        <w:rPr>
          <w:rFonts w:ascii="Arial" w:hAnsi="Arial" w:cs="Arial"/>
          <w:sz w:val="22"/>
          <w:szCs w:val="22"/>
        </w:rPr>
      </w:pPr>
      <w:r w:rsidRPr="0085218D">
        <w:rPr>
          <w:rFonts w:ascii="Arial" w:hAnsi="Arial" w:cs="Arial"/>
          <w:sz w:val="22"/>
          <w:szCs w:val="22"/>
        </w:rPr>
        <w:t>Become the UK's premier both private and public battery provider.</w:t>
      </w:r>
    </w:p>
    <w:p w14:paraId="0DC6523F" w14:textId="4C05854A" w:rsidR="00142A98" w:rsidRPr="0085218D" w:rsidRDefault="004909BA" w:rsidP="00B36066">
      <w:pPr>
        <w:pStyle w:val="ListParagraph"/>
        <w:numPr>
          <w:ilvl w:val="0"/>
          <w:numId w:val="5"/>
        </w:numPr>
        <w:rPr>
          <w:rFonts w:ascii="Arial" w:hAnsi="Arial" w:cs="Arial"/>
          <w:sz w:val="22"/>
          <w:szCs w:val="22"/>
        </w:rPr>
      </w:pPr>
      <w:r w:rsidRPr="0085218D">
        <w:rPr>
          <w:rFonts w:ascii="Arial" w:hAnsi="Arial" w:cs="Arial"/>
          <w:sz w:val="22"/>
          <w:szCs w:val="22"/>
        </w:rPr>
        <w:t>Incorporating solar power, battery storage, and electrical vehicle charging infrastructure.</w:t>
      </w:r>
    </w:p>
    <w:p w14:paraId="2156D403" w14:textId="2EF11E26" w:rsidR="00461296" w:rsidRPr="0085218D" w:rsidRDefault="00ED244B" w:rsidP="004910AE">
      <w:pPr>
        <w:pStyle w:val="Heading1"/>
        <w:rPr>
          <w:rFonts w:ascii="Arial" w:hAnsi="Arial" w:cs="Arial"/>
          <w:sz w:val="22"/>
          <w:szCs w:val="22"/>
        </w:rPr>
      </w:pPr>
      <w:bookmarkStart w:id="2" w:name="_Toc215133707"/>
      <w:r w:rsidRPr="0085218D">
        <w:rPr>
          <w:rFonts w:ascii="Arial" w:hAnsi="Arial" w:cs="Arial"/>
          <w:sz w:val="22"/>
          <w:szCs w:val="22"/>
        </w:rPr>
        <w:t>Strategic objectives</w:t>
      </w:r>
      <w:bookmarkEnd w:id="2"/>
      <w:r w:rsidR="00087BFA" w:rsidRPr="0085218D">
        <w:rPr>
          <w:rFonts w:ascii="Arial" w:hAnsi="Arial" w:cs="Arial"/>
          <w:sz w:val="22"/>
          <w:szCs w:val="22"/>
        </w:rPr>
        <w:t xml:space="preserve"> </w:t>
      </w:r>
    </w:p>
    <w:p w14:paraId="530646F4" w14:textId="1FB03844" w:rsidR="00D03675" w:rsidRPr="0085218D" w:rsidRDefault="00D20809">
      <w:pPr>
        <w:rPr>
          <w:rFonts w:ascii="Arial" w:hAnsi="Arial" w:cs="Arial"/>
          <w:sz w:val="22"/>
          <w:szCs w:val="22"/>
        </w:rPr>
      </w:pPr>
      <w:r w:rsidRPr="0085218D">
        <w:rPr>
          <w:rFonts w:ascii="Arial" w:hAnsi="Arial" w:cs="Arial"/>
          <w:sz w:val="22"/>
          <w:szCs w:val="22"/>
        </w:rPr>
        <w:t xml:space="preserve">Tesla Energy UK's strategic goals include expanding its presence in the home and grid-scale energy markets and supporting the UK's Net Zero 2050 targets. The company intends to grow electricity adoption in UK households by 20-30% each year, extend collaborations with qualified solar installers countrywide, and integrate Tesla EV users into a linked energy ecosystem in which vehicles, home batteries, and solar work together as a cohesive system. </w:t>
      </w:r>
      <w:r w:rsidRPr="0085218D">
        <w:rPr>
          <w:rFonts w:ascii="Arial" w:hAnsi="Arial" w:cs="Arial"/>
          <w:sz w:val="22"/>
          <w:szCs w:val="22"/>
        </w:rPr>
        <w:lastRenderedPageBreak/>
        <w:t>The company aims to expand the number of facilities for councils, data centres, and grid operators, establishing it as a leading provider of large-scale battery energy storage and flexibility services. These objectives fit with long-term trends in sustainability in the environment, innovation-led growth, digitisation of energy systems, and increasing demand for clean energy solutions.</w:t>
      </w:r>
      <w:r w:rsidR="00644F4A" w:rsidRPr="0085218D">
        <w:rPr>
          <w:rFonts w:ascii="Arial" w:hAnsi="Arial" w:cs="Arial"/>
          <w:sz w:val="22"/>
          <w:szCs w:val="22"/>
        </w:rPr>
        <w:t xml:space="preserve"> However, there are significant implementation challenges: high upfront product costs restrict accessibility for typical households, local UK operations seem under-resourced in comparison to well-established competitors, and a complicated regulatory environment for grid-connected storage and renewable energy can cause project approvals to be delayed. Furthermore, although Tesla's worldwide purpose and vision are enticing, they are too broad; in the UK energy environment of SMEs, a more focused, localised strategic direction would help transform ambition into feasible, prioritised projects. All things considered, Tesla Energy UK's strategic objectives are forward-thinking and directionally sound; however, their successful implementation will necessitate increased operational capacity on the ground, more focused UK-specific marketing and education to address cost/value concerns, and deeper engagement with regulatory bodies, local authorities, and supplier partners to speed adoption and get around approval delays.</w:t>
      </w:r>
      <w:sdt>
        <w:sdtPr>
          <w:rPr>
            <w:rFonts w:ascii="Arial" w:hAnsi="Arial" w:cs="Arial"/>
            <w:sz w:val="22"/>
            <w:szCs w:val="22"/>
          </w:rPr>
          <w:id w:val="97463977"/>
          <w:citation/>
        </w:sdtPr>
        <w:sdtEndPr/>
        <w:sdtContent>
          <w:r w:rsidR="00C575C3" w:rsidRPr="0085218D">
            <w:rPr>
              <w:rFonts w:ascii="Arial" w:hAnsi="Arial" w:cs="Arial"/>
              <w:sz w:val="22"/>
              <w:szCs w:val="22"/>
            </w:rPr>
            <w:fldChar w:fldCharType="begin"/>
          </w:r>
          <w:r w:rsidR="00C575C3" w:rsidRPr="0085218D">
            <w:rPr>
              <w:rFonts w:ascii="Arial" w:hAnsi="Arial" w:cs="Arial"/>
              <w:sz w:val="22"/>
              <w:szCs w:val="22"/>
            </w:rPr>
            <w:instrText xml:space="preserve"> CITATION Aar25 \l 2057 </w:instrText>
          </w:r>
          <w:r w:rsidR="00C575C3" w:rsidRPr="0085218D">
            <w:rPr>
              <w:rFonts w:ascii="Arial" w:hAnsi="Arial" w:cs="Arial"/>
              <w:sz w:val="22"/>
              <w:szCs w:val="22"/>
            </w:rPr>
            <w:fldChar w:fldCharType="separate"/>
          </w:r>
          <w:r w:rsidR="00C575C3" w:rsidRPr="0085218D">
            <w:rPr>
              <w:rFonts w:ascii="Arial" w:hAnsi="Arial" w:cs="Arial"/>
              <w:noProof/>
              <w:sz w:val="22"/>
              <w:szCs w:val="22"/>
            </w:rPr>
            <w:t xml:space="preserve"> (McMillan, 2025)</w:t>
          </w:r>
          <w:r w:rsidR="00C575C3" w:rsidRPr="0085218D">
            <w:rPr>
              <w:rFonts w:ascii="Arial" w:hAnsi="Arial" w:cs="Arial"/>
              <w:sz w:val="22"/>
              <w:szCs w:val="22"/>
            </w:rPr>
            <w:fldChar w:fldCharType="end"/>
          </w:r>
        </w:sdtContent>
      </w:sdt>
    </w:p>
    <w:p w14:paraId="5F2AE9BD" w14:textId="77777777" w:rsidR="004F7166" w:rsidRPr="0085218D" w:rsidRDefault="004F7166">
      <w:pPr>
        <w:rPr>
          <w:rFonts w:ascii="Arial" w:hAnsi="Arial" w:cs="Arial"/>
          <w:b/>
          <w:bCs/>
          <w:sz w:val="22"/>
          <w:szCs w:val="22"/>
        </w:rPr>
      </w:pPr>
    </w:p>
    <w:p w14:paraId="5355CD0B" w14:textId="77777777" w:rsidR="004F7166" w:rsidRPr="0085218D" w:rsidRDefault="004F7166">
      <w:pPr>
        <w:rPr>
          <w:rFonts w:ascii="Arial" w:hAnsi="Arial" w:cs="Arial"/>
          <w:b/>
          <w:bCs/>
          <w:sz w:val="22"/>
          <w:szCs w:val="22"/>
        </w:rPr>
      </w:pPr>
    </w:p>
    <w:p w14:paraId="4F52A34D" w14:textId="77777777" w:rsidR="004F7166" w:rsidRPr="0085218D" w:rsidRDefault="004F7166">
      <w:pPr>
        <w:rPr>
          <w:rFonts w:ascii="Arial" w:hAnsi="Arial" w:cs="Arial"/>
          <w:b/>
          <w:bCs/>
          <w:sz w:val="22"/>
          <w:szCs w:val="22"/>
        </w:rPr>
      </w:pPr>
    </w:p>
    <w:p w14:paraId="7C0F2B68" w14:textId="77777777" w:rsidR="004F7166" w:rsidRPr="0085218D" w:rsidRDefault="004F7166">
      <w:pPr>
        <w:rPr>
          <w:rFonts w:ascii="Arial" w:hAnsi="Arial" w:cs="Arial"/>
          <w:b/>
          <w:bCs/>
          <w:sz w:val="22"/>
          <w:szCs w:val="22"/>
        </w:rPr>
      </w:pPr>
    </w:p>
    <w:p w14:paraId="63B089FA" w14:textId="77777777" w:rsidR="004F7166" w:rsidRPr="0085218D" w:rsidRDefault="004F7166">
      <w:pPr>
        <w:rPr>
          <w:rFonts w:ascii="Arial" w:hAnsi="Arial" w:cs="Arial"/>
          <w:b/>
          <w:bCs/>
          <w:sz w:val="22"/>
          <w:szCs w:val="22"/>
        </w:rPr>
      </w:pPr>
    </w:p>
    <w:p w14:paraId="4955204E" w14:textId="77777777" w:rsidR="004F7166" w:rsidRPr="0085218D" w:rsidRDefault="004F7166">
      <w:pPr>
        <w:rPr>
          <w:rFonts w:ascii="Arial" w:hAnsi="Arial" w:cs="Arial"/>
          <w:b/>
          <w:bCs/>
          <w:sz w:val="22"/>
          <w:szCs w:val="22"/>
        </w:rPr>
      </w:pPr>
    </w:p>
    <w:p w14:paraId="08FECC15" w14:textId="43DD05EE" w:rsidR="00A63102" w:rsidRPr="0085218D" w:rsidRDefault="00B2349F" w:rsidP="00A63102">
      <w:pPr>
        <w:pStyle w:val="Heading1"/>
        <w:rPr>
          <w:rFonts w:ascii="Arial" w:hAnsi="Arial" w:cs="Arial"/>
          <w:sz w:val="22"/>
          <w:szCs w:val="22"/>
        </w:rPr>
      </w:pPr>
      <w:bookmarkStart w:id="3" w:name="_Toc215133708"/>
      <w:r w:rsidRPr="0085218D">
        <w:rPr>
          <w:rFonts w:ascii="Arial" w:hAnsi="Arial" w:cs="Arial"/>
          <w:sz w:val="22"/>
          <w:szCs w:val="22"/>
        </w:rPr>
        <w:t xml:space="preserve">Internal environment </w:t>
      </w:r>
      <w:r w:rsidR="005A13EB" w:rsidRPr="0085218D">
        <w:rPr>
          <w:rFonts w:ascii="Arial" w:hAnsi="Arial" w:cs="Arial"/>
          <w:sz w:val="22"/>
          <w:szCs w:val="22"/>
        </w:rPr>
        <w:t>swot analysis</w:t>
      </w:r>
      <w:bookmarkEnd w:id="3"/>
    </w:p>
    <w:p w14:paraId="3EF13842" w14:textId="4058678D" w:rsidR="00344D8B" w:rsidRPr="0085218D" w:rsidRDefault="00CA655F">
      <w:pPr>
        <w:rPr>
          <w:rFonts w:ascii="Arial" w:hAnsi="Arial" w:cs="Arial"/>
          <w:sz w:val="22"/>
          <w:szCs w:val="22"/>
        </w:rPr>
      </w:pPr>
      <w:r w:rsidRPr="0085218D">
        <w:rPr>
          <w:rFonts w:ascii="Arial" w:hAnsi="Arial" w:cs="Arial"/>
          <w:sz w:val="22"/>
          <w:szCs w:val="22"/>
        </w:rPr>
        <w:t>SWOT provides a general summary of the Strengths and Weaknesses explored in an analysis of resources and capabilities and the Opportunities and Threats explored in an analysis of the environment.</w:t>
      </w:r>
      <w:sdt>
        <w:sdtPr>
          <w:rPr>
            <w:rFonts w:ascii="Arial" w:hAnsi="Arial" w:cs="Arial"/>
            <w:sz w:val="22"/>
            <w:szCs w:val="22"/>
          </w:rPr>
          <w:id w:val="-659232061"/>
          <w:citation/>
        </w:sdtPr>
        <w:sdtEndPr/>
        <w:sdtContent>
          <w:r w:rsidR="009E42A5" w:rsidRPr="0085218D">
            <w:rPr>
              <w:rFonts w:ascii="Arial" w:hAnsi="Arial" w:cs="Arial"/>
              <w:sz w:val="22"/>
              <w:szCs w:val="22"/>
            </w:rPr>
            <w:fldChar w:fldCharType="begin"/>
          </w:r>
          <w:r w:rsidR="009E42A5" w:rsidRPr="0085218D">
            <w:rPr>
              <w:rFonts w:ascii="Arial" w:hAnsi="Arial" w:cs="Arial"/>
              <w:sz w:val="22"/>
              <w:szCs w:val="22"/>
            </w:rPr>
            <w:instrText xml:space="preserve"> CITATION Whi19 \l 2057 </w:instrText>
          </w:r>
          <w:r w:rsidR="009E42A5" w:rsidRPr="0085218D">
            <w:rPr>
              <w:rFonts w:ascii="Arial" w:hAnsi="Arial" w:cs="Arial"/>
              <w:sz w:val="22"/>
              <w:szCs w:val="22"/>
            </w:rPr>
            <w:fldChar w:fldCharType="separate"/>
          </w:r>
          <w:r w:rsidR="009E42A5" w:rsidRPr="0085218D">
            <w:rPr>
              <w:rFonts w:ascii="Arial" w:hAnsi="Arial" w:cs="Arial"/>
              <w:noProof/>
              <w:sz w:val="22"/>
              <w:szCs w:val="22"/>
            </w:rPr>
            <w:t xml:space="preserve"> (Whittington, 2019)</w:t>
          </w:r>
          <w:r w:rsidR="009E42A5" w:rsidRPr="0085218D">
            <w:rPr>
              <w:rFonts w:ascii="Arial" w:hAnsi="Arial" w:cs="Arial"/>
              <w:sz w:val="22"/>
              <w:szCs w:val="22"/>
            </w:rPr>
            <w:fldChar w:fldCharType="end"/>
          </w:r>
        </w:sdtContent>
      </w:sdt>
    </w:p>
    <w:p w14:paraId="0867F404" w14:textId="24C89B0E" w:rsidR="004E03D1" w:rsidRPr="0085218D" w:rsidRDefault="004F7166">
      <w:pPr>
        <w:rPr>
          <w:rFonts w:ascii="Arial" w:hAnsi="Arial" w:cs="Arial"/>
          <w:sz w:val="22"/>
          <w:szCs w:val="22"/>
        </w:rPr>
      </w:pPr>
      <w:r w:rsidRPr="0085218D">
        <w:rPr>
          <w:rFonts w:ascii="Arial" w:hAnsi="Arial" w:cs="Arial"/>
          <w:sz w:val="22"/>
          <w:szCs w:val="22"/>
        </w:rPr>
        <w:t xml:space="preserve">Strengths include a worldwide renowned brand connected with cutting-edge clean technology, increasing consumer trust and pricing power for goods such as Powerwall and Megapack. Tesla's outstanding battery technology, EV, solar, and storage integration, as well as its background in virtual power </w:t>
      </w:r>
      <w:r w:rsidR="00286FF0" w:rsidRPr="0085218D">
        <w:rPr>
          <w:rFonts w:ascii="Arial" w:hAnsi="Arial" w:cs="Arial"/>
          <w:sz w:val="22"/>
          <w:szCs w:val="22"/>
        </w:rPr>
        <w:t>plants and</w:t>
      </w:r>
      <w:r w:rsidRPr="0085218D">
        <w:rPr>
          <w:rFonts w:ascii="Arial" w:hAnsi="Arial" w:cs="Arial"/>
          <w:sz w:val="22"/>
          <w:szCs w:val="22"/>
        </w:rPr>
        <w:t xml:space="preserve"> energy trading platforms, provide a strong technological basis for developing an integrated UK energy ecosystem. Its direct-to-consumer approach and digital capabilities (apps, monitoring from a distance, software upgrades) enable data-driven service innovation and communication with customers.</w:t>
      </w:r>
    </w:p>
    <w:p w14:paraId="375F0DC9" w14:textId="43C0736F" w:rsidR="0090484C" w:rsidRPr="0085218D" w:rsidRDefault="00AD0DB3">
      <w:pPr>
        <w:rPr>
          <w:rFonts w:ascii="Arial" w:hAnsi="Arial" w:cs="Arial"/>
          <w:sz w:val="22"/>
          <w:szCs w:val="22"/>
        </w:rPr>
      </w:pPr>
      <w:r w:rsidRPr="0085218D">
        <w:rPr>
          <w:rFonts w:ascii="Arial" w:hAnsi="Arial" w:cs="Arial"/>
          <w:sz w:val="22"/>
          <w:szCs w:val="22"/>
        </w:rPr>
        <w:t>Weaknesses are mostly due to cost, localisation, and resource allocation. High upfront costs for batteries and solar solutions make deployment difficult for typical UK families, limiting the addressable market size regardless of innovative financing or tariff methods. Tesla's UK energy operations are very lean in comparison to established utilities and installation networks, resulting in capacity limits for local sales, support, and project execution. The brand and purpose are worldwide, but UK-specific strategy and messaging are still forming, potentially creating a perceived gap between ambitious promises and actual performance.</w:t>
      </w:r>
    </w:p>
    <w:p w14:paraId="14711567" w14:textId="712524E4" w:rsidR="00496356" w:rsidRPr="0085218D" w:rsidRDefault="00401224">
      <w:pPr>
        <w:rPr>
          <w:rFonts w:ascii="Arial" w:hAnsi="Arial" w:cs="Arial"/>
          <w:sz w:val="22"/>
          <w:szCs w:val="22"/>
        </w:rPr>
      </w:pPr>
      <w:r w:rsidRPr="0085218D">
        <w:rPr>
          <w:rFonts w:ascii="Arial" w:hAnsi="Arial" w:cs="Arial"/>
          <w:sz w:val="22"/>
          <w:szCs w:val="22"/>
        </w:rPr>
        <w:lastRenderedPageBreak/>
        <w:t>Opportunities include growing demand for residential and grid-scale storage, strong UK Net Zero 2050 legislative support, and rising energy prices, making renewable energy production and storage more appealing. Partnerships with approved solar installers, neighbourhood councils, and data centres offer opportunities to cross-sell energy solutions to UK Tesla EV owners by combining tariffs, home batteries, and intelligent charging services.</w:t>
      </w:r>
    </w:p>
    <w:p w14:paraId="41C46A50" w14:textId="562CA436" w:rsidR="00DF6862" w:rsidRPr="0085218D" w:rsidRDefault="00B85969">
      <w:pPr>
        <w:rPr>
          <w:rFonts w:ascii="Arial" w:hAnsi="Arial" w:cs="Arial"/>
          <w:sz w:val="22"/>
          <w:szCs w:val="22"/>
        </w:rPr>
      </w:pPr>
      <w:r w:rsidRPr="0085218D">
        <w:rPr>
          <w:rFonts w:ascii="Arial" w:hAnsi="Arial" w:cs="Arial"/>
          <w:sz w:val="22"/>
          <w:szCs w:val="22"/>
        </w:rPr>
        <w:t>Threats include increased rivalry from other battery and solar companies providing lower-cost options, as well as seasoned utilities with substantial customer bases and administrative experience. Grid-connected projects may be slowed by complicated regulation and planning delays, while supply chain interruptions or component shortages can increase prices and reduce profitability in a price-sensitive industry.</w:t>
      </w:r>
    </w:p>
    <w:p w14:paraId="3D356CA4" w14:textId="1B5E70BC" w:rsidR="0086797A" w:rsidRPr="0085218D" w:rsidRDefault="00CA692A" w:rsidP="004910AE">
      <w:pPr>
        <w:pStyle w:val="Heading1"/>
        <w:rPr>
          <w:rFonts w:ascii="Arial" w:hAnsi="Arial" w:cs="Arial"/>
          <w:sz w:val="22"/>
          <w:szCs w:val="22"/>
        </w:rPr>
      </w:pPr>
      <w:bookmarkStart w:id="4" w:name="_Toc215133709"/>
      <w:r w:rsidRPr="0085218D">
        <w:rPr>
          <w:rFonts w:ascii="Arial" w:hAnsi="Arial" w:cs="Arial"/>
          <w:sz w:val="22"/>
          <w:szCs w:val="22"/>
        </w:rPr>
        <w:t>Porter</w:t>
      </w:r>
      <w:r w:rsidR="0089642B" w:rsidRPr="0085218D">
        <w:rPr>
          <w:rFonts w:ascii="Arial" w:hAnsi="Arial" w:cs="Arial"/>
          <w:sz w:val="22"/>
          <w:szCs w:val="22"/>
        </w:rPr>
        <w:t>’s value chains</w:t>
      </w:r>
      <w:bookmarkEnd w:id="4"/>
    </w:p>
    <w:p w14:paraId="5DE0CFC9" w14:textId="7FC9C7E8" w:rsidR="00A63102" w:rsidRPr="0085218D" w:rsidRDefault="00A63102" w:rsidP="00A63102">
      <w:pPr>
        <w:rPr>
          <w:rFonts w:ascii="Arial" w:hAnsi="Arial" w:cs="Arial"/>
          <w:sz w:val="22"/>
          <w:szCs w:val="22"/>
        </w:rPr>
      </w:pPr>
    </w:p>
    <w:p w14:paraId="2A3AD34A" w14:textId="0C1D63DA" w:rsidR="00F020A1" w:rsidRPr="0085218D" w:rsidRDefault="00F020A1" w:rsidP="00A63102">
      <w:pPr>
        <w:rPr>
          <w:rFonts w:ascii="Arial" w:hAnsi="Arial" w:cs="Arial"/>
          <w:sz w:val="22"/>
          <w:szCs w:val="22"/>
        </w:rPr>
      </w:pPr>
      <w:r w:rsidRPr="0085218D">
        <w:rPr>
          <w:rFonts w:ascii="Arial" w:hAnsi="Arial" w:cs="Arial"/>
          <w:noProof/>
          <w:sz w:val="22"/>
          <w:szCs w:val="22"/>
        </w:rPr>
        <w:drawing>
          <wp:inline distT="0" distB="0" distL="0" distR="0" wp14:anchorId="40D8C07D" wp14:editId="5E8C64CE">
            <wp:extent cx="1554744" cy="952463"/>
            <wp:effectExtent l="0" t="0" r="7620" b="635"/>
            <wp:docPr id="1480143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07809" cy="984971"/>
                    </a:xfrm>
                    <a:prstGeom prst="rect">
                      <a:avLst/>
                    </a:prstGeom>
                    <a:noFill/>
                  </pic:spPr>
                </pic:pic>
              </a:graphicData>
            </a:graphic>
          </wp:inline>
        </w:drawing>
      </w:r>
      <w:sdt>
        <w:sdtPr>
          <w:rPr>
            <w:rFonts w:ascii="Arial" w:hAnsi="Arial" w:cs="Arial"/>
            <w:sz w:val="22"/>
            <w:szCs w:val="22"/>
          </w:rPr>
          <w:id w:val="-1548286056"/>
          <w:citation/>
        </w:sdtPr>
        <w:sdtEndPr/>
        <w:sdtContent>
          <w:r w:rsidR="00DF4764" w:rsidRPr="0085218D">
            <w:rPr>
              <w:rFonts w:ascii="Arial" w:hAnsi="Arial" w:cs="Arial"/>
              <w:sz w:val="22"/>
              <w:szCs w:val="22"/>
            </w:rPr>
            <w:fldChar w:fldCharType="begin"/>
          </w:r>
          <w:r w:rsidR="00DF4764" w:rsidRPr="0085218D">
            <w:rPr>
              <w:rFonts w:ascii="Arial" w:hAnsi="Arial" w:cs="Arial"/>
              <w:sz w:val="22"/>
              <w:szCs w:val="22"/>
            </w:rPr>
            <w:instrText xml:space="preserve"> CITATION Dan251 \l 2057 </w:instrText>
          </w:r>
          <w:r w:rsidR="00DF4764" w:rsidRPr="0085218D">
            <w:rPr>
              <w:rFonts w:ascii="Arial" w:hAnsi="Arial" w:cs="Arial"/>
              <w:sz w:val="22"/>
              <w:szCs w:val="22"/>
            </w:rPr>
            <w:fldChar w:fldCharType="separate"/>
          </w:r>
          <w:r w:rsidR="00DF4764" w:rsidRPr="0085218D">
            <w:rPr>
              <w:rFonts w:ascii="Arial" w:hAnsi="Arial" w:cs="Arial"/>
              <w:noProof/>
              <w:sz w:val="22"/>
              <w:szCs w:val="22"/>
            </w:rPr>
            <w:t xml:space="preserve"> (Pereira, 2025)</w:t>
          </w:r>
          <w:r w:rsidR="00DF4764" w:rsidRPr="0085218D">
            <w:rPr>
              <w:rFonts w:ascii="Arial" w:hAnsi="Arial" w:cs="Arial"/>
              <w:sz w:val="22"/>
              <w:szCs w:val="22"/>
            </w:rPr>
            <w:fldChar w:fldCharType="end"/>
          </w:r>
        </w:sdtContent>
      </w:sdt>
    </w:p>
    <w:p w14:paraId="7B0D7960" w14:textId="050DC508" w:rsidR="00CA692A" w:rsidRPr="0085218D" w:rsidRDefault="00CA692A">
      <w:pPr>
        <w:rPr>
          <w:rFonts w:ascii="Arial" w:hAnsi="Arial" w:cs="Arial"/>
          <w:sz w:val="22"/>
          <w:szCs w:val="22"/>
        </w:rPr>
      </w:pPr>
      <w:r w:rsidRPr="0085218D">
        <w:rPr>
          <w:rFonts w:ascii="Arial" w:hAnsi="Arial" w:cs="Arial"/>
          <w:sz w:val="22"/>
          <w:szCs w:val="22"/>
        </w:rPr>
        <w:t xml:space="preserve">Porter's value chain explains how Tesla Energy UK generates and extracts value across </w:t>
      </w:r>
      <w:proofErr w:type="gramStart"/>
      <w:r w:rsidRPr="0085218D">
        <w:rPr>
          <w:rFonts w:ascii="Arial" w:hAnsi="Arial" w:cs="Arial"/>
          <w:sz w:val="22"/>
          <w:szCs w:val="22"/>
        </w:rPr>
        <w:t>all of</w:t>
      </w:r>
      <w:proofErr w:type="gramEnd"/>
      <w:r w:rsidRPr="0085218D">
        <w:rPr>
          <w:rFonts w:ascii="Arial" w:hAnsi="Arial" w:cs="Arial"/>
          <w:sz w:val="22"/>
          <w:szCs w:val="22"/>
        </w:rPr>
        <w:t xml:space="preserve"> its activities, from battery procurement to networked energy service delivery</w:t>
      </w:r>
      <w:r w:rsidR="000D6937" w:rsidRPr="0085218D">
        <w:rPr>
          <w:rFonts w:ascii="Arial" w:hAnsi="Arial" w:cs="Arial"/>
          <w:sz w:val="22"/>
          <w:szCs w:val="22"/>
        </w:rPr>
        <w:t xml:space="preserve"> ()</w:t>
      </w:r>
      <w:r w:rsidRPr="0085218D">
        <w:rPr>
          <w:rFonts w:ascii="Arial" w:hAnsi="Arial" w:cs="Arial"/>
          <w:sz w:val="22"/>
          <w:szCs w:val="22"/>
        </w:rPr>
        <w:t>. Tesla's inbound logistics focus on procuring sophisticated battery cells and rechargeable batteries through its worldwide supply network, including Megapack and Powerwall production lines, providing cost and scale advantages over several UK-only rivals. Efficient flow of components into the UK, along with collaborations for local warehousing and transportation, ensures consistent supply for household and nationwide projects.</w:t>
      </w:r>
      <w:sdt>
        <w:sdtPr>
          <w:rPr>
            <w:rFonts w:ascii="Arial" w:hAnsi="Arial" w:cs="Arial"/>
            <w:sz w:val="22"/>
            <w:szCs w:val="22"/>
          </w:rPr>
          <w:id w:val="1039939546"/>
          <w:citation/>
        </w:sdtPr>
        <w:sdtEndPr/>
        <w:sdtContent>
          <w:r w:rsidR="007E6798" w:rsidRPr="0085218D">
            <w:rPr>
              <w:rFonts w:ascii="Arial" w:hAnsi="Arial" w:cs="Arial"/>
              <w:sz w:val="22"/>
              <w:szCs w:val="22"/>
            </w:rPr>
            <w:fldChar w:fldCharType="begin"/>
          </w:r>
          <w:r w:rsidR="007E6798" w:rsidRPr="0085218D">
            <w:rPr>
              <w:rFonts w:ascii="Arial" w:hAnsi="Arial" w:cs="Arial"/>
              <w:sz w:val="22"/>
              <w:szCs w:val="22"/>
            </w:rPr>
            <w:instrText xml:space="preserve"> CITATION Tes25 \l 2057 </w:instrText>
          </w:r>
          <w:r w:rsidR="007E6798" w:rsidRPr="0085218D">
            <w:rPr>
              <w:rFonts w:ascii="Arial" w:hAnsi="Arial" w:cs="Arial"/>
              <w:sz w:val="22"/>
              <w:szCs w:val="22"/>
            </w:rPr>
            <w:fldChar w:fldCharType="separate"/>
          </w:r>
          <w:r w:rsidR="007E6798" w:rsidRPr="0085218D">
            <w:rPr>
              <w:rFonts w:ascii="Arial" w:hAnsi="Arial" w:cs="Arial"/>
              <w:noProof/>
              <w:sz w:val="22"/>
              <w:szCs w:val="22"/>
            </w:rPr>
            <w:t xml:space="preserve"> (Anon., 2025)</w:t>
          </w:r>
          <w:r w:rsidR="007E6798" w:rsidRPr="0085218D">
            <w:rPr>
              <w:rFonts w:ascii="Arial" w:hAnsi="Arial" w:cs="Arial"/>
              <w:sz w:val="22"/>
              <w:szCs w:val="22"/>
            </w:rPr>
            <w:fldChar w:fldCharType="end"/>
          </w:r>
        </w:sdtContent>
      </w:sdt>
    </w:p>
    <w:p w14:paraId="5CA52DA8" w14:textId="1BF829CD" w:rsidR="007D3114" w:rsidRPr="0085218D" w:rsidRDefault="00EA52C6">
      <w:pPr>
        <w:rPr>
          <w:rFonts w:ascii="Arial" w:hAnsi="Arial" w:cs="Arial"/>
          <w:sz w:val="22"/>
          <w:szCs w:val="22"/>
        </w:rPr>
      </w:pPr>
      <w:r w:rsidRPr="0085218D">
        <w:rPr>
          <w:rFonts w:ascii="Arial" w:hAnsi="Arial" w:cs="Arial"/>
          <w:sz w:val="22"/>
          <w:szCs w:val="22"/>
        </w:rPr>
        <w:t xml:space="preserve">Operations focus on putting together, installing, and commissioning Powerwall systems for homeowners, as well as Megapack units for councils, data centres, and grid operators. Tesla's expertise with big battery energy storage systems and virtual power plants (VPPs) in other sectors enables it to standardise design and deployment procedures, therefore enhancing quality and speed while lowering risk. The establishment of a UK VPP combining </w:t>
      </w:r>
      <w:r w:rsidR="005A4AFD" w:rsidRPr="0085218D">
        <w:rPr>
          <w:rFonts w:ascii="Arial" w:hAnsi="Arial" w:cs="Arial"/>
          <w:sz w:val="22"/>
          <w:szCs w:val="22"/>
        </w:rPr>
        <w:t>Powerwall’s</w:t>
      </w:r>
      <w:r w:rsidRPr="0085218D">
        <w:rPr>
          <w:rFonts w:ascii="Arial" w:hAnsi="Arial" w:cs="Arial"/>
          <w:sz w:val="22"/>
          <w:szCs w:val="22"/>
        </w:rPr>
        <w:t xml:space="preserve"> and EVs focusses on software-driven management and improvement of multiple assets.</w:t>
      </w:r>
      <w:r w:rsidR="005C6086" w:rsidRPr="0085218D">
        <w:rPr>
          <w:rFonts w:ascii="Arial" w:hAnsi="Arial" w:cs="Arial"/>
          <w:sz w:val="22"/>
          <w:szCs w:val="22"/>
        </w:rPr>
        <w:t xml:space="preserve"> Shipping and service delivery are predominantly digital. Customers communicate with Tesla via the app and online platform, which manage monitoring, remote diagnostics, and, in some circumstances, participation in energy trading programs that compensate families for exporting stored power. Tesla's marketing and sales strategies are targeted to UK households and businesses through collaborations with qualified installers and energy suppliers. This helps overcome trust and knowledge obstacles in the solar-battery industry. Tesla's value chain is strengthened by supporting activities such as technology development, development of software, and strategic procurement, which reduce hardware costs, improve battery performance, and enable innovative tariffs and VPP models that set it apart from traditional utilities and hardware competitors.</w:t>
      </w:r>
      <w:sdt>
        <w:sdtPr>
          <w:rPr>
            <w:rFonts w:ascii="Arial" w:hAnsi="Arial" w:cs="Arial"/>
            <w:sz w:val="22"/>
            <w:szCs w:val="22"/>
          </w:rPr>
          <w:id w:val="696120108"/>
          <w:citation/>
        </w:sdtPr>
        <w:sdtEndPr/>
        <w:sdtContent>
          <w:r w:rsidR="00145792" w:rsidRPr="0085218D">
            <w:rPr>
              <w:rFonts w:ascii="Arial" w:hAnsi="Arial" w:cs="Arial"/>
              <w:sz w:val="22"/>
              <w:szCs w:val="22"/>
            </w:rPr>
            <w:fldChar w:fldCharType="begin"/>
          </w:r>
          <w:r w:rsidR="00145792" w:rsidRPr="0085218D">
            <w:rPr>
              <w:rFonts w:ascii="Arial" w:hAnsi="Arial" w:cs="Arial"/>
              <w:sz w:val="22"/>
              <w:szCs w:val="22"/>
            </w:rPr>
            <w:instrText xml:space="preserve"> CITATION Sup25 \l 2057 </w:instrText>
          </w:r>
          <w:r w:rsidR="00145792" w:rsidRPr="0085218D">
            <w:rPr>
              <w:rFonts w:ascii="Arial" w:hAnsi="Arial" w:cs="Arial"/>
              <w:sz w:val="22"/>
              <w:szCs w:val="22"/>
            </w:rPr>
            <w:fldChar w:fldCharType="separate"/>
          </w:r>
          <w:r w:rsidR="00145792" w:rsidRPr="0085218D">
            <w:rPr>
              <w:rFonts w:ascii="Arial" w:hAnsi="Arial" w:cs="Arial"/>
              <w:noProof/>
              <w:sz w:val="22"/>
              <w:szCs w:val="22"/>
            </w:rPr>
            <w:t xml:space="preserve"> (Anon., 2025)</w:t>
          </w:r>
          <w:r w:rsidR="00145792" w:rsidRPr="0085218D">
            <w:rPr>
              <w:rFonts w:ascii="Arial" w:hAnsi="Arial" w:cs="Arial"/>
              <w:sz w:val="22"/>
              <w:szCs w:val="22"/>
            </w:rPr>
            <w:fldChar w:fldCharType="end"/>
          </w:r>
        </w:sdtContent>
      </w:sdt>
    </w:p>
    <w:p w14:paraId="77ADB220" w14:textId="78742671" w:rsidR="00496CEA" w:rsidRPr="0085218D" w:rsidRDefault="00BC7652" w:rsidP="004910AE">
      <w:pPr>
        <w:pStyle w:val="Heading1"/>
        <w:rPr>
          <w:rFonts w:ascii="Arial" w:hAnsi="Arial" w:cs="Arial"/>
          <w:sz w:val="22"/>
          <w:szCs w:val="22"/>
        </w:rPr>
      </w:pPr>
      <w:bookmarkStart w:id="5" w:name="_Toc215133710"/>
      <w:r w:rsidRPr="0085218D">
        <w:rPr>
          <w:rFonts w:ascii="Arial" w:hAnsi="Arial" w:cs="Arial"/>
          <w:sz w:val="22"/>
          <w:szCs w:val="22"/>
        </w:rPr>
        <w:lastRenderedPageBreak/>
        <w:t xml:space="preserve">External </w:t>
      </w:r>
      <w:r w:rsidR="00B00671" w:rsidRPr="0085218D">
        <w:rPr>
          <w:rFonts w:ascii="Arial" w:hAnsi="Arial" w:cs="Arial"/>
          <w:sz w:val="22"/>
          <w:szCs w:val="22"/>
        </w:rPr>
        <w:t>environment pestle analysis</w:t>
      </w:r>
      <w:bookmarkEnd w:id="5"/>
      <w:r w:rsidR="00B00671" w:rsidRPr="0085218D">
        <w:rPr>
          <w:rFonts w:ascii="Arial" w:hAnsi="Arial" w:cs="Arial"/>
          <w:sz w:val="22"/>
          <w:szCs w:val="22"/>
        </w:rPr>
        <w:t xml:space="preserve"> </w:t>
      </w:r>
    </w:p>
    <w:p w14:paraId="6D09BB46" w14:textId="2DC78B58" w:rsidR="00A63102" w:rsidRPr="0085218D" w:rsidRDefault="00C428A2" w:rsidP="00A63102">
      <w:pPr>
        <w:rPr>
          <w:rFonts w:ascii="Arial" w:hAnsi="Arial" w:cs="Arial"/>
          <w:sz w:val="22"/>
          <w:szCs w:val="22"/>
        </w:rPr>
      </w:pPr>
      <w:r w:rsidRPr="0085218D">
        <w:rPr>
          <w:rFonts w:ascii="Arial" w:hAnsi="Arial" w:cs="Arial"/>
          <w:noProof/>
          <w:sz w:val="22"/>
          <w:szCs w:val="22"/>
        </w:rPr>
        <w:drawing>
          <wp:inline distT="0" distB="0" distL="0" distR="0" wp14:anchorId="58F5E1FE" wp14:editId="62640A77">
            <wp:extent cx="2084070" cy="879730"/>
            <wp:effectExtent l="0" t="0" r="0" b="0"/>
            <wp:docPr id="11784405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15731" cy="893095"/>
                    </a:xfrm>
                    <a:prstGeom prst="rect">
                      <a:avLst/>
                    </a:prstGeom>
                    <a:noFill/>
                  </pic:spPr>
                </pic:pic>
              </a:graphicData>
            </a:graphic>
          </wp:inline>
        </w:drawing>
      </w:r>
      <w:sdt>
        <w:sdtPr>
          <w:rPr>
            <w:rFonts w:ascii="Arial" w:hAnsi="Arial" w:cs="Arial"/>
            <w:sz w:val="22"/>
            <w:szCs w:val="22"/>
          </w:rPr>
          <w:id w:val="355629197"/>
          <w:citation/>
        </w:sdtPr>
        <w:sdtEndPr/>
        <w:sdtContent>
          <w:r w:rsidR="006E31A3" w:rsidRPr="0085218D">
            <w:rPr>
              <w:rFonts w:ascii="Arial" w:hAnsi="Arial" w:cs="Arial"/>
              <w:sz w:val="22"/>
              <w:szCs w:val="22"/>
            </w:rPr>
            <w:fldChar w:fldCharType="begin"/>
          </w:r>
          <w:r w:rsidR="006E31A3" w:rsidRPr="0085218D">
            <w:rPr>
              <w:rFonts w:ascii="Arial" w:hAnsi="Arial" w:cs="Arial"/>
              <w:sz w:val="22"/>
              <w:szCs w:val="22"/>
            </w:rPr>
            <w:instrText xml:space="preserve"> CITATION Mar25 \l 2057 </w:instrText>
          </w:r>
          <w:r w:rsidR="006E31A3" w:rsidRPr="0085218D">
            <w:rPr>
              <w:rFonts w:ascii="Arial" w:hAnsi="Arial" w:cs="Arial"/>
              <w:sz w:val="22"/>
              <w:szCs w:val="22"/>
            </w:rPr>
            <w:fldChar w:fldCharType="separate"/>
          </w:r>
          <w:r w:rsidR="006E31A3" w:rsidRPr="0085218D">
            <w:rPr>
              <w:rFonts w:ascii="Arial" w:hAnsi="Arial" w:cs="Arial"/>
              <w:noProof/>
              <w:sz w:val="22"/>
              <w:szCs w:val="22"/>
            </w:rPr>
            <w:t xml:space="preserve"> (theories, 2025)</w:t>
          </w:r>
          <w:r w:rsidR="006E31A3" w:rsidRPr="0085218D">
            <w:rPr>
              <w:rFonts w:ascii="Arial" w:hAnsi="Arial" w:cs="Arial"/>
              <w:sz w:val="22"/>
              <w:szCs w:val="22"/>
            </w:rPr>
            <w:fldChar w:fldCharType="end"/>
          </w:r>
        </w:sdtContent>
      </w:sdt>
    </w:p>
    <w:p w14:paraId="1237A93B" w14:textId="489701FD" w:rsidR="00B00671" w:rsidRPr="0085218D" w:rsidRDefault="00B00671">
      <w:pPr>
        <w:rPr>
          <w:rFonts w:ascii="Arial" w:hAnsi="Arial" w:cs="Arial"/>
          <w:sz w:val="22"/>
          <w:szCs w:val="22"/>
        </w:rPr>
      </w:pPr>
      <w:r w:rsidRPr="0085218D">
        <w:rPr>
          <w:rFonts w:ascii="Arial" w:hAnsi="Arial" w:cs="Arial"/>
          <w:sz w:val="22"/>
          <w:szCs w:val="22"/>
        </w:rPr>
        <w:t xml:space="preserve">Political </w:t>
      </w:r>
      <w:r w:rsidR="00A340FB" w:rsidRPr="0085218D">
        <w:rPr>
          <w:rFonts w:ascii="Arial" w:hAnsi="Arial" w:cs="Arial"/>
          <w:sz w:val="22"/>
          <w:szCs w:val="22"/>
        </w:rPr>
        <w:t>factors currently are in favour of TESLA</w:t>
      </w:r>
      <w:r w:rsidRPr="0085218D">
        <w:rPr>
          <w:rFonts w:ascii="Arial" w:hAnsi="Arial" w:cs="Arial"/>
          <w:sz w:val="22"/>
          <w:szCs w:val="22"/>
        </w:rPr>
        <w:t>. The UK government's Net Zero 2050 aim and policies, including encouragement for low-carbon technology and grid-scale storage, encourage Powerwall and Megapack implementation. Simultaneously, energy infrastructure planning processes and shifting priorities among numerous parties or local authorities can cause project approvals to be delayed or complicated, particularly for bigger Megapack sites.</w:t>
      </w:r>
    </w:p>
    <w:p w14:paraId="16E5FF30" w14:textId="40A75679" w:rsidR="001C15CF" w:rsidRPr="0085218D" w:rsidRDefault="00C30100">
      <w:pPr>
        <w:rPr>
          <w:rFonts w:ascii="Arial" w:hAnsi="Arial" w:cs="Arial"/>
          <w:sz w:val="22"/>
          <w:szCs w:val="22"/>
        </w:rPr>
      </w:pPr>
      <w:r w:rsidRPr="0085218D">
        <w:rPr>
          <w:rFonts w:ascii="Arial" w:hAnsi="Arial" w:cs="Arial"/>
          <w:sz w:val="22"/>
          <w:szCs w:val="22"/>
        </w:rPr>
        <w:t>Economic circumstances are mixed. High and fluctuating energy costs make home batteries and solar more appealing, increasing the value argument for consumers and companies trying to hedge their expenditures. UK homes may be hesitant to invest in Powerwall and solar due to high interest rates and cost-of-living pressures. This is especially true without significant financing or tariff assistance alternatives.</w:t>
      </w:r>
    </w:p>
    <w:p w14:paraId="29C3969F" w14:textId="742A6852" w:rsidR="003E2F4F" w:rsidRPr="0085218D" w:rsidRDefault="00604CE7">
      <w:pPr>
        <w:rPr>
          <w:rFonts w:ascii="Arial" w:hAnsi="Arial" w:cs="Arial"/>
          <w:sz w:val="22"/>
          <w:szCs w:val="22"/>
        </w:rPr>
      </w:pPr>
      <w:r w:rsidRPr="0085218D">
        <w:rPr>
          <w:rFonts w:ascii="Arial" w:hAnsi="Arial" w:cs="Arial"/>
          <w:sz w:val="22"/>
          <w:szCs w:val="22"/>
        </w:rPr>
        <w:t>Social aspects are typically good. The UK population is becoming more conscious of climate change, fuel poverty, and energy security, leading to growing interest in renewable energy and self-sufficiency. Early adopters, including tech-savvy homeowners and Tesla EV drivers, are open to integrated energy ecosystems. However, many consumers lack understanding and trust in battery technology, requiring education and confirmation on safety, payback time, and durability.</w:t>
      </w:r>
    </w:p>
    <w:p w14:paraId="4BD3630A" w14:textId="77777777" w:rsidR="004D643A" w:rsidRPr="0085218D" w:rsidRDefault="004D643A">
      <w:pPr>
        <w:rPr>
          <w:rFonts w:ascii="Arial" w:hAnsi="Arial" w:cs="Arial"/>
          <w:sz w:val="22"/>
          <w:szCs w:val="22"/>
        </w:rPr>
      </w:pPr>
    </w:p>
    <w:p w14:paraId="0941651D" w14:textId="77777777" w:rsidR="004D643A" w:rsidRPr="0085218D" w:rsidRDefault="004D643A">
      <w:pPr>
        <w:rPr>
          <w:rFonts w:ascii="Arial" w:hAnsi="Arial" w:cs="Arial"/>
          <w:sz w:val="22"/>
          <w:szCs w:val="22"/>
        </w:rPr>
      </w:pPr>
    </w:p>
    <w:p w14:paraId="69C45C10" w14:textId="078B6229" w:rsidR="00604CE7" w:rsidRPr="0085218D" w:rsidRDefault="00B2054B">
      <w:pPr>
        <w:rPr>
          <w:rFonts w:ascii="Arial" w:hAnsi="Arial" w:cs="Arial"/>
          <w:sz w:val="22"/>
          <w:szCs w:val="22"/>
        </w:rPr>
      </w:pPr>
      <w:r w:rsidRPr="0085218D">
        <w:rPr>
          <w:rFonts w:ascii="Arial" w:hAnsi="Arial" w:cs="Arial"/>
          <w:sz w:val="22"/>
          <w:szCs w:val="22"/>
        </w:rPr>
        <w:t xml:space="preserve">Technological advancements are very advantageous to Tesla. The profitability and performance of Powerwall and Megapack business models are enhanced by rapid advances in battery technology and efficiency, declining costs per kWh, and more advanced software for energy management and virtual power plants. When compared to typical utilities, Tesla Energy UK </w:t>
      </w:r>
      <w:proofErr w:type="gramStart"/>
      <w:r w:rsidRPr="0085218D">
        <w:rPr>
          <w:rFonts w:ascii="Arial" w:hAnsi="Arial" w:cs="Arial"/>
          <w:sz w:val="22"/>
          <w:szCs w:val="22"/>
        </w:rPr>
        <w:t>is able to</w:t>
      </w:r>
      <w:proofErr w:type="gramEnd"/>
      <w:r w:rsidRPr="0085218D">
        <w:rPr>
          <w:rFonts w:ascii="Arial" w:hAnsi="Arial" w:cs="Arial"/>
          <w:sz w:val="22"/>
          <w:szCs w:val="22"/>
        </w:rPr>
        <w:t xml:space="preserve"> provide unique, data-driven services because to the integration of AI, planning, and real-time grid services.</w:t>
      </w:r>
    </w:p>
    <w:p w14:paraId="51413570" w14:textId="7A6E8780" w:rsidR="00B2054B" w:rsidRPr="0085218D" w:rsidRDefault="004D643A">
      <w:pPr>
        <w:rPr>
          <w:rFonts w:ascii="Arial" w:hAnsi="Arial" w:cs="Arial"/>
          <w:sz w:val="22"/>
          <w:szCs w:val="22"/>
        </w:rPr>
      </w:pPr>
      <w:r w:rsidRPr="0085218D">
        <w:rPr>
          <w:rFonts w:ascii="Arial" w:hAnsi="Arial" w:cs="Arial"/>
          <w:sz w:val="22"/>
          <w:szCs w:val="22"/>
        </w:rPr>
        <w:t>One significant opportunity is environmental issues. The UK system needs to accommodate more sporadic solar and wind power because to climate change concerns, tighter emissions regulations, and the growth of renewable energy. Batteries are necessary for resilience, peak-shaving, and balancing, all of which are closely related to Megapack's function in large-scale projects and Powerwall's function in decentralised flexibility.</w:t>
      </w:r>
    </w:p>
    <w:p w14:paraId="3BC2075E" w14:textId="573A9937" w:rsidR="000210CB" w:rsidRPr="0085218D" w:rsidRDefault="00E04B71">
      <w:pPr>
        <w:rPr>
          <w:rFonts w:ascii="Arial" w:hAnsi="Arial" w:cs="Arial"/>
          <w:sz w:val="22"/>
          <w:szCs w:val="22"/>
        </w:rPr>
      </w:pPr>
      <w:r w:rsidRPr="0085218D">
        <w:rPr>
          <w:rFonts w:ascii="Arial" w:hAnsi="Arial" w:cs="Arial"/>
          <w:sz w:val="22"/>
          <w:szCs w:val="22"/>
        </w:rPr>
        <w:t>Regulatory and legal aspects are less clear-cut. On the one hand, new income streams are produced by supportive frameworks including capacity markets, grid service transactions, and laws that acknowledge storage as a separate asset class. However, when compared to well-established UK utilities with decades of regulatory experience, complicated licensing regulations, network connection requirements, consumer protection laws, and changing safety standards for lithium-ion systems can impede deployment and raise compliance costs for Tesla Energy UK.</w:t>
      </w:r>
    </w:p>
    <w:p w14:paraId="3B4153C8" w14:textId="6677983E" w:rsidR="002C1D0E" w:rsidRPr="0085218D" w:rsidRDefault="00427FF4" w:rsidP="004910AE">
      <w:pPr>
        <w:pStyle w:val="Heading1"/>
        <w:rPr>
          <w:rFonts w:ascii="Arial" w:hAnsi="Arial" w:cs="Arial"/>
          <w:sz w:val="22"/>
          <w:szCs w:val="22"/>
        </w:rPr>
      </w:pPr>
      <w:bookmarkStart w:id="6" w:name="_Toc215133711"/>
      <w:r w:rsidRPr="0085218D">
        <w:rPr>
          <w:rFonts w:ascii="Arial" w:hAnsi="Arial" w:cs="Arial"/>
          <w:sz w:val="22"/>
          <w:szCs w:val="22"/>
        </w:rPr>
        <w:lastRenderedPageBreak/>
        <w:t>Porter’s</w:t>
      </w:r>
      <w:r w:rsidR="002933F4" w:rsidRPr="0085218D">
        <w:rPr>
          <w:rFonts w:ascii="Arial" w:hAnsi="Arial" w:cs="Arial"/>
          <w:sz w:val="22"/>
          <w:szCs w:val="22"/>
        </w:rPr>
        <w:t xml:space="preserve"> five forces</w:t>
      </w:r>
      <w:bookmarkEnd w:id="6"/>
    </w:p>
    <w:p w14:paraId="61AD0DE5" w14:textId="311588F1" w:rsidR="00B5779C" w:rsidRPr="0085218D" w:rsidRDefault="00B5779C" w:rsidP="00B5779C">
      <w:pPr>
        <w:rPr>
          <w:rFonts w:ascii="Arial" w:hAnsi="Arial" w:cs="Arial"/>
          <w:sz w:val="22"/>
          <w:szCs w:val="22"/>
        </w:rPr>
      </w:pPr>
      <w:r w:rsidRPr="0085218D">
        <w:rPr>
          <w:rFonts w:ascii="Arial" w:hAnsi="Arial" w:cs="Arial"/>
          <w:noProof/>
          <w:sz w:val="22"/>
          <w:szCs w:val="22"/>
        </w:rPr>
        <w:drawing>
          <wp:inline distT="0" distB="0" distL="0" distR="0" wp14:anchorId="0335BBF6" wp14:editId="23168AB2">
            <wp:extent cx="1188720" cy="903297"/>
            <wp:effectExtent l="0" t="0" r="0" b="0"/>
            <wp:docPr id="1642942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12947" cy="921707"/>
                    </a:xfrm>
                    <a:prstGeom prst="rect">
                      <a:avLst/>
                    </a:prstGeom>
                    <a:noFill/>
                  </pic:spPr>
                </pic:pic>
              </a:graphicData>
            </a:graphic>
          </wp:inline>
        </w:drawing>
      </w:r>
      <w:sdt>
        <w:sdtPr>
          <w:rPr>
            <w:rFonts w:ascii="Arial" w:hAnsi="Arial" w:cs="Arial"/>
            <w:sz w:val="22"/>
            <w:szCs w:val="22"/>
          </w:rPr>
          <w:id w:val="405337732"/>
          <w:citation/>
        </w:sdtPr>
        <w:sdtEndPr/>
        <w:sdtContent>
          <w:r w:rsidR="00346F37" w:rsidRPr="0085218D">
            <w:rPr>
              <w:rFonts w:ascii="Arial" w:hAnsi="Arial" w:cs="Arial"/>
              <w:sz w:val="22"/>
              <w:szCs w:val="22"/>
            </w:rPr>
            <w:fldChar w:fldCharType="begin"/>
          </w:r>
          <w:r w:rsidR="00346F37" w:rsidRPr="0085218D">
            <w:rPr>
              <w:rFonts w:ascii="Arial" w:hAnsi="Arial" w:cs="Arial"/>
              <w:sz w:val="22"/>
              <w:szCs w:val="22"/>
            </w:rPr>
            <w:instrText xml:space="preserve"> CITATION Sma22 \l 2057 </w:instrText>
          </w:r>
          <w:r w:rsidR="00346F37" w:rsidRPr="0085218D">
            <w:rPr>
              <w:rFonts w:ascii="Arial" w:hAnsi="Arial" w:cs="Arial"/>
              <w:sz w:val="22"/>
              <w:szCs w:val="22"/>
            </w:rPr>
            <w:fldChar w:fldCharType="separate"/>
          </w:r>
          <w:r w:rsidR="00346F37" w:rsidRPr="0085218D">
            <w:rPr>
              <w:rFonts w:ascii="Arial" w:hAnsi="Arial" w:cs="Arial"/>
              <w:noProof/>
              <w:sz w:val="22"/>
              <w:szCs w:val="22"/>
            </w:rPr>
            <w:t xml:space="preserve"> (business, 2022)</w:t>
          </w:r>
          <w:r w:rsidR="00346F37" w:rsidRPr="0085218D">
            <w:rPr>
              <w:rFonts w:ascii="Arial" w:hAnsi="Arial" w:cs="Arial"/>
              <w:sz w:val="22"/>
              <w:szCs w:val="22"/>
            </w:rPr>
            <w:fldChar w:fldCharType="end"/>
          </w:r>
        </w:sdtContent>
      </w:sdt>
    </w:p>
    <w:p w14:paraId="680D184C" w14:textId="1D60CF19" w:rsidR="002C1D0E" w:rsidRPr="0085218D" w:rsidRDefault="00D41263">
      <w:pPr>
        <w:rPr>
          <w:rFonts w:ascii="Arial" w:hAnsi="Arial" w:cs="Arial"/>
          <w:sz w:val="22"/>
          <w:szCs w:val="22"/>
        </w:rPr>
      </w:pPr>
      <w:r w:rsidRPr="0085218D">
        <w:rPr>
          <w:rFonts w:ascii="Arial" w:hAnsi="Arial" w:cs="Arial"/>
          <w:sz w:val="22"/>
          <w:szCs w:val="22"/>
        </w:rPr>
        <w:t>For Tesla Energy UK, competitive rivalry is the strongest of Porter’s Five Forces. The UK market for home batteries, solar, and grid</w:t>
      </w:r>
      <w:r w:rsidRPr="0085218D">
        <w:rPr>
          <w:rFonts w:ascii="Cambria Math" w:hAnsi="Cambria Math" w:cs="Cambria Math"/>
          <w:sz w:val="22"/>
          <w:szCs w:val="22"/>
        </w:rPr>
        <w:t>‑</w:t>
      </w:r>
      <w:r w:rsidRPr="0085218D">
        <w:rPr>
          <w:rFonts w:ascii="Arial" w:hAnsi="Arial" w:cs="Arial"/>
          <w:sz w:val="22"/>
          <w:szCs w:val="22"/>
        </w:rPr>
        <w:t>scale storage includes established utilities, specialist battery providers, and international manufacturers, all competing on price, installer relationships, and reliability. This intense rivalry pressures Tesla to differentiate through technology, brand strength, integrated EV–solar–battery ecosystems, and value</w:t>
      </w:r>
      <w:r w:rsidRPr="0085218D">
        <w:rPr>
          <w:rFonts w:ascii="Cambria Math" w:hAnsi="Cambria Math" w:cs="Cambria Math"/>
          <w:sz w:val="22"/>
          <w:szCs w:val="22"/>
        </w:rPr>
        <w:t>‑</w:t>
      </w:r>
      <w:r w:rsidRPr="0085218D">
        <w:rPr>
          <w:rFonts w:ascii="Arial" w:hAnsi="Arial" w:cs="Arial"/>
          <w:sz w:val="22"/>
          <w:szCs w:val="22"/>
        </w:rPr>
        <w:t>added software/services rather than competing purely on upfront cost.</w:t>
      </w:r>
    </w:p>
    <w:p w14:paraId="5274945F" w14:textId="798AE240" w:rsidR="00546F9B" w:rsidRPr="0085218D" w:rsidRDefault="00E11E1F">
      <w:pPr>
        <w:rPr>
          <w:rFonts w:ascii="Arial" w:hAnsi="Arial" w:cs="Arial"/>
          <w:sz w:val="22"/>
          <w:szCs w:val="22"/>
        </w:rPr>
      </w:pPr>
      <w:r w:rsidRPr="0085218D">
        <w:rPr>
          <w:rFonts w:ascii="Arial" w:hAnsi="Arial" w:cs="Arial"/>
          <w:sz w:val="22"/>
          <w:szCs w:val="22"/>
        </w:rPr>
        <w:t>Clients have moderate to high negotiating power. Tesla is forced to defend its premium price with better performance, warranties, and whole-life value since UK homes, councils, and data centres may compare several storage and solar suppliers and frequently hold competitive tenders. Although Tesla's unified software and app network can lock in clients after installation, switching costs are very modest at the purchase stage, particularly for local governments and big business customers.</w:t>
      </w:r>
    </w:p>
    <w:p w14:paraId="3A71667C" w14:textId="053169DD" w:rsidR="00E11E1F" w:rsidRPr="0085218D" w:rsidRDefault="00D12230">
      <w:pPr>
        <w:rPr>
          <w:rFonts w:ascii="Arial" w:hAnsi="Arial" w:cs="Arial"/>
          <w:sz w:val="22"/>
          <w:szCs w:val="22"/>
        </w:rPr>
      </w:pPr>
      <w:r w:rsidRPr="0085218D">
        <w:rPr>
          <w:rFonts w:ascii="Arial" w:hAnsi="Arial" w:cs="Arial"/>
          <w:sz w:val="22"/>
          <w:szCs w:val="22"/>
        </w:rPr>
        <w:t>The power of suppliers is moderate. Although Tesla benefits from its worldwide reach and partial the vertical integration approach in battery technology, it still depends on a small number of international suppliers for essential parts and raw materials, who may be impacted by geopolitical risks and fluctuations in commodity prices. Costs and availability may be impacted, particularly for high-capacity storage required for Megapack projects.</w:t>
      </w:r>
    </w:p>
    <w:p w14:paraId="302BAB5C" w14:textId="03DDF04E" w:rsidR="00784F6D" w:rsidRPr="0085218D" w:rsidRDefault="00784F6D">
      <w:pPr>
        <w:rPr>
          <w:rFonts w:ascii="Arial" w:hAnsi="Arial" w:cs="Arial"/>
          <w:sz w:val="22"/>
          <w:szCs w:val="22"/>
        </w:rPr>
      </w:pPr>
      <w:r w:rsidRPr="0085218D">
        <w:rPr>
          <w:rFonts w:ascii="Arial" w:hAnsi="Arial" w:cs="Arial"/>
          <w:sz w:val="22"/>
          <w:szCs w:val="22"/>
        </w:rPr>
        <w:t>The threat of new entrants is relatively low. High capital requirements, technology barriers, brand trust, and the need to secure regulatory approvals and grid connections make it difficult for new firms to enter at scale. However, the threat of substitutes is moderate: households and organisations can pursue alternative options such as improving energy efficiency, using cheaper rival batteries, or relying on traditional grid contracts and demand</w:t>
      </w:r>
      <w:r w:rsidRPr="0085218D">
        <w:rPr>
          <w:rFonts w:ascii="Cambria Math" w:hAnsi="Cambria Math" w:cs="Cambria Math"/>
          <w:sz w:val="22"/>
          <w:szCs w:val="22"/>
        </w:rPr>
        <w:t>‑</w:t>
      </w:r>
      <w:r w:rsidRPr="0085218D">
        <w:rPr>
          <w:rFonts w:ascii="Arial" w:hAnsi="Arial" w:cs="Arial"/>
          <w:sz w:val="22"/>
          <w:szCs w:val="22"/>
        </w:rPr>
        <w:t>side management instead of installing Tesla systems. This pushes Tesla Energy UK to demonstrate clear economic, environmental, and reliability advantages over both competing technologies and “do nothing” alternatives.</w:t>
      </w:r>
    </w:p>
    <w:p w14:paraId="576B0868" w14:textId="77777777" w:rsidR="000210CB" w:rsidRPr="0085218D" w:rsidRDefault="000210CB">
      <w:pPr>
        <w:rPr>
          <w:rFonts w:ascii="Arial" w:hAnsi="Arial" w:cs="Arial"/>
          <w:sz w:val="22"/>
          <w:szCs w:val="22"/>
        </w:rPr>
      </w:pPr>
    </w:p>
    <w:p w14:paraId="3D2B9989" w14:textId="2CB4B315" w:rsidR="00A63102" w:rsidRPr="0085218D" w:rsidRDefault="00CD0BB9" w:rsidP="00A63102">
      <w:pPr>
        <w:pStyle w:val="Heading1"/>
        <w:rPr>
          <w:rFonts w:ascii="Arial" w:hAnsi="Arial" w:cs="Arial"/>
          <w:sz w:val="22"/>
          <w:szCs w:val="22"/>
        </w:rPr>
      </w:pPr>
      <w:bookmarkStart w:id="7" w:name="_Toc215133712"/>
      <w:r w:rsidRPr="0085218D">
        <w:rPr>
          <w:rFonts w:ascii="Arial" w:hAnsi="Arial" w:cs="Arial"/>
          <w:sz w:val="22"/>
          <w:szCs w:val="22"/>
        </w:rPr>
        <w:t xml:space="preserve">Strategic Growth Choices </w:t>
      </w:r>
      <w:r w:rsidR="00EA33B0" w:rsidRPr="0085218D">
        <w:rPr>
          <w:rFonts w:ascii="Arial" w:hAnsi="Arial" w:cs="Arial"/>
          <w:sz w:val="22"/>
          <w:szCs w:val="22"/>
        </w:rPr>
        <w:t>u</w:t>
      </w:r>
      <w:r w:rsidRPr="0085218D">
        <w:rPr>
          <w:rFonts w:ascii="Arial" w:hAnsi="Arial" w:cs="Arial"/>
          <w:sz w:val="22"/>
          <w:szCs w:val="22"/>
        </w:rPr>
        <w:t>sing Ansoff Matrix</w:t>
      </w:r>
      <w:bookmarkEnd w:id="7"/>
    </w:p>
    <w:p w14:paraId="5BA83F9B" w14:textId="69E5E44A" w:rsidR="00A63102" w:rsidRPr="0085218D" w:rsidRDefault="005119F5" w:rsidP="00A63102">
      <w:pPr>
        <w:rPr>
          <w:rFonts w:ascii="Arial" w:hAnsi="Arial" w:cs="Arial"/>
          <w:sz w:val="22"/>
          <w:szCs w:val="22"/>
        </w:rPr>
      </w:pPr>
      <w:r w:rsidRPr="0085218D">
        <w:rPr>
          <w:rFonts w:ascii="Arial" w:hAnsi="Arial" w:cs="Arial"/>
          <w:noProof/>
          <w:sz w:val="22"/>
          <w:szCs w:val="22"/>
        </w:rPr>
        <w:drawing>
          <wp:inline distT="0" distB="0" distL="0" distR="0" wp14:anchorId="1DDD8DE5" wp14:editId="0C47BDED">
            <wp:extent cx="1140460" cy="826935"/>
            <wp:effectExtent l="0" t="0" r="2540" b="0"/>
            <wp:docPr id="18369156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77170" cy="853553"/>
                    </a:xfrm>
                    <a:prstGeom prst="rect">
                      <a:avLst/>
                    </a:prstGeom>
                    <a:noFill/>
                  </pic:spPr>
                </pic:pic>
              </a:graphicData>
            </a:graphic>
          </wp:inline>
        </w:drawing>
      </w:r>
      <w:sdt>
        <w:sdtPr>
          <w:rPr>
            <w:rFonts w:ascii="Arial" w:hAnsi="Arial" w:cs="Arial"/>
            <w:sz w:val="22"/>
            <w:szCs w:val="22"/>
          </w:rPr>
          <w:id w:val="-2098166265"/>
          <w:citation/>
        </w:sdtPr>
        <w:sdtEndPr/>
        <w:sdtContent>
          <w:r w:rsidR="005527CD" w:rsidRPr="0085218D">
            <w:rPr>
              <w:rFonts w:ascii="Arial" w:hAnsi="Arial" w:cs="Arial"/>
              <w:sz w:val="22"/>
              <w:szCs w:val="22"/>
            </w:rPr>
            <w:fldChar w:fldCharType="begin"/>
          </w:r>
          <w:r w:rsidR="005527CD" w:rsidRPr="0085218D">
            <w:rPr>
              <w:rFonts w:ascii="Arial" w:hAnsi="Arial" w:cs="Arial"/>
              <w:sz w:val="22"/>
              <w:szCs w:val="22"/>
            </w:rPr>
            <w:instrText xml:space="preserve"> CITATION Qua25 \l 2057 </w:instrText>
          </w:r>
          <w:r w:rsidR="005527CD" w:rsidRPr="0085218D">
            <w:rPr>
              <w:rFonts w:ascii="Arial" w:hAnsi="Arial" w:cs="Arial"/>
              <w:sz w:val="22"/>
              <w:szCs w:val="22"/>
            </w:rPr>
            <w:fldChar w:fldCharType="separate"/>
          </w:r>
          <w:r w:rsidR="005527CD" w:rsidRPr="0085218D">
            <w:rPr>
              <w:rFonts w:ascii="Arial" w:hAnsi="Arial" w:cs="Arial"/>
              <w:noProof/>
              <w:sz w:val="22"/>
              <w:szCs w:val="22"/>
            </w:rPr>
            <w:t xml:space="preserve"> (workboard, 2025)</w:t>
          </w:r>
          <w:r w:rsidR="005527CD" w:rsidRPr="0085218D">
            <w:rPr>
              <w:rFonts w:ascii="Arial" w:hAnsi="Arial" w:cs="Arial"/>
              <w:sz w:val="22"/>
              <w:szCs w:val="22"/>
            </w:rPr>
            <w:fldChar w:fldCharType="end"/>
          </w:r>
        </w:sdtContent>
      </w:sdt>
    </w:p>
    <w:p w14:paraId="41393508" w14:textId="18AAA132" w:rsidR="00EA33B0" w:rsidRPr="0085218D" w:rsidRDefault="00905B1F" w:rsidP="00CD0BB9">
      <w:pPr>
        <w:rPr>
          <w:rFonts w:ascii="Arial" w:hAnsi="Arial" w:cs="Arial"/>
          <w:sz w:val="22"/>
          <w:szCs w:val="22"/>
        </w:rPr>
      </w:pPr>
      <w:r w:rsidRPr="0085218D">
        <w:rPr>
          <w:rFonts w:ascii="Arial" w:hAnsi="Arial" w:cs="Arial"/>
          <w:sz w:val="22"/>
          <w:szCs w:val="22"/>
        </w:rPr>
        <w:t xml:space="preserve">The Ansoff Matrix may be used by Tesla Energy UK to organise its expansion along four primary axes: diversification, product development, market penetration, and market development. By utilising tailored pricing, time-of-use optimisation, and bundled offers for current Tesla EV owners, Tesla should increase the adoption of Powerwall and Megapack </w:t>
      </w:r>
      <w:r w:rsidRPr="0085218D">
        <w:rPr>
          <w:rFonts w:ascii="Arial" w:hAnsi="Arial" w:cs="Arial"/>
          <w:sz w:val="22"/>
          <w:szCs w:val="22"/>
        </w:rPr>
        <w:lastRenderedPageBreak/>
        <w:t xml:space="preserve">across the UK sectors for market penetration (existing goods, existing markets). </w:t>
      </w:r>
      <w:r w:rsidR="00C2735C" w:rsidRPr="0085218D">
        <w:rPr>
          <w:rFonts w:ascii="Arial" w:hAnsi="Arial" w:cs="Arial"/>
          <w:sz w:val="22"/>
          <w:szCs w:val="22"/>
        </w:rPr>
        <w:t>Referral programs</w:t>
      </w:r>
      <w:r w:rsidRPr="0085218D">
        <w:rPr>
          <w:rFonts w:ascii="Arial" w:hAnsi="Arial" w:cs="Arial"/>
          <w:sz w:val="22"/>
          <w:szCs w:val="22"/>
        </w:rPr>
        <w:t xml:space="preserve"> reduced Powerwall packages for Model 3/Y drivers, and collaborations with UK energy companies to provide "Tesla Energy" rates that compensate clients for enabling their batteries to take part in virtual power plants are a few examples of this. These programs boost wallet share and usage without altering the main product.</w:t>
      </w:r>
      <w:sdt>
        <w:sdtPr>
          <w:rPr>
            <w:rFonts w:ascii="Arial" w:hAnsi="Arial" w:cs="Arial"/>
            <w:sz w:val="22"/>
            <w:szCs w:val="22"/>
          </w:rPr>
          <w:id w:val="-736552201"/>
          <w:citation/>
        </w:sdtPr>
        <w:sdtEndPr/>
        <w:sdtContent>
          <w:r w:rsidR="00A2080D" w:rsidRPr="0085218D">
            <w:rPr>
              <w:rFonts w:ascii="Arial" w:hAnsi="Arial" w:cs="Arial"/>
              <w:sz w:val="22"/>
              <w:szCs w:val="22"/>
            </w:rPr>
            <w:fldChar w:fldCharType="begin"/>
          </w:r>
          <w:r w:rsidR="00A2080D" w:rsidRPr="0085218D">
            <w:rPr>
              <w:rFonts w:ascii="Arial" w:hAnsi="Arial" w:cs="Arial"/>
              <w:sz w:val="22"/>
              <w:szCs w:val="22"/>
            </w:rPr>
            <w:instrText xml:space="preserve"> CITATION BRM21 \l 2057 </w:instrText>
          </w:r>
          <w:r w:rsidR="00A2080D" w:rsidRPr="0085218D">
            <w:rPr>
              <w:rFonts w:ascii="Arial" w:hAnsi="Arial" w:cs="Arial"/>
              <w:sz w:val="22"/>
              <w:szCs w:val="22"/>
            </w:rPr>
            <w:fldChar w:fldCharType="separate"/>
          </w:r>
          <w:r w:rsidR="00A2080D" w:rsidRPr="0085218D">
            <w:rPr>
              <w:rFonts w:ascii="Arial" w:hAnsi="Arial" w:cs="Arial"/>
              <w:noProof/>
              <w:sz w:val="22"/>
              <w:szCs w:val="22"/>
            </w:rPr>
            <w:t xml:space="preserve"> (BRM, 2021)</w:t>
          </w:r>
          <w:r w:rsidR="00A2080D" w:rsidRPr="0085218D">
            <w:rPr>
              <w:rFonts w:ascii="Arial" w:hAnsi="Arial" w:cs="Arial"/>
              <w:sz w:val="22"/>
              <w:szCs w:val="22"/>
            </w:rPr>
            <w:fldChar w:fldCharType="end"/>
          </w:r>
        </w:sdtContent>
      </w:sdt>
    </w:p>
    <w:p w14:paraId="115C45A0" w14:textId="2390A860" w:rsidR="00454B98" w:rsidRPr="0085218D" w:rsidRDefault="00454B98" w:rsidP="00CD0BB9">
      <w:pPr>
        <w:rPr>
          <w:rFonts w:ascii="Arial" w:hAnsi="Arial" w:cs="Arial"/>
          <w:sz w:val="22"/>
          <w:szCs w:val="22"/>
        </w:rPr>
      </w:pPr>
      <w:r w:rsidRPr="0085218D">
        <w:rPr>
          <w:rFonts w:ascii="Arial" w:hAnsi="Arial" w:cs="Arial"/>
          <w:sz w:val="22"/>
          <w:szCs w:val="22"/>
        </w:rPr>
        <w:t xml:space="preserve">Tesla Energy UK may grow both regionally and segmentally inside the UK for market expansion (current goods, new markets). Geographically, it can spread beyond big cities and early-adopter locations in the South to smaller cities and rural areas where storage is appealing due to high energy costs and grid dependability problems. </w:t>
      </w:r>
      <w:r w:rsidR="00F15E42" w:rsidRPr="0085218D">
        <w:rPr>
          <w:rFonts w:ascii="Arial" w:hAnsi="Arial" w:cs="Arial"/>
          <w:sz w:val="22"/>
          <w:szCs w:val="22"/>
        </w:rPr>
        <w:t>To</w:t>
      </w:r>
      <w:r w:rsidRPr="0085218D">
        <w:rPr>
          <w:rFonts w:ascii="Arial" w:hAnsi="Arial" w:cs="Arial"/>
          <w:sz w:val="22"/>
          <w:szCs w:val="22"/>
        </w:rPr>
        <w:t xml:space="preserve"> speed up implementation, it may use framework agreements and public procurement channels to target councils, housing associations, and small enterprises with standardised Powerwall and Megapack packages. Compared to a complete product redesign, this strategy lowers risk by using current technologies in new consumer segments.</w:t>
      </w:r>
    </w:p>
    <w:p w14:paraId="07A1F65F" w14:textId="37B0A19D" w:rsidR="00925B4A" w:rsidRPr="0085218D" w:rsidRDefault="00925B4A" w:rsidP="00CD0BB9">
      <w:pPr>
        <w:rPr>
          <w:rFonts w:ascii="Arial" w:hAnsi="Arial" w:cs="Arial"/>
          <w:sz w:val="22"/>
          <w:szCs w:val="22"/>
        </w:rPr>
      </w:pPr>
      <w:r w:rsidRPr="0085218D">
        <w:rPr>
          <w:rFonts w:ascii="Arial" w:hAnsi="Arial" w:cs="Arial"/>
          <w:sz w:val="22"/>
          <w:szCs w:val="22"/>
        </w:rPr>
        <w:t>Another avenue for expansion is through product development (new items, current markets). For smaller houses and apartments in the UK, Tesla may provide more modular or lower-capacity storage choices that are less expensive up front, along with improved software products like superior home-energy optimisation, dynamic export rates, and grid-service participation applications. In addition to addressing the issue of high upfront costs, adding maintenance plans, extended warranties, and energy-as-a-service subscription models would strengthen ties with current UK consumers.</w:t>
      </w:r>
    </w:p>
    <w:p w14:paraId="7AF3D7EC" w14:textId="77777777" w:rsidR="00F63D54" w:rsidRPr="0085218D" w:rsidRDefault="00F63D54" w:rsidP="00CD0BB9">
      <w:pPr>
        <w:rPr>
          <w:rFonts w:ascii="Arial" w:hAnsi="Arial" w:cs="Arial"/>
          <w:sz w:val="22"/>
          <w:szCs w:val="22"/>
        </w:rPr>
      </w:pPr>
    </w:p>
    <w:p w14:paraId="4BE74A5D" w14:textId="6E101B4A" w:rsidR="00014E9F" w:rsidRPr="0085218D" w:rsidRDefault="00F63D54" w:rsidP="00CD0BB9">
      <w:pPr>
        <w:rPr>
          <w:rFonts w:ascii="Arial" w:hAnsi="Arial" w:cs="Arial"/>
          <w:sz w:val="22"/>
          <w:szCs w:val="22"/>
        </w:rPr>
      </w:pPr>
      <w:r w:rsidRPr="0085218D">
        <w:rPr>
          <w:rFonts w:ascii="Arial" w:hAnsi="Arial" w:cs="Arial"/>
          <w:sz w:val="22"/>
          <w:szCs w:val="22"/>
        </w:rPr>
        <w:t xml:space="preserve">Lastly, diversification (new goods, new markets) carries a greater risk but offers substantial strategic benefits. For new-build housing estates, business parks, or university campuses, Tesla Energy UK may investigate combined packages that combine Powerwall, Megapack, EV charging points, and backup solutions. </w:t>
      </w:r>
      <w:proofErr w:type="gramStart"/>
      <w:r w:rsidRPr="0085218D">
        <w:rPr>
          <w:rFonts w:ascii="Arial" w:hAnsi="Arial" w:cs="Arial"/>
          <w:sz w:val="22"/>
          <w:szCs w:val="22"/>
        </w:rPr>
        <w:t>In order to</w:t>
      </w:r>
      <w:proofErr w:type="gramEnd"/>
      <w:r w:rsidRPr="0085218D">
        <w:rPr>
          <w:rFonts w:ascii="Arial" w:hAnsi="Arial" w:cs="Arial"/>
          <w:sz w:val="22"/>
          <w:szCs w:val="22"/>
        </w:rPr>
        <w:t xml:space="preserve"> go closer to being a full-service renewable energy supplier rather than just a hardware seller, it may potentially test local "virtual utility" models in which Tesla combines dispersed assets and offers flexibility and capacity services straight into UK energy markets.</w:t>
      </w:r>
    </w:p>
    <w:p w14:paraId="281D097E" w14:textId="661090E3" w:rsidR="009E56DA" w:rsidRPr="0085218D" w:rsidRDefault="00807C10" w:rsidP="004910AE">
      <w:pPr>
        <w:pStyle w:val="Heading1"/>
        <w:rPr>
          <w:rFonts w:ascii="Arial" w:hAnsi="Arial" w:cs="Arial"/>
          <w:sz w:val="22"/>
          <w:szCs w:val="22"/>
        </w:rPr>
      </w:pPr>
      <w:bookmarkStart w:id="8" w:name="_Toc215133713"/>
      <w:r w:rsidRPr="0085218D">
        <w:rPr>
          <w:rFonts w:ascii="Arial" w:hAnsi="Arial" w:cs="Arial"/>
          <w:sz w:val="22"/>
          <w:szCs w:val="22"/>
        </w:rPr>
        <w:t xml:space="preserve">Stakeholder </w:t>
      </w:r>
      <w:r w:rsidR="009D3CC6" w:rsidRPr="0085218D">
        <w:rPr>
          <w:rFonts w:ascii="Arial" w:hAnsi="Arial" w:cs="Arial"/>
          <w:sz w:val="22"/>
          <w:szCs w:val="22"/>
        </w:rPr>
        <w:t xml:space="preserve">analysis </w:t>
      </w:r>
      <w:r w:rsidR="004D634C" w:rsidRPr="0085218D">
        <w:rPr>
          <w:rFonts w:ascii="Arial" w:hAnsi="Arial" w:cs="Arial"/>
          <w:sz w:val="22"/>
          <w:szCs w:val="22"/>
        </w:rPr>
        <w:t xml:space="preserve">using the </w:t>
      </w:r>
      <w:r w:rsidR="000A1A42" w:rsidRPr="0085218D">
        <w:rPr>
          <w:rFonts w:ascii="Arial" w:hAnsi="Arial" w:cs="Arial"/>
          <w:sz w:val="22"/>
          <w:szCs w:val="22"/>
        </w:rPr>
        <w:t>Mendelow’s power interest matrix</w:t>
      </w:r>
      <w:bookmarkEnd w:id="8"/>
    </w:p>
    <w:p w14:paraId="6DF136A9" w14:textId="1ADDB824" w:rsidR="00A63102" w:rsidRPr="0085218D" w:rsidRDefault="009B77F5" w:rsidP="00A63102">
      <w:pPr>
        <w:rPr>
          <w:rFonts w:ascii="Arial" w:hAnsi="Arial" w:cs="Arial"/>
          <w:sz w:val="22"/>
          <w:szCs w:val="22"/>
        </w:rPr>
      </w:pPr>
      <w:r w:rsidRPr="0085218D">
        <w:rPr>
          <w:rFonts w:ascii="Arial" w:hAnsi="Arial" w:cs="Arial"/>
          <w:noProof/>
          <w:sz w:val="22"/>
          <w:szCs w:val="22"/>
        </w:rPr>
        <w:drawing>
          <wp:inline distT="0" distB="0" distL="0" distR="0" wp14:anchorId="25ECA6D7" wp14:editId="355F7D13">
            <wp:extent cx="1470991" cy="904502"/>
            <wp:effectExtent l="0" t="0" r="0" b="0"/>
            <wp:docPr id="11913265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06010" cy="926035"/>
                    </a:xfrm>
                    <a:prstGeom prst="rect">
                      <a:avLst/>
                    </a:prstGeom>
                    <a:noFill/>
                  </pic:spPr>
                </pic:pic>
              </a:graphicData>
            </a:graphic>
          </wp:inline>
        </w:drawing>
      </w:r>
      <w:sdt>
        <w:sdtPr>
          <w:rPr>
            <w:rFonts w:ascii="Arial" w:hAnsi="Arial" w:cs="Arial"/>
            <w:sz w:val="22"/>
            <w:szCs w:val="22"/>
          </w:rPr>
          <w:id w:val="1462844656"/>
          <w:citation/>
        </w:sdtPr>
        <w:sdtEndPr/>
        <w:sdtContent>
          <w:r w:rsidR="008405CA" w:rsidRPr="0085218D">
            <w:rPr>
              <w:rFonts w:ascii="Arial" w:hAnsi="Arial" w:cs="Arial"/>
              <w:sz w:val="22"/>
              <w:szCs w:val="22"/>
            </w:rPr>
            <w:fldChar w:fldCharType="begin"/>
          </w:r>
          <w:r w:rsidR="008405CA" w:rsidRPr="0085218D">
            <w:rPr>
              <w:rFonts w:ascii="Arial" w:hAnsi="Arial" w:cs="Arial"/>
              <w:sz w:val="22"/>
              <w:szCs w:val="22"/>
            </w:rPr>
            <w:instrText xml:space="preserve"> CITATION Pau09 \l 2057 </w:instrText>
          </w:r>
          <w:r w:rsidR="008405CA" w:rsidRPr="0085218D">
            <w:rPr>
              <w:rFonts w:ascii="Arial" w:hAnsi="Arial" w:cs="Arial"/>
              <w:sz w:val="22"/>
              <w:szCs w:val="22"/>
            </w:rPr>
            <w:fldChar w:fldCharType="separate"/>
          </w:r>
          <w:r w:rsidR="008405CA" w:rsidRPr="0085218D">
            <w:rPr>
              <w:rFonts w:ascii="Arial" w:hAnsi="Arial" w:cs="Arial"/>
              <w:noProof/>
              <w:sz w:val="22"/>
              <w:szCs w:val="22"/>
            </w:rPr>
            <w:t xml:space="preserve"> (Kitchin, 2009)</w:t>
          </w:r>
          <w:r w:rsidR="008405CA" w:rsidRPr="0085218D">
            <w:rPr>
              <w:rFonts w:ascii="Arial" w:hAnsi="Arial" w:cs="Arial"/>
              <w:sz w:val="22"/>
              <w:szCs w:val="22"/>
            </w:rPr>
            <w:fldChar w:fldCharType="end"/>
          </w:r>
        </w:sdtContent>
      </w:sdt>
    </w:p>
    <w:p w14:paraId="66F1F5A5" w14:textId="77777777" w:rsidR="00A63102" w:rsidRPr="0085218D" w:rsidRDefault="00A63102" w:rsidP="00A63102">
      <w:pPr>
        <w:rPr>
          <w:rFonts w:ascii="Arial" w:hAnsi="Arial" w:cs="Arial"/>
          <w:sz w:val="22"/>
          <w:szCs w:val="22"/>
        </w:rPr>
      </w:pPr>
    </w:p>
    <w:p w14:paraId="3EEE064A" w14:textId="1FF70DA7" w:rsidR="000A1A42" w:rsidRPr="0085218D" w:rsidRDefault="000A1A42" w:rsidP="00CD0BB9">
      <w:pPr>
        <w:rPr>
          <w:rFonts w:ascii="Arial" w:hAnsi="Arial" w:cs="Arial"/>
          <w:sz w:val="22"/>
          <w:szCs w:val="22"/>
        </w:rPr>
      </w:pPr>
      <w:r w:rsidRPr="0085218D">
        <w:rPr>
          <w:rFonts w:ascii="Arial" w:hAnsi="Arial" w:cs="Arial"/>
          <w:sz w:val="22"/>
          <w:szCs w:val="22"/>
        </w:rPr>
        <w:t xml:space="preserve">To prioritise interaction and communication, Mendelow's Matrix evaluates stakeholders according to their power (ability to affect Tesla Energy UK's strategy) and interest (amount of concern with its success). Large B2B clients including councils and data centre operators, Tesla corporate leadership, UK regulators (Ofgem, government agencies), and strategic energy partners are the main participants in the High Power/High Interest quadrant for Tesla Energy UK. These players must be closely monitored through frequent engagement, customised reporting, and early involvement in project design since they have the power to </w:t>
      </w:r>
      <w:r w:rsidRPr="0085218D">
        <w:rPr>
          <w:rFonts w:ascii="Arial" w:hAnsi="Arial" w:cs="Arial"/>
          <w:sz w:val="22"/>
          <w:szCs w:val="22"/>
        </w:rPr>
        <w:lastRenderedPageBreak/>
        <w:t>drastically accelerate or impede projects through decisions about cash allocation, policy, or procurement.</w:t>
      </w:r>
      <w:sdt>
        <w:sdtPr>
          <w:rPr>
            <w:rFonts w:ascii="Arial" w:hAnsi="Arial" w:cs="Arial"/>
            <w:sz w:val="22"/>
            <w:szCs w:val="22"/>
          </w:rPr>
          <w:id w:val="10577714"/>
          <w:citation/>
        </w:sdtPr>
        <w:sdtEndPr/>
        <w:sdtContent>
          <w:r w:rsidR="00DC3357" w:rsidRPr="0085218D">
            <w:rPr>
              <w:rFonts w:ascii="Arial" w:hAnsi="Arial" w:cs="Arial"/>
              <w:sz w:val="22"/>
              <w:szCs w:val="22"/>
            </w:rPr>
            <w:fldChar w:fldCharType="begin"/>
          </w:r>
          <w:r w:rsidR="00DC3357" w:rsidRPr="0085218D">
            <w:rPr>
              <w:rFonts w:ascii="Arial" w:hAnsi="Arial" w:cs="Arial"/>
              <w:sz w:val="22"/>
              <w:szCs w:val="22"/>
            </w:rPr>
            <w:instrText xml:space="preserve"> CITATION Lar25 \l 2057 </w:instrText>
          </w:r>
          <w:r w:rsidR="00DC3357" w:rsidRPr="0085218D">
            <w:rPr>
              <w:rFonts w:ascii="Arial" w:hAnsi="Arial" w:cs="Arial"/>
              <w:sz w:val="22"/>
              <w:szCs w:val="22"/>
            </w:rPr>
            <w:fldChar w:fldCharType="separate"/>
          </w:r>
          <w:r w:rsidR="00DC3357" w:rsidRPr="0085218D">
            <w:rPr>
              <w:rFonts w:ascii="Arial" w:hAnsi="Arial" w:cs="Arial"/>
              <w:noProof/>
              <w:sz w:val="22"/>
              <w:szCs w:val="22"/>
            </w:rPr>
            <w:t xml:space="preserve"> (Weijers, 2025)</w:t>
          </w:r>
          <w:r w:rsidR="00DC3357" w:rsidRPr="0085218D">
            <w:rPr>
              <w:rFonts w:ascii="Arial" w:hAnsi="Arial" w:cs="Arial"/>
              <w:sz w:val="22"/>
              <w:szCs w:val="22"/>
            </w:rPr>
            <w:fldChar w:fldCharType="end"/>
          </w:r>
        </w:sdtContent>
      </w:sdt>
    </w:p>
    <w:p w14:paraId="5DA4E0E2" w14:textId="3E35FA1D" w:rsidR="009A3DB9" w:rsidRPr="0085218D" w:rsidRDefault="008D55E2" w:rsidP="00CD0BB9">
      <w:pPr>
        <w:rPr>
          <w:rFonts w:ascii="Arial" w:hAnsi="Arial" w:cs="Arial"/>
          <w:sz w:val="22"/>
          <w:szCs w:val="22"/>
        </w:rPr>
      </w:pPr>
      <w:r w:rsidRPr="0085218D">
        <w:rPr>
          <w:rFonts w:ascii="Arial" w:hAnsi="Arial" w:cs="Arial"/>
          <w:sz w:val="22"/>
          <w:szCs w:val="22"/>
        </w:rPr>
        <w:t>National media, some financial institutions, and grid operators</w:t>
      </w:r>
      <w:r w:rsidR="00A5682A" w:rsidRPr="0085218D">
        <w:rPr>
          <w:rFonts w:ascii="Arial" w:hAnsi="Arial" w:cs="Arial"/>
          <w:sz w:val="22"/>
          <w:szCs w:val="22"/>
        </w:rPr>
        <w:t xml:space="preserve"> </w:t>
      </w:r>
      <w:r w:rsidRPr="0085218D">
        <w:rPr>
          <w:rFonts w:ascii="Arial" w:hAnsi="Arial" w:cs="Arial"/>
          <w:sz w:val="22"/>
          <w:szCs w:val="22"/>
        </w:rPr>
        <w:t xml:space="preserve">who may not be directly focused on Tesla but </w:t>
      </w:r>
      <w:r w:rsidR="00E80B7F" w:rsidRPr="0085218D">
        <w:rPr>
          <w:rFonts w:ascii="Arial" w:hAnsi="Arial" w:cs="Arial"/>
          <w:sz w:val="22"/>
          <w:szCs w:val="22"/>
        </w:rPr>
        <w:t>can</w:t>
      </w:r>
      <w:r w:rsidRPr="0085218D">
        <w:rPr>
          <w:rFonts w:ascii="Arial" w:hAnsi="Arial" w:cs="Arial"/>
          <w:sz w:val="22"/>
          <w:szCs w:val="22"/>
        </w:rPr>
        <w:t xml:space="preserve"> influence the broader environment—</w:t>
      </w:r>
      <w:r w:rsidR="00E80B7F" w:rsidRPr="0085218D">
        <w:rPr>
          <w:rFonts w:ascii="Arial" w:hAnsi="Arial" w:cs="Arial"/>
          <w:sz w:val="22"/>
          <w:szCs w:val="22"/>
        </w:rPr>
        <w:t>are in</w:t>
      </w:r>
      <w:r w:rsidRPr="0085218D">
        <w:rPr>
          <w:rFonts w:ascii="Arial" w:hAnsi="Arial" w:cs="Arial"/>
          <w:sz w:val="22"/>
          <w:szCs w:val="22"/>
        </w:rPr>
        <w:t xml:space="preserve"> the High Power/Low Interest quadrant. </w:t>
      </w:r>
      <w:r w:rsidR="00E80B7F" w:rsidRPr="0085218D">
        <w:rPr>
          <w:rFonts w:ascii="Arial" w:hAnsi="Arial" w:cs="Arial"/>
          <w:sz w:val="22"/>
          <w:szCs w:val="22"/>
        </w:rPr>
        <w:t>To</w:t>
      </w:r>
      <w:r w:rsidRPr="0085218D">
        <w:rPr>
          <w:rFonts w:ascii="Arial" w:hAnsi="Arial" w:cs="Arial"/>
          <w:sz w:val="22"/>
          <w:szCs w:val="22"/>
        </w:rPr>
        <w:t xml:space="preserve"> avoid low interest turning into resistance during crises or conflicts, Tesla Energy UK should maintain these stakeholders' satisfaction by succinct, open communication on security, effectiveness, and compliance.</w:t>
      </w:r>
    </w:p>
    <w:p w14:paraId="35C807E7" w14:textId="3D000591" w:rsidR="00A5682A" w:rsidRPr="0085218D" w:rsidRDefault="001D6A7A" w:rsidP="00CD0BB9">
      <w:pPr>
        <w:rPr>
          <w:rFonts w:ascii="Arial" w:hAnsi="Arial" w:cs="Arial"/>
          <w:sz w:val="22"/>
          <w:szCs w:val="22"/>
        </w:rPr>
      </w:pPr>
      <w:r w:rsidRPr="0085218D">
        <w:rPr>
          <w:rFonts w:ascii="Arial" w:hAnsi="Arial" w:cs="Arial"/>
          <w:sz w:val="22"/>
          <w:szCs w:val="22"/>
        </w:rPr>
        <w:t>Residential consumers in the UK, nearby towns, and certified solar providers are examples of Low Power/High Interest stakeholders. Despite having little formal authority, they have a strong interest in tariffs, dependability, aesthetics, and installation quality. As such, they should be kept informed and involved through opportunities for feedback, responsive support, and clear educational materials that can foster advocacy and lessen opposition to new initiatives.</w:t>
      </w:r>
      <w:r w:rsidR="00F95274" w:rsidRPr="0085218D">
        <w:rPr>
          <w:rFonts w:ascii="Arial" w:hAnsi="Arial" w:cs="Arial"/>
          <w:sz w:val="22"/>
          <w:szCs w:val="22"/>
        </w:rPr>
        <w:t xml:space="preserve"> By using Mendelow's Matrix in this manner, Tesla Energy UK </w:t>
      </w:r>
      <w:proofErr w:type="gramStart"/>
      <w:r w:rsidR="00F95274" w:rsidRPr="0085218D">
        <w:rPr>
          <w:rFonts w:ascii="Arial" w:hAnsi="Arial" w:cs="Arial"/>
          <w:sz w:val="22"/>
          <w:szCs w:val="22"/>
        </w:rPr>
        <w:t>is able to</w:t>
      </w:r>
      <w:proofErr w:type="gramEnd"/>
      <w:r w:rsidR="00F95274" w:rsidRPr="0085218D">
        <w:rPr>
          <w:rFonts w:ascii="Arial" w:hAnsi="Arial" w:cs="Arial"/>
          <w:sz w:val="22"/>
          <w:szCs w:val="22"/>
        </w:rPr>
        <w:t xml:space="preserve"> decrease installation risk for its UK expansion plan, match messaging with each quadrant, and focus limited SME-level assets on the most powerful groups.</w:t>
      </w:r>
    </w:p>
    <w:p w14:paraId="5C360F33" w14:textId="4C853FD6" w:rsidR="003425C4" w:rsidRPr="0085218D" w:rsidRDefault="003425C4" w:rsidP="00CD0BB9">
      <w:pPr>
        <w:rPr>
          <w:rFonts w:ascii="Arial" w:hAnsi="Arial" w:cs="Arial"/>
          <w:b/>
          <w:bCs/>
          <w:sz w:val="22"/>
          <w:szCs w:val="22"/>
        </w:rPr>
      </w:pPr>
    </w:p>
    <w:p w14:paraId="4C6E37DC" w14:textId="77777777" w:rsidR="003C6574" w:rsidRPr="0085218D" w:rsidRDefault="003C6574" w:rsidP="00CD0BB9">
      <w:pPr>
        <w:rPr>
          <w:rFonts w:ascii="Arial" w:hAnsi="Arial" w:cs="Arial"/>
          <w:b/>
          <w:bCs/>
          <w:sz w:val="22"/>
          <w:szCs w:val="22"/>
        </w:rPr>
      </w:pPr>
    </w:p>
    <w:p w14:paraId="7DCDEC7E" w14:textId="3079D1B1" w:rsidR="00D5389E" w:rsidRPr="0085218D" w:rsidRDefault="003C4300" w:rsidP="004910AE">
      <w:pPr>
        <w:pStyle w:val="Heading1"/>
        <w:rPr>
          <w:rFonts w:ascii="Arial" w:hAnsi="Arial" w:cs="Arial"/>
          <w:sz w:val="22"/>
          <w:szCs w:val="22"/>
        </w:rPr>
      </w:pPr>
      <w:bookmarkStart w:id="9" w:name="_Toc215133714"/>
      <w:r w:rsidRPr="0085218D">
        <w:rPr>
          <w:rFonts w:ascii="Arial" w:hAnsi="Arial" w:cs="Arial"/>
          <w:sz w:val="22"/>
          <w:szCs w:val="22"/>
        </w:rPr>
        <w:t>Strategic rec</w:t>
      </w:r>
      <w:r w:rsidR="00D5389E" w:rsidRPr="0085218D">
        <w:rPr>
          <w:rFonts w:ascii="Arial" w:hAnsi="Arial" w:cs="Arial"/>
          <w:sz w:val="22"/>
          <w:szCs w:val="22"/>
        </w:rPr>
        <w:t>ommendations &amp; Implementation considerations</w:t>
      </w:r>
      <w:bookmarkEnd w:id="9"/>
      <w:r w:rsidR="00D5389E" w:rsidRPr="0085218D">
        <w:rPr>
          <w:rFonts w:ascii="Arial" w:hAnsi="Arial" w:cs="Arial"/>
          <w:sz w:val="22"/>
          <w:szCs w:val="22"/>
        </w:rPr>
        <w:t xml:space="preserve"> </w:t>
      </w:r>
    </w:p>
    <w:p w14:paraId="084A5513" w14:textId="77777777" w:rsidR="003773B0" w:rsidRPr="0085218D" w:rsidRDefault="003773B0" w:rsidP="00CD0BB9">
      <w:pPr>
        <w:rPr>
          <w:rFonts w:ascii="Arial" w:hAnsi="Arial" w:cs="Arial"/>
          <w:sz w:val="22"/>
          <w:szCs w:val="22"/>
        </w:rPr>
      </w:pPr>
    </w:p>
    <w:p w14:paraId="21F48C9D" w14:textId="40B37FFE" w:rsidR="006F3711" w:rsidRPr="0085218D" w:rsidRDefault="006F3711" w:rsidP="006F3711">
      <w:pPr>
        <w:rPr>
          <w:rFonts w:ascii="Arial" w:hAnsi="Arial" w:cs="Arial"/>
          <w:sz w:val="22"/>
          <w:szCs w:val="22"/>
        </w:rPr>
      </w:pPr>
      <w:r w:rsidRPr="0085218D">
        <w:rPr>
          <w:rFonts w:ascii="Arial" w:hAnsi="Arial" w:cs="Arial"/>
          <w:sz w:val="22"/>
          <w:szCs w:val="22"/>
        </w:rPr>
        <w:t xml:space="preserve">Three related strategic suggestions should be given top priority by Tesla Energy UK: (1) expand integrated household and grid-scale storage; (2) strengthen the UK-centric operating model; and (3) strengthen stakeholder and regulatory relationships to reduce expansion risk. </w:t>
      </w:r>
      <w:r w:rsidRPr="0085218D">
        <w:rPr>
          <w:rFonts w:ascii="Arial" w:hAnsi="Arial" w:cs="Arial"/>
          <w:sz w:val="22"/>
          <w:szCs w:val="22"/>
        </w:rPr>
        <w:br/>
        <w:t xml:space="preserve">Tesla should first extend Powerwall and Megapack through creative economic models, such as time-of-use rates, VPP participation fees, long-term leasing, and "energy-as-a-service" bundles for EV owners and solar homes, </w:t>
      </w:r>
      <w:r w:rsidR="00ED00C6" w:rsidRPr="0085218D">
        <w:rPr>
          <w:rFonts w:ascii="Arial" w:hAnsi="Arial" w:cs="Arial"/>
          <w:sz w:val="22"/>
          <w:szCs w:val="22"/>
        </w:rPr>
        <w:t>to</w:t>
      </w:r>
      <w:r w:rsidRPr="0085218D">
        <w:rPr>
          <w:rFonts w:ascii="Arial" w:hAnsi="Arial" w:cs="Arial"/>
          <w:sz w:val="22"/>
          <w:szCs w:val="22"/>
        </w:rPr>
        <w:t xml:space="preserve"> overcome high upfront costs and enable broad adoption. Using current Tesla EV and Powerwall customers as the starting base, these models may be tested through the planned power supply license and the developing UK Virtual Power Plant. To ensure that price, compliance, and technical delivery are closely linked, implementation necessitates strong collaboration across the product, software, finance, and UK regulatory teams with distinct RACI responsibilities.</w:t>
      </w:r>
    </w:p>
    <w:p w14:paraId="4BC6D9D8" w14:textId="77777777" w:rsidR="009D3CC6" w:rsidRPr="0085218D" w:rsidRDefault="009D3CC6" w:rsidP="00CD0BB9">
      <w:pPr>
        <w:rPr>
          <w:rFonts w:ascii="Arial" w:hAnsi="Arial" w:cs="Arial"/>
          <w:sz w:val="22"/>
          <w:szCs w:val="22"/>
        </w:rPr>
      </w:pPr>
    </w:p>
    <w:p w14:paraId="41340FE6" w14:textId="77777777" w:rsidR="00685E92" w:rsidRPr="0085218D" w:rsidRDefault="00685E92" w:rsidP="00CD0BB9">
      <w:pPr>
        <w:rPr>
          <w:rFonts w:ascii="Arial" w:hAnsi="Arial" w:cs="Arial"/>
          <w:sz w:val="22"/>
          <w:szCs w:val="22"/>
        </w:rPr>
      </w:pPr>
    </w:p>
    <w:p w14:paraId="50C70513" w14:textId="77777777" w:rsidR="00685E92" w:rsidRPr="0085218D" w:rsidRDefault="00685E92" w:rsidP="00CD0BB9">
      <w:pPr>
        <w:rPr>
          <w:rFonts w:ascii="Arial" w:hAnsi="Arial" w:cs="Arial"/>
          <w:sz w:val="22"/>
          <w:szCs w:val="22"/>
        </w:rPr>
      </w:pPr>
    </w:p>
    <w:p w14:paraId="594B6C8F" w14:textId="77777777" w:rsidR="00685E92" w:rsidRPr="0085218D" w:rsidRDefault="00685E92" w:rsidP="00CD0BB9">
      <w:pPr>
        <w:rPr>
          <w:rFonts w:ascii="Arial" w:hAnsi="Arial" w:cs="Arial"/>
          <w:sz w:val="22"/>
          <w:szCs w:val="22"/>
        </w:rPr>
      </w:pPr>
    </w:p>
    <w:p w14:paraId="6C33AD05" w14:textId="77777777" w:rsidR="00685E92" w:rsidRPr="0085218D" w:rsidRDefault="00685E92" w:rsidP="00CD0BB9">
      <w:pPr>
        <w:rPr>
          <w:rFonts w:ascii="Arial" w:hAnsi="Arial" w:cs="Arial"/>
          <w:sz w:val="22"/>
          <w:szCs w:val="22"/>
        </w:rPr>
      </w:pPr>
    </w:p>
    <w:p w14:paraId="22D6203F" w14:textId="77777777" w:rsidR="00685E92" w:rsidRPr="0085218D" w:rsidRDefault="00685E92" w:rsidP="00CD0BB9">
      <w:pPr>
        <w:rPr>
          <w:rFonts w:ascii="Arial" w:hAnsi="Arial" w:cs="Arial"/>
          <w:sz w:val="22"/>
          <w:szCs w:val="22"/>
        </w:rPr>
      </w:pPr>
    </w:p>
    <w:p w14:paraId="0BB2D028" w14:textId="77777777" w:rsidR="00685E92" w:rsidRPr="0085218D" w:rsidRDefault="00685E92" w:rsidP="00CD0BB9">
      <w:pPr>
        <w:rPr>
          <w:rFonts w:ascii="Arial" w:hAnsi="Arial" w:cs="Arial"/>
          <w:sz w:val="22"/>
          <w:szCs w:val="22"/>
        </w:rPr>
      </w:pPr>
    </w:p>
    <w:p w14:paraId="1D9491BB" w14:textId="77777777" w:rsidR="00685E92" w:rsidRPr="0085218D" w:rsidRDefault="00685E92" w:rsidP="00CD0BB9">
      <w:pPr>
        <w:rPr>
          <w:rFonts w:ascii="Arial" w:hAnsi="Arial" w:cs="Arial"/>
          <w:sz w:val="22"/>
          <w:szCs w:val="22"/>
        </w:rPr>
      </w:pPr>
    </w:p>
    <w:p w14:paraId="210FC245" w14:textId="77777777" w:rsidR="00685E92" w:rsidRPr="0085218D" w:rsidRDefault="00685E92" w:rsidP="00CD0BB9">
      <w:pPr>
        <w:rPr>
          <w:rFonts w:ascii="Arial" w:hAnsi="Arial" w:cs="Arial"/>
          <w:sz w:val="22"/>
          <w:szCs w:val="22"/>
        </w:rPr>
      </w:pPr>
    </w:p>
    <w:p w14:paraId="34A6ADE2" w14:textId="77777777" w:rsidR="00685E92" w:rsidRPr="0085218D" w:rsidRDefault="00685E92" w:rsidP="00CD0BB9">
      <w:pPr>
        <w:rPr>
          <w:rFonts w:ascii="Arial" w:hAnsi="Arial" w:cs="Arial"/>
          <w:sz w:val="22"/>
          <w:szCs w:val="22"/>
        </w:rPr>
      </w:pPr>
    </w:p>
    <w:p w14:paraId="60AE0D72" w14:textId="77777777" w:rsidR="00685E92" w:rsidRPr="0085218D" w:rsidRDefault="00685E92" w:rsidP="00CD0BB9">
      <w:pPr>
        <w:rPr>
          <w:rFonts w:ascii="Arial" w:hAnsi="Arial" w:cs="Arial"/>
          <w:sz w:val="22"/>
          <w:szCs w:val="22"/>
        </w:rPr>
      </w:pPr>
    </w:p>
    <w:p w14:paraId="7F98D24D" w14:textId="41B891F6" w:rsidR="00D8672A" w:rsidRPr="0085218D" w:rsidRDefault="00D8672A" w:rsidP="00822F80">
      <w:pPr>
        <w:pStyle w:val="Heading1"/>
        <w:rPr>
          <w:rFonts w:ascii="Arial" w:hAnsi="Arial" w:cs="Arial"/>
          <w:sz w:val="22"/>
          <w:szCs w:val="22"/>
        </w:rPr>
      </w:pPr>
      <w:r w:rsidRPr="0085218D">
        <w:rPr>
          <w:rFonts w:ascii="Arial" w:hAnsi="Arial" w:cs="Arial"/>
          <w:sz w:val="22"/>
          <w:szCs w:val="22"/>
        </w:rPr>
        <w:t xml:space="preserve">Conclusion </w:t>
      </w:r>
    </w:p>
    <w:p w14:paraId="5202A31F" w14:textId="1284BEDE" w:rsidR="00822F80" w:rsidRPr="0085218D" w:rsidRDefault="00822F80" w:rsidP="00822F80">
      <w:pPr>
        <w:rPr>
          <w:rFonts w:ascii="Arial" w:hAnsi="Arial" w:cs="Arial"/>
          <w:sz w:val="22"/>
          <w:szCs w:val="22"/>
        </w:rPr>
      </w:pPr>
      <w:r w:rsidRPr="0085218D">
        <w:rPr>
          <w:rFonts w:ascii="Arial" w:hAnsi="Arial" w:cs="Arial"/>
          <w:sz w:val="22"/>
          <w:szCs w:val="22"/>
        </w:rPr>
        <w:t xml:space="preserve">This </w:t>
      </w:r>
      <w:r w:rsidR="006E7005" w:rsidRPr="0085218D">
        <w:rPr>
          <w:rFonts w:ascii="Arial" w:hAnsi="Arial" w:cs="Arial"/>
          <w:sz w:val="22"/>
          <w:szCs w:val="22"/>
        </w:rPr>
        <w:t>report</w:t>
      </w:r>
      <w:r w:rsidRPr="0085218D">
        <w:rPr>
          <w:rFonts w:ascii="Arial" w:hAnsi="Arial" w:cs="Arial"/>
          <w:sz w:val="22"/>
          <w:szCs w:val="22"/>
        </w:rPr>
        <w:t xml:space="preserve"> shows that despite the organi</w:t>
      </w:r>
      <w:r w:rsidR="00A41A71" w:rsidRPr="0085218D">
        <w:rPr>
          <w:rFonts w:ascii="Arial" w:hAnsi="Arial" w:cs="Arial"/>
          <w:sz w:val="22"/>
          <w:szCs w:val="22"/>
        </w:rPr>
        <w:t>s</w:t>
      </w:r>
      <w:r w:rsidRPr="0085218D">
        <w:rPr>
          <w:rFonts w:ascii="Arial" w:hAnsi="Arial" w:cs="Arial"/>
          <w:sz w:val="22"/>
          <w:szCs w:val="22"/>
        </w:rPr>
        <w:t>ation's excellent brand positioning and technology capabilities, it still has a lot of obstacles to overcome in terms of cost, labour limits operational capacity, and competitiveness.</w:t>
      </w:r>
    </w:p>
    <w:p w14:paraId="6733FF5F" w14:textId="7B1C6738" w:rsidR="00822F80" w:rsidRPr="0085218D" w:rsidRDefault="00822F80" w:rsidP="00822F80">
      <w:pPr>
        <w:rPr>
          <w:rFonts w:ascii="Arial" w:hAnsi="Arial" w:cs="Arial"/>
          <w:sz w:val="22"/>
          <w:szCs w:val="22"/>
        </w:rPr>
      </w:pPr>
      <w:r w:rsidRPr="0085218D">
        <w:rPr>
          <w:rFonts w:ascii="Arial" w:hAnsi="Arial" w:cs="Arial"/>
          <w:sz w:val="22"/>
          <w:szCs w:val="22"/>
        </w:rPr>
        <w:t>The research proposes workable strategies focussing on differentiation, practical development, and customer-centred growth using strategic models such as SWOT, PESTEL, Porter's Five Forces, Ansoff, and stakeholder analysis. Tesla Energy UK will be able to overcome SME-specific obstacles and achieve sustainable long-term growth by using flexible financing, staff expansion, local collaborations, and improved marketing.</w:t>
      </w:r>
    </w:p>
    <w:p w14:paraId="1A912AC9" w14:textId="71FCF885" w:rsidR="00C80C72" w:rsidRPr="0085218D" w:rsidRDefault="00C80C72" w:rsidP="00CD0BB9">
      <w:pPr>
        <w:rPr>
          <w:rFonts w:ascii="Arial" w:hAnsi="Arial" w:cs="Arial"/>
          <w:sz w:val="22"/>
          <w:szCs w:val="22"/>
        </w:rPr>
      </w:pPr>
      <w:r w:rsidRPr="0085218D">
        <w:rPr>
          <w:rFonts w:ascii="Arial" w:hAnsi="Arial" w:cs="Arial"/>
          <w:sz w:val="22"/>
          <w:szCs w:val="22"/>
        </w:rPr>
        <w:t>Tesla, Inc. sits at a key time where its fundamental purpose of speeding the transition to sustainable energy is being converted into a diverse, scalable business model that involves automobiles, energy storage, and intelligent systems. The analysis of Tesla Energy UK indicates that this mission is directionally closely in line with UK Net Zero 2050 goals and increasing demands for flexible, low</w:t>
      </w:r>
      <w:r w:rsidRPr="0085218D">
        <w:rPr>
          <w:rFonts w:ascii="Cambria Math" w:hAnsi="Cambria Math" w:cs="Cambria Math"/>
          <w:sz w:val="22"/>
          <w:szCs w:val="22"/>
        </w:rPr>
        <w:t>‑</w:t>
      </w:r>
      <w:r w:rsidRPr="0085218D">
        <w:rPr>
          <w:rFonts w:ascii="Arial" w:hAnsi="Arial" w:cs="Arial"/>
          <w:sz w:val="22"/>
          <w:szCs w:val="22"/>
        </w:rPr>
        <w:t>carbon power methods, but also highlights practical imperfections in affordability, local capacity, and safety navigation that must be closed for long</w:t>
      </w:r>
      <w:r w:rsidRPr="0085218D">
        <w:rPr>
          <w:rFonts w:ascii="Cambria Math" w:hAnsi="Cambria Math" w:cs="Cambria Math"/>
          <w:sz w:val="22"/>
          <w:szCs w:val="22"/>
        </w:rPr>
        <w:t>‑</w:t>
      </w:r>
      <w:r w:rsidRPr="0085218D">
        <w:rPr>
          <w:rFonts w:ascii="Arial" w:hAnsi="Arial" w:cs="Arial"/>
          <w:sz w:val="22"/>
          <w:szCs w:val="22"/>
        </w:rPr>
        <w:t>term success.</w:t>
      </w:r>
      <w:r w:rsidR="000B037E" w:rsidRPr="0085218D">
        <w:rPr>
          <w:rFonts w:ascii="Arial" w:hAnsi="Arial" w:cs="Arial"/>
          <w:sz w:val="22"/>
          <w:szCs w:val="22"/>
        </w:rPr>
        <w:t xml:space="preserve"> To transform strategic purpose into resilient growth, Tesla should focus improving UK</w:t>
      </w:r>
      <w:r w:rsidR="000B037E" w:rsidRPr="0085218D">
        <w:rPr>
          <w:rFonts w:ascii="Cambria Math" w:hAnsi="Cambria Math" w:cs="Cambria Math"/>
          <w:sz w:val="22"/>
          <w:szCs w:val="22"/>
        </w:rPr>
        <w:t>‑</w:t>
      </w:r>
      <w:r w:rsidR="000B037E" w:rsidRPr="0085218D">
        <w:rPr>
          <w:rFonts w:ascii="Arial" w:hAnsi="Arial" w:cs="Arial"/>
          <w:sz w:val="22"/>
          <w:szCs w:val="22"/>
        </w:rPr>
        <w:t>level operations and relationships, adapting goods and pricing to local SME and household requirements, and deepening interaction with policymakers and communities. By utilising its technology strengths, connected value chain, and strong brand while addressing cost, trust, and compliance hurdles, Tesla Energy UK can advance from a potential niche player to a fundamental promoter of a smarter, more sustainable UK energy environment.</w:t>
      </w:r>
    </w:p>
    <w:p w14:paraId="5EFB6064" w14:textId="6CADD2CA" w:rsidR="00685E92" w:rsidRPr="0085218D" w:rsidRDefault="00685E92">
      <w:pPr>
        <w:rPr>
          <w:rFonts w:ascii="Arial" w:hAnsi="Arial" w:cs="Arial"/>
          <w:sz w:val="22"/>
          <w:szCs w:val="22"/>
        </w:rPr>
      </w:pPr>
      <w:r w:rsidRPr="0085218D">
        <w:rPr>
          <w:rFonts w:ascii="Arial" w:hAnsi="Arial" w:cs="Arial"/>
          <w:sz w:val="22"/>
          <w:szCs w:val="22"/>
        </w:rPr>
        <w:br w:type="page"/>
      </w:r>
    </w:p>
    <w:sdt>
      <w:sdtPr>
        <w:rPr>
          <w:rFonts w:asciiTheme="minorHAnsi" w:eastAsiaTheme="minorHAnsi" w:hAnsiTheme="minorHAnsi" w:cstheme="minorBidi"/>
          <w:color w:val="auto"/>
          <w:sz w:val="24"/>
          <w:szCs w:val="24"/>
        </w:rPr>
        <w:id w:val="1815297474"/>
        <w:docPartObj>
          <w:docPartGallery w:val="Bibliographies"/>
          <w:docPartUnique/>
        </w:docPartObj>
      </w:sdtPr>
      <w:sdtEndPr/>
      <w:sdtContent>
        <w:p w14:paraId="3CBC25EA" w14:textId="26B2D820" w:rsidR="00012973" w:rsidRDefault="00012973">
          <w:pPr>
            <w:pStyle w:val="Heading1"/>
          </w:pPr>
          <w:r>
            <w:t>References</w:t>
          </w:r>
        </w:p>
        <w:sdt>
          <w:sdtPr>
            <w:id w:val="-573587230"/>
            <w:bibliography/>
          </w:sdtPr>
          <w:sdtEndPr/>
          <w:sdtContent>
            <w:p w14:paraId="1EB7010D" w14:textId="77777777" w:rsidR="00012973" w:rsidRDefault="00012973" w:rsidP="00012973">
              <w:pPr>
                <w:pStyle w:val="Bibliography"/>
                <w:rPr>
                  <w:noProof/>
                  <w:kern w:val="0"/>
                  <w14:ligatures w14:val="none"/>
                </w:rPr>
              </w:pPr>
              <w:r>
                <w:fldChar w:fldCharType="begin"/>
              </w:r>
              <w:r>
                <w:instrText xml:space="preserve"> BIBLIOGRAPHY </w:instrText>
              </w:r>
              <w:r>
                <w:fldChar w:fldCharType="separate"/>
              </w:r>
              <w:r>
                <w:rPr>
                  <w:noProof/>
                </w:rPr>
                <w:t xml:space="preserve">Anon., 2025. [Online] </w:t>
              </w:r>
              <w:r>
                <w:rPr>
                  <w:noProof/>
                </w:rPr>
                <w:br/>
                <w:t xml:space="preserve">Available at: </w:t>
              </w:r>
              <w:r>
                <w:rPr>
                  <w:noProof/>
                  <w:u w:val="single"/>
                </w:rPr>
                <w:t>https://www.jowua-life.com/en-uk/blogs/tesla-news-corner/tesla-unveils-2025-growth-strategy-building-on-2024-development-success</w:t>
              </w:r>
            </w:p>
            <w:p w14:paraId="6DB01AB9" w14:textId="77777777" w:rsidR="00012973" w:rsidRDefault="00012973" w:rsidP="00012973">
              <w:pPr>
                <w:pStyle w:val="Bibliography"/>
                <w:rPr>
                  <w:noProof/>
                </w:rPr>
              </w:pPr>
              <w:r>
                <w:rPr>
                  <w:noProof/>
                </w:rPr>
                <w:t xml:space="preserve">Anon., 2025. </w:t>
              </w:r>
              <w:r>
                <w:rPr>
                  <w:i/>
                  <w:iCs/>
                  <w:noProof/>
                </w:rPr>
                <w:t xml:space="preserve">Supply chains digital. </w:t>
              </w:r>
              <w:r>
                <w:rPr>
                  <w:noProof/>
                </w:rPr>
                <w:t xml:space="preserve">[Online] </w:t>
              </w:r>
              <w:r>
                <w:rPr>
                  <w:noProof/>
                </w:rPr>
                <w:br/>
                <w:t xml:space="preserve">Available at: </w:t>
              </w:r>
              <w:r>
                <w:rPr>
                  <w:noProof/>
                  <w:u w:val="single"/>
                </w:rPr>
                <w:t>https://supplychaindigital.com/news/explained-teslas-bid-to-supply-renewable-power-to-the-uk</w:t>
              </w:r>
            </w:p>
            <w:p w14:paraId="17FE2498" w14:textId="77777777" w:rsidR="00012973" w:rsidRDefault="00012973" w:rsidP="00012973">
              <w:pPr>
                <w:pStyle w:val="Bibliography"/>
                <w:rPr>
                  <w:noProof/>
                </w:rPr>
              </w:pPr>
              <w:r>
                <w:rPr>
                  <w:noProof/>
                </w:rPr>
                <w:t xml:space="preserve">Anon., 2025. </w:t>
              </w:r>
              <w:r>
                <w:rPr>
                  <w:i/>
                  <w:iCs/>
                  <w:noProof/>
                </w:rPr>
                <w:t xml:space="preserve">Tesla's Disruptive Energy Play in the UK: A Strategic Pivot Amid EV Headwinds. </w:t>
              </w:r>
              <w:r>
                <w:rPr>
                  <w:noProof/>
                </w:rPr>
                <w:t xml:space="preserve">[Online] </w:t>
              </w:r>
              <w:r>
                <w:rPr>
                  <w:noProof/>
                </w:rPr>
                <w:br/>
                <w:t xml:space="preserve">Available at: </w:t>
              </w:r>
              <w:r>
                <w:rPr>
                  <w:noProof/>
                  <w:u w:val="single"/>
                </w:rPr>
                <w:t>https://www.ainvest.com/news/tesla-disruptive-energy-play-uk-strategic-pivot-ev-headwinds-2508/</w:t>
              </w:r>
              <w:r>
                <w:rPr>
                  <w:noProof/>
                </w:rPr>
                <w:br/>
                <w:t>[Accessed 20 08 2025].</w:t>
              </w:r>
            </w:p>
            <w:p w14:paraId="0BCE9897" w14:textId="77777777" w:rsidR="00012973" w:rsidRDefault="00012973" w:rsidP="00012973">
              <w:pPr>
                <w:pStyle w:val="Bibliography"/>
                <w:rPr>
                  <w:noProof/>
                </w:rPr>
              </w:pPr>
              <w:r>
                <w:rPr>
                  <w:noProof/>
                </w:rPr>
                <w:t xml:space="preserve">boardmix, n.d. </w:t>
              </w:r>
              <w:r>
                <w:rPr>
                  <w:i/>
                  <w:iCs/>
                  <w:noProof/>
                </w:rPr>
                <w:t xml:space="preserve">Tesla Business Model | How Does Tesla Make Money. </w:t>
              </w:r>
              <w:r>
                <w:rPr>
                  <w:noProof/>
                </w:rPr>
                <w:t xml:space="preserve">[Online] </w:t>
              </w:r>
              <w:r>
                <w:rPr>
                  <w:noProof/>
                </w:rPr>
                <w:br/>
                <w:t xml:space="preserve">Available at: </w:t>
              </w:r>
              <w:r>
                <w:rPr>
                  <w:noProof/>
                  <w:u w:val="single"/>
                </w:rPr>
                <w:t>https://boardmix.com/analysis/tesla-business-model/</w:t>
              </w:r>
            </w:p>
            <w:p w14:paraId="0FC08345" w14:textId="77777777" w:rsidR="00012973" w:rsidRDefault="00012973" w:rsidP="00012973">
              <w:pPr>
                <w:pStyle w:val="Bibliography"/>
                <w:rPr>
                  <w:noProof/>
                </w:rPr>
              </w:pPr>
              <w:r>
                <w:rPr>
                  <w:noProof/>
                </w:rPr>
                <w:t xml:space="preserve">BRM, 2021. </w:t>
              </w:r>
              <w:r>
                <w:rPr>
                  <w:i/>
                  <w:iCs/>
                  <w:noProof/>
                </w:rPr>
                <w:t xml:space="preserve">Tesla Ansoff Matrix. </w:t>
              </w:r>
              <w:r>
                <w:rPr>
                  <w:noProof/>
                </w:rPr>
                <w:t xml:space="preserve">[Online] </w:t>
              </w:r>
              <w:r>
                <w:rPr>
                  <w:noProof/>
                </w:rPr>
                <w:br/>
                <w:t xml:space="preserve">Available at: </w:t>
              </w:r>
              <w:r>
                <w:rPr>
                  <w:noProof/>
                  <w:u w:val="single"/>
                </w:rPr>
                <w:t>https://research-methodology.net/tesla-ansoff-matrix-2/</w:t>
              </w:r>
              <w:r>
                <w:rPr>
                  <w:noProof/>
                </w:rPr>
                <w:br/>
                <w:t>[Accessed 21 04 2021].</w:t>
              </w:r>
            </w:p>
            <w:p w14:paraId="67789A32" w14:textId="77777777" w:rsidR="00012973" w:rsidRDefault="00012973" w:rsidP="00012973">
              <w:pPr>
                <w:pStyle w:val="Bibliography"/>
                <w:rPr>
                  <w:noProof/>
                </w:rPr>
              </w:pPr>
              <w:r>
                <w:rPr>
                  <w:noProof/>
                </w:rPr>
                <w:t xml:space="preserve">business, S., 2022. </w:t>
              </w:r>
              <w:r>
                <w:rPr>
                  <w:i/>
                  <w:iCs/>
                  <w:noProof/>
                </w:rPr>
                <w:t xml:space="preserve">Five Questions Explored by Porter's Five Forces. </w:t>
              </w:r>
              <w:r>
                <w:rPr>
                  <w:noProof/>
                </w:rPr>
                <w:t xml:space="preserve">[Online] </w:t>
              </w:r>
              <w:r>
                <w:rPr>
                  <w:noProof/>
                </w:rPr>
                <w:br/>
                <w:t xml:space="preserve">Available at: </w:t>
              </w:r>
              <w:r>
                <w:rPr>
                  <w:noProof/>
                  <w:u w:val="single"/>
                </w:rPr>
                <w:t>https://kennethigiri.com/blog/f/five-questions-explored-by-porters-five-forces</w:t>
              </w:r>
              <w:r>
                <w:rPr>
                  <w:noProof/>
                </w:rPr>
                <w:br/>
                <w:t>[Accessed 23 04 2022].</w:t>
              </w:r>
            </w:p>
            <w:p w14:paraId="18C06FD8" w14:textId="77777777" w:rsidR="00012973" w:rsidRDefault="00012973" w:rsidP="00012973">
              <w:pPr>
                <w:pStyle w:val="Bibliography"/>
                <w:rPr>
                  <w:noProof/>
                </w:rPr>
              </w:pPr>
              <w:r>
                <w:rPr>
                  <w:noProof/>
                </w:rPr>
                <w:t xml:space="preserve">institute, T. s., 2025. </w:t>
              </w:r>
              <w:r>
                <w:rPr>
                  <w:i/>
                  <w:iCs/>
                  <w:noProof/>
                </w:rPr>
                <w:t xml:space="preserve">Inside Tesla's Blueprint: Strategy, Sustainability, and Competitive Edge. </w:t>
              </w:r>
              <w:r>
                <w:rPr>
                  <w:noProof/>
                </w:rPr>
                <w:t xml:space="preserve">[Online] </w:t>
              </w:r>
              <w:r>
                <w:rPr>
                  <w:noProof/>
                </w:rPr>
                <w:br/>
                <w:t xml:space="preserve">Available at: </w:t>
              </w:r>
              <w:r>
                <w:rPr>
                  <w:noProof/>
                  <w:u w:val="single"/>
                </w:rPr>
                <w:t>https://www.thestrategyinstitute.org/insights/inside-teslas-blueprint-strategy-sustainability-and-competitive-edge</w:t>
              </w:r>
              <w:r>
                <w:rPr>
                  <w:noProof/>
                </w:rPr>
                <w:br/>
                <w:t>[Accessed 12 11 2025].</w:t>
              </w:r>
            </w:p>
            <w:p w14:paraId="298F78BA" w14:textId="77777777" w:rsidR="00012973" w:rsidRDefault="00012973" w:rsidP="00012973">
              <w:pPr>
                <w:pStyle w:val="Bibliography"/>
                <w:rPr>
                  <w:noProof/>
                </w:rPr>
              </w:pPr>
              <w:r>
                <w:rPr>
                  <w:noProof/>
                </w:rPr>
                <w:t xml:space="preserve">Kitchin, P. J., 2009. </w:t>
              </w:r>
              <w:r>
                <w:rPr>
                  <w:i/>
                  <w:iCs/>
                  <w:noProof/>
                </w:rPr>
                <w:t xml:space="preserve">Research gate. </w:t>
              </w:r>
              <w:r>
                <w:rPr>
                  <w:noProof/>
                </w:rPr>
                <w:t xml:space="preserve">[Online] </w:t>
              </w:r>
              <w:r>
                <w:rPr>
                  <w:noProof/>
                </w:rPr>
                <w:br/>
                <w:t xml:space="preserve">Available at: </w:t>
              </w:r>
              <w:r>
                <w:rPr>
                  <w:noProof/>
                  <w:u w:val="single"/>
                </w:rPr>
                <w:t>https://www.researchgate.net/figure/Mendelows-power-interest-matrix-during-stadium-operations_fig1_275947011</w:t>
              </w:r>
              <w:r>
                <w:rPr>
                  <w:noProof/>
                </w:rPr>
                <w:br/>
                <w:t>[Accessed 09 2009].</w:t>
              </w:r>
            </w:p>
            <w:p w14:paraId="00174773" w14:textId="77777777" w:rsidR="00012973" w:rsidRDefault="00012973" w:rsidP="00012973">
              <w:pPr>
                <w:pStyle w:val="Bibliography"/>
                <w:rPr>
                  <w:noProof/>
                </w:rPr>
              </w:pPr>
              <w:r>
                <w:rPr>
                  <w:noProof/>
                </w:rPr>
                <w:t xml:space="preserve">McMillan, A., 2025. </w:t>
              </w:r>
              <w:r>
                <w:rPr>
                  <w:i/>
                  <w:iCs/>
                  <w:noProof/>
                </w:rPr>
                <w:t xml:space="preserve">Why Tesla is Bidding to Supply Renewable Energy to the UK. </w:t>
              </w:r>
              <w:r>
                <w:rPr>
                  <w:noProof/>
                </w:rPr>
                <w:t xml:space="preserve">[Online] </w:t>
              </w:r>
              <w:r>
                <w:rPr>
                  <w:noProof/>
                </w:rPr>
                <w:br/>
                <w:t xml:space="preserve">Available at: </w:t>
              </w:r>
              <w:r>
                <w:rPr>
                  <w:noProof/>
                  <w:u w:val="single"/>
                </w:rPr>
                <w:t>https://procurementmag.com/news/explained-teslas-bid-to-supply-renewable-power-to-the-uk</w:t>
              </w:r>
              <w:r>
                <w:rPr>
                  <w:noProof/>
                </w:rPr>
                <w:br/>
                <w:t>[Accessed 12 08 2025].</w:t>
              </w:r>
            </w:p>
            <w:p w14:paraId="181CAC05" w14:textId="77777777" w:rsidR="00012973" w:rsidRDefault="00012973" w:rsidP="00012973">
              <w:pPr>
                <w:pStyle w:val="Bibliography"/>
                <w:rPr>
                  <w:noProof/>
                </w:rPr>
              </w:pPr>
              <w:r>
                <w:rPr>
                  <w:noProof/>
                </w:rPr>
                <w:lastRenderedPageBreak/>
                <w:t xml:space="preserve">money, B., 2024. </w:t>
              </w:r>
              <w:r>
                <w:rPr>
                  <w:i/>
                  <w:iCs/>
                  <w:noProof/>
                </w:rPr>
                <w:t xml:space="preserve">Tesla, Inc.. </w:t>
              </w:r>
              <w:r>
                <w:rPr>
                  <w:noProof/>
                </w:rPr>
                <w:t xml:space="preserve">[Online] </w:t>
              </w:r>
              <w:r>
                <w:rPr>
                  <w:noProof/>
                </w:rPr>
                <w:br/>
                <w:t xml:space="preserve">Available at: </w:t>
              </w:r>
              <w:r>
                <w:rPr>
                  <w:noProof/>
                  <w:u w:val="single"/>
                </w:rPr>
                <w:t>https://www.britannica.com/money/Tesla-Motors</w:t>
              </w:r>
              <w:r>
                <w:rPr>
                  <w:noProof/>
                </w:rPr>
                <w:br/>
                <w:t>[Accessed 25 11 2024].</w:t>
              </w:r>
            </w:p>
            <w:p w14:paraId="1EFFF9DC" w14:textId="77777777" w:rsidR="00012973" w:rsidRDefault="00012973" w:rsidP="00012973">
              <w:pPr>
                <w:pStyle w:val="Bibliography"/>
                <w:rPr>
                  <w:noProof/>
                </w:rPr>
              </w:pPr>
              <w:r>
                <w:rPr>
                  <w:noProof/>
                </w:rPr>
                <w:t xml:space="preserve">Pereira, D., 2025. </w:t>
              </w:r>
              <w:r>
                <w:rPr>
                  <w:i/>
                  <w:iCs/>
                  <w:noProof/>
                </w:rPr>
                <w:t xml:space="preserve">Tesla Value Chain Analysis. </w:t>
              </w:r>
              <w:r>
                <w:rPr>
                  <w:noProof/>
                </w:rPr>
                <w:t xml:space="preserve">[Online] </w:t>
              </w:r>
              <w:r>
                <w:rPr>
                  <w:noProof/>
                </w:rPr>
                <w:br/>
                <w:t xml:space="preserve">Available at: </w:t>
              </w:r>
              <w:r>
                <w:rPr>
                  <w:noProof/>
                  <w:u w:val="single"/>
                </w:rPr>
                <w:t>https://businessmodelanalyst.com/tesla-value-chain-analysis/?srsltid=AfmBOooWyYMbD4YyZBUC2JC2kJK7xw15vMiFIFt6ay9cjxn_2YDQcJbY#google_vignette</w:t>
              </w:r>
              <w:r>
                <w:rPr>
                  <w:noProof/>
                </w:rPr>
                <w:br/>
                <w:t>[Accessed 28 03 2025].</w:t>
              </w:r>
            </w:p>
            <w:p w14:paraId="5D213D56" w14:textId="77777777" w:rsidR="00012973" w:rsidRDefault="00012973" w:rsidP="00012973">
              <w:pPr>
                <w:pStyle w:val="Bibliography"/>
                <w:rPr>
                  <w:noProof/>
                </w:rPr>
              </w:pPr>
              <w:r>
                <w:rPr>
                  <w:noProof/>
                </w:rPr>
                <w:t xml:space="preserve">Pereira, D., 2025. </w:t>
              </w:r>
              <w:r>
                <w:rPr>
                  <w:i/>
                  <w:iCs/>
                  <w:noProof/>
                </w:rPr>
                <w:t xml:space="preserve">The business Model analyst. </w:t>
              </w:r>
              <w:r>
                <w:rPr>
                  <w:noProof/>
                </w:rPr>
                <w:t xml:space="preserve">[Online] </w:t>
              </w:r>
              <w:r>
                <w:rPr>
                  <w:noProof/>
                </w:rPr>
                <w:br/>
                <w:t xml:space="preserve">Available at: </w:t>
              </w:r>
              <w:r>
                <w:rPr>
                  <w:noProof/>
                  <w:u w:val="single"/>
                </w:rPr>
                <w:t>https://businessmodelanalyst.com/tesla-mission-and-vision-statement/</w:t>
              </w:r>
            </w:p>
            <w:p w14:paraId="5F3B00C1" w14:textId="77777777" w:rsidR="00012973" w:rsidRDefault="00012973" w:rsidP="00012973">
              <w:pPr>
                <w:pStyle w:val="Bibliography"/>
                <w:rPr>
                  <w:noProof/>
                </w:rPr>
              </w:pPr>
              <w:r>
                <w:rPr>
                  <w:noProof/>
                </w:rPr>
                <w:t xml:space="preserve">theories, M., 2025. </w:t>
              </w:r>
              <w:r>
                <w:rPr>
                  <w:i/>
                  <w:iCs/>
                  <w:noProof/>
                </w:rPr>
                <w:t xml:space="preserve">Marketing Theories – PESTEL Analysis. </w:t>
              </w:r>
              <w:r>
                <w:rPr>
                  <w:noProof/>
                </w:rPr>
                <w:t xml:space="preserve">[Online] </w:t>
              </w:r>
              <w:r>
                <w:rPr>
                  <w:noProof/>
                </w:rPr>
                <w:br/>
                <w:t xml:space="preserve">Available at: </w:t>
              </w:r>
              <w:r>
                <w:rPr>
                  <w:noProof/>
                  <w:u w:val="single"/>
                </w:rPr>
                <w:t>https://www.professionalacademy.com/blogs/marketing-theories-pestel-analysis/</w:t>
              </w:r>
              <w:r>
                <w:rPr>
                  <w:noProof/>
                </w:rPr>
                <w:br/>
                <w:t>[Accessed 2025].</w:t>
              </w:r>
            </w:p>
            <w:p w14:paraId="7598D742" w14:textId="77777777" w:rsidR="00012973" w:rsidRDefault="00012973" w:rsidP="00012973">
              <w:pPr>
                <w:pStyle w:val="Bibliography"/>
                <w:rPr>
                  <w:noProof/>
                </w:rPr>
              </w:pPr>
              <w:r>
                <w:rPr>
                  <w:noProof/>
                </w:rPr>
                <w:t xml:space="preserve">Weijers, L., 2025. </w:t>
              </w:r>
              <w:r>
                <w:rPr>
                  <w:i/>
                  <w:iCs/>
                  <w:noProof/>
                </w:rPr>
                <w:t xml:space="preserve">Toolshero Mendelow matrix a stakeholder analysis explained. </w:t>
              </w:r>
              <w:r>
                <w:rPr>
                  <w:noProof/>
                </w:rPr>
                <w:t xml:space="preserve">[Online] </w:t>
              </w:r>
              <w:r>
                <w:rPr>
                  <w:noProof/>
                </w:rPr>
                <w:br/>
                <w:t xml:space="preserve">Available at: </w:t>
              </w:r>
              <w:r>
                <w:rPr>
                  <w:noProof/>
                  <w:u w:val="single"/>
                </w:rPr>
                <w:t>https://www.toolshero.com/strategy/mendelow-matrix/</w:t>
              </w:r>
              <w:r>
                <w:rPr>
                  <w:noProof/>
                </w:rPr>
                <w:br/>
                <w:t>[Accessed 30 05 2025].</w:t>
              </w:r>
            </w:p>
            <w:p w14:paraId="0386F571" w14:textId="77777777" w:rsidR="00012973" w:rsidRDefault="00012973" w:rsidP="00012973">
              <w:pPr>
                <w:pStyle w:val="Bibliography"/>
                <w:rPr>
                  <w:noProof/>
                </w:rPr>
              </w:pPr>
              <w:r>
                <w:rPr>
                  <w:noProof/>
                </w:rPr>
                <w:t xml:space="preserve">Whittington, R., 2019. Exploring strategies ProQuest Ebook Central. In: </w:t>
              </w:r>
              <w:r>
                <w:rPr>
                  <w:i/>
                  <w:iCs/>
                  <w:noProof/>
                </w:rPr>
                <w:t xml:space="preserve">Exploring strategies. </w:t>
              </w:r>
              <w:r>
                <w:rPr>
                  <w:noProof/>
                </w:rPr>
                <w:t>s.l.:Pearson Higher Education &amp; Professional Group, p. 112.</w:t>
              </w:r>
            </w:p>
            <w:p w14:paraId="6B82AA45" w14:textId="77777777" w:rsidR="00012973" w:rsidRDefault="00012973" w:rsidP="00012973">
              <w:pPr>
                <w:pStyle w:val="Bibliography"/>
                <w:rPr>
                  <w:noProof/>
                </w:rPr>
              </w:pPr>
              <w:r>
                <w:rPr>
                  <w:noProof/>
                </w:rPr>
                <w:t xml:space="preserve">workboard, Q., 2025. </w:t>
              </w:r>
              <w:r>
                <w:rPr>
                  <w:i/>
                  <w:iCs/>
                  <w:noProof/>
                </w:rPr>
                <w:t xml:space="preserve">The Ansoff Matrix: A Strategic Framework for Business Growth. </w:t>
              </w:r>
              <w:r>
                <w:rPr>
                  <w:noProof/>
                </w:rPr>
                <w:t xml:space="preserve">[Online] </w:t>
              </w:r>
              <w:r>
                <w:rPr>
                  <w:noProof/>
                </w:rPr>
                <w:br/>
                <w:t xml:space="preserve">Available at: </w:t>
              </w:r>
              <w:r>
                <w:rPr>
                  <w:noProof/>
                  <w:u w:val="single"/>
                </w:rPr>
                <w:t>https://quantive.com/resources/articles/ansoff-matrix</w:t>
              </w:r>
              <w:r>
                <w:rPr>
                  <w:noProof/>
                </w:rPr>
                <w:br/>
                <w:t>[Accessed 2025].</w:t>
              </w:r>
            </w:p>
            <w:p w14:paraId="1907570E" w14:textId="4495177C" w:rsidR="00012973" w:rsidRDefault="00012973" w:rsidP="00012973">
              <w:r>
                <w:rPr>
                  <w:b/>
                  <w:bCs/>
                  <w:noProof/>
                </w:rPr>
                <w:fldChar w:fldCharType="end"/>
              </w:r>
            </w:p>
          </w:sdtContent>
        </w:sdt>
      </w:sdtContent>
    </w:sdt>
    <w:p w14:paraId="637C6FE3" w14:textId="28318951" w:rsidR="00685E92" w:rsidRPr="009D3CC6" w:rsidRDefault="00685E92" w:rsidP="00CD0BB9"/>
    <w:sectPr w:rsidR="00685E92" w:rsidRPr="009D3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92B"/>
    <w:multiLevelType w:val="hybridMultilevel"/>
    <w:tmpl w:val="C560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02527"/>
    <w:multiLevelType w:val="hybridMultilevel"/>
    <w:tmpl w:val="1E88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F6612"/>
    <w:multiLevelType w:val="hybridMultilevel"/>
    <w:tmpl w:val="102E0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907BE1"/>
    <w:multiLevelType w:val="hybridMultilevel"/>
    <w:tmpl w:val="83A6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F1B89"/>
    <w:multiLevelType w:val="hybridMultilevel"/>
    <w:tmpl w:val="665EA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186752">
    <w:abstractNumId w:val="3"/>
  </w:num>
  <w:num w:numId="2" w16cid:durableId="491332917">
    <w:abstractNumId w:val="1"/>
  </w:num>
  <w:num w:numId="3" w16cid:durableId="1590969171">
    <w:abstractNumId w:val="0"/>
  </w:num>
  <w:num w:numId="4" w16cid:durableId="236132277">
    <w:abstractNumId w:val="2"/>
  </w:num>
  <w:num w:numId="5" w16cid:durableId="17249852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F29"/>
    <w:rsid w:val="00001C85"/>
    <w:rsid w:val="00012973"/>
    <w:rsid w:val="00014E9F"/>
    <w:rsid w:val="000210CB"/>
    <w:rsid w:val="00042460"/>
    <w:rsid w:val="00055404"/>
    <w:rsid w:val="000879CD"/>
    <w:rsid w:val="00087BFA"/>
    <w:rsid w:val="00097607"/>
    <w:rsid w:val="000A1A42"/>
    <w:rsid w:val="000B037E"/>
    <w:rsid w:val="000D6937"/>
    <w:rsid w:val="000E072B"/>
    <w:rsid w:val="00105255"/>
    <w:rsid w:val="00142A98"/>
    <w:rsid w:val="00145792"/>
    <w:rsid w:val="00195DA4"/>
    <w:rsid w:val="001A5B42"/>
    <w:rsid w:val="001B2018"/>
    <w:rsid w:val="001C15CF"/>
    <w:rsid w:val="001D6A7A"/>
    <w:rsid w:val="001D71E6"/>
    <w:rsid w:val="00286FF0"/>
    <w:rsid w:val="002933F4"/>
    <w:rsid w:val="002C1D0E"/>
    <w:rsid w:val="002E228E"/>
    <w:rsid w:val="002E5673"/>
    <w:rsid w:val="003259C8"/>
    <w:rsid w:val="003425C4"/>
    <w:rsid w:val="00344D8B"/>
    <w:rsid w:val="00346F37"/>
    <w:rsid w:val="003475AC"/>
    <w:rsid w:val="00355255"/>
    <w:rsid w:val="00356548"/>
    <w:rsid w:val="003602A7"/>
    <w:rsid w:val="003773B0"/>
    <w:rsid w:val="003C1015"/>
    <w:rsid w:val="003C4300"/>
    <w:rsid w:val="003C6574"/>
    <w:rsid w:val="003E2F4F"/>
    <w:rsid w:val="00401224"/>
    <w:rsid w:val="00427FF4"/>
    <w:rsid w:val="00454B98"/>
    <w:rsid w:val="00461296"/>
    <w:rsid w:val="0048247B"/>
    <w:rsid w:val="0048423A"/>
    <w:rsid w:val="004909BA"/>
    <w:rsid w:val="004910AE"/>
    <w:rsid w:val="00496356"/>
    <w:rsid w:val="00496CEA"/>
    <w:rsid w:val="004A6231"/>
    <w:rsid w:val="004D634C"/>
    <w:rsid w:val="004D643A"/>
    <w:rsid w:val="004E03D1"/>
    <w:rsid w:val="004E2480"/>
    <w:rsid w:val="004F7166"/>
    <w:rsid w:val="005119F5"/>
    <w:rsid w:val="0052600B"/>
    <w:rsid w:val="00546F9B"/>
    <w:rsid w:val="005527CD"/>
    <w:rsid w:val="00587E7E"/>
    <w:rsid w:val="00597D90"/>
    <w:rsid w:val="005A13EB"/>
    <w:rsid w:val="005A4AFD"/>
    <w:rsid w:val="005B54A1"/>
    <w:rsid w:val="005C6086"/>
    <w:rsid w:val="00604CE7"/>
    <w:rsid w:val="00621B75"/>
    <w:rsid w:val="00644F4A"/>
    <w:rsid w:val="00671291"/>
    <w:rsid w:val="00685E92"/>
    <w:rsid w:val="00697679"/>
    <w:rsid w:val="006E31A3"/>
    <w:rsid w:val="006E7005"/>
    <w:rsid w:val="006F3711"/>
    <w:rsid w:val="00740CB9"/>
    <w:rsid w:val="0074249E"/>
    <w:rsid w:val="007441EC"/>
    <w:rsid w:val="00784F6D"/>
    <w:rsid w:val="007D3114"/>
    <w:rsid w:val="007E6798"/>
    <w:rsid w:val="00807C10"/>
    <w:rsid w:val="00822F80"/>
    <w:rsid w:val="008405CA"/>
    <w:rsid w:val="0085218D"/>
    <w:rsid w:val="0086797A"/>
    <w:rsid w:val="0089642B"/>
    <w:rsid w:val="008D55E2"/>
    <w:rsid w:val="008E11F7"/>
    <w:rsid w:val="0090484C"/>
    <w:rsid w:val="00905B1F"/>
    <w:rsid w:val="00925B4A"/>
    <w:rsid w:val="009A3DB9"/>
    <w:rsid w:val="009B77F5"/>
    <w:rsid w:val="009D3CC6"/>
    <w:rsid w:val="009E42A5"/>
    <w:rsid w:val="009E56DA"/>
    <w:rsid w:val="00A1462F"/>
    <w:rsid w:val="00A2080D"/>
    <w:rsid w:val="00A340FB"/>
    <w:rsid w:val="00A41A71"/>
    <w:rsid w:val="00A51955"/>
    <w:rsid w:val="00A5682A"/>
    <w:rsid w:val="00A57979"/>
    <w:rsid w:val="00A63102"/>
    <w:rsid w:val="00A65F05"/>
    <w:rsid w:val="00A73912"/>
    <w:rsid w:val="00A83A57"/>
    <w:rsid w:val="00AA04BA"/>
    <w:rsid w:val="00AA641D"/>
    <w:rsid w:val="00AD0DB3"/>
    <w:rsid w:val="00B00671"/>
    <w:rsid w:val="00B2054B"/>
    <w:rsid w:val="00B2349F"/>
    <w:rsid w:val="00B36066"/>
    <w:rsid w:val="00B5779C"/>
    <w:rsid w:val="00B85969"/>
    <w:rsid w:val="00BC3E51"/>
    <w:rsid w:val="00BC7652"/>
    <w:rsid w:val="00C13BB0"/>
    <w:rsid w:val="00C2488A"/>
    <w:rsid w:val="00C2735C"/>
    <w:rsid w:val="00C30100"/>
    <w:rsid w:val="00C428A2"/>
    <w:rsid w:val="00C575C3"/>
    <w:rsid w:val="00C80C72"/>
    <w:rsid w:val="00CA655F"/>
    <w:rsid w:val="00CA692A"/>
    <w:rsid w:val="00CC3CB7"/>
    <w:rsid w:val="00CD0BB9"/>
    <w:rsid w:val="00CF2713"/>
    <w:rsid w:val="00D03675"/>
    <w:rsid w:val="00D12230"/>
    <w:rsid w:val="00D17022"/>
    <w:rsid w:val="00D20809"/>
    <w:rsid w:val="00D41263"/>
    <w:rsid w:val="00D43439"/>
    <w:rsid w:val="00D5389E"/>
    <w:rsid w:val="00D75082"/>
    <w:rsid w:val="00D8672A"/>
    <w:rsid w:val="00D9565A"/>
    <w:rsid w:val="00DA5402"/>
    <w:rsid w:val="00DB46D0"/>
    <w:rsid w:val="00DC3357"/>
    <w:rsid w:val="00DF4764"/>
    <w:rsid w:val="00DF6862"/>
    <w:rsid w:val="00E04B71"/>
    <w:rsid w:val="00E11E1F"/>
    <w:rsid w:val="00E208B7"/>
    <w:rsid w:val="00E40BA3"/>
    <w:rsid w:val="00E61B7B"/>
    <w:rsid w:val="00E628F5"/>
    <w:rsid w:val="00E80B7F"/>
    <w:rsid w:val="00EA33B0"/>
    <w:rsid w:val="00EA52C6"/>
    <w:rsid w:val="00ED00C6"/>
    <w:rsid w:val="00ED244B"/>
    <w:rsid w:val="00F020A1"/>
    <w:rsid w:val="00F15E42"/>
    <w:rsid w:val="00F63D54"/>
    <w:rsid w:val="00F95274"/>
    <w:rsid w:val="00FC5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56EC3"/>
  <w15:chartTrackingRefBased/>
  <w15:docId w15:val="{1687DD64-6021-4402-9574-AFE8F8108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F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F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F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F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F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F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F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F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F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F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5F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5F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5F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5F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5F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5F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5F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5F29"/>
    <w:rPr>
      <w:rFonts w:eastAsiaTheme="majorEastAsia" w:cstheme="majorBidi"/>
      <w:color w:val="272727" w:themeColor="text1" w:themeTint="D8"/>
    </w:rPr>
  </w:style>
  <w:style w:type="paragraph" w:styleId="Title">
    <w:name w:val="Title"/>
    <w:basedOn w:val="Normal"/>
    <w:next w:val="Normal"/>
    <w:link w:val="TitleChar"/>
    <w:uiPriority w:val="10"/>
    <w:qFormat/>
    <w:rsid w:val="00FC5F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F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5F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F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F29"/>
    <w:pPr>
      <w:spacing w:before="160"/>
      <w:jc w:val="center"/>
    </w:pPr>
    <w:rPr>
      <w:i/>
      <w:iCs/>
      <w:color w:val="404040" w:themeColor="text1" w:themeTint="BF"/>
    </w:rPr>
  </w:style>
  <w:style w:type="character" w:customStyle="1" w:styleId="QuoteChar">
    <w:name w:val="Quote Char"/>
    <w:basedOn w:val="DefaultParagraphFont"/>
    <w:link w:val="Quote"/>
    <w:uiPriority w:val="29"/>
    <w:rsid w:val="00FC5F29"/>
    <w:rPr>
      <w:i/>
      <w:iCs/>
      <w:color w:val="404040" w:themeColor="text1" w:themeTint="BF"/>
    </w:rPr>
  </w:style>
  <w:style w:type="paragraph" w:styleId="ListParagraph">
    <w:name w:val="List Paragraph"/>
    <w:basedOn w:val="Normal"/>
    <w:uiPriority w:val="34"/>
    <w:qFormat/>
    <w:rsid w:val="00FC5F29"/>
    <w:pPr>
      <w:ind w:left="720"/>
      <w:contextualSpacing/>
    </w:pPr>
  </w:style>
  <w:style w:type="character" w:styleId="IntenseEmphasis">
    <w:name w:val="Intense Emphasis"/>
    <w:basedOn w:val="DefaultParagraphFont"/>
    <w:uiPriority w:val="21"/>
    <w:qFormat/>
    <w:rsid w:val="00FC5F29"/>
    <w:rPr>
      <w:i/>
      <w:iCs/>
      <w:color w:val="0F4761" w:themeColor="accent1" w:themeShade="BF"/>
    </w:rPr>
  </w:style>
  <w:style w:type="paragraph" w:styleId="IntenseQuote">
    <w:name w:val="Intense Quote"/>
    <w:basedOn w:val="Normal"/>
    <w:next w:val="Normal"/>
    <w:link w:val="IntenseQuoteChar"/>
    <w:uiPriority w:val="30"/>
    <w:qFormat/>
    <w:rsid w:val="00FC5F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5F29"/>
    <w:rPr>
      <w:i/>
      <w:iCs/>
      <w:color w:val="0F4761" w:themeColor="accent1" w:themeShade="BF"/>
    </w:rPr>
  </w:style>
  <w:style w:type="character" w:styleId="IntenseReference">
    <w:name w:val="Intense Reference"/>
    <w:basedOn w:val="DefaultParagraphFont"/>
    <w:uiPriority w:val="32"/>
    <w:qFormat/>
    <w:rsid w:val="00FC5F29"/>
    <w:rPr>
      <w:b/>
      <w:bCs/>
      <w:smallCaps/>
      <w:color w:val="0F4761" w:themeColor="accent1" w:themeShade="BF"/>
      <w:spacing w:val="5"/>
    </w:rPr>
  </w:style>
  <w:style w:type="paragraph" w:styleId="TOCHeading">
    <w:name w:val="TOC Heading"/>
    <w:basedOn w:val="Heading1"/>
    <w:next w:val="Normal"/>
    <w:uiPriority w:val="39"/>
    <w:unhideWhenUsed/>
    <w:qFormat/>
    <w:rsid w:val="004910A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10AE"/>
    <w:pPr>
      <w:spacing w:after="100"/>
    </w:pPr>
  </w:style>
  <w:style w:type="character" w:styleId="Hyperlink">
    <w:name w:val="Hyperlink"/>
    <w:basedOn w:val="DefaultParagraphFont"/>
    <w:uiPriority w:val="99"/>
    <w:unhideWhenUsed/>
    <w:rsid w:val="004910AE"/>
    <w:rPr>
      <w:color w:val="467886" w:themeColor="hyperlink"/>
      <w:u w:val="single"/>
    </w:rPr>
  </w:style>
  <w:style w:type="paragraph" w:styleId="Bibliography">
    <w:name w:val="Bibliography"/>
    <w:basedOn w:val="Normal"/>
    <w:next w:val="Normal"/>
    <w:uiPriority w:val="37"/>
    <w:unhideWhenUsed/>
    <w:rsid w:val="00012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562629">
      <w:bodyDiv w:val="1"/>
      <w:marLeft w:val="0"/>
      <w:marRight w:val="0"/>
      <w:marTop w:val="0"/>
      <w:marBottom w:val="0"/>
      <w:divBdr>
        <w:top w:val="none" w:sz="0" w:space="0" w:color="auto"/>
        <w:left w:val="none" w:sz="0" w:space="0" w:color="auto"/>
        <w:bottom w:val="none" w:sz="0" w:space="0" w:color="auto"/>
        <w:right w:val="none" w:sz="0" w:space="0" w:color="auto"/>
      </w:divBdr>
    </w:div>
    <w:div w:id="334307226">
      <w:bodyDiv w:val="1"/>
      <w:marLeft w:val="0"/>
      <w:marRight w:val="0"/>
      <w:marTop w:val="0"/>
      <w:marBottom w:val="0"/>
      <w:divBdr>
        <w:top w:val="none" w:sz="0" w:space="0" w:color="auto"/>
        <w:left w:val="none" w:sz="0" w:space="0" w:color="auto"/>
        <w:bottom w:val="none" w:sz="0" w:space="0" w:color="auto"/>
        <w:right w:val="none" w:sz="0" w:space="0" w:color="auto"/>
      </w:divBdr>
    </w:div>
    <w:div w:id="491484709">
      <w:bodyDiv w:val="1"/>
      <w:marLeft w:val="0"/>
      <w:marRight w:val="0"/>
      <w:marTop w:val="0"/>
      <w:marBottom w:val="0"/>
      <w:divBdr>
        <w:top w:val="none" w:sz="0" w:space="0" w:color="auto"/>
        <w:left w:val="none" w:sz="0" w:space="0" w:color="auto"/>
        <w:bottom w:val="none" w:sz="0" w:space="0" w:color="auto"/>
        <w:right w:val="none" w:sz="0" w:space="0" w:color="auto"/>
      </w:divBdr>
    </w:div>
    <w:div w:id="643235909">
      <w:bodyDiv w:val="1"/>
      <w:marLeft w:val="0"/>
      <w:marRight w:val="0"/>
      <w:marTop w:val="0"/>
      <w:marBottom w:val="0"/>
      <w:divBdr>
        <w:top w:val="none" w:sz="0" w:space="0" w:color="auto"/>
        <w:left w:val="none" w:sz="0" w:space="0" w:color="auto"/>
        <w:bottom w:val="none" w:sz="0" w:space="0" w:color="auto"/>
        <w:right w:val="none" w:sz="0" w:space="0" w:color="auto"/>
      </w:divBdr>
    </w:div>
    <w:div w:id="690911852">
      <w:bodyDiv w:val="1"/>
      <w:marLeft w:val="0"/>
      <w:marRight w:val="0"/>
      <w:marTop w:val="0"/>
      <w:marBottom w:val="0"/>
      <w:divBdr>
        <w:top w:val="none" w:sz="0" w:space="0" w:color="auto"/>
        <w:left w:val="none" w:sz="0" w:space="0" w:color="auto"/>
        <w:bottom w:val="none" w:sz="0" w:space="0" w:color="auto"/>
        <w:right w:val="none" w:sz="0" w:space="0" w:color="auto"/>
      </w:divBdr>
    </w:div>
    <w:div w:id="700980184">
      <w:bodyDiv w:val="1"/>
      <w:marLeft w:val="0"/>
      <w:marRight w:val="0"/>
      <w:marTop w:val="0"/>
      <w:marBottom w:val="0"/>
      <w:divBdr>
        <w:top w:val="none" w:sz="0" w:space="0" w:color="auto"/>
        <w:left w:val="none" w:sz="0" w:space="0" w:color="auto"/>
        <w:bottom w:val="none" w:sz="0" w:space="0" w:color="auto"/>
        <w:right w:val="none" w:sz="0" w:space="0" w:color="auto"/>
      </w:divBdr>
    </w:div>
    <w:div w:id="757293634">
      <w:bodyDiv w:val="1"/>
      <w:marLeft w:val="0"/>
      <w:marRight w:val="0"/>
      <w:marTop w:val="0"/>
      <w:marBottom w:val="0"/>
      <w:divBdr>
        <w:top w:val="none" w:sz="0" w:space="0" w:color="auto"/>
        <w:left w:val="none" w:sz="0" w:space="0" w:color="auto"/>
        <w:bottom w:val="none" w:sz="0" w:space="0" w:color="auto"/>
        <w:right w:val="none" w:sz="0" w:space="0" w:color="auto"/>
      </w:divBdr>
    </w:div>
    <w:div w:id="767702107">
      <w:bodyDiv w:val="1"/>
      <w:marLeft w:val="0"/>
      <w:marRight w:val="0"/>
      <w:marTop w:val="0"/>
      <w:marBottom w:val="0"/>
      <w:divBdr>
        <w:top w:val="none" w:sz="0" w:space="0" w:color="auto"/>
        <w:left w:val="none" w:sz="0" w:space="0" w:color="auto"/>
        <w:bottom w:val="none" w:sz="0" w:space="0" w:color="auto"/>
        <w:right w:val="none" w:sz="0" w:space="0" w:color="auto"/>
      </w:divBdr>
    </w:div>
    <w:div w:id="901326254">
      <w:bodyDiv w:val="1"/>
      <w:marLeft w:val="0"/>
      <w:marRight w:val="0"/>
      <w:marTop w:val="0"/>
      <w:marBottom w:val="0"/>
      <w:divBdr>
        <w:top w:val="none" w:sz="0" w:space="0" w:color="auto"/>
        <w:left w:val="none" w:sz="0" w:space="0" w:color="auto"/>
        <w:bottom w:val="none" w:sz="0" w:space="0" w:color="auto"/>
        <w:right w:val="none" w:sz="0" w:space="0" w:color="auto"/>
      </w:divBdr>
    </w:div>
    <w:div w:id="990449900">
      <w:bodyDiv w:val="1"/>
      <w:marLeft w:val="0"/>
      <w:marRight w:val="0"/>
      <w:marTop w:val="0"/>
      <w:marBottom w:val="0"/>
      <w:divBdr>
        <w:top w:val="none" w:sz="0" w:space="0" w:color="auto"/>
        <w:left w:val="none" w:sz="0" w:space="0" w:color="auto"/>
        <w:bottom w:val="none" w:sz="0" w:space="0" w:color="auto"/>
        <w:right w:val="none" w:sz="0" w:space="0" w:color="auto"/>
      </w:divBdr>
    </w:div>
    <w:div w:id="1023744302">
      <w:bodyDiv w:val="1"/>
      <w:marLeft w:val="0"/>
      <w:marRight w:val="0"/>
      <w:marTop w:val="0"/>
      <w:marBottom w:val="0"/>
      <w:divBdr>
        <w:top w:val="none" w:sz="0" w:space="0" w:color="auto"/>
        <w:left w:val="none" w:sz="0" w:space="0" w:color="auto"/>
        <w:bottom w:val="none" w:sz="0" w:space="0" w:color="auto"/>
        <w:right w:val="none" w:sz="0" w:space="0" w:color="auto"/>
      </w:divBdr>
    </w:div>
    <w:div w:id="1094783110">
      <w:bodyDiv w:val="1"/>
      <w:marLeft w:val="0"/>
      <w:marRight w:val="0"/>
      <w:marTop w:val="0"/>
      <w:marBottom w:val="0"/>
      <w:divBdr>
        <w:top w:val="none" w:sz="0" w:space="0" w:color="auto"/>
        <w:left w:val="none" w:sz="0" w:space="0" w:color="auto"/>
        <w:bottom w:val="none" w:sz="0" w:space="0" w:color="auto"/>
        <w:right w:val="none" w:sz="0" w:space="0" w:color="auto"/>
      </w:divBdr>
    </w:div>
    <w:div w:id="1301299210">
      <w:bodyDiv w:val="1"/>
      <w:marLeft w:val="0"/>
      <w:marRight w:val="0"/>
      <w:marTop w:val="0"/>
      <w:marBottom w:val="0"/>
      <w:divBdr>
        <w:top w:val="none" w:sz="0" w:space="0" w:color="auto"/>
        <w:left w:val="none" w:sz="0" w:space="0" w:color="auto"/>
        <w:bottom w:val="none" w:sz="0" w:space="0" w:color="auto"/>
        <w:right w:val="none" w:sz="0" w:space="0" w:color="auto"/>
      </w:divBdr>
    </w:div>
    <w:div w:id="1335373942">
      <w:bodyDiv w:val="1"/>
      <w:marLeft w:val="0"/>
      <w:marRight w:val="0"/>
      <w:marTop w:val="0"/>
      <w:marBottom w:val="0"/>
      <w:divBdr>
        <w:top w:val="none" w:sz="0" w:space="0" w:color="auto"/>
        <w:left w:val="none" w:sz="0" w:space="0" w:color="auto"/>
        <w:bottom w:val="none" w:sz="0" w:space="0" w:color="auto"/>
        <w:right w:val="none" w:sz="0" w:space="0" w:color="auto"/>
      </w:divBdr>
    </w:div>
    <w:div w:id="1694114963">
      <w:bodyDiv w:val="1"/>
      <w:marLeft w:val="0"/>
      <w:marRight w:val="0"/>
      <w:marTop w:val="0"/>
      <w:marBottom w:val="0"/>
      <w:divBdr>
        <w:top w:val="none" w:sz="0" w:space="0" w:color="auto"/>
        <w:left w:val="none" w:sz="0" w:space="0" w:color="auto"/>
        <w:bottom w:val="none" w:sz="0" w:space="0" w:color="auto"/>
        <w:right w:val="none" w:sz="0" w:space="0" w:color="auto"/>
      </w:divBdr>
    </w:div>
    <w:div w:id="1944025888">
      <w:bodyDiv w:val="1"/>
      <w:marLeft w:val="0"/>
      <w:marRight w:val="0"/>
      <w:marTop w:val="0"/>
      <w:marBottom w:val="0"/>
      <w:divBdr>
        <w:top w:val="none" w:sz="0" w:space="0" w:color="auto"/>
        <w:left w:val="none" w:sz="0" w:space="0" w:color="auto"/>
        <w:bottom w:val="none" w:sz="0" w:space="0" w:color="auto"/>
        <w:right w:val="none" w:sz="0" w:space="0" w:color="auto"/>
      </w:divBdr>
    </w:div>
    <w:div w:id="2002540025">
      <w:bodyDiv w:val="1"/>
      <w:marLeft w:val="0"/>
      <w:marRight w:val="0"/>
      <w:marTop w:val="0"/>
      <w:marBottom w:val="0"/>
      <w:divBdr>
        <w:top w:val="none" w:sz="0" w:space="0" w:color="auto"/>
        <w:left w:val="none" w:sz="0" w:space="0" w:color="auto"/>
        <w:bottom w:val="none" w:sz="0" w:space="0" w:color="auto"/>
        <w:right w:val="none" w:sz="0" w:space="0" w:color="auto"/>
      </w:divBdr>
    </w:div>
    <w:div w:id="2039044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Dan25</b:Tag>
    <b:SourceType>InternetSite</b:SourceType>
    <b:Guid>{A4FF141E-538E-4248-80B8-FF77D1C4B6FA}</b:Guid>
    <b:Author>
      <b:Author>
        <b:NameList>
          <b:Person>
            <b:Last>Pereira</b:Last>
            <b:First>Daniel</b:First>
          </b:Person>
        </b:NameList>
      </b:Author>
    </b:Author>
    <b:Title>The business Model analyst</b:Title>
    <b:Year>2025</b:Year>
    <b:MonthAccessed>03</b:MonthAccessed>
    <b:DayAccessed>14</b:DayAccessed>
    <b:URL>https://businessmodelanalyst.com/tesla-mission-and-vision-statement/</b:URL>
    <b:RefOrder>1</b:RefOrder>
  </b:Source>
  <b:Source>
    <b:Tag>boa</b:Tag>
    <b:SourceType>InternetSite</b:SourceType>
    <b:Guid>{8784A967-398C-49E5-AFCD-D51760F42160}</b:Guid>
    <b:Author>
      <b:Author>
        <b:NameList>
          <b:Person>
            <b:Last>boardmix</b:Last>
          </b:Person>
        </b:NameList>
      </b:Author>
    </b:Author>
    <b:Title>Tesla Business Model | How Does Tesla Make Money</b:Title>
    <b:URL>https://boardmix.com/analysis/tesla-business-model/</b:URL>
    <b:RefOrder>2</b:RefOrder>
  </b:Source>
  <b:Source>
    <b:Tag>Bri24</b:Tag>
    <b:SourceType>InternetSite</b:SourceType>
    <b:Guid>{ADD88371-2069-45D6-921B-5BC0C4B93A7B}</b:Guid>
    <b:Author>
      <b:Author>
        <b:NameList>
          <b:Person>
            <b:Last>money</b:Last>
            <b:First>Britannica</b:First>
          </b:Person>
        </b:NameList>
      </b:Author>
    </b:Author>
    <b:Title>Tesla, Inc.</b:Title>
    <b:Year>2024</b:Year>
    <b:YearAccessed>2024</b:YearAccessed>
    <b:MonthAccessed>11</b:MonthAccessed>
    <b:DayAccessed>25</b:DayAccessed>
    <b:URL>https://www.britannica.com/money/Tesla-Motors</b:URL>
    <b:RefOrder>3</b:RefOrder>
  </b:Source>
  <b:Source>
    <b:Tag>The251</b:Tag>
    <b:SourceType>InternetSite</b:SourceType>
    <b:Guid>{890C37E9-0308-4C0D-932B-840B337662F1}</b:Guid>
    <b:Author>
      <b:Author>
        <b:NameList>
          <b:Person>
            <b:Last>institute</b:Last>
            <b:First>The</b:First>
            <b:Middle>strategic</b:Middle>
          </b:Person>
        </b:NameList>
      </b:Author>
    </b:Author>
    <b:Title>Inside Tesla's Blueprint: Strategy, Sustainability, and Competitive Edge</b:Title>
    <b:Year>2025</b:Year>
    <b:YearAccessed>2025</b:YearAccessed>
    <b:MonthAccessed>11</b:MonthAccessed>
    <b:DayAccessed>12</b:DayAccessed>
    <b:URL>https://www.thestrategyinstitute.org/insights/inside-teslas-blueprint-strategy-sustainability-and-competitive-edge</b:URL>
    <b:RefOrder>4</b:RefOrder>
  </b:Source>
  <b:Source>
    <b:Tag>2501</b:Tag>
    <b:SourceType>InternetSite</b:SourceType>
    <b:Guid>{1E36FF87-2EE5-48BB-A256-C832BB68A9B0}</b:Guid>
    <b:Year>2025</b:Year>
    <b:MonthAccessed>01</b:MonthAccessed>
    <b:DayAccessed>30</b:DayAccessed>
    <b:URL>https://www.jowua-life.com/en-uk/blogs/tesla-news-corner/tesla-unveils-2025-growth-strategy-building-on-2024-development-success</b:URL>
    <b:RefOrder>5</b:RefOrder>
  </b:Source>
  <b:Source>
    <b:Tag>Tes25</b:Tag>
    <b:SourceType>InternetSite</b:SourceType>
    <b:Guid>{1DDBDE54-EA8A-4611-8D60-F9825E030D6B}</b:Guid>
    <b:Title>Tesla's Disruptive Energy Play in the UK: A Strategic Pivot Amid EV Headwinds</b:Title>
    <b:Year>2025</b:Year>
    <b:YearAccessed>2025</b:YearAccessed>
    <b:MonthAccessed>08</b:MonthAccessed>
    <b:DayAccessed>20</b:DayAccessed>
    <b:URL>https://www.ainvest.com/news/tesla-disruptive-energy-play-uk-strategic-pivot-ev-headwinds-2508/</b:URL>
    <b:RefOrder>9</b:RefOrder>
  </b:Source>
  <b:Source>
    <b:Tag>Sup25</b:Tag>
    <b:SourceType>InternetSite</b:SourceType>
    <b:Guid>{8DB94AAC-D210-4F99-8001-5D780503AEAA}</b:Guid>
    <b:Title>Supply chains digital</b:Title>
    <b:Year>2025</b:Year>
    <b:MonthAccessed>08</b:MonthAccessed>
    <b:DayAccessed>15</b:DayAccessed>
    <b:URL>https://supplychaindigital.com/news/explained-teslas-bid-to-supply-renewable-power-to-the-uk</b:URL>
    <b:RefOrder>10</b:RefOrder>
  </b:Source>
  <b:Source>
    <b:Tag>BRM21</b:Tag>
    <b:SourceType>InternetSite</b:SourceType>
    <b:Guid>{032BDEBB-3332-4EEE-A38F-BAA3B613E559}</b:Guid>
    <b:Author>
      <b:Author>
        <b:NameList>
          <b:Person>
            <b:Last>BRM</b:Last>
          </b:Person>
        </b:NameList>
      </b:Author>
    </b:Author>
    <b:Title>Tesla Ansoff Matrix</b:Title>
    <b:Year>2021</b:Year>
    <b:YearAccessed>2021</b:YearAccessed>
    <b:MonthAccessed>04</b:MonthAccessed>
    <b:DayAccessed>21</b:DayAccessed>
    <b:URL>https://research-methodology.net/tesla-ansoff-matrix-2/</b:URL>
    <b:RefOrder>14</b:RefOrder>
  </b:Source>
  <b:Source>
    <b:Tag>Lar25</b:Tag>
    <b:SourceType>InternetSite</b:SourceType>
    <b:Guid>{DE18EB6F-ECE8-46C6-A9D8-E60C86BC9DD5}</b:Guid>
    <b:Author>
      <b:Author>
        <b:NameList>
          <b:Person>
            <b:Last>Weijers</b:Last>
            <b:First>Lars</b:First>
          </b:Person>
        </b:NameList>
      </b:Author>
    </b:Author>
    <b:Title>Toolshero Mendelow matrix a stakeholder analysis explained</b:Title>
    <b:Year>2025</b:Year>
    <b:YearAccessed>2025</b:YearAccessed>
    <b:MonthAccessed>05</b:MonthAccessed>
    <b:DayAccessed>30</b:DayAccessed>
    <b:URL>https://www.toolshero.com/strategy/mendelow-matrix/</b:URL>
    <b:RefOrder>16</b:RefOrder>
  </b:Source>
  <b:Source>
    <b:Tag>Whi19</b:Tag>
    <b:SourceType>BookSection</b:SourceType>
    <b:Guid>{9504A937-7F11-4662-80E6-D1CE109C7B33}</b:Guid>
    <b:Title>Exploring strategies ProQuest Ebook Central</b:Title>
    <b:Year>2019</b:Year>
    <b:URL>http://ebookcentral.proquest.com/lib/trinity/detail.action?docID=5987036.</b:URL>
    <b:BookTitle>Exploring strategies</b:BookTitle>
    <b:Pages>112</b:Pages>
    <b:Publisher>Pearson Higher Education &amp; Professional Group</b:Publisher>
    <b:Author>
      <b:Author>
        <b:NameList>
          <b:Person>
            <b:Last>Whittington</b:Last>
            <b:First>Richard</b:First>
          </b:Person>
        </b:NameList>
      </b:Author>
    </b:Author>
    <b:RefOrder>7</b:RefOrder>
  </b:Source>
  <b:Source>
    <b:Tag>Dan251</b:Tag>
    <b:SourceType>InternetSite</b:SourceType>
    <b:Guid>{3C8DB986-2D32-4EC2-A8D2-5BD6A1F3E007}</b:Guid>
    <b:Title>Tesla Value Chain Analysis</b:Title>
    <b:Year>2025</b:Year>
    <b:Author>
      <b:Author>
        <b:NameList>
          <b:Person>
            <b:Last>Pereira</b:Last>
            <b:First>Daniel</b:First>
          </b:Person>
        </b:NameList>
      </b:Author>
    </b:Author>
    <b:YearAccessed>2025</b:YearAccessed>
    <b:MonthAccessed>03</b:MonthAccessed>
    <b:DayAccessed>28</b:DayAccessed>
    <b:URL>https://businessmodelanalyst.com/tesla-value-chain-analysis/?srsltid=AfmBOooWyYMbD4YyZBUC2JC2kJK7xw15vMiFIFt6ay9cjxn_2YDQcJbY#google_vignette</b:URL>
    <b:RefOrder>8</b:RefOrder>
  </b:Source>
  <b:Source>
    <b:Tag>Mar25</b:Tag>
    <b:SourceType>InternetSite</b:SourceType>
    <b:Guid>{07CA26C8-3EAC-4AF6-BFDD-5CBE1407B85F}</b:Guid>
    <b:Author>
      <b:Author>
        <b:NameList>
          <b:Person>
            <b:Last>theories</b:Last>
            <b:First>Marketing</b:First>
          </b:Person>
        </b:NameList>
      </b:Author>
    </b:Author>
    <b:Title>Marketing Theories – PESTEL Analysis</b:Title>
    <b:Year>2025</b:Year>
    <b:YearAccessed>2025</b:YearAccessed>
    <b:URL>https://www.professionalacademy.com/blogs/marketing-theories-pestel-analysis/</b:URL>
    <b:RefOrder>11</b:RefOrder>
  </b:Source>
  <b:Source>
    <b:Tag>Sma22</b:Tag>
    <b:SourceType>InternetSite</b:SourceType>
    <b:Guid>{F5BECB38-AA81-4D3A-B40E-0502B49B6024}</b:Guid>
    <b:Author>
      <b:Author>
        <b:NameList>
          <b:Person>
            <b:Last>business</b:Last>
            <b:First>Small</b:First>
          </b:Person>
        </b:NameList>
      </b:Author>
    </b:Author>
    <b:Title>Five Questions Explored by Porter's Five Forces</b:Title>
    <b:Year>2022</b:Year>
    <b:YearAccessed>2022</b:YearAccessed>
    <b:MonthAccessed>04</b:MonthAccessed>
    <b:DayAccessed>23</b:DayAccessed>
    <b:URL>https://kennethigiri.com/blog/f/five-questions-explored-by-porters-five-forces</b:URL>
    <b:RefOrder>12</b:RefOrder>
  </b:Source>
  <b:Source>
    <b:Tag>Qua25</b:Tag>
    <b:SourceType>InternetSite</b:SourceType>
    <b:Guid>{0A26FFA3-B5BE-4B55-A9A8-8B81B23CEAAE}</b:Guid>
    <b:Author>
      <b:Author>
        <b:NameList>
          <b:Person>
            <b:Last>workboard</b:Last>
            <b:First>Quantive</b:First>
          </b:Person>
        </b:NameList>
      </b:Author>
    </b:Author>
    <b:Title>The Ansoff Matrix: A Strategic Framework for Business Growth</b:Title>
    <b:Year>2025</b:Year>
    <b:YearAccessed>2025</b:YearAccessed>
    <b:URL>https://quantive.com/resources/articles/ansoff-matrix</b:URL>
    <b:RefOrder>13</b:RefOrder>
  </b:Source>
  <b:Source>
    <b:Tag>Pau09</b:Tag>
    <b:SourceType>InternetSite</b:SourceType>
    <b:Guid>{66286970-9AB4-42E9-BEBC-18839AFF755A}</b:Guid>
    <b:Author>
      <b:Author>
        <b:NameList>
          <b:Person>
            <b:Last>Kitchin</b:Last>
            <b:First>Paul</b:First>
            <b:Middle>James</b:Middle>
          </b:Person>
        </b:NameList>
      </b:Author>
    </b:Author>
    <b:Title>Research gate</b:Title>
    <b:Year>2009</b:Year>
    <b:YearAccessed>2009</b:YearAccessed>
    <b:MonthAccessed>09</b:MonthAccessed>
    <b:URL>https://www.researchgate.net/figure/Mendelows-power-interest-matrix-during-stadium-operations_fig1_275947011</b:URL>
    <b:RefOrder>15</b:RefOrder>
  </b:Source>
  <b:Source>
    <b:Tag>Aar25</b:Tag>
    <b:SourceType>InternetSite</b:SourceType>
    <b:Guid>{8CAFDF72-4BA4-4EA3-8444-CAF62D6B7A8E}</b:Guid>
    <b:Author>
      <b:Author>
        <b:NameList>
          <b:Person>
            <b:Last>McMillan</b:Last>
            <b:First>Aaron</b:First>
          </b:Person>
        </b:NameList>
      </b:Author>
    </b:Author>
    <b:Title>Why Tesla is Bidding to Supply Renewable Energy to the UK</b:Title>
    <b:Year>2025</b:Year>
    <b:YearAccessed>2025</b:YearAccessed>
    <b:MonthAccessed>08</b:MonthAccessed>
    <b:DayAccessed>12</b:DayAccessed>
    <b:URL>https://procurementmag.com/news/explained-teslas-bid-to-supply-renewable-power-to-the-uk</b:URL>
    <b:RefOrder>6</b:RefOrder>
  </b:Source>
</b:Sources>
</file>

<file path=customXml/itemProps1.xml><?xml version="1.0" encoding="utf-8"?>
<ds:datastoreItem xmlns:ds="http://schemas.openxmlformats.org/officeDocument/2006/customXml" ds:itemID="{372C49F4-BFE2-46DA-8573-492AC0571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4554</Words>
  <Characters>25958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N'Guessan (2127140)</dc:creator>
  <cp:keywords/>
  <dc:description/>
  <cp:lastModifiedBy>Sarah N'Guessan (2127140)</cp:lastModifiedBy>
  <cp:revision>3</cp:revision>
  <dcterms:created xsi:type="dcterms:W3CDTF">2025-12-15T15:31:00Z</dcterms:created>
  <dcterms:modified xsi:type="dcterms:W3CDTF">2025-12-15T15:34:00Z</dcterms:modified>
</cp:coreProperties>
</file>