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bookmarkStart w:id="0" w:name="_Toc153498198" w:displacedByCustomXml="next"/>
    <w:sdt>
      <w:sdtPr>
        <w:rPr>
          <w:rFonts w:cs="Times New Roman"/>
          <w:sz w:val="2"/>
        </w:rPr>
        <w:id w:val="1045791792"/>
        <w:docPartObj>
          <w:docPartGallery w:val="Cover Pages"/>
          <w:docPartUnique/>
        </w:docPartObj>
      </w:sdtPr>
      <w:sdtEndPr>
        <w:rPr>
          <w:sz w:val="22"/>
        </w:rPr>
      </w:sdtEndPr>
      <w:sdtContent>
        <w:p w14:paraId="595D1041" w14:textId="77777777" w:rsidR="00870A62" w:rsidRPr="00DA2477" w:rsidRDefault="00870A62" w:rsidP="00870A62">
          <w:pPr>
            <w:spacing w:before="120" w:after="120" w:line="360" w:lineRule="auto"/>
            <w:jc w:val="center"/>
            <w:rPr>
              <w:rFonts w:cs="Times New Roman"/>
              <w:b/>
              <w:bCs/>
            </w:rPr>
          </w:pPr>
          <w:r w:rsidRPr="00DA2477">
            <w:rPr>
              <w:rFonts w:cs="Times New Roman"/>
              <w:b/>
              <w:bCs/>
              <w:noProof/>
            </w:rPr>
            <w:drawing>
              <wp:inline distT="0" distB="0" distL="0" distR="0" wp14:anchorId="606E64E5" wp14:editId="06219776">
                <wp:extent cx="3737610" cy="123748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UWTSD-Logo-1024x339.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750026" cy="1241595"/>
                        </a:xfrm>
                        <a:prstGeom prst="rect">
                          <a:avLst/>
                        </a:prstGeom>
                      </pic:spPr>
                    </pic:pic>
                  </a:graphicData>
                </a:graphic>
              </wp:inline>
            </w:drawing>
          </w:r>
        </w:p>
        <w:p w14:paraId="62457A2F" w14:textId="77777777" w:rsidR="00870A62" w:rsidRPr="00DA2477" w:rsidRDefault="00870A62" w:rsidP="00870A62">
          <w:pPr>
            <w:spacing w:before="120" w:after="120" w:line="360" w:lineRule="auto"/>
            <w:jc w:val="center"/>
            <w:rPr>
              <w:rFonts w:cs="Times New Roman"/>
              <w:b/>
              <w:bCs/>
            </w:rPr>
          </w:pPr>
        </w:p>
        <w:p w14:paraId="1E6D3E7C" w14:textId="77777777" w:rsidR="00870A62" w:rsidRPr="00DA2477" w:rsidRDefault="00870A62" w:rsidP="00870A62">
          <w:pPr>
            <w:spacing w:before="120" w:after="120" w:line="360" w:lineRule="auto"/>
            <w:jc w:val="center"/>
            <w:rPr>
              <w:rFonts w:cs="Times New Roman"/>
              <w:b/>
              <w:bCs/>
            </w:rPr>
          </w:pPr>
        </w:p>
        <w:p w14:paraId="6002D39E" w14:textId="77777777" w:rsidR="00870A62" w:rsidRPr="00DA2477" w:rsidRDefault="00870A62" w:rsidP="00870A62">
          <w:pPr>
            <w:spacing w:before="120" w:after="120" w:line="360" w:lineRule="auto"/>
            <w:jc w:val="center"/>
            <w:rPr>
              <w:rFonts w:cs="Times New Roman"/>
              <w:b/>
              <w:bCs/>
            </w:rPr>
          </w:pPr>
          <w:proofErr w:type="gramStart"/>
          <w:r w:rsidRPr="00DA2477">
            <w:rPr>
              <w:rFonts w:cs="Times New Roman"/>
              <w:b/>
              <w:bCs/>
            </w:rPr>
            <w:t>MASTERS OF BUSINESS ADMINISTRATION</w:t>
          </w:r>
          <w:proofErr w:type="gramEnd"/>
        </w:p>
        <w:p w14:paraId="677D338E" w14:textId="77777777" w:rsidR="00870A62" w:rsidRPr="00DA2477" w:rsidRDefault="00870A62" w:rsidP="00870A62">
          <w:pPr>
            <w:spacing w:before="120" w:after="120" w:line="360" w:lineRule="auto"/>
            <w:jc w:val="center"/>
            <w:rPr>
              <w:rFonts w:cs="Times New Roman"/>
              <w:b/>
              <w:bCs/>
              <w:sz w:val="44"/>
            </w:rPr>
          </w:pPr>
          <w:r w:rsidRPr="00DA2477">
            <w:rPr>
              <w:rFonts w:cs="Times New Roman"/>
              <w:b/>
              <w:bCs/>
              <w:sz w:val="44"/>
            </w:rPr>
            <w:t>FINANCIAL MANAGEMENT</w:t>
          </w:r>
        </w:p>
        <w:p w14:paraId="492FC2A6" w14:textId="77777777" w:rsidR="00870A62" w:rsidRPr="00DA2477" w:rsidRDefault="00870A62" w:rsidP="00870A62">
          <w:pPr>
            <w:spacing w:before="120" w:after="120" w:line="360" w:lineRule="auto"/>
            <w:jc w:val="center"/>
            <w:rPr>
              <w:rFonts w:cs="Times New Roman"/>
              <w:b/>
              <w:bCs/>
              <w:sz w:val="32"/>
            </w:rPr>
          </w:pPr>
          <w:r w:rsidRPr="00DA2477">
            <w:rPr>
              <w:rFonts w:cs="Times New Roman"/>
              <w:b/>
              <w:bCs/>
              <w:sz w:val="32"/>
            </w:rPr>
            <w:t>MODULE CODE – LCMB7002</w:t>
          </w:r>
        </w:p>
        <w:p w14:paraId="484B4201" w14:textId="77777777" w:rsidR="00870A62" w:rsidRPr="00DA2477" w:rsidRDefault="00870A62" w:rsidP="00870A62">
          <w:pPr>
            <w:spacing w:before="120" w:after="120" w:line="360" w:lineRule="auto"/>
            <w:jc w:val="center"/>
            <w:rPr>
              <w:rFonts w:cs="Times New Roman"/>
              <w:b/>
            </w:rPr>
          </w:pPr>
          <w:r>
            <w:rPr>
              <w:rFonts w:cs="Times New Roman"/>
              <w:b/>
              <w:bCs/>
            </w:rPr>
            <w:t>ASSESSMENT COMPONENT: FINACIAL PERFORMANCE AND MANAGMENT</w:t>
          </w:r>
        </w:p>
        <w:p w14:paraId="0A300931" w14:textId="77777777" w:rsidR="00870A62" w:rsidRPr="00DA2477" w:rsidRDefault="00870A62" w:rsidP="00870A62">
          <w:pPr>
            <w:spacing w:before="120" w:after="120" w:line="360" w:lineRule="auto"/>
            <w:jc w:val="center"/>
            <w:rPr>
              <w:rFonts w:cs="Times New Roman"/>
              <w:b/>
              <w:bCs/>
            </w:rPr>
          </w:pPr>
          <w:r w:rsidRPr="00DA2477">
            <w:rPr>
              <w:rFonts w:cs="Times New Roman"/>
              <w:b/>
            </w:rPr>
            <w:t>__________________________________</w:t>
          </w:r>
        </w:p>
        <w:p w14:paraId="6FDD54B2" w14:textId="77777777" w:rsidR="00870A62" w:rsidRPr="00DA2477" w:rsidRDefault="00870A62" w:rsidP="00870A62">
          <w:pPr>
            <w:spacing w:line="360" w:lineRule="auto"/>
            <w:jc w:val="center"/>
            <w:rPr>
              <w:rFonts w:cs="Times New Roman"/>
              <w:b/>
              <w:bCs/>
              <w:color w:val="000000"/>
            </w:rPr>
          </w:pPr>
          <w:r w:rsidRPr="00DA2477">
            <w:rPr>
              <w:rFonts w:cs="Times New Roman"/>
              <w:b/>
              <w:bCs/>
              <w:color w:val="000000"/>
            </w:rPr>
            <w:t xml:space="preserve">SUBMITTED </w:t>
          </w:r>
        </w:p>
        <w:p w14:paraId="19071DD6" w14:textId="77777777" w:rsidR="00870A62" w:rsidRPr="00DA2477" w:rsidRDefault="00870A62" w:rsidP="00870A62">
          <w:pPr>
            <w:spacing w:line="360" w:lineRule="auto"/>
            <w:jc w:val="center"/>
            <w:rPr>
              <w:rFonts w:cs="Times New Roman"/>
              <w:b/>
              <w:bCs/>
              <w:color w:val="000000"/>
            </w:rPr>
          </w:pPr>
          <w:r w:rsidRPr="00DA2477">
            <w:rPr>
              <w:rFonts w:cs="Times New Roman"/>
              <w:b/>
              <w:bCs/>
              <w:color w:val="000000"/>
            </w:rPr>
            <w:t xml:space="preserve">BY </w:t>
          </w:r>
        </w:p>
        <w:p w14:paraId="4110673F" w14:textId="77777777" w:rsidR="00870A62" w:rsidRPr="00DA2477" w:rsidRDefault="00870A62" w:rsidP="00870A62">
          <w:pPr>
            <w:spacing w:line="360" w:lineRule="auto"/>
            <w:jc w:val="center"/>
            <w:rPr>
              <w:rFonts w:cs="Times New Roman"/>
              <w:b/>
              <w:bCs/>
              <w:color w:val="000000"/>
            </w:rPr>
          </w:pPr>
          <w:r w:rsidRPr="00DA2477">
            <w:rPr>
              <w:rFonts w:cs="Times New Roman"/>
              <w:b/>
              <w:bCs/>
              <w:color w:val="000000"/>
            </w:rPr>
            <w:t>[</w:t>
          </w:r>
          <w:r>
            <w:rPr>
              <w:rFonts w:cs="Times New Roman"/>
              <w:b/>
              <w:bCs/>
              <w:color w:val="000000"/>
            </w:rPr>
            <w:t>Ishan Kevadiya</w:t>
          </w:r>
          <w:r w:rsidRPr="00DA2477">
            <w:rPr>
              <w:rFonts w:cs="Times New Roman"/>
              <w:b/>
              <w:bCs/>
              <w:color w:val="000000"/>
            </w:rPr>
            <w:t xml:space="preserve">] </w:t>
          </w:r>
        </w:p>
        <w:p w14:paraId="2D55A0D2" w14:textId="77777777" w:rsidR="00870A62" w:rsidRPr="00DA2477" w:rsidRDefault="00870A62" w:rsidP="00870A62">
          <w:pPr>
            <w:spacing w:line="360" w:lineRule="auto"/>
            <w:jc w:val="center"/>
            <w:rPr>
              <w:rFonts w:cs="Times New Roman"/>
              <w:b/>
              <w:bCs/>
              <w:color w:val="000000"/>
            </w:rPr>
          </w:pPr>
        </w:p>
        <w:p w14:paraId="49077653" w14:textId="77777777" w:rsidR="00870A62" w:rsidRPr="00DA2477" w:rsidRDefault="00870A62" w:rsidP="00870A62">
          <w:pPr>
            <w:spacing w:line="360" w:lineRule="auto"/>
            <w:jc w:val="center"/>
            <w:rPr>
              <w:rFonts w:cs="Times New Roman"/>
              <w:b/>
              <w:bCs/>
              <w:color w:val="000000"/>
            </w:rPr>
          </w:pPr>
          <w:r w:rsidRPr="00DA2477">
            <w:rPr>
              <w:rFonts w:cs="Times New Roman"/>
              <w:b/>
              <w:bCs/>
              <w:color w:val="000000"/>
            </w:rPr>
            <w:t>STUDENT ID –</w:t>
          </w:r>
          <w:r>
            <w:rPr>
              <w:rFonts w:cs="Times New Roman"/>
              <w:b/>
              <w:bCs/>
              <w:color w:val="000000"/>
            </w:rPr>
            <w:t>2541464</w:t>
          </w:r>
          <w:r w:rsidRPr="00DA2477">
            <w:rPr>
              <w:rFonts w:cs="Times New Roman"/>
              <w:b/>
              <w:bCs/>
              <w:color w:val="000000"/>
            </w:rPr>
            <w:t xml:space="preserve"> </w:t>
          </w:r>
        </w:p>
        <w:p w14:paraId="3E53266B" w14:textId="77777777" w:rsidR="00870A62" w:rsidRPr="00DA2477" w:rsidRDefault="00870A62" w:rsidP="00870A62">
          <w:pPr>
            <w:pStyle w:val="NoSpacing"/>
            <w:spacing w:line="360" w:lineRule="auto"/>
            <w:rPr>
              <w:rFonts w:ascii="Times New Roman" w:hAnsi="Times New Roman" w:cs="Times New Roman"/>
              <w:sz w:val="2"/>
            </w:rPr>
          </w:pPr>
        </w:p>
        <w:p w14:paraId="16F5AFAA" w14:textId="77777777" w:rsidR="00870A62" w:rsidRPr="00DA2477" w:rsidRDefault="00870A62" w:rsidP="00870A62">
          <w:pPr>
            <w:spacing w:line="360" w:lineRule="auto"/>
            <w:jc w:val="left"/>
            <w:rPr>
              <w:rFonts w:cs="Times New Roman"/>
              <w:b/>
              <w:sz w:val="28"/>
            </w:rPr>
          </w:pPr>
        </w:p>
        <w:p w14:paraId="6A60C999" w14:textId="77777777" w:rsidR="00870A62" w:rsidRPr="00DA2477" w:rsidRDefault="00870A62" w:rsidP="00870A62">
          <w:pPr>
            <w:spacing w:line="360" w:lineRule="auto"/>
            <w:jc w:val="center"/>
            <w:rPr>
              <w:rFonts w:cs="Times New Roman"/>
              <w:b/>
              <w:sz w:val="28"/>
            </w:rPr>
          </w:pPr>
        </w:p>
        <w:p w14:paraId="1E22DF4E" w14:textId="77777777" w:rsidR="00870A62" w:rsidRPr="00DA2477" w:rsidRDefault="00870A62" w:rsidP="00870A62">
          <w:pPr>
            <w:spacing w:line="360" w:lineRule="auto"/>
            <w:jc w:val="center"/>
            <w:rPr>
              <w:rFonts w:cs="Times New Roman"/>
              <w:b/>
              <w:sz w:val="28"/>
            </w:rPr>
          </w:pPr>
        </w:p>
        <w:p w14:paraId="3ADD7C51" w14:textId="77777777" w:rsidR="00870A62" w:rsidRPr="00DA2477" w:rsidRDefault="00870A62" w:rsidP="00870A62">
          <w:pPr>
            <w:spacing w:line="360" w:lineRule="auto"/>
            <w:jc w:val="center"/>
            <w:rPr>
              <w:rFonts w:cs="Times New Roman"/>
              <w:b/>
              <w:sz w:val="28"/>
            </w:rPr>
          </w:pPr>
        </w:p>
        <w:p w14:paraId="5DF7061E" w14:textId="77777777" w:rsidR="00870A62" w:rsidRPr="00DA2477" w:rsidRDefault="00870A62" w:rsidP="00870A62">
          <w:pPr>
            <w:spacing w:line="360" w:lineRule="auto"/>
            <w:jc w:val="center"/>
            <w:rPr>
              <w:rFonts w:cs="Times New Roman"/>
              <w:b/>
              <w:sz w:val="28"/>
            </w:rPr>
          </w:pPr>
        </w:p>
        <w:p w14:paraId="68B28CCE" w14:textId="77777777" w:rsidR="00870A62" w:rsidRPr="00DA2477" w:rsidRDefault="00870A62" w:rsidP="00870A62">
          <w:pPr>
            <w:spacing w:line="360" w:lineRule="auto"/>
            <w:jc w:val="left"/>
            <w:rPr>
              <w:rFonts w:cs="Times New Roman"/>
              <w:sz w:val="22"/>
            </w:rPr>
          </w:pPr>
        </w:p>
        <w:sdt>
          <w:sdtPr>
            <w:rPr>
              <w:rFonts w:ascii="Times New Roman" w:eastAsiaTheme="minorHAnsi" w:hAnsi="Times New Roman" w:cs="Times New Roman"/>
              <w:color w:val="auto"/>
              <w:sz w:val="24"/>
              <w:szCs w:val="22"/>
            </w:rPr>
            <w:id w:val="1774204955"/>
            <w:docPartObj>
              <w:docPartGallery w:val="Table of Contents"/>
              <w:docPartUnique/>
            </w:docPartObj>
          </w:sdtPr>
          <w:sdtEndPr>
            <w:rPr>
              <w:b/>
              <w:bCs/>
              <w:noProof/>
            </w:rPr>
          </w:sdtEndPr>
          <w:sdtContent>
            <w:p w14:paraId="24D0A7DC" w14:textId="77777777" w:rsidR="00870A62" w:rsidRPr="00DA2477" w:rsidRDefault="00870A62" w:rsidP="00870A62">
              <w:pPr>
                <w:pStyle w:val="TOCHeading"/>
                <w:spacing w:line="360" w:lineRule="auto"/>
                <w:rPr>
                  <w:rFonts w:ascii="Times New Roman" w:hAnsi="Times New Roman" w:cs="Times New Roman"/>
                  <w:b/>
                </w:rPr>
              </w:pPr>
              <w:r w:rsidRPr="00DA2477">
                <w:rPr>
                  <w:rFonts w:ascii="Times New Roman" w:hAnsi="Times New Roman" w:cs="Times New Roman"/>
                  <w:b/>
                </w:rPr>
                <w:t>CONTENTS</w:t>
              </w:r>
            </w:p>
            <w:p w14:paraId="73C46169" w14:textId="77777777" w:rsidR="00870A62" w:rsidRPr="00DA2477" w:rsidRDefault="00870A62" w:rsidP="00870A62">
              <w:pPr>
                <w:pStyle w:val="TOC2"/>
                <w:tabs>
                  <w:tab w:val="right" w:leader="dot" w:pos="9016"/>
                </w:tabs>
                <w:spacing w:line="240" w:lineRule="auto"/>
                <w:rPr>
                  <w:rFonts w:eastAsiaTheme="minorEastAsia" w:cs="Times New Roman"/>
                  <w:noProof/>
                  <w:kern w:val="2"/>
                  <w:szCs w:val="24"/>
                  <w14:ligatures w14:val="standardContextual"/>
                </w:rPr>
              </w:pPr>
              <w:r w:rsidRPr="00DA2477">
                <w:rPr>
                  <w:rFonts w:cs="Times New Roman"/>
                </w:rPr>
                <w:fldChar w:fldCharType="begin"/>
              </w:r>
              <w:r w:rsidRPr="00DA2477">
                <w:rPr>
                  <w:rFonts w:cs="Times New Roman"/>
                </w:rPr>
                <w:instrText xml:space="preserve"> TOC \o "1-3" \h \z \u </w:instrText>
              </w:r>
              <w:r w:rsidRPr="00DA2477">
                <w:rPr>
                  <w:rFonts w:cs="Times New Roman"/>
                </w:rPr>
                <w:fldChar w:fldCharType="separate"/>
              </w:r>
              <w:hyperlink w:anchor="_Toc233996388" w:history="1">
                <w:r w:rsidRPr="00DA2477">
                  <w:rPr>
                    <w:rStyle w:val="Hyperlink"/>
                    <w:rFonts w:cs="Times New Roman"/>
                    <w:noProof/>
                  </w:rPr>
                  <w:t>Introduction</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_Toc233996388 \h </w:instrText>
                </w:r>
                <w:r w:rsidRPr="00DA2477">
                  <w:rPr>
                    <w:rFonts w:cs="Times New Roman"/>
                    <w:noProof/>
                    <w:webHidden/>
                  </w:rPr>
                </w:r>
                <w:r w:rsidRPr="00DA2477">
                  <w:rPr>
                    <w:rFonts w:cs="Times New Roman"/>
                    <w:noProof/>
                    <w:webHidden/>
                  </w:rPr>
                  <w:fldChar w:fldCharType="separate"/>
                </w:r>
                <w:r>
                  <w:rPr>
                    <w:rFonts w:cs="Times New Roman"/>
                    <w:noProof/>
                    <w:webHidden/>
                  </w:rPr>
                  <w:t>2</w:t>
                </w:r>
                <w:r w:rsidRPr="00DA2477">
                  <w:rPr>
                    <w:rFonts w:cs="Times New Roman"/>
                    <w:noProof/>
                    <w:webHidden/>
                  </w:rPr>
                  <w:fldChar w:fldCharType="end"/>
                </w:r>
              </w:hyperlink>
            </w:p>
            <w:p w14:paraId="4FD9E5B7"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89" w:history="1">
                <w:r w:rsidRPr="00DA2477">
                  <w:rPr>
                    <w:rStyle w:val="Hyperlink"/>
                    <w:rFonts w:cs="Times New Roman"/>
                    <w:noProof/>
                  </w:rPr>
                  <w:t>1-</w:t>
                </w:r>
                <w:r w:rsidRPr="00DA2477">
                  <w:rPr>
                    <w:rFonts w:eastAsiaTheme="minorEastAsia" w:cs="Times New Roman"/>
                    <w:noProof/>
                    <w:kern w:val="2"/>
                    <w:szCs w:val="24"/>
                    <w14:ligatures w14:val="standardContextual"/>
                  </w:rPr>
                  <w:tab/>
                </w:r>
                <w:r w:rsidRPr="00DA2477">
                  <w:rPr>
                    <w:rStyle w:val="Hyperlink"/>
                    <w:rFonts w:cs="Times New Roman"/>
                    <w:noProof/>
                  </w:rPr>
                  <w:t>Analysis of financial health</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_Toc233996389 \h </w:instrText>
                </w:r>
                <w:r w:rsidRPr="00DA2477">
                  <w:rPr>
                    <w:rFonts w:cs="Times New Roman"/>
                    <w:noProof/>
                    <w:webHidden/>
                  </w:rPr>
                </w:r>
                <w:r w:rsidRPr="00DA2477">
                  <w:rPr>
                    <w:rFonts w:cs="Times New Roman"/>
                    <w:noProof/>
                    <w:webHidden/>
                  </w:rPr>
                  <w:fldChar w:fldCharType="separate"/>
                </w:r>
                <w:r>
                  <w:rPr>
                    <w:rFonts w:cs="Times New Roman"/>
                    <w:noProof/>
                    <w:webHidden/>
                  </w:rPr>
                  <w:t>2</w:t>
                </w:r>
                <w:r w:rsidRPr="00DA2477">
                  <w:rPr>
                    <w:rFonts w:cs="Times New Roman"/>
                    <w:noProof/>
                    <w:webHidden/>
                  </w:rPr>
                  <w:fldChar w:fldCharType="end"/>
                </w:r>
              </w:hyperlink>
            </w:p>
            <w:p w14:paraId="754E7EF6"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0" w:history="1">
                <w:r w:rsidRPr="00DA2477">
                  <w:rPr>
                    <w:rStyle w:val="Hyperlink"/>
                    <w:rFonts w:cs="Times New Roman"/>
                    <w:noProof/>
                  </w:rPr>
                  <w:t>a)</w:t>
                </w:r>
                <w:r w:rsidRPr="00DA2477">
                  <w:rPr>
                    <w:rFonts w:eastAsiaTheme="minorEastAsia" w:cs="Times New Roman"/>
                    <w:noProof/>
                    <w:kern w:val="2"/>
                    <w:szCs w:val="24"/>
                    <w14:ligatures w14:val="standardContextual"/>
                  </w:rPr>
                  <w:tab/>
                </w:r>
                <w:r w:rsidRPr="00DA2477">
                  <w:rPr>
                    <w:rStyle w:val="Hyperlink"/>
                    <w:rFonts w:cs="Times New Roman"/>
                    <w:noProof/>
                  </w:rPr>
                  <w:t>Five Years Performance</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_Toc233996390 \h </w:instrText>
                </w:r>
                <w:r w:rsidRPr="00DA2477">
                  <w:rPr>
                    <w:rFonts w:cs="Times New Roman"/>
                    <w:noProof/>
                    <w:webHidden/>
                  </w:rPr>
                </w:r>
                <w:r w:rsidRPr="00DA2477">
                  <w:rPr>
                    <w:rFonts w:cs="Times New Roman"/>
                    <w:noProof/>
                    <w:webHidden/>
                  </w:rPr>
                  <w:fldChar w:fldCharType="separate"/>
                </w:r>
                <w:r>
                  <w:rPr>
                    <w:rFonts w:cs="Times New Roman"/>
                    <w:noProof/>
                    <w:webHidden/>
                  </w:rPr>
                  <w:t>2</w:t>
                </w:r>
                <w:r w:rsidRPr="00DA2477">
                  <w:rPr>
                    <w:rFonts w:cs="Times New Roman"/>
                    <w:noProof/>
                    <w:webHidden/>
                  </w:rPr>
                  <w:fldChar w:fldCharType="end"/>
                </w:r>
              </w:hyperlink>
            </w:p>
            <w:p w14:paraId="5F698945"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1" w:history="1">
                <w:r w:rsidRPr="00DA2477">
                  <w:rPr>
                    <w:rStyle w:val="Hyperlink"/>
                    <w:rFonts w:cs="Times New Roman"/>
                    <w:noProof/>
                  </w:rPr>
                  <w:t>b)</w:t>
                </w:r>
                <w:r w:rsidRPr="00DA2477">
                  <w:rPr>
                    <w:rFonts w:eastAsiaTheme="minorEastAsia" w:cs="Times New Roman"/>
                    <w:noProof/>
                    <w:kern w:val="2"/>
                    <w:szCs w:val="24"/>
                    <w14:ligatures w14:val="standardContextual"/>
                  </w:rPr>
                  <w:tab/>
                </w:r>
                <w:r w:rsidRPr="00DA2477">
                  <w:rPr>
                    <w:rStyle w:val="Hyperlink"/>
                    <w:rFonts w:cs="Times New Roman"/>
                    <w:noProof/>
                  </w:rPr>
                  <w:t>Ratio Analysis</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_Toc233996391 \h </w:instrText>
                </w:r>
                <w:r w:rsidRPr="00DA2477">
                  <w:rPr>
                    <w:rFonts w:cs="Times New Roman"/>
                    <w:noProof/>
                    <w:webHidden/>
                  </w:rPr>
                </w:r>
                <w:r w:rsidRPr="00DA2477">
                  <w:rPr>
                    <w:rFonts w:cs="Times New Roman"/>
                    <w:noProof/>
                    <w:webHidden/>
                  </w:rPr>
                  <w:fldChar w:fldCharType="separate"/>
                </w:r>
                <w:r>
                  <w:rPr>
                    <w:rFonts w:cs="Times New Roman"/>
                    <w:noProof/>
                    <w:webHidden/>
                  </w:rPr>
                  <w:t>6</w:t>
                </w:r>
                <w:r w:rsidRPr="00DA2477">
                  <w:rPr>
                    <w:rFonts w:cs="Times New Roman"/>
                    <w:noProof/>
                    <w:webHidden/>
                  </w:rPr>
                  <w:fldChar w:fldCharType="end"/>
                </w:r>
              </w:hyperlink>
            </w:p>
            <w:p w14:paraId="6EC3F71A"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2" w:history="1">
                <w:r w:rsidRPr="00DA2477">
                  <w:rPr>
                    <w:rStyle w:val="Hyperlink"/>
                    <w:rFonts w:cs="Times New Roman"/>
                    <w:noProof/>
                  </w:rPr>
                  <w:t>c)</w:t>
                </w:r>
                <w:r w:rsidRPr="00DA2477">
                  <w:rPr>
                    <w:rFonts w:eastAsiaTheme="minorEastAsia" w:cs="Times New Roman"/>
                    <w:noProof/>
                    <w:kern w:val="2"/>
                    <w:szCs w:val="24"/>
                    <w14:ligatures w14:val="standardContextual"/>
                  </w:rPr>
                  <w:tab/>
                </w:r>
                <w:r w:rsidRPr="00DA2477">
                  <w:rPr>
                    <w:rStyle w:val="Hyperlink"/>
                    <w:rFonts w:cs="Times New Roman"/>
                    <w:noProof/>
                  </w:rPr>
                  <w:t>Identification of Strengths, Threats, and Trends</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_Toc233996392 \h </w:instrText>
                </w:r>
                <w:r w:rsidRPr="00DA2477">
                  <w:rPr>
                    <w:rFonts w:cs="Times New Roman"/>
                    <w:noProof/>
                    <w:webHidden/>
                  </w:rPr>
                </w:r>
                <w:r w:rsidRPr="00DA2477">
                  <w:rPr>
                    <w:rFonts w:cs="Times New Roman"/>
                    <w:noProof/>
                    <w:webHidden/>
                  </w:rPr>
                  <w:fldChar w:fldCharType="separate"/>
                </w:r>
                <w:r>
                  <w:rPr>
                    <w:rFonts w:cs="Times New Roman"/>
                    <w:noProof/>
                    <w:webHidden/>
                  </w:rPr>
                  <w:t>9</w:t>
                </w:r>
                <w:r w:rsidRPr="00DA2477">
                  <w:rPr>
                    <w:rFonts w:cs="Times New Roman"/>
                    <w:noProof/>
                    <w:webHidden/>
                  </w:rPr>
                  <w:fldChar w:fldCharType="end"/>
                </w:r>
              </w:hyperlink>
            </w:p>
            <w:p w14:paraId="6EEB94E2"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3" w:history="1">
                <w:r w:rsidRPr="00DA2477">
                  <w:rPr>
                    <w:rStyle w:val="Hyperlink"/>
                    <w:rFonts w:cs="Times New Roman"/>
                    <w:noProof/>
                  </w:rPr>
                  <w:t>d)</w:t>
                </w:r>
                <w:r w:rsidRPr="00DA2477">
                  <w:rPr>
                    <w:rFonts w:eastAsiaTheme="minorEastAsia" w:cs="Times New Roman"/>
                    <w:noProof/>
                    <w:kern w:val="2"/>
                    <w:szCs w:val="24"/>
                    <w14:ligatures w14:val="standardContextual"/>
                  </w:rPr>
                  <w:tab/>
                </w:r>
                <w:r w:rsidRPr="00DA2477">
                  <w:rPr>
                    <w:rStyle w:val="Hyperlink"/>
                    <w:rFonts w:cs="Times New Roman"/>
                    <w:noProof/>
                  </w:rPr>
                  <w:t>Comparison of the liquidity ratio</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_Toc233996393 \h </w:instrText>
                </w:r>
                <w:r w:rsidRPr="00DA2477">
                  <w:rPr>
                    <w:rFonts w:cs="Times New Roman"/>
                    <w:noProof/>
                    <w:webHidden/>
                  </w:rPr>
                </w:r>
                <w:r w:rsidRPr="00DA2477">
                  <w:rPr>
                    <w:rFonts w:cs="Times New Roman"/>
                    <w:noProof/>
                    <w:webHidden/>
                  </w:rPr>
                  <w:fldChar w:fldCharType="separate"/>
                </w:r>
                <w:r>
                  <w:rPr>
                    <w:rFonts w:cs="Times New Roman"/>
                    <w:noProof/>
                    <w:webHidden/>
                  </w:rPr>
                  <w:t>9</w:t>
                </w:r>
                <w:r w:rsidRPr="00DA2477">
                  <w:rPr>
                    <w:rFonts w:cs="Times New Roman"/>
                    <w:noProof/>
                    <w:webHidden/>
                  </w:rPr>
                  <w:fldChar w:fldCharType="end"/>
                </w:r>
              </w:hyperlink>
            </w:p>
            <w:p w14:paraId="5EBB8647"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4" w:history="1">
                <w:r w:rsidRPr="00DA2477">
                  <w:rPr>
                    <w:rStyle w:val="Hyperlink"/>
                    <w:rFonts w:cs="Times New Roman"/>
                    <w:noProof/>
                  </w:rPr>
                  <w:t>2-</w:t>
                </w:r>
                <w:r w:rsidRPr="00DA2477">
                  <w:rPr>
                    <w:rFonts w:eastAsiaTheme="minorEastAsia" w:cs="Times New Roman"/>
                    <w:noProof/>
                    <w:kern w:val="2"/>
                    <w:szCs w:val="24"/>
                    <w14:ligatures w14:val="standardContextual"/>
                  </w:rPr>
                  <w:tab/>
                </w:r>
                <w:r w:rsidRPr="00DA2477">
                  <w:rPr>
                    <w:rStyle w:val="Hyperlink"/>
                    <w:rFonts w:cs="Times New Roman"/>
                    <w:noProof/>
                  </w:rPr>
                  <w:t>Analysis for the management of working capital</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_Toc233996394 \h </w:instrText>
                </w:r>
                <w:r w:rsidRPr="00DA2477">
                  <w:rPr>
                    <w:rFonts w:cs="Times New Roman"/>
                    <w:noProof/>
                    <w:webHidden/>
                  </w:rPr>
                </w:r>
                <w:r w:rsidRPr="00DA2477">
                  <w:rPr>
                    <w:rFonts w:cs="Times New Roman"/>
                    <w:noProof/>
                    <w:webHidden/>
                  </w:rPr>
                  <w:fldChar w:fldCharType="separate"/>
                </w:r>
                <w:r>
                  <w:rPr>
                    <w:rFonts w:cs="Times New Roman"/>
                    <w:noProof/>
                    <w:webHidden/>
                  </w:rPr>
                  <w:t>10</w:t>
                </w:r>
                <w:r w:rsidRPr="00DA2477">
                  <w:rPr>
                    <w:rFonts w:cs="Times New Roman"/>
                    <w:noProof/>
                    <w:webHidden/>
                  </w:rPr>
                  <w:fldChar w:fldCharType="end"/>
                </w:r>
              </w:hyperlink>
            </w:p>
            <w:p w14:paraId="5B1B4C73"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5" w:history="1">
                <w:r w:rsidRPr="00DA2477">
                  <w:rPr>
                    <w:rStyle w:val="Hyperlink"/>
                    <w:rFonts w:cs="Times New Roman"/>
                    <w:noProof/>
                  </w:rPr>
                  <w:t>a)</w:t>
                </w:r>
                <w:r w:rsidRPr="00DA2477">
                  <w:rPr>
                    <w:rFonts w:eastAsiaTheme="minorEastAsia" w:cs="Times New Roman"/>
                    <w:noProof/>
                    <w:kern w:val="2"/>
                    <w:szCs w:val="24"/>
                    <w14:ligatures w14:val="standardContextual"/>
                  </w:rPr>
                  <w:tab/>
                </w:r>
                <w:r w:rsidRPr="00DA2477">
                  <w:rPr>
                    <w:rStyle w:val="Hyperlink"/>
                    <w:rFonts w:cs="Times New Roman"/>
                    <w:noProof/>
                  </w:rPr>
                  <w:t>Assessment of the cash operating cycle</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_Toc233996395 \h </w:instrText>
                </w:r>
                <w:r w:rsidRPr="00DA2477">
                  <w:rPr>
                    <w:rFonts w:cs="Times New Roman"/>
                    <w:noProof/>
                    <w:webHidden/>
                  </w:rPr>
                </w:r>
                <w:r w:rsidRPr="00DA2477">
                  <w:rPr>
                    <w:rFonts w:cs="Times New Roman"/>
                    <w:noProof/>
                    <w:webHidden/>
                  </w:rPr>
                  <w:fldChar w:fldCharType="separate"/>
                </w:r>
                <w:r>
                  <w:rPr>
                    <w:rFonts w:cs="Times New Roman"/>
                    <w:noProof/>
                    <w:webHidden/>
                  </w:rPr>
                  <w:t>10</w:t>
                </w:r>
                <w:r w:rsidRPr="00DA2477">
                  <w:rPr>
                    <w:rFonts w:cs="Times New Roman"/>
                    <w:noProof/>
                    <w:webHidden/>
                  </w:rPr>
                  <w:fldChar w:fldCharType="end"/>
                </w:r>
              </w:hyperlink>
            </w:p>
            <w:p w14:paraId="4150BEE1"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6" w:history="1">
                <w:r w:rsidRPr="00DA2477">
                  <w:rPr>
                    <w:rStyle w:val="Hyperlink"/>
                    <w:rFonts w:cs="Times New Roman"/>
                    <w:noProof/>
                  </w:rPr>
                  <w:t>b)</w:t>
                </w:r>
                <w:r w:rsidRPr="00DA2477">
                  <w:rPr>
                    <w:rFonts w:eastAsiaTheme="minorEastAsia" w:cs="Times New Roman"/>
                    <w:noProof/>
                    <w:kern w:val="2"/>
                    <w:szCs w:val="24"/>
                    <w14:ligatures w14:val="standardContextual"/>
                  </w:rPr>
                  <w:tab/>
                </w:r>
                <w:r w:rsidRPr="00DA2477">
                  <w:rPr>
                    <w:rStyle w:val="Hyperlink"/>
                    <w:rFonts w:cs="Times New Roman"/>
                    <w:noProof/>
                  </w:rPr>
                  <w:t>Recommendation of strategies for improvement in liquidities</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_Toc233996396 \h </w:instrText>
                </w:r>
                <w:r w:rsidRPr="00DA2477">
                  <w:rPr>
                    <w:rFonts w:cs="Times New Roman"/>
                    <w:noProof/>
                    <w:webHidden/>
                  </w:rPr>
                </w:r>
                <w:r w:rsidRPr="00DA2477">
                  <w:rPr>
                    <w:rFonts w:cs="Times New Roman"/>
                    <w:noProof/>
                    <w:webHidden/>
                  </w:rPr>
                  <w:fldChar w:fldCharType="separate"/>
                </w:r>
                <w:r>
                  <w:rPr>
                    <w:rFonts w:cs="Times New Roman"/>
                    <w:noProof/>
                    <w:webHidden/>
                  </w:rPr>
                  <w:t>10</w:t>
                </w:r>
                <w:r w:rsidRPr="00DA2477">
                  <w:rPr>
                    <w:rFonts w:cs="Times New Roman"/>
                    <w:noProof/>
                    <w:webHidden/>
                  </w:rPr>
                  <w:fldChar w:fldCharType="end"/>
                </w:r>
              </w:hyperlink>
            </w:p>
            <w:p w14:paraId="51B7952E"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7" w:history="1">
                <w:r w:rsidRPr="00DA2477">
                  <w:rPr>
                    <w:rStyle w:val="Hyperlink"/>
                    <w:rFonts w:cs="Times New Roman"/>
                    <w:noProof/>
                  </w:rPr>
                  <w:t>c)</w:t>
                </w:r>
                <w:r w:rsidRPr="00DA2477">
                  <w:rPr>
                    <w:rFonts w:eastAsiaTheme="minorEastAsia" w:cs="Times New Roman"/>
                    <w:noProof/>
                    <w:kern w:val="2"/>
                    <w:szCs w:val="24"/>
                    <w14:ligatures w14:val="standardContextual"/>
                  </w:rPr>
                  <w:tab/>
                </w:r>
                <w:r w:rsidRPr="00DA2477">
                  <w:rPr>
                    <w:rStyle w:val="Hyperlink"/>
                    <w:rFonts w:cs="Times New Roman"/>
                    <w:noProof/>
                  </w:rPr>
                  <w:t>Comparison of short- and long-term options for financing</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_Toc233996397 \h </w:instrText>
                </w:r>
                <w:r w:rsidRPr="00DA2477">
                  <w:rPr>
                    <w:rFonts w:cs="Times New Roman"/>
                    <w:noProof/>
                    <w:webHidden/>
                  </w:rPr>
                </w:r>
                <w:r w:rsidRPr="00DA2477">
                  <w:rPr>
                    <w:rFonts w:cs="Times New Roman"/>
                    <w:noProof/>
                    <w:webHidden/>
                  </w:rPr>
                  <w:fldChar w:fldCharType="separate"/>
                </w:r>
                <w:r>
                  <w:rPr>
                    <w:rFonts w:cs="Times New Roman"/>
                    <w:noProof/>
                    <w:webHidden/>
                  </w:rPr>
                  <w:t>11</w:t>
                </w:r>
                <w:r w:rsidRPr="00DA2477">
                  <w:rPr>
                    <w:rFonts w:cs="Times New Roman"/>
                    <w:noProof/>
                    <w:webHidden/>
                  </w:rPr>
                  <w:fldChar w:fldCharType="end"/>
                </w:r>
              </w:hyperlink>
            </w:p>
            <w:p w14:paraId="0AE2DE94"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8" w:history="1">
                <w:r w:rsidRPr="00DA2477">
                  <w:rPr>
                    <w:rStyle w:val="Hyperlink"/>
                    <w:rFonts w:cs="Times New Roman"/>
                    <w:noProof/>
                  </w:rPr>
                  <w:t>3-</w:t>
                </w:r>
                <w:r w:rsidRPr="00DA2477">
                  <w:rPr>
                    <w:rFonts w:eastAsiaTheme="minorEastAsia" w:cs="Times New Roman"/>
                    <w:noProof/>
                    <w:kern w:val="2"/>
                    <w:szCs w:val="24"/>
                    <w14:ligatures w14:val="standardContextual"/>
                  </w:rPr>
                  <w:tab/>
                </w:r>
                <w:r w:rsidRPr="00DA2477">
                  <w:rPr>
                    <w:rStyle w:val="Hyperlink"/>
                    <w:rFonts w:cs="Times New Roman"/>
                    <w:noProof/>
                  </w:rPr>
                  <w:t>Plan for Strategic Financial Restructuring</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_Toc233996398 \h </w:instrText>
                </w:r>
                <w:r w:rsidRPr="00DA2477">
                  <w:rPr>
                    <w:rFonts w:cs="Times New Roman"/>
                    <w:noProof/>
                    <w:webHidden/>
                  </w:rPr>
                </w:r>
                <w:r w:rsidRPr="00DA2477">
                  <w:rPr>
                    <w:rFonts w:cs="Times New Roman"/>
                    <w:noProof/>
                    <w:webHidden/>
                  </w:rPr>
                  <w:fldChar w:fldCharType="separate"/>
                </w:r>
                <w:r>
                  <w:rPr>
                    <w:rFonts w:cs="Times New Roman"/>
                    <w:noProof/>
                    <w:webHidden/>
                  </w:rPr>
                  <w:t>12</w:t>
                </w:r>
                <w:r w:rsidRPr="00DA2477">
                  <w:rPr>
                    <w:rFonts w:cs="Times New Roman"/>
                    <w:noProof/>
                    <w:webHidden/>
                  </w:rPr>
                  <w:fldChar w:fldCharType="end"/>
                </w:r>
              </w:hyperlink>
            </w:p>
            <w:p w14:paraId="3C819794"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399" w:history="1">
                <w:r w:rsidRPr="00DA2477">
                  <w:rPr>
                    <w:rStyle w:val="Hyperlink"/>
                    <w:rFonts w:cs="Times New Roman"/>
                    <w:noProof/>
                  </w:rPr>
                  <w:t>a)</w:t>
                </w:r>
                <w:r w:rsidRPr="00DA2477">
                  <w:rPr>
                    <w:rFonts w:eastAsiaTheme="minorEastAsia" w:cs="Times New Roman"/>
                    <w:noProof/>
                    <w:kern w:val="2"/>
                    <w:szCs w:val="24"/>
                    <w14:ligatures w14:val="standardContextual"/>
                  </w:rPr>
                  <w:tab/>
                </w:r>
                <w:r w:rsidRPr="00DA2477">
                  <w:rPr>
                    <w:rStyle w:val="Hyperlink"/>
                    <w:rFonts w:cs="Times New Roman"/>
                    <w:noProof/>
                  </w:rPr>
                  <w:t>Recommendation for the options of financial restructuring</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_Toc233996399 \h </w:instrText>
                </w:r>
                <w:r w:rsidRPr="00DA2477">
                  <w:rPr>
                    <w:rFonts w:cs="Times New Roman"/>
                    <w:noProof/>
                    <w:webHidden/>
                  </w:rPr>
                </w:r>
                <w:r w:rsidRPr="00DA2477">
                  <w:rPr>
                    <w:rFonts w:cs="Times New Roman"/>
                    <w:noProof/>
                    <w:webHidden/>
                  </w:rPr>
                  <w:fldChar w:fldCharType="separate"/>
                </w:r>
                <w:r>
                  <w:rPr>
                    <w:rFonts w:cs="Times New Roman"/>
                    <w:noProof/>
                    <w:webHidden/>
                  </w:rPr>
                  <w:t>12</w:t>
                </w:r>
                <w:r w:rsidRPr="00DA2477">
                  <w:rPr>
                    <w:rFonts w:cs="Times New Roman"/>
                    <w:noProof/>
                    <w:webHidden/>
                  </w:rPr>
                  <w:fldChar w:fldCharType="end"/>
                </w:r>
              </w:hyperlink>
            </w:p>
            <w:p w14:paraId="52A0CB00"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0" w:history="1">
                <w:r w:rsidRPr="00DA2477">
                  <w:rPr>
                    <w:rStyle w:val="Hyperlink"/>
                    <w:rFonts w:cs="Times New Roman"/>
                    <w:noProof/>
                  </w:rPr>
                  <w:t>b)</w:t>
                </w:r>
                <w:r w:rsidRPr="00DA2477">
                  <w:rPr>
                    <w:rFonts w:eastAsiaTheme="minorEastAsia" w:cs="Times New Roman"/>
                    <w:noProof/>
                    <w:kern w:val="2"/>
                    <w:szCs w:val="24"/>
                    <w14:ligatures w14:val="standardContextual"/>
                  </w:rPr>
                  <w:tab/>
                </w:r>
                <w:r w:rsidRPr="00DA2477">
                  <w:rPr>
                    <w:rStyle w:val="Hyperlink"/>
                    <w:rFonts w:cs="Times New Roman"/>
                    <w:noProof/>
                  </w:rPr>
                  <w:t>Evaluation</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_Toc233996400 \h </w:instrText>
                </w:r>
                <w:r w:rsidRPr="00DA2477">
                  <w:rPr>
                    <w:rFonts w:cs="Times New Roman"/>
                    <w:noProof/>
                    <w:webHidden/>
                  </w:rPr>
                </w:r>
                <w:r w:rsidRPr="00DA2477">
                  <w:rPr>
                    <w:rFonts w:cs="Times New Roman"/>
                    <w:noProof/>
                    <w:webHidden/>
                  </w:rPr>
                  <w:fldChar w:fldCharType="separate"/>
                </w:r>
                <w:r>
                  <w:rPr>
                    <w:rFonts w:cs="Times New Roman"/>
                    <w:noProof/>
                    <w:webHidden/>
                  </w:rPr>
                  <w:t>13</w:t>
                </w:r>
                <w:r w:rsidRPr="00DA2477">
                  <w:rPr>
                    <w:rFonts w:cs="Times New Roman"/>
                    <w:noProof/>
                    <w:webHidden/>
                  </w:rPr>
                  <w:fldChar w:fldCharType="end"/>
                </w:r>
              </w:hyperlink>
            </w:p>
            <w:p w14:paraId="7D98AEB7"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1" w:history="1">
                <w:r w:rsidRPr="00DA2477">
                  <w:rPr>
                    <w:rStyle w:val="Hyperlink"/>
                    <w:rFonts w:cs="Times New Roman"/>
                    <w:noProof/>
                  </w:rPr>
                  <w:t>c)</w:t>
                </w:r>
                <w:r w:rsidRPr="00DA2477">
                  <w:rPr>
                    <w:rFonts w:eastAsiaTheme="minorEastAsia" w:cs="Times New Roman"/>
                    <w:noProof/>
                    <w:kern w:val="2"/>
                    <w:szCs w:val="24"/>
                    <w14:ligatures w14:val="standardContextual"/>
                  </w:rPr>
                  <w:tab/>
                </w:r>
                <w:r w:rsidRPr="00DA2477">
                  <w:rPr>
                    <w:rStyle w:val="Hyperlink"/>
                    <w:rFonts w:cs="Times New Roman"/>
                    <w:noProof/>
                  </w:rPr>
                  <w:t>Ethical and international considerations</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_Toc233996401 \h </w:instrText>
                </w:r>
                <w:r w:rsidRPr="00DA2477">
                  <w:rPr>
                    <w:rFonts w:cs="Times New Roman"/>
                    <w:noProof/>
                    <w:webHidden/>
                  </w:rPr>
                </w:r>
                <w:r w:rsidRPr="00DA2477">
                  <w:rPr>
                    <w:rFonts w:cs="Times New Roman"/>
                    <w:noProof/>
                    <w:webHidden/>
                  </w:rPr>
                  <w:fldChar w:fldCharType="separate"/>
                </w:r>
                <w:r>
                  <w:rPr>
                    <w:rFonts w:cs="Times New Roman"/>
                    <w:noProof/>
                    <w:webHidden/>
                  </w:rPr>
                  <w:t>13</w:t>
                </w:r>
                <w:r w:rsidRPr="00DA2477">
                  <w:rPr>
                    <w:rFonts w:cs="Times New Roman"/>
                    <w:noProof/>
                    <w:webHidden/>
                  </w:rPr>
                  <w:fldChar w:fldCharType="end"/>
                </w:r>
              </w:hyperlink>
            </w:p>
            <w:p w14:paraId="65739C03"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2" w:history="1">
                <w:r w:rsidRPr="00DA2477">
                  <w:rPr>
                    <w:rStyle w:val="Hyperlink"/>
                    <w:rFonts w:cs="Times New Roman"/>
                    <w:noProof/>
                  </w:rPr>
                  <w:t>4-</w:t>
                </w:r>
                <w:r w:rsidRPr="00DA2477">
                  <w:rPr>
                    <w:rFonts w:eastAsiaTheme="minorEastAsia" w:cs="Times New Roman"/>
                    <w:noProof/>
                    <w:kern w:val="2"/>
                    <w:szCs w:val="24"/>
                    <w14:ligatures w14:val="standardContextual"/>
                  </w:rPr>
                  <w:tab/>
                </w:r>
                <w:r w:rsidRPr="00DA2477">
                  <w:rPr>
                    <w:rStyle w:val="Hyperlink"/>
                    <w:rFonts w:cs="Times New Roman"/>
                    <w:noProof/>
                  </w:rPr>
                  <w:t>Capital budgeting and investment appraisal</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_Toc233996402 \h </w:instrText>
                </w:r>
                <w:r w:rsidRPr="00DA2477">
                  <w:rPr>
                    <w:rFonts w:cs="Times New Roman"/>
                    <w:noProof/>
                    <w:webHidden/>
                  </w:rPr>
                </w:r>
                <w:r w:rsidRPr="00DA2477">
                  <w:rPr>
                    <w:rFonts w:cs="Times New Roman"/>
                    <w:noProof/>
                    <w:webHidden/>
                  </w:rPr>
                  <w:fldChar w:fldCharType="separate"/>
                </w:r>
                <w:r>
                  <w:rPr>
                    <w:rFonts w:cs="Times New Roman"/>
                    <w:noProof/>
                    <w:webHidden/>
                  </w:rPr>
                  <w:t>14</w:t>
                </w:r>
                <w:r w:rsidRPr="00DA2477">
                  <w:rPr>
                    <w:rFonts w:cs="Times New Roman"/>
                    <w:noProof/>
                    <w:webHidden/>
                  </w:rPr>
                  <w:fldChar w:fldCharType="end"/>
                </w:r>
              </w:hyperlink>
            </w:p>
            <w:p w14:paraId="1F3510C2"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3" w:history="1">
                <w:r w:rsidRPr="00DA2477">
                  <w:rPr>
                    <w:rStyle w:val="Hyperlink"/>
                    <w:rFonts w:cs="Times New Roman"/>
                    <w:noProof/>
                  </w:rPr>
                  <w:t>-</w:t>
                </w:r>
                <w:r w:rsidRPr="00DA2477">
                  <w:rPr>
                    <w:rFonts w:eastAsiaTheme="minorEastAsia" w:cs="Times New Roman"/>
                    <w:noProof/>
                    <w:kern w:val="2"/>
                    <w:szCs w:val="24"/>
                    <w14:ligatures w14:val="standardContextual"/>
                  </w:rPr>
                  <w:tab/>
                </w:r>
                <w:r w:rsidRPr="00DA2477">
                  <w:rPr>
                    <w:rStyle w:val="Hyperlink"/>
                    <w:rFonts w:cs="Times New Roman"/>
                    <w:noProof/>
                  </w:rPr>
                  <w:t>Payback Period</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_Toc233996403 \h </w:instrText>
                </w:r>
                <w:r w:rsidRPr="00DA2477">
                  <w:rPr>
                    <w:rFonts w:cs="Times New Roman"/>
                    <w:noProof/>
                    <w:webHidden/>
                  </w:rPr>
                </w:r>
                <w:r w:rsidRPr="00DA2477">
                  <w:rPr>
                    <w:rFonts w:cs="Times New Roman"/>
                    <w:noProof/>
                    <w:webHidden/>
                  </w:rPr>
                  <w:fldChar w:fldCharType="separate"/>
                </w:r>
                <w:r>
                  <w:rPr>
                    <w:rFonts w:cs="Times New Roman"/>
                    <w:noProof/>
                    <w:webHidden/>
                  </w:rPr>
                  <w:t>14</w:t>
                </w:r>
                <w:r w:rsidRPr="00DA2477">
                  <w:rPr>
                    <w:rFonts w:cs="Times New Roman"/>
                    <w:noProof/>
                    <w:webHidden/>
                  </w:rPr>
                  <w:fldChar w:fldCharType="end"/>
                </w:r>
              </w:hyperlink>
            </w:p>
            <w:p w14:paraId="51D0AB02"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4" w:history="1">
                <w:r w:rsidRPr="00DA2477">
                  <w:rPr>
                    <w:rStyle w:val="Hyperlink"/>
                    <w:rFonts w:cs="Times New Roman"/>
                    <w:noProof/>
                  </w:rPr>
                  <w:t>-</w:t>
                </w:r>
                <w:r w:rsidRPr="00DA2477">
                  <w:rPr>
                    <w:rFonts w:eastAsiaTheme="minorEastAsia" w:cs="Times New Roman"/>
                    <w:noProof/>
                    <w:kern w:val="2"/>
                    <w:szCs w:val="24"/>
                    <w14:ligatures w14:val="standardContextual"/>
                  </w:rPr>
                  <w:tab/>
                </w:r>
                <w:r w:rsidRPr="00DA2477">
                  <w:rPr>
                    <w:rStyle w:val="Hyperlink"/>
                    <w:rFonts w:cs="Times New Roman"/>
                    <w:noProof/>
                  </w:rPr>
                  <w:t>Accounting Rate of Return</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_Toc233996404 \h </w:instrText>
                </w:r>
                <w:r w:rsidRPr="00DA2477">
                  <w:rPr>
                    <w:rFonts w:cs="Times New Roman"/>
                    <w:noProof/>
                    <w:webHidden/>
                  </w:rPr>
                </w:r>
                <w:r w:rsidRPr="00DA2477">
                  <w:rPr>
                    <w:rFonts w:cs="Times New Roman"/>
                    <w:noProof/>
                    <w:webHidden/>
                  </w:rPr>
                  <w:fldChar w:fldCharType="separate"/>
                </w:r>
                <w:r>
                  <w:rPr>
                    <w:rFonts w:cs="Times New Roman"/>
                    <w:noProof/>
                    <w:webHidden/>
                  </w:rPr>
                  <w:t>14</w:t>
                </w:r>
                <w:r w:rsidRPr="00DA2477">
                  <w:rPr>
                    <w:rFonts w:cs="Times New Roman"/>
                    <w:noProof/>
                    <w:webHidden/>
                  </w:rPr>
                  <w:fldChar w:fldCharType="end"/>
                </w:r>
              </w:hyperlink>
            </w:p>
            <w:p w14:paraId="4D3D3EF9"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5" w:history="1">
                <w:r w:rsidRPr="00DA2477">
                  <w:rPr>
                    <w:rStyle w:val="Hyperlink"/>
                    <w:rFonts w:cs="Times New Roman"/>
                    <w:noProof/>
                  </w:rPr>
                  <w:t>-</w:t>
                </w:r>
                <w:r w:rsidRPr="00DA2477">
                  <w:rPr>
                    <w:rFonts w:eastAsiaTheme="minorEastAsia" w:cs="Times New Roman"/>
                    <w:noProof/>
                    <w:kern w:val="2"/>
                    <w:szCs w:val="24"/>
                    <w14:ligatures w14:val="standardContextual"/>
                  </w:rPr>
                  <w:tab/>
                </w:r>
                <w:r w:rsidRPr="00DA2477">
                  <w:rPr>
                    <w:rStyle w:val="Hyperlink"/>
                    <w:rFonts w:cs="Times New Roman"/>
                    <w:noProof/>
                  </w:rPr>
                  <w:t>Net Present Value</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_Toc233996405 \h </w:instrText>
                </w:r>
                <w:r w:rsidRPr="00DA2477">
                  <w:rPr>
                    <w:rFonts w:cs="Times New Roman"/>
                    <w:noProof/>
                    <w:webHidden/>
                  </w:rPr>
                </w:r>
                <w:r w:rsidRPr="00DA2477">
                  <w:rPr>
                    <w:rFonts w:cs="Times New Roman"/>
                    <w:noProof/>
                    <w:webHidden/>
                  </w:rPr>
                  <w:fldChar w:fldCharType="separate"/>
                </w:r>
                <w:r>
                  <w:rPr>
                    <w:rFonts w:cs="Times New Roman"/>
                    <w:noProof/>
                    <w:webHidden/>
                  </w:rPr>
                  <w:t>14</w:t>
                </w:r>
                <w:r w:rsidRPr="00DA2477">
                  <w:rPr>
                    <w:rFonts w:cs="Times New Roman"/>
                    <w:noProof/>
                    <w:webHidden/>
                  </w:rPr>
                  <w:fldChar w:fldCharType="end"/>
                </w:r>
              </w:hyperlink>
            </w:p>
            <w:p w14:paraId="41A5A8BB"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6" w:history="1">
                <w:r w:rsidRPr="00DA2477">
                  <w:rPr>
                    <w:rStyle w:val="Hyperlink"/>
                    <w:rFonts w:cs="Times New Roman"/>
                    <w:noProof/>
                  </w:rPr>
                  <w:t>-</w:t>
                </w:r>
                <w:r w:rsidRPr="00DA2477">
                  <w:rPr>
                    <w:rFonts w:eastAsiaTheme="minorEastAsia" w:cs="Times New Roman"/>
                    <w:noProof/>
                    <w:kern w:val="2"/>
                    <w:szCs w:val="24"/>
                    <w14:ligatures w14:val="standardContextual"/>
                  </w:rPr>
                  <w:tab/>
                </w:r>
                <w:r w:rsidRPr="00DA2477">
                  <w:rPr>
                    <w:rStyle w:val="Hyperlink"/>
                    <w:rFonts w:cs="Times New Roman"/>
                    <w:noProof/>
                  </w:rPr>
                  <w:t>Profitability Index</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_Toc233996406 \h </w:instrText>
                </w:r>
                <w:r w:rsidRPr="00DA2477">
                  <w:rPr>
                    <w:rFonts w:cs="Times New Roman"/>
                    <w:noProof/>
                    <w:webHidden/>
                  </w:rPr>
                </w:r>
                <w:r w:rsidRPr="00DA2477">
                  <w:rPr>
                    <w:rFonts w:cs="Times New Roman"/>
                    <w:noProof/>
                    <w:webHidden/>
                  </w:rPr>
                  <w:fldChar w:fldCharType="separate"/>
                </w:r>
                <w:r>
                  <w:rPr>
                    <w:rFonts w:cs="Times New Roman"/>
                    <w:noProof/>
                    <w:webHidden/>
                  </w:rPr>
                  <w:t>15</w:t>
                </w:r>
                <w:r w:rsidRPr="00DA2477">
                  <w:rPr>
                    <w:rFonts w:cs="Times New Roman"/>
                    <w:noProof/>
                    <w:webHidden/>
                  </w:rPr>
                  <w:fldChar w:fldCharType="end"/>
                </w:r>
              </w:hyperlink>
            </w:p>
            <w:p w14:paraId="0B46D259"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7" w:history="1">
                <w:r w:rsidRPr="00DA2477">
                  <w:rPr>
                    <w:rStyle w:val="Hyperlink"/>
                    <w:rFonts w:cs="Times New Roman"/>
                    <w:noProof/>
                  </w:rPr>
                  <w:t>-</w:t>
                </w:r>
                <w:r w:rsidRPr="00DA2477">
                  <w:rPr>
                    <w:rFonts w:eastAsiaTheme="minorEastAsia" w:cs="Times New Roman"/>
                    <w:noProof/>
                    <w:kern w:val="2"/>
                    <w:szCs w:val="24"/>
                    <w14:ligatures w14:val="standardContextual"/>
                  </w:rPr>
                  <w:tab/>
                </w:r>
                <w:r w:rsidRPr="00DA2477">
                  <w:rPr>
                    <w:rStyle w:val="Hyperlink"/>
                    <w:rFonts w:cs="Times New Roman"/>
                    <w:noProof/>
                  </w:rPr>
                  <w:t>Internal Rate of Return</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_Toc233996407 \h </w:instrText>
                </w:r>
                <w:r w:rsidRPr="00DA2477">
                  <w:rPr>
                    <w:rFonts w:cs="Times New Roman"/>
                    <w:noProof/>
                    <w:webHidden/>
                  </w:rPr>
                </w:r>
                <w:r w:rsidRPr="00DA2477">
                  <w:rPr>
                    <w:rFonts w:cs="Times New Roman"/>
                    <w:noProof/>
                    <w:webHidden/>
                  </w:rPr>
                  <w:fldChar w:fldCharType="separate"/>
                </w:r>
                <w:r>
                  <w:rPr>
                    <w:rFonts w:cs="Times New Roman"/>
                    <w:noProof/>
                    <w:webHidden/>
                  </w:rPr>
                  <w:t>15</w:t>
                </w:r>
                <w:r w:rsidRPr="00DA2477">
                  <w:rPr>
                    <w:rFonts w:cs="Times New Roman"/>
                    <w:noProof/>
                    <w:webHidden/>
                  </w:rPr>
                  <w:fldChar w:fldCharType="end"/>
                </w:r>
              </w:hyperlink>
            </w:p>
            <w:p w14:paraId="37004D97"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8" w:history="1">
                <w:r w:rsidRPr="00DA2477">
                  <w:rPr>
                    <w:rStyle w:val="Hyperlink"/>
                    <w:rFonts w:cs="Times New Roman"/>
                    <w:noProof/>
                  </w:rPr>
                  <w:t>-</w:t>
                </w:r>
                <w:r w:rsidRPr="00DA2477">
                  <w:rPr>
                    <w:rFonts w:eastAsiaTheme="minorEastAsia" w:cs="Times New Roman"/>
                    <w:noProof/>
                    <w:kern w:val="2"/>
                    <w:szCs w:val="24"/>
                    <w14:ligatures w14:val="standardContextual"/>
                  </w:rPr>
                  <w:tab/>
                </w:r>
                <w:r w:rsidRPr="00DA2477">
                  <w:rPr>
                    <w:rStyle w:val="Hyperlink"/>
                    <w:rFonts w:cs="Times New Roman"/>
                    <w:noProof/>
                  </w:rPr>
                  <w:t>SUMMARY</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_Toc233996408 \h </w:instrText>
                </w:r>
                <w:r w:rsidRPr="00DA2477">
                  <w:rPr>
                    <w:rFonts w:cs="Times New Roman"/>
                    <w:noProof/>
                    <w:webHidden/>
                  </w:rPr>
                </w:r>
                <w:r w:rsidRPr="00DA2477">
                  <w:rPr>
                    <w:rFonts w:cs="Times New Roman"/>
                    <w:noProof/>
                    <w:webHidden/>
                  </w:rPr>
                  <w:fldChar w:fldCharType="separate"/>
                </w:r>
                <w:r>
                  <w:rPr>
                    <w:rFonts w:cs="Times New Roman"/>
                    <w:noProof/>
                    <w:webHidden/>
                  </w:rPr>
                  <w:t>15</w:t>
                </w:r>
                <w:r w:rsidRPr="00DA2477">
                  <w:rPr>
                    <w:rFonts w:cs="Times New Roman"/>
                    <w:noProof/>
                    <w:webHidden/>
                  </w:rPr>
                  <w:fldChar w:fldCharType="end"/>
                </w:r>
              </w:hyperlink>
            </w:p>
            <w:p w14:paraId="21AD689B"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09" w:history="1">
                <w:r w:rsidRPr="00DA2477">
                  <w:rPr>
                    <w:rStyle w:val="Hyperlink"/>
                    <w:rFonts w:cs="Times New Roman"/>
                    <w:noProof/>
                  </w:rPr>
                  <w:t>d)</w:t>
                </w:r>
                <w:r w:rsidRPr="00DA2477">
                  <w:rPr>
                    <w:rFonts w:eastAsiaTheme="minorEastAsia" w:cs="Times New Roman"/>
                    <w:noProof/>
                    <w:kern w:val="2"/>
                    <w:szCs w:val="24"/>
                    <w14:ligatures w14:val="standardContextual"/>
                  </w:rPr>
                  <w:tab/>
                </w:r>
                <w:r w:rsidRPr="00DA2477">
                  <w:rPr>
                    <w:rStyle w:val="Hyperlink"/>
                    <w:rFonts w:cs="Times New Roman"/>
                    <w:noProof/>
                  </w:rPr>
                  <w:t>Recommendation</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_Toc233996409 \h </w:instrText>
                </w:r>
                <w:r w:rsidRPr="00DA2477">
                  <w:rPr>
                    <w:rFonts w:cs="Times New Roman"/>
                    <w:noProof/>
                    <w:webHidden/>
                  </w:rPr>
                </w:r>
                <w:r w:rsidRPr="00DA2477">
                  <w:rPr>
                    <w:rFonts w:cs="Times New Roman"/>
                    <w:noProof/>
                    <w:webHidden/>
                  </w:rPr>
                  <w:fldChar w:fldCharType="separate"/>
                </w:r>
                <w:r>
                  <w:rPr>
                    <w:rFonts w:cs="Times New Roman"/>
                    <w:noProof/>
                    <w:webHidden/>
                  </w:rPr>
                  <w:t>15</w:t>
                </w:r>
                <w:r w:rsidRPr="00DA2477">
                  <w:rPr>
                    <w:rFonts w:cs="Times New Roman"/>
                    <w:noProof/>
                    <w:webHidden/>
                  </w:rPr>
                  <w:fldChar w:fldCharType="end"/>
                </w:r>
              </w:hyperlink>
            </w:p>
            <w:p w14:paraId="1492D87B"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10" w:history="1">
                <w:r w:rsidRPr="00DA2477">
                  <w:rPr>
                    <w:rStyle w:val="Hyperlink"/>
                    <w:rFonts w:cs="Times New Roman"/>
                    <w:noProof/>
                  </w:rPr>
                  <w:t>e)</w:t>
                </w:r>
                <w:r w:rsidRPr="00DA2477">
                  <w:rPr>
                    <w:rFonts w:eastAsiaTheme="minorEastAsia" w:cs="Times New Roman"/>
                    <w:noProof/>
                    <w:kern w:val="2"/>
                    <w:szCs w:val="24"/>
                    <w14:ligatures w14:val="standardContextual"/>
                  </w:rPr>
                  <w:tab/>
                </w:r>
                <w:r w:rsidRPr="00DA2477">
                  <w:rPr>
                    <w:rStyle w:val="Hyperlink"/>
                    <w:rFonts w:cs="Times New Roman"/>
                    <w:noProof/>
                  </w:rPr>
                  <w:t>Capital Rationing</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_Toc233996410 \h </w:instrText>
                </w:r>
                <w:r w:rsidRPr="00DA2477">
                  <w:rPr>
                    <w:rFonts w:cs="Times New Roman"/>
                    <w:noProof/>
                    <w:webHidden/>
                  </w:rPr>
                </w:r>
                <w:r w:rsidRPr="00DA2477">
                  <w:rPr>
                    <w:rFonts w:cs="Times New Roman"/>
                    <w:noProof/>
                    <w:webHidden/>
                  </w:rPr>
                  <w:fldChar w:fldCharType="separate"/>
                </w:r>
                <w:r>
                  <w:rPr>
                    <w:rFonts w:cs="Times New Roman"/>
                    <w:noProof/>
                    <w:webHidden/>
                  </w:rPr>
                  <w:t>16</w:t>
                </w:r>
                <w:r w:rsidRPr="00DA2477">
                  <w:rPr>
                    <w:rFonts w:cs="Times New Roman"/>
                    <w:noProof/>
                    <w:webHidden/>
                  </w:rPr>
                  <w:fldChar w:fldCharType="end"/>
                </w:r>
              </w:hyperlink>
            </w:p>
            <w:p w14:paraId="608795D0" w14:textId="77777777" w:rsidR="00870A62" w:rsidRPr="00DA2477" w:rsidRDefault="00870A62" w:rsidP="00870A62">
              <w:pPr>
                <w:pStyle w:val="TOC2"/>
                <w:tabs>
                  <w:tab w:val="left" w:pos="720"/>
                  <w:tab w:val="right" w:leader="dot" w:pos="9016"/>
                </w:tabs>
                <w:spacing w:line="240" w:lineRule="auto"/>
                <w:rPr>
                  <w:rFonts w:eastAsiaTheme="minorEastAsia" w:cs="Times New Roman"/>
                  <w:noProof/>
                  <w:kern w:val="2"/>
                  <w:szCs w:val="24"/>
                  <w14:ligatures w14:val="standardContextual"/>
                </w:rPr>
              </w:pPr>
              <w:hyperlink w:anchor="_Toc233996411" w:history="1">
                <w:r w:rsidRPr="00DA2477">
                  <w:rPr>
                    <w:rStyle w:val="Hyperlink"/>
                    <w:rFonts w:cs="Times New Roman"/>
                    <w:noProof/>
                  </w:rPr>
                  <w:t>5-</w:t>
                </w:r>
                <w:r w:rsidRPr="00DA2477">
                  <w:rPr>
                    <w:rFonts w:eastAsiaTheme="minorEastAsia" w:cs="Times New Roman"/>
                    <w:noProof/>
                    <w:kern w:val="2"/>
                    <w:szCs w:val="24"/>
                    <w14:ligatures w14:val="standardContextual"/>
                  </w:rPr>
                  <w:tab/>
                </w:r>
                <w:r w:rsidRPr="00DA2477">
                  <w:rPr>
                    <w:rStyle w:val="Hyperlink"/>
                    <w:rFonts w:cs="Times New Roman"/>
                    <w:noProof/>
                  </w:rPr>
                  <w:t>Reflection</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_Toc233996411 \h </w:instrText>
                </w:r>
                <w:r w:rsidRPr="00DA2477">
                  <w:rPr>
                    <w:rFonts w:cs="Times New Roman"/>
                    <w:noProof/>
                    <w:webHidden/>
                  </w:rPr>
                </w:r>
                <w:r w:rsidRPr="00DA2477">
                  <w:rPr>
                    <w:rFonts w:cs="Times New Roman"/>
                    <w:noProof/>
                    <w:webHidden/>
                  </w:rPr>
                  <w:fldChar w:fldCharType="separate"/>
                </w:r>
                <w:r>
                  <w:rPr>
                    <w:rFonts w:cs="Times New Roman"/>
                    <w:noProof/>
                    <w:webHidden/>
                  </w:rPr>
                  <w:t>17</w:t>
                </w:r>
                <w:r w:rsidRPr="00DA2477">
                  <w:rPr>
                    <w:rFonts w:cs="Times New Roman"/>
                    <w:noProof/>
                    <w:webHidden/>
                  </w:rPr>
                  <w:fldChar w:fldCharType="end"/>
                </w:r>
              </w:hyperlink>
            </w:p>
            <w:p w14:paraId="4C8B3011" w14:textId="77777777" w:rsidR="00870A62" w:rsidRPr="00DA2477" w:rsidRDefault="00870A62" w:rsidP="00870A62">
              <w:pPr>
                <w:pStyle w:val="TOC2"/>
                <w:tabs>
                  <w:tab w:val="right" w:leader="dot" w:pos="9016"/>
                </w:tabs>
                <w:spacing w:line="240" w:lineRule="auto"/>
                <w:rPr>
                  <w:rFonts w:eastAsiaTheme="minorEastAsia" w:cs="Times New Roman"/>
                  <w:noProof/>
                  <w:kern w:val="2"/>
                  <w:szCs w:val="24"/>
                  <w14:ligatures w14:val="standardContextual"/>
                </w:rPr>
              </w:pPr>
              <w:hyperlink w:anchor="_Toc233996412" w:history="1">
                <w:r w:rsidRPr="00DA2477">
                  <w:rPr>
                    <w:rStyle w:val="Hyperlink"/>
                    <w:rFonts w:cs="Times New Roman"/>
                    <w:noProof/>
                  </w:rPr>
                  <w:t>Conclusion</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_Toc233996412 \h </w:instrText>
                </w:r>
                <w:r w:rsidRPr="00DA2477">
                  <w:rPr>
                    <w:rFonts w:cs="Times New Roman"/>
                    <w:noProof/>
                    <w:webHidden/>
                  </w:rPr>
                </w:r>
                <w:r w:rsidRPr="00DA2477">
                  <w:rPr>
                    <w:rFonts w:cs="Times New Roman"/>
                    <w:noProof/>
                    <w:webHidden/>
                  </w:rPr>
                  <w:fldChar w:fldCharType="separate"/>
                </w:r>
                <w:r>
                  <w:rPr>
                    <w:rFonts w:cs="Times New Roman"/>
                    <w:noProof/>
                    <w:webHidden/>
                  </w:rPr>
                  <w:t>19</w:t>
                </w:r>
                <w:r w:rsidRPr="00DA2477">
                  <w:rPr>
                    <w:rFonts w:cs="Times New Roman"/>
                    <w:noProof/>
                    <w:webHidden/>
                  </w:rPr>
                  <w:fldChar w:fldCharType="end"/>
                </w:r>
              </w:hyperlink>
            </w:p>
            <w:p w14:paraId="12BFDE69" w14:textId="77777777" w:rsidR="00870A62" w:rsidRPr="00DA2477" w:rsidRDefault="00870A62" w:rsidP="00870A62">
              <w:pPr>
                <w:pStyle w:val="TOC2"/>
                <w:tabs>
                  <w:tab w:val="right" w:leader="dot" w:pos="9016"/>
                </w:tabs>
                <w:spacing w:line="240" w:lineRule="auto"/>
                <w:rPr>
                  <w:rFonts w:eastAsiaTheme="minorEastAsia" w:cs="Times New Roman"/>
                  <w:noProof/>
                  <w:kern w:val="2"/>
                  <w:szCs w:val="24"/>
                  <w14:ligatures w14:val="standardContextual"/>
                </w:rPr>
              </w:pPr>
              <w:hyperlink w:anchor="_Toc233996413" w:history="1">
                <w:r w:rsidRPr="00DA2477">
                  <w:rPr>
                    <w:rStyle w:val="Hyperlink"/>
                    <w:rFonts w:cs="Times New Roman"/>
                    <w:noProof/>
                  </w:rPr>
                  <w:t>References</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_Toc233996413 \h </w:instrText>
                </w:r>
                <w:r w:rsidRPr="00DA2477">
                  <w:rPr>
                    <w:rFonts w:cs="Times New Roman"/>
                    <w:noProof/>
                    <w:webHidden/>
                  </w:rPr>
                </w:r>
                <w:r w:rsidRPr="00DA2477">
                  <w:rPr>
                    <w:rFonts w:cs="Times New Roman"/>
                    <w:noProof/>
                    <w:webHidden/>
                  </w:rPr>
                  <w:fldChar w:fldCharType="separate"/>
                </w:r>
                <w:r>
                  <w:rPr>
                    <w:rFonts w:cs="Times New Roman"/>
                    <w:noProof/>
                    <w:webHidden/>
                  </w:rPr>
                  <w:t>20</w:t>
                </w:r>
                <w:r w:rsidRPr="00DA2477">
                  <w:rPr>
                    <w:rFonts w:cs="Times New Roman"/>
                    <w:noProof/>
                    <w:webHidden/>
                  </w:rPr>
                  <w:fldChar w:fldCharType="end"/>
                </w:r>
              </w:hyperlink>
            </w:p>
            <w:p w14:paraId="65C41AA3" w14:textId="77777777" w:rsidR="00870A62" w:rsidRPr="00DA2477" w:rsidRDefault="00870A62" w:rsidP="00870A62">
              <w:pPr>
                <w:pStyle w:val="TOC2"/>
                <w:tabs>
                  <w:tab w:val="right" w:leader="dot" w:pos="9016"/>
                </w:tabs>
                <w:spacing w:line="240" w:lineRule="auto"/>
                <w:rPr>
                  <w:rFonts w:eastAsiaTheme="minorEastAsia" w:cs="Times New Roman"/>
                  <w:noProof/>
                  <w:kern w:val="2"/>
                  <w:szCs w:val="24"/>
                  <w14:ligatures w14:val="standardContextual"/>
                </w:rPr>
              </w:pPr>
              <w:hyperlink w:anchor="_Toc233996414" w:history="1">
                <w:r w:rsidRPr="00DA2477">
                  <w:rPr>
                    <w:rStyle w:val="Hyperlink"/>
                    <w:rFonts w:cs="Times New Roman"/>
                    <w:noProof/>
                  </w:rPr>
                  <w:t>Appendices</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_Toc233996414 \h </w:instrText>
                </w:r>
                <w:r w:rsidRPr="00DA2477">
                  <w:rPr>
                    <w:rFonts w:cs="Times New Roman"/>
                    <w:noProof/>
                    <w:webHidden/>
                  </w:rPr>
                </w:r>
                <w:r w:rsidRPr="00DA2477">
                  <w:rPr>
                    <w:rFonts w:cs="Times New Roman"/>
                    <w:noProof/>
                    <w:webHidden/>
                  </w:rPr>
                  <w:fldChar w:fldCharType="separate"/>
                </w:r>
                <w:r>
                  <w:rPr>
                    <w:rFonts w:cs="Times New Roman"/>
                    <w:noProof/>
                    <w:webHidden/>
                  </w:rPr>
                  <w:t>24</w:t>
                </w:r>
                <w:r w:rsidRPr="00DA2477">
                  <w:rPr>
                    <w:rFonts w:cs="Times New Roman"/>
                    <w:noProof/>
                    <w:webHidden/>
                  </w:rPr>
                  <w:fldChar w:fldCharType="end"/>
                </w:r>
              </w:hyperlink>
            </w:p>
            <w:p w14:paraId="2F3EDDC5" w14:textId="77777777" w:rsidR="00870A62" w:rsidRPr="00DA2477" w:rsidRDefault="00870A62" w:rsidP="00870A62">
              <w:pPr>
                <w:pStyle w:val="TOC2"/>
                <w:tabs>
                  <w:tab w:val="right" w:leader="dot" w:pos="9016"/>
                </w:tabs>
                <w:spacing w:line="240" w:lineRule="auto"/>
                <w:rPr>
                  <w:rFonts w:eastAsiaTheme="minorEastAsia" w:cs="Times New Roman"/>
                  <w:noProof/>
                  <w:kern w:val="2"/>
                  <w:szCs w:val="24"/>
                  <w14:ligatures w14:val="standardContextual"/>
                </w:rPr>
              </w:pPr>
              <w:hyperlink w:anchor="_Toc233996415" w:history="1">
                <w:r w:rsidRPr="00DA2477">
                  <w:rPr>
                    <w:rStyle w:val="Hyperlink"/>
                    <w:rFonts w:cs="Times New Roman"/>
                    <w:noProof/>
                  </w:rPr>
                  <w:t>Section A: Ratio Analysis</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_Toc233996415 \h </w:instrText>
                </w:r>
                <w:r w:rsidRPr="00DA2477">
                  <w:rPr>
                    <w:rFonts w:cs="Times New Roman"/>
                    <w:noProof/>
                    <w:webHidden/>
                  </w:rPr>
                </w:r>
                <w:r w:rsidRPr="00DA2477">
                  <w:rPr>
                    <w:rFonts w:cs="Times New Roman"/>
                    <w:noProof/>
                    <w:webHidden/>
                  </w:rPr>
                  <w:fldChar w:fldCharType="separate"/>
                </w:r>
                <w:r>
                  <w:rPr>
                    <w:rFonts w:cs="Times New Roman"/>
                    <w:noProof/>
                    <w:webHidden/>
                  </w:rPr>
                  <w:t>24</w:t>
                </w:r>
                <w:r w:rsidRPr="00DA2477">
                  <w:rPr>
                    <w:rFonts w:cs="Times New Roman"/>
                    <w:noProof/>
                    <w:webHidden/>
                  </w:rPr>
                  <w:fldChar w:fldCharType="end"/>
                </w:r>
              </w:hyperlink>
            </w:p>
            <w:p w14:paraId="19CEA064" w14:textId="77777777" w:rsidR="00870A62" w:rsidRPr="00DA2477" w:rsidRDefault="00870A62" w:rsidP="00870A62">
              <w:pPr>
                <w:pStyle w:val="TOC2"/>
                <w:tabs>
                  <w:tab w:val="right" w:leader="dot" w:pos="9016"/>
                </w:tabs>
                <w:spacing w:line="240" w:lineRule="auto"/>
                <w:rPr>
                  <w:rFonts w:eastAsiaTheme="minorEastAsia" w:cs="Times New Roman"/>
                  <w:noProof/>
                  <w:kern w:val="2"/>
                  <w:szCs w:val="24"/>
                  <w14:ligatures w14:val="standardContextual"/>
                </w:rPr>
              </w:pPr>
              <w:hyperlink w:anchor="_Toc233996416" w:history="1">
                <w:r w:rsidRPr="00DA2477">
                  <w:rPr>
                    <w:rStyle w:val="Hyperlink"/>
                    <w:rFonts w:cs="Times New Roman"/>
                    <w:noProof/>
                  </w:rPr>
                  <w:t>Section B Cash Operating Cycle</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_Toc233996416 \h </w:instrText>
                </w:r>
                <w:r w:rsidRPr="00DA2477">
                  <w:rPr>
                    <w:rFonts w:cs="Times New Roman"/>
                    <w:noProof/>
                    <w:webHidden/>
                  </w:rPr>
                </w:r>
                <w:r w:rsidRPr="00DA2477">
                  <w:rPr>
                    <w:rFonts w:cs="Times New Roman"/>
                    <w:noProof/>
                    <w:webHidden/>
                  </w:rPr>
                  <w:fldChar w:fldCharType="separate"/>
                </w:r>
                <w:r>
                  <w:rPr>
                    <w:rFonts w:cs="Times New Roman"/>
                    <w:noProof/>
                    <w:webHidden/>
                  </w:rPr>
                  <w:t>27</w:t>
                </w:r>
                <w:r w:rsidRPr="00DA2477">
                  <w:rPr>
                    <w:rFonts w:cs="Times New Roman"/>
                    <w:noProof/>
                    <w:webHidden/>
                  </w:rPr>
                  <w:fldChar w:fldCharType="end"/>
                </w:r>
              </w:hyperlink>
            </w:p>
            <w:p w14:paraId="26EBDD4B" w14:textId="77777777" w:rsidR="00870A62" w:rsidRPr="00DA2477" w:rsidRDefault="00870A62" w:rsidP="00870A62">
              <w:pPr>
                <w:pStyle w:val="TOC2"/>
                <w:tabs>
                  <w:tab w:val="right" w:leader="dot" w:pos="9016"/>
                </w:tabs>
                <w:spacing w:line="240" w:lineRule="auto"/>
                <w:rPr>
                  <w:rFonts w:eastAsiaTheme="minorEastAsia" w:cs="Times New Roman"/>
                  <w:noProof/>
                  <w:kern w:val="2"/>
                  <w:szCs w:val="24"/>
                  <w14:ligatures w14:val="standardContextual"/>
                </w:rPr>
              </w:pPr>
              <w:hyperlink w:anchor="_Toc233996417" w:history="1">
                <w:r w:rsidRPr="00DA2477">
                  <w:rPr>
                    <w:rStyle w:val="Hyperlink"/>
                    <w:rFonts w:cs="Times New Roman"/>
                    <w:noProof/>
                  </w:rPr>
                  <w:t>Section C: Investment appraisal calculations</w:t>
                </w:r>
                <w:r w:rsidRPr="00DA2477">
                  <w:rPr>
                    <w:rFonts w:cs="Times New Roman"/>
                    <w:noProof/>
                    <w:webHidden/>
                  </w:rPr>
                  <w:tab/>
                </w:r>
                <w:r w:rsidRPr="00DA2477">
                  <w:rPr>
                    <w:rFonts w:cs="Times New Roman"/>
                    <w:noProof/>
                    <w:webHidden/>
                  </w:rPr>
                  <w:fldChar w:fldCharType="begin"/>
                </w:r>
                <w:r w:rsidRPr="00DA2477">
                  <w:rPr>
                    <w:rFonts w:cs="Times New Roman"/>
                    <w:noProof/>
                    <w:webHidden/>
                  </w:rPr>
                  <w:instrText xml:space="preserve"> PAGEREF _Toc233996417 \h </w:instrText>
                </w:r>
                <w:r w:rsidRPr="00DA2477">
                  <w:rPr>
                    <w:rFonts w:cs="Times New Roman"/>
                    <w:noProof/>
                    <w:webHidden/>
                  </w:rPr>
                </w:r>
                <w:r w:rsidRPr="00DA2477">
                  <w:rPr>
                    <w:rFonts w:cs="Times New Roman"/>
                    <w:noProof/>
                    <w:webHidden/>
                  </w:rPr>
                  <w:fldChar w:fldCharType="separate"/>
                </w:r>
                <w:r>
                  <w:rPr>
                    <w:rFonts w:cs="Times New Roman"/>
                    <w:noProof/>
                    <w:webHidden/>
                  </w:rPr>
                  <w:t>28</w:t>
                </w:r>
                <w:r w:rsidRPr="00DA2477">
                  <w:rPr>
                    <w:rFonts w:cs="Times New Roman"/>
                    <w:noProof/>
                    <w:webHidden/>
                  </w:rPr>
                  <w:fldChar w:fldCharType="end"/>
                </w:r>
              </w:hyperlink>
            </w:p>
            <w:p w14:paraId="41954C3B" w14:textId="77777777" w:rsidR="00870A62" w:rsidRPr="00DA2477" w:rsidRDefault="00870A62" w:rsidP="00870A62">
              <w:pPr>
                <w:spacing w:line="240" w:lineRule="auto"/>
                <w:rPr>
                  <w:rFonts w:cs="Times New Roman"/>
                </w:rPr>
              </w:pPr>
              <w:r w:rsidRPr="00DA2477">
                <w:rPr>
                  <w:rFonts w:cs="Times New Roman"/>
                  <w:b/>
                  <w:bCs/>
                  <w:noProof/>
                </w:rPr>
                <w:fldChar w:fldCharType="end"/>
              </w:r>
            </w:p>
            <w:p w14:paraId="179A3FF0" w14:textId="77777777" w:rsidR="00870A62" w:rsidRPr="00DA2477" w:rsidRDefault="00870A62" w:rsidP="00870A62">
              <w:pPr>
                <w:spacing w:line="360" w:lineRule="auto"/>
                <w:rPr>
                  <w:rFonts w:cs="Times New Roman"/>
                </w:rPr>
              </w:pPr>
            </w:p>
          </w:sdtContent>
        </w:sdt>
      </w:sdtContent>
    </w:sdt>
    <w:bookmarkEnd w:id="0" w:displacedByCustomXml="prev"/>
    <w:p w14:paraId="13939F20" w14:textId="77777777" w:rsidR="00870A62" w:rsidRPr="00DA2477" w:rsidRDefault="00870A62" w:rsidP="00870A62">
      <w:pPr>
        <w:rPr>
          <w:rFonts w:cs="Times New Roman"/>
        </w:rPr>
      </w:pPr>
    </w:p>
    <w:p w14:paraId="214C464D" w14:textId="77777777" w:rsidR="00870A62" w:rsidRPr="00DA2477" w:rsidRDefault="00870A62" w:rsidP="00870A62">
      <w:pPr>
        <w:rPr>
          <w:rFonts w:cs="Times New Roman"/>
        </w:rPr>
      </w:pPr>
    </w:p>
    <w:p w14:paraId="0631A9E1" w14:textId="77777777" w:rsidR="00870A62" w:rsidRPr="00DA2477" w:rsidRDefault="00870A62" w:rsidP="00870A62">
      <w:pPr>
        <w:rPr>
          <w:rFonts w:cs="Times New Roman"/>
        </w:rPr>
      </w:pPr>
    </w:p>
    <w:p w14:paraId="3A4ECF2A" w14:textId="77777777" w:rsidR="00870A62" w:rsidRPr="00DA2477" w:rsidRDefault="00870A62" w:rsidP="00870A62">
      <w:pPr>
        <w:pStyle w:val="Heading2"/>
        <w:spacing w:line="360" w:lineRule="auto"/>
        <w:rPr>
          <w:rFonts w:cs="Times New Roman"/>
        </w:rPr>
      </w:pPr>
      <w:bookmarkStart w:id="1" w:name="_Toc233996388"/>
      <w:r w:rsidRPr="00DA2477">
        <w:rPr>
          <w:rFonts w:cs="Times New Roman"/>
        </w:rPr>
        <w:t>Introduction</w:t>
      </w:r>
      <w:bookmarkEnd w:id="1"/>
    </w:p>
    <w:p w14:paraId="7C6E6176" w14:textId="77777777" w:rsidR="00870A62" w:rsidRPr="00DA2477" w:rsidRDefault="00870A62" w:rsidP="00870A62">
      <w:pPr>
        <w:spacing w:line="360" w:lineRule="auto"/>
        <w:rPr>
          <w:rFonts w:cs="Times New Roman"/>
        </w:rPr>
      </w:pPr>
      <w:r w:rsidRPr="00DA2477">
        <w:rPr>
          <w:rFonts w:cs="Times New Roman"/>
        </w:rPr>
        <w:t xml:space="preserve">The report aims to provide a detailed financial analysis of Marriott International, which is a hospitality company located in various countries. The headquarters of Marriott International </w:t>
      </w:r>
      <w:proofErr w:type="gramStart"/>
      <w:r w:rsidRPr="00DA2477">
        <w:rPr>
          <w:rFonts w:cs="Times New Roman"/>
        </w:rPr>
        <w:t>is located in</w:t>
      </w:r>
      <w:proofErr w:type="gramEnd"/>
      <w:r w:rsidRPr="00DA2477">
        <w:rPr>
          <w:rFonts w:cs="Times New Roman"/>
        </w:rPr>
        <w:t xml:space="preserve"> Bethesda, USA. The company was founded in 1927, and there are more than a thousand resorts, hotels, and franchises in more than 140 countries for Marriott. The report will provide a detailed analysis of the financial statements for the period of 5 years, from 2021 to 2025. The analysis will include ratio analysis, trends, including threats and strengths of the company. The analysis of working capital will include an assessment of the cash operating cycle and the strategies suitable for improvement in the liquidity position. The report will also provide a discussion on financial restructuring. From the provided scenario, investment appraisal and capital budgeting will be done. The last part will cover the reflection related to the explanation of AI tools, critical evaluation, and contribution analysis.</w:t>
      </w:r>
    </w:p>
    <w:p w14:paraId="319DD897" w14:textId="77777777" w:rsidR="00870A62" w:rsidRPr="00DA2477" w:rsidRDefault="00870A62" w:rsidP="00870A62">
      <w:pPr>
        <w:pStyle w:val="Heading2"/>
        <w:numPr>
          <w:ilvl w:val="0"/>
          <w:numId w:val="3"/>
        </w:numPr>
        <w:spacing w:line="360" w:lineRule="auto"/>
        <w:rPr>
          <w:rFonts w:cs="Times New Roman"/>
        </w:rPr>
      </w:pPr>
      <w:bookmarkStart w:id="2" w:name="_Toc233996389"/>
      <w:r w:rsidRPr="00DA2477">
        <w:rPr>
          <w:rFonts w:cs="Times New Roman"/>
        </w:rPr>
        <w:t>Analysis of financial health</w:t>
      </w:r>
      <w:bookmarkEnd w:id="2"/>
    </w:p>
    <w:p w14:paraId="0F8AE1EA" w14:textId="77777777" w:rsidR="00870A62" w:rsidRPr="00DA2477" w:rsidRDefault="00870A62" w:rsidP="00870A62">
      <w:pPr>
        <w:pStyle w:val="Heading2"/>
        <w:numPr>
          <w:ilvl w:val="0"/>
          <w:numId w:val="4"/>
        </w:numPr>
        <w:spacing w:line="360" w:lineRule="auto"/>
        <w:rPr>
          <w:rFonts w:cs="Times New Roman"/>
        </w:rPr>
      </w:pPr>
      <w:bookmarkStart w:id="3" w:name="_Toc233996390"/>
      <w:r w:rsidRPr="00DA2477">
        <w:rPr>
          <w:rFonts w:cs="Times New Roman"/>
        </w:rPr>
        <w:t>Five Years Performance</w:t>
      </w:r>
      <w:bookmarkEnd w:id="3"/>
      <w:r w:rsidRPr="00DA2477">
        <w:rPr>
          <w:rFonts w:cs="Times New Roman"/>
        </w:rPr>
        <w:t xml:space="preserve"> </w:t>
      </w:r>
    </w:p>
    <w:p w14:paraId="5E09854E" w14:textId="77777777" w:rsidR="00870A62" w:rsidRPr="00DA2477" w:rsidRDefault="00870A62" w:rsidP="00870A62">
      <w:pPr>
        <w:spacing w:line="360" w:lineRule="auto"/>
        <w:jc w:val="center"/>
        <w:rPr>
          <w:rFonts w:cs="Times New Roman"/>
          <w:b/>
          <w:bCs/>
          <w:szCs w:val="24"/>
        </w:rPr>
      </w:pPr>
      <w:r w:rsidRPr="00DA2477">
        <w:rPr>
          <w:rFonts w:cs="Times New Roman"/>
          <w:noProof/>
        </w:rPr>
        <w:drawing>
          <wp:inline distT="0" distB="0" distL="0" distR="0" wp14:anchorId="51BC3D6B" wp14:editId="3D8D0A83">
            <wp:extent cx="4695825" cy="581025"/>
            <wp:effectExtent l="0" t="0" r="9525" b="9525"/>
            <wp:docPr id="1351697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97755"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695825" cy="581025"/>
                    </a:xfrm>
                    <a:prstGeom prst="rect">
                      <a:avLst/>
                    </a:prstGeom>
                    <a:noFill/>
                    <a:ln>
                      <a:noFill/>
                    </a:ln>
                  </pic:spPr>
                </pic:pic>
              </a:graphicData>
            </a:graphic>
          </wp:inline>
        </w:drawing>
      </w:r>
    </w:p>
    <w:p w14:paraId="2E4BDD20" w14:textId="77777777" w:rsidR="00870A62" w:rsidRPr="00DA2477" w:rsidRDefault="00870A62" w:rsidP="00870A62">
      <w:pPr>
        <w:spacing w:line="360" w:lineRule="auto"/>
        <w:rPr>
          <w:rFonts w:cs="Times New Roman"/>
        </w:rPr>
      </w:pPr>
      <w:r w:rsidRPr="00DA2477">
        <w:rPr>
          <w:rFonts w:cs="Times New Roman"/>
        </w:rPr>
        <w:t xml:space="preserve">There has been strong growth in revenue observed after analyzing the provided table, in which the revenue trend of Marriott International can be seen. The revenue was down during Covid'19 when there was no tourism; therefore, the hospitality industry suffered a lot, but post-COVID, the company has shown a high commitment to increase its revenue mainly by 50% </w:t>
      </w:r>
      <w:r w:rsidRPr="00DA2477">
        <w:rPr>
          <w:rFonts w:cs="Times New Roman"/>
          <w:szCs w:val="24"/>
        </w:rPr>
        <w:t>(Chen, 2025).</w:t>
      </w:r>
    </w:p>
    <w:p w14:paraId="2F6EDBA9" w14:textId="77777777" w:rsidR="00870A62" w:rsidRPr="00DA2477" w:rsidRDefault="00870A62" w:rsidP="00870A62">
      <w:pPr>
        <w:spacing w:line="360" w:lineRule="auto"/>
        <w:jc w:val="center"/>
        <w:rPr>
          <w:rFonts w:cs="Times New Roman"/>
          <w:b/>
          <w:bCs/>
          <w:szCs w:val="24"/>
        </w:rPr>
      </w:pPr>
      <w:r w:rsidRPr="00DA2477">
        <w:rPr>
          <w:rFonts w:cs="Times New Roman"/>
          <w:noProof/>
        </w:rPr>
        <w:lastRenderedPageBreak/>
        <w:drawing>
          <wp:inline distT="0" distB="0" distL="0" distR="0" wp14:anchorId="66D918DB" wp14:editId="139F4507">
            <wp:extent cx="4400550" cy="2686050"/>
            <wp:effectExtent l="0" t="0" r="6350" b="6350"/>
            <wp:docPr id="323827060" name="Chart 1">
              <a:extLst xmlns:a="http://schemas.openxmlformats.org/drawingml/2006/main">
                <a:ext uri="{FF2B5EF4-FFF2-40B4-BE49-F238E27FC236}">
                  <a16:creationId xmlns:a16="http://schemas.microsoft.com/office/drawing/2014/main" id="{1EE38772-32B8-A4A5-05B3-64F3516FAE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AED9D5D" w14:textId="77777777" w:rsidR="00870A62" w:rsidRPr="00DA2477" w:rsidRDefault="00870A62" w:rsidP="00870A62">
      <w:pPr>
        <w:tabs>
          <w:tab w:val="left" w:pos="3915"/>
        </w:tabs>
        <w:spacing w:line="360" w:lineRule="auto"/>
        <w:jc w:val="center"/>
        <w:rPr>
          <w:rFonts w:cs="Times New Roman"/>
          <w:b/>
          <w:bCs/>
          <w:szCs w:val="24"/>
        </w:rPr>
      </w:pPr>
      <w:r w:rsidRPr="00DA2477">
        <w:rPr>
          <w:rFonts w:cs="Times New Roman"/>
          <w:noProof/>
        </w:rPr>
        <w:drawing>
          <wp:inline distT="0" distB="0" distL="0" distR="0" wp14:anchorId="3551A2E9" wp14:editId="17E3A262">
            <wp:extent cx="4695825" cy="581025"/>
            <wp:effectExtent l="0" t="0" r="9525" b="9525"/>
            <wp:docPr id="270306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06899"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695825" cy="581025"/>
                    </a:xfrm>
                    <a:prstGeom prst="rect">
                      <a:avLst/>
                    </a:prstGeom>
                    <a:noFill/>
                    <a:ln>
                      <a:noFill/>
                    </a:ln>
                  </pic:spPr>
                </pic:pic>
              </a:graphicData>
            </a:graphic>
          </wp:inline>
        </w:drawing>
      </w:r>
    </w:p>
    <w:p w14:paraId="18BAD0C1" w14:textId="77777777" w:rsidR="00870A62" w:rsidRPr="00DA2477" w:rsidRDefault="00870A62" w:rsidP="00870A62">
      <w:pPr>
        <w:tabs>
          <w:tab w:val="left" w:pos="3915"/>
        </w:tabs>
        <w:spacing w:line="360" w:lineRule="auto"/>
        <w:rPr>
          <w:rFonts w:cs="Times New Roman"/>
          <w:szCs w:val="24"/>
        </w:rPr>
      </w:pPr>
      <w:proofErr w:type="gramStart"/>
      <w:r w:rsidRPr="00DA2477">
        <w:rPr>
          <w:rFonts w:cs="Times New Roman"/>
          <w:szCs w:val="24"/>
        </w:rPr>
        <w:t>Similar to</w:t>
      </w:r>
      <w:proofErr w:type="gramEnd"/>
      <w:r w:rsidRPr="00DA2477">
        <w:rPr>
          <w:rFonts w:cs="Times New Roman"/>
          <w:szCs w:val="24"/>
        </w:rPr>
        <w:t xml:space="preserve"> the increase in revenue, the cost of sales is also increasing over time, but the growth rate is lower than that of revenue, which can create a positive impact on the profitability of the company (Adão, 2025). Mainly in 2025, there has been a growth of 4.2% in cost of sales, which means that discipline with respect to cost has been maintained by Marriott, but in 2022, the increase rate for cost of sales was higher than the revenue, but this gap is adjusted positively.</w:t>
      </w:r>
    </w:p>
    <w:p w14:paraId="51E73907" w14:textId="77777777" w:rsidR="00870A62" w:rsidRPr="00DA2477" w:rsidRDefault="00870A62" w:rsidP="00870A62">
      <w:pPr>
        <w:tabs>
          <w:tab w:val="left" w:pos="3915"/>
        </w:tabs>
        <w:spacing w:line="360" w:lineRule="auto"/>
        <w:rPr>
          <w:rFonts w:cs="Times New Roman"/>
          <w:b/>
          <w:bCs/>
          <w:szCs w:val="24"/>
        </w:rPr>
      </w:pPr>
    </w:p>
    <w:p w14:paraId="2E83B53C" w14:textId="77777777" w:rsidR="00870A62" w:rsidRPr="00DA2477" w:rsidRDefault="00870A62" w:rsidP="00870A62">
      <w:pPr>
        <w:spacing w:line="360" w:lineRule="auto"/>
        <w:jc w:val="center"/>
        <w:rPr>
          <w:rFonts w:cs="Times New Roman"/>
          <w:b/>
          <w:bCs/>
          <w:szCs w:val="24"/>
        </w:rPr>
      </w:pPr>
      <w:r w:rsidRPr="00DA2477">
        <w:rPr>
          <w:rFonts w:cs="Times New Roman"/>
          <w:noProof/>
        </w:rPr>
        <w:drawing>
          <wp:inline distT="0" distB="0" distL="0" distR="0" wp14:anchorId="12D945FF" wp14:editId="2DE04F35">
            <wp:extent cx="4572000" cy="2743200"/>
            <wp:effectExtent l="0" t="0" r="12700" b="12700"/>
            <wp:docPr id="1183898271" name="Chart 1">
              <a:extLst xmlns:a="http://schemas.openxmlformats.org/drawingml/2006/main">
                <a:ext uri="{FF2B5EF4-FFF2-40B4-BE49-F238E27FC236}">
                  <a16:creationId xmlns:a16="http://schemas.microsoft.com/office/drawing/2014/main" id="{3C19F9FA-E05A-6C3B-F135-50E1EAD455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DCC83A9" w14:textId="77777777" w:rsidR="00870A62" w:rsidRPr="00DA2477" w:rsidRDefault="00870A62" w:rsidP="00870A62">
      <w:pPr>
        <w:spacing w:line="360" w:lineRule="auto"/>
        <w:jc w:val="center"/>
        <w:rPr>
          <w:rFonts w:cs="Times New Roman"/>
          <w:b/>
          <w:bCs/>
        </w:rPr>
      </w:pPr>
      <w:r w:rsidRPr="00DA2477">
        <w:rPr>
          <w:rFonts w:cs="Times New Roman"/>
          <w:noProof/>
        </w:rPr>
        <w:lastRenderedPageBreak/>
        <w:drawing>
          <wp:inline distT="0" distB="0" distL="0" distR="0" wp14:anchorId="3D247E91" wp14:editId="3C18551F">
            <wp:extent cx="4695825" cy="581025"/>
            <wp:effectExtent l="0" t="0" r="9525" b="9525"/>
            <wp:docPr id="20190911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091162"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695825" cy="581025"/>
                    </a:xfrm>
                    <a:prstGeom prst="rect">
                      <a:avLst/>
                    </a:prstGeom>
                    <a:noFill/>
                    <a:ln>
                      <a:noFill/>
                    </a:ln>
                  </pic:spPr>
                </pic:pic>
              </a:graphicData>
            </a:graphic>
          </wp:inline>
        </w:drawing>
      </w:r>
    </w:p>
    <w:p w14:paraId="79E39B18" w14:textId="77777777" w:rsidR="00870A62" w:rsidRPr="00DA2477" w:rsidRDefault="00870A62" w:rsidP="00870A62">
      <w:pPr>
        <w:spacing w:line="360" w:lineRule="auto"/>
        <w:rPr>
          <w:rFonts w:cs="Times New Roman"/>
        </w:rPr>
      </w:pPr>
      <w:r w:rsidRPr="00DA2477">
        <w:rPr>
          <w:rFonts w:cs="Times New Roman"/>
        </w:rPr>
        <w:t xml:space="preserve">There has been volatility in the profitability of Marriott during the past 5 years. The point of concern is the decline in profits in 2024, but the company has made a good recovery in 2025, and it is also observed that the growth rate of net profit in 2025 is higher than revenue, which means that operational efficiency has been improved and margins have expanded </w:t>
      </w:r>
      <w:r w:rsidRPr="00DA2477">
        <w:rPr>
          <w:rFonts w:cs="Times New Roman"/>
          <w:szCs w:val="24"/>
        </w:rPr>
        <w:t>(</w:t>
      </w:r>
      <w:proofErr w:type="spellStart"/>
      <w:r w:rsidRPr="00DA2477">
        <w:rPr>
          <w:rFonts w:cs="Times New Roman"/>
          <w:szCs w:val="24"/>
        </w:rPr>
        <w:t>Horozhankina</w:t>
      </w:r>
      <w:proofErr w:type="spellEnd"/>
      <w:r w:rsidRPr="00DA2477">
        <w:rPr>
          <w:rFonts w:cs="Times New Roman"/>
          <w:szCs w:val="24"/>
        </w:rPr>
        <w:t xml:space="preserve"> et al., 2024).</w:t>
      </w:r>
    </w:p>
    <w:p w14:paraId="2BC1EA78" w14:textId="77777777" w:rsidR="00870A62" w:rsidRPr="00DA2477" w:rsidRDefault="00870A62" w:rsidP="00870A62">
      <w:pPr>
        <w:spacing w:line="360" w:lineRule="auto"/>
        <w:jc w:val="center"/>
        <w:rPr>
          <w:rFonts w:cs="Times New Roman"/>
          <w:b/>
          <w:bCs/>
        </w:rPr>
      </w:pPr>
      <w:r w:rsidRPr="00DA2477">
        <w:rPr>
          <w:rFonts w:cs="Times New Roman"/>
          <w:noProof/>
        </w:rPr>
        <w:drawing>
          <wp:inline distT="0" distB="0" distL="0" distR="0" wp14:anchorId="0C8654F1" wp14:editId="02F55100">
            <wp:extent cx="4171950" cy="2657475"/>
            <wp:effectExtent l="0" t="0" r="6350" b="9525"/>
            <wp:docPr id="1088509164" name="Chart 1">
              <a:extLst xmlns:a="http://schemas.openxmlformats.org/drawingml/2006/main">
                <a:ext uri="{FF2B5EF4-FFF2-40B4-BE49-F238E27FC236}">
                  <a16:creationId xmlns:a16="http://schemas.microsoft.com/office/drawing/2014/main" id="{B4062853-4C4B-38A0-8B72-2203ABDA92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4CD615" w14:textId="77777777" w:rsidR="00870A62" w:rsidRPr="00DA2477" w:rsidRDefault="00870A62" w:rsidP="00870A62">
      <w:pPr>
        <w:spacing w:line="360" w:lineRule="auto"/>
        <w:jc w:val="center"/>
        <w:rPr>
          <w:rFonts w:cs="Times New Roman"/>
        </w:rPr>
      </w:pPr>
      <w:r w:rsidRPr="00DA2477">
        <w:rPr>
          <w:rFonts w:cs="Times New Roman"/>
          <w:noProof/>
        </w:rPr>
        <w:drawing>
          <wp:inline distT="0" distB="0" distL="0" distR="0" wp14:anchorId="66B39194" wp14:editId="11E4BDE6">
            <wp:extent cx="4695825" cy="581025"/>
            <wp:effectExtent l="0" t="0" r="9525" b="9525"/>
            <wp:docPr id="5492216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221633"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695825" cy="581025"/>
                    </a:xfrm>
                    <a:prstGeom prst="rect">
                      <a:avLst/>
                    </a:prstGeom>
                    <a:noFill/>
                    <a:ln>
                      <a:noFill/>
                    </a:ln>
                  </pic:spPr>
                </pic:pic>
              </a:graphicData>
            </a:graphic>
          </wp:inline>
        </w:drawing>
      </w:r>
    </w:p>
    <w:p w14:paraId="23BDD153" w14:textId="77777777" w:rsidR="00870A62" w:rsidRPr="00DA2477" w:rsidRDefault="00870A62" w:rsidP="00870A62">
      <w:pPr>
        <w:spacing w:line="360" w:lineRule="auto"/>
        <w:rPr>
          <w:rFonts w:cs="Times New Roman"/>
        </w:rPr>
      </w:pPr>
      <w:r w:rsidRPr="00DA2477">
        <w:rPr>
          <w:rFonts w:cs="Times New Roman"/>
        </w:rPr>
        <w:t xml:space="preserve">There has been steady expansion in the total assets of Marriott; however, a dip was observed in 2022, which means that the company has worked towards providing strength to the balance sheet and renewed its investments </w:t>
      </w:r>
      <w:r w:rsidRPr="00DA2477">
        <w:rPr>
          <w:rFonts w:cs="Times New Roman"/>
          <w:szCs w:val="24"/>
        </w:rPr>
        <w:t>(Eschenbrenner et al., 2023).</w:t>
      </w:r>
      <w:r w:rsidRPr="00DA2477">
        <w:rPr>
          <w:rFonts w:cs="Times New Roman"/>
        </w:rPr>
        <w:t xml:space="preserve"> There is a growth of 5.2% in 2025, which is the best growth rate after the recovery phase, and it also reflects the effective deployment of capital </w:t>
      </w:r>
      <w:r w:rsidRPr="00DA2477">
        <w:rPr>
          <w:rFonts w:cs="Times New Roman"/>
          <w:szCs w:val="24"/>
        </w:rPr>
        <w:t>(Correia, 2022).</w:t>
      </w:r>
    </w:p>
    <w:p w14:paraId="441433FF" w14:textId="77777777" w:rsidR="00870A62" w:rsidRPr="00DA2477" w:rsidRDefault="00870A62" w:rsidP="00870A62">
      <w:pPr>
        <w:tabs>
          <w:tab w:val="left" w:pos="2940"/>
        </w:tabs>
        <w:rPr>
          <w:rFonts w:cs="Times New Roman"/>
        </w:rPr>
      </w:pPr>
      <w:r w:rsidRPr="00DA2477">
        <w:rPr>
          <w:rFonts w:cs="Times New Roman"/>
        </w:rPr>
        <w:tab/>
      </w:r>
    </w:p>
    <w:p w14:paraId="561B851E" w14:textId="77777777" w:rsidR="00870A62" w:rsidRPr="00DA2477" w:rsidRDefault="00870A62" w:rsidP="00870A62">
      <w:pPr>
        <w:tabs>
          <w:tab w:val="left" w:pos="2940"/>
        </w:tabs>
        <w:jc w:val="center"/>
        <w:rPr>
          <w:rFonts w:cs="Times New Roman"/>
        </w:rPr>
      </w:pPr>
      <w:r w:rsidRPr="00DA2477">
        <w:rPr>
          <w:rFonts w:cs="Times New Roman"/>
          <w:noProof/>
        </w:rPr>
        <w:lastRenderedPageBreak/>
        <w:drawing>
          <wp:inline distT="0" distB="0" distL="0" distR="0" wp14:anchorId="0F55DFF3" wp14:editId="31EF4D7F">
            <wp:extent cx="4572000" cy="2743200"/>
            <wp:effectExtent l="0" t="0" r="12700" b="12700"/>
            <wp:docPr id="419740533" name="Chart 1">
              <a:extLst xmlns:a="http://schemas.openxmlformats.org/drawingml/2006/main">
                <a:ext uri="{FF2B5EF4-FFF2-40B4-BE49-F238E27FC236}">
                  <a16:creationId xmlns:a16="http://schemas.microsoft.com/office/drawing/2014/main" id="{CDB4E3C7-F199-2AC8-84C3-B3902B2A18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CEB4AD" w14:textId="77777777" w:rsidR="00870A62" w:rsidRPr="00DA2477" w:rsidRDefault="00870A62" w:rsidP="00870A62">
      <w:pPr>
        <w:tabs>
          <w:tab w:val="left" w:pos="2940"/>
        </w:tabs>
        <w:jc w:val="center"/>
        <w:rPr>
          <w:rFonts w:cs="Times New Roman"/>
        </w:rPr>
      </w:pPr>
      <w:r w:rsidRPr="00DA2477">
        <w:rPr>
          <w:rFonts w:cs="Times New Roman"/>
          <w:noProof/>
        </w:rPr>
        <w:drawing>
          <wp:inline distT="0" distB="0" distL="0" distR="0" wp14:anchorId="1575B3C6" wp14:editId="5F7E6FFF">
            <wp:extent cx="4695825" cy="581025"/>
            <wp:effectExtent l="0" t="0" r="9525" b="9525"/>
            <wp:docPr id="1036275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275747" name="Picture 4"/>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695825" cy="581025"/>
                    </a:xfrm>
                    <a:prstGeom prst="rect">
                      <a:avLst/>
                    </a:prstGeom>
                    <a:noFill/>
                    <a:ln>
                      <a:noFill/>
                    </a:ln>
                  </pic:spPr>
                </pic:pic>
              </a:graphicData>
            </a:graphic>
          </wp:inline>
        </w:drawing>
      </w:r>
    </w:p>
    <w:p w14:paraId="2CF63674" w14:textId="77777777" w:rsidR="00870A62" w:rsidRPr="00DA2477" w:rsidRDefault="00870A62" w:rsidP="00870A62">
      <w:pPr>
        <w:tabs>
          <w:tab w:val="left" w:pos="2940"/>
        </w:tabs>
        <w:spacing w:line="360" w:lineRule="auto"/>
        <w:rPr>
          <w:rFonts w:cs="Times New Roman"/>
        </w:rPr>
      </w:pPr>
      <w:r w:rsidRPr="00DA2477">
        <w:rPr>
          <w:rFonts w:cs="Times New Roman"/>
        </w:rPr>
        <w:t xml:space="preserve">There has been a consistent increase in the total liabilities of Marriott compared to its total assets. The compassion shows the total assets of 27,540 in 2025, whereas total liabilities were 31,311 in 2025. This difference seems common in the hospitality industry </w:t>
      </w:r>
      <w:r w:rsidRPr="00DA2477">
        <w:rPr>
          <w:rFonts w:cs="Times New Roman"/>
          <w:szCs w:val="24"/>
        </w:rPr>
        <w:t>(Rice et al., 2023).</w:t>
      </w:r>
      <w:r w:rsidRPr="00DA2477">
        <w:rPr>
          <w:rFonts w:cs="Times New Roman"/>
        </w:rPr>
        <w:t xml:space="preserve"> The company has high leverage, which is justified through an increase in liabilities at a good rate compared to assets.</w:t>
      </w:r>
    </w:p>
    <w:p w14:paraId="7C93BF4D" w14:textId="77777777" w:rsidR="00870A62" w:rsidRPr="00DA2477" w:rsidRDefault="00870A62" w:rsidP="00870A62">
      <w:pPr>
        <w:tabs>
          <w:tab w:val="left" w:pos="2940"/>
        </w:tabs>
        <w:rPr>
          <w:rFonts w:cs="Times New Roman"/>
        </w:rPr>
      </w:pPr>
    </w:p>
    <w:p w14:paraId="4B1EF1E5" w14:textId="77777777" w:rsidR="00870A62" w:rsidRPr="00DA2477" w:rsidRDefault="00870A62" w:rsidP="00870A62">
      <w:pPr>
        <w:tabs>
          <w:tab w:val="left" w:pos="2940"/>
        </w:tabs>
        <w:jc w:val="center"/>
        <w:rPr>
          <w:rFonts w:cs="Times New Roman"/>
        </w:rPr>
      </w:pPr>
      <w:r w:rsidRPr="00DA2477">
        <w:rPr>
          <w:rFonts w:cs="Times New Roman"/>
          <w:noProof/>
        </w:rPr>
        <w:drawing>
          <wp:inline distT="0" distB="0" distL="0" distR="0" wp14:anchorId="109B64E7" wp14:editId="0BFA1F61">
            <wp:extent cx="5076825" cy="2743200"/>
            <wp:effectExtent l="0" t="0" r="15875" b="12700"/>
            <wp:docPr id="1714336379" name="Chart 1">
              <a:extLst xmlns:a="http://schemas.openxmlformats.org/drawingml/2006/main">
                <a:ext uri="{FF2B5EF4-FFF2-40B4-BE49-F238E27FC236}">
                  <a16:creationId xmlns:a16="http://schemas.microsoft.com/office/drawing/2014/main" id="{5372B4D3-1CAB-C89B-A841-6702EBD4F9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32C0DE" w14:textId="77777777" w:rsidR="00870A62" w:rsidRPr="00DA2477" w:rsidRDefault="00870A62" w:rsidP="00870A62">
      <w:pPr>
        <w:tabs>
          <w:tab w:val="left" w:pos="2940"/>
        </w:tabs>
        <w:jc w:val="center"/>
        <w:rPr>
          <w:rFonts w:cs="Times New Roman"/>
        </w:rPr>
      </w:pPr>
      <w:r w:rsidRPr="00DA2477">
        <w:rPr>
          <w:rFonts w:cs="Times New Roman"/>
          <w:noProof/>
        </w:rPr>
        <w:lastRenderedPageBreak/>
        <w:drawing>
          <wp:inline distT="0" distB="0" distL="0" distR="0" wp14:anchorId="61869595" wp14:editId="032570D7">
            <wp:extent cx="4695825" cy="581025"/>
            <wp:effectExtent l="0" t="0" r="9525" b="9525"/>
            <wp:docPr id="14287480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748088" name="Picture 5"/>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695825" cy="581025"/>
                    </a:xfrm>
                    <a:prstGeom prst="rect">
                      <a:avLst/>
                    </a:prstGeom>
                    <a:noFill/>
                    <a:ln>
                      <a:noFill/>
                    </a:ln>
                  </pic:spPr>
                </pic:pic>
              </a:graphicData>
            </a:graphic>
          </wp:inline>
        </w:drawing>
      </w:r>
    </w:p>
    <w:p w14:paraId="1F1E0D52" w14:textId="77777777" w:rsidR="00870A62" w:rsidRPr="00DA2477" w:rsidRDefault="00870A62" w:rsidP="00870A62">
      <w:pPr>
        <w:tabs>
          <w:tab w:val="left" w:pos="2940"/>
        </w:tabs>
        <w:spacing w:line="360" w:lineRule="auto"/>
        <w:rPr>
          <w:rFonts w:cs="Times New Roman"/>
        </w:rPr>
      </w:pPr>
      <w:r w:rsidRPr="00DA2477">
        <w:rPr>
          <w:rFonts w:cs="Times New Roman"/>
        </w:rPr>
        <w:t xml:space="preserve">There has been a negative balance of equity since 2023, which gets worse in 2025. This is because of the high liabilities compared to assets, and Marriott is also involved in the share buyback transactions, which have reduced the equity position </w:t>
      </w:r>
      <w:r w:rsidRPr="00DA2477">
        <w:rPr>
          <w:rFonts w:cs="Times New Roman"/>
          <w:szCs w:val="24"/>
        </w:rPr>
        <w:t>(Tillery et al., 2023).</w:t>
      </w:r>
      <w:r w:rsidRPr="00DA2477">
        <w:rPr>
          <w:rFonts w:cs="Times New Roman"/>
        </w:rPr>
        <w:t xml:space="preserve"> The choice for this type of capital structure is deliberately made by the company because hotel giants like Marriott choose asset-light methods </w:t>
      </w:r>
      <w:r w:rsidRPr="00DA2477">
        <w:rPr>
          <w:rFonts w:cs="Times New Roman"/>
          <w:szCs w:val="24"/>
        </w:rPr>
        <w:t>(Kwak, 2024).</w:t>
      </w:r>
    </w:p>
    <w:p w14:paraId="5EF1C240" w14:textId="77777777" w:rsidR="00870A62" w:rsidRPr="00DA2477" w:rsidRDefault="00870A62" w:rsidP="00870A62">
      <w:pPr>
        <w:tabs>
          <w:tab w:val="left" w:pos="2940"/>
        </w:tabs>
        <w:jc w:val="center"/>
        <w:rPr>
          <w:rFonts w:cs="Times New Roman"/>
        </w:rPr>
      </w:pPr>
      <w:r w:rsidRPr="00DA2477">
        <w:rPr>
          <w:rFonts w:cs="Times New Roman"/>
          <w:noProof/>
        </w:rPr>
        <w:drawing>
          <wp:inline distT="0" distB="0" distL="0" distR="0" wp14:anchorId="4E66974F" wp14:editId="5B32E34A">
            <wp:extent cx="4572000" cy="2743200"/>
            <wp:effectExtent l="0" t="0" r="12700" b="12700"/>
            <wp:docPr id="869205760" name="Chart 1">
              <a:extLst xmlns:a="http://schemas.openxmlformats.org/drawingml/2006/main">
                <a:ext uri="{FF2B5EF4-FFF2-40B4-BE49-F238E27FC236}">
                  <a16:creationId xmlns:a16="http://schemas.microsoft.com/office/drawing/2014/main" id="{F035AAE7-F7A4-070E-9D62-3305731A7D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BB60BAE" w14:textId="77777777" w:rsidR="00870A62" w:rsidRPr="00DA2477" w:rsidRDefault="00870A62" w:rsidP="00870A62">
      <w:pPr>
        <w:pStyle w:val="Heading2"/>
        <w:numPr>
          <w:ilvl w:val="0"/>
          <w:numId w:val="4"/>
        </w:numPr>
        <w:spacing w:line="360" w:lineRule="auto"/>
        <w:rPr>
          <w:rFonts w:cs="Times New Roman"/>
        </w:rPr>
      </w:pPr>
      <w:bookmarkStart w:id="4" w:name="_Toc233996391"/>
      <w:r w:rsidRPr="00DA2477">
        <w:rPr>
          <w:rFonts w:cs="Times New Roman"/>
        </w:rPr>
        <w:t>Ratio Analysis</w:t>
      </w:r>
      <w:bookmarkEnd w:id="4"/>
      <w:r w:rsidRPr="00DA2477">
        <w:rPr>
          <w:rFonts w:cs="Times New Roman"/>
        </w:rPr>
        <w:t xml:space="preserve"> </w:t>
      </w:r>
    </w:p>
    <w:p w14:paraId="11EB0AC6" w14:textId="77777777" w:rsidR="00870A62" w:rsidRPr="00DA2477" w:rsidRDefault="00870A62" w:rsidP="00870A62">
      <w:pPr>
        <w:jc w:val="center"/>
        <w:rPr>
          <w:rFonts w:cs="Times New Roman"/>
        </w:rPr>
      </w:pPr>
      <w:r w:rsidRPr="00DA2477">
        <w:rPr>
          <w:rFonts w:cs="Times New Roman"/>
        </w:rPr>
        <w:t>All workings of ratios are mentioned in section A below in the Appendices.</w:t>
      </w:r>
    </w:p>
    <w:p w14:paraId="01090B73" w14:textId="77777777" w:rsidR="00870A62" w:rsidRPr="00DA2477" w:rsidRDefault="00870A62" w:rsidP="00870A62">
      <w:pPr>
        <w:pStyle w:val="ListParagraph"/>
        <w:numPr>
          <w:ilvl w:val="0"/>
          <w:numId w:val="2"/>
        </w:numPr>
        <w:tabs>
          <w:tab w:val="left" w:pos="2940"/>
        </w:tabs>
        <w:rPr>
          <w:rFonts w:cs="Times New Roman"/>
          <w:b/>
          <w:bCs/>
        </w:rPr>
      </w:pPr>
      <w:r w:rsidRPr="00DA2477">
        <w:rPr>
          <w:rFonts w:cs="Times New Roman"/>
          <w:b/>
          <w:bCs/>
        </w:rPr>
        <w:t>Liquidity Ratio</w:t>
      </w:r>
    </w:p>
    <w:p w14:paraId="5308F31F" w14:textId="77777777" w:rsidR="00870A62" w:rsidRPr="00DA2477" w:rsidRDefault="00870A62" w:rsidP="00870A62">
      <w:pPr>
        <w:tabs>
          <w:tab w:val="left" w:pos="2940"/>
        </w:tabs>
        <w:spacing w:line="360" w:lineRule="auto"/>
        <w:rPr>
          <w:rFonts w:cs="Times New Roman"/>
        </w:rPr>
      </w:pPr>
      <w:r w:rsidRPr="00DA2477">
        <w:rPr>
          <w:rFonts w:cs="Times New Roman"/>
        </w:rPr>
        <w:t xml:space="preserve">The current ratio of Marriott shows below-par performance as the ratio consistently shows results below the benchmark 1 in the provided 5 years’ time. There has been a significant difference between current liabilities (higher) and current assets (lower).  The current ratio results show that there has been a complication faced by Marriott in covering its short-term liabilities using its current assets </w:t>
      </w:r>
      <w:r w:rsidRPr="00DA2477">
        <w:rPr>
          <w:rFonts w:cs="Times New Roman"/>
          <w:szCs w:val="24"/>
        </w:rPr>
        <w:t>(Bartoš et al., 2022).</w:t>
      </w:r>
      <w:r w:rsidRPr="00DA2477">
        <w:rPr>
          <w:rFonts w:cs="Times New Roman"/>
        </w:rPr>
        <w:t xml:space="preserve"> There is a downward trend in the liquidity performance of the company, which is the biggest threat related to liquidity, but in the hospitality business, there is more dependency on operating cash flow instead of liquidity in the balance sheet; a buffer should be there to cover negative circumstances </w:t>
      </w:r>
      <w:r w:rsidRPr="00DA2477">
        <w:rPr>
          <w:rFonts w:cs="Times New Roman"/>
          <w:szCs w:val="24"/>
        </w:rPr>
        <w:t>(Quan et al., 2022).</w:t>
      </w:r>
    </w:p>
    <w:p w14:paraId="1963DCE2" w14:textId="77777777" w:rsidR="00870A62" w:rsidRPr="00DA2477" w:rsidRDefault="00870A62" w:rsidP="00870A62">
      <w:pPr>
        <w:pStyle w:val="ListParagraph"/>
        <w:numPr>
          <w:ilvl w:val="0"/>
          <w:numId w:val="2"/>
        </w:numPr>
        <w:tabs>
          <w:tab w:val="left" w:pos="2940"/>
        </w:tabs>
        <w:rPr>
          <w:rFonts w:cs="Times New Roman"/>
          <w:b/>
          <w:bCs/>
        </w:rPr>
      </w:pPr>
      <w:r w:rsidRPr="00DA2477">
        <w:rPr>
          <w:rFonts w:cs="Times New Roman"/>
          <w:b/>
          <w:bCs/>
        </w:rPr>
        <w:lastRenderedPageBreak/>
        <w:t xml:space="preserve">Gearing ratio </w:t>
      </w:r>
    </w:p>
    <w:p w14:paraId="271D8945" w14:textId="77777777" w:rsidR="00870A62" w:rsidRPr="00DA2477" w:rsidRDefault="00870A62" w:rsidP="00870A62">
      <w:pPr>
        <w:tabs>
          <w:tab w:val="left" w:pos="2940"/>
        </w:tabs>
        <w:spacing w:line="360" w:lineRule="auto"/>
        <w:ind w:left="360"/>
        <w:rPr>
          <w:rFonts w:cs="Times New Roman"/>
        </w:rPr>
      </w:pPr>
      <w:r w:rsidRPr="00DA2477">
        <w:rPr>
          <w:rFonts w:cs="Times New Roman"/>
        </w:rPr>
        <w:t xml:space="preserve">There is no meaning of discussion for the debt figure, as for the years from 2025-2023 the equity numbers are negative, which is because of the buying back of Shares by Marriott using an aggressive strategy. This has eroded the equity recorded in books instead of actual financial pressure.  There is a high leverage position seen in the years 2021 and 2022, as the results of debt-to-equity ratios were 1707% and 4269%. There is no conservative approach used by Marriott in its debt-to-equity ratio </w:t>
      </w:r>
      <w:r w:rsidRPr="00DA2477">
        <w:rPr>
          <w:rFonts w:cs="Times New Roman"/>
          <w:szCs w:val="24"/>
        </w:rPr>
        <w:t>(Patwary et al., 2024).</w:t>
      </w:r>
      <w:r w:rsidRPr="00DA2477">
        <w:rPr>
          <w:rFonts w:cs="Times New Roman"/>
        </w:rPr>
        <w:t xml:space="preserve"> Because of intentional allocation of capital, the equity position of Marriott is negative, and there is no insolvency; however, the balance in the balance sheet is zero. There is more meaning to the metric of interest coverage ratio, but the trend shows a concerning picture.  Marriott had the highest interest coverage ratio of 8.59 in 2022, which reduced to 5.12 in 2025 due to a decline in operating profits. Interest expenses are also increasing each year, due to the major dependency on debt financing by Marriott </w:t>
      </w:r>
      <w:r w:rsidRPr="00DA2477">
        <w:rPr>
          <w:rFonts w:cs="Times New Roman"/>
          <w:szCs w:val="24"/>
        </w:rPr>
        <w:t>(</w:t>
      </w:r>
      <w:proofErr w:type="spellStart"/>
      <w:r w:rsidRPr="00DA2477">
        <w:rPr>
          <w:rFonts w:cs="Times New Roman"/>
          <w:szCs w:val="24"/>
        </w:rPr>
        <w:t>Fadillah</w:t>
      </w:r>
      <w:proofErr w:type="spellEnd"/>
      <w:r w:rsidRPr="00DA2477">
        <w:rPr>
          <w:rFonts w:cs="Times New Roman"/>
          <w:szCs w:val="24"/>
        </w:rPr>
        <w:t xml:space="preserve"> et al., 2024).</w:t>
      </w:r>
      <w:r w:rsidRPr="00DA2477">
        <w:rPr>
          <w:rFonts w:cs="Times New Roman"/>
        </w:rPr>
        <w:t xml:space="preserve"> The reason for the increase in interest rates is also due to an increase in international interest rates.</w:t>
      </w:r>
    </w:p>
    <w:p w14:paraId="3327D444" w14:textId="77777777" w:rsidR="00870A62" w:rsidRPr="00DA2477" w:rsidRDefault="00870A62" w:rsidP="00870A62">
      <w:pPr>
        <w:pStyle w:val="ListParagraph"/>
        <w:numPr>
          <w:ilvl w:val="0"/>
          <w:numId w:val="2"/>
        </w:numPr>
        <w:tabs>
          <w:tab w:val="left" w:pos="2940"/>
        </w:tabs>
        <w:rPr>
          <w:rFonts w:cs="Times New Roman"/>
          <w:b/>
          <w:bCs/>
        </w:rPr>
      </w:pPr>
      <w:r w:rsidRPr="00DA2477">
        <w:rPr>
          <w:rFonts w:cs="Times New Roman"/>
          <w:b/>
          <w:bCs/>
        </w:rPr>
        <w:t xml:space="preserve">Profitability ratio </w:t>
      </w:r>
    </w:p>
    <w:p w14:paraId="1A06F106" w14:textId="77777777" w:rsidR="00870A62" w:rsidRPr="00DA2477" w:rsidRDefault="00870A62" w:rsidP="00870A62">
      <w:pPr>
        <w:tabs>
          <w:tab w:val="left" w:pos="2940"/>
        </w:tabs>
        <w:spacing w:line="360" w:lineRule="auto"/>
        <w:ind w:left="360"/>
        <w:rPr>
          <w:rFonts w:cs="Times New Roman"/>
        </w:rPr>
      </w:pPr>
      <w:r w:rsidRPr="00DA2477">
        <w:rPr>
          <w:rFonts w:cs="Times New Roman"/>
        </w:rPr>
        <w:t xml:space="preserve">The table below in the appendices shows that Marriott has achieved higher profitability ratios in 2022, which was the period of post-pandemic when restrictions related to COVID-19 were removed, and the travel industry started to work again. There is structural pressure that causes profit margins to be normalized after 2022. In 2023 and 2022, both net profit and operating profit were at high levels due to an increase in travel demand; however, operating profit dropped from 25% to 15% and net profit from 17% to 9.9%, which means the profit has been compressed in a meaningful manner </w:t>
      </w:r>
      <w:r w:rsidRPr="00DA2477">
        <w:rPr>
          <w:rFonts w:cs="Times New Roman"/>
          <w:szCs w:val="24"/>
        </w:rPr>
        <w:t>(Fitriani et al., 2022).</w:t>
      </w:r>
      <w:r w:rsidRPr="00DA2477">
        <w:rPr>
          <w:rFonts w:cs="Times New Roman"/>
        </w:rPr>
        <w:t xml:space="preserve"> There has been an easing in the pricing power after COVID-19, and the increase in demand has disappeared </w:t>
      </w:r>
      <w:r w:rsidRPr="00DA2477">
        <w:rPr>
          <w:rFonts w:cs="Times New Roman"/>
          <w:szCs w:val="24"/>
        </w:rPr>
        <w:t>(Debnath et al., 2023).</w:t>
      </w:r>
      <w:r w:rsidRPr="00DA2477">
        <w:rPr>
          <w:rFonts w:cs="Times New Roman"/>
        </w:rPr>
        <w:t xml:space="preserve"> There has been continued growth observed in absolute profits, and the reduction in margins is because of the increase in cost at a faster rate compared to growth in revenue. There has been a steady improvement observed in ROA after 2021, which means Marriott is utilizing its assets effectively. There is a distortion in the numbers of ROE due to negative equity. Marriott is required to have discipline in the cost of maintaining profitability.</w:t>
      </w:r>
    </w:p>
    <w:p w14:paraId="17592F20" w14:textId="77777777" w:rsidR="00870A62" w:rsidRPr="00DA2477" w:rsidRDefault="00870A62" w:rsidP="00870A62">
      <w:pPr>
        <w:pStyle w:val="ListParagraph"/>
        <w:numPr>
          <w:ilvl w:val="0"/>
          <w:numId w:val="2"/>
        </w:numPr>
        <w:tabs>
          <w:tab w:val="left" w:pos="2940"/>
        </w:tabs>
        <w:rPr>
          <w:rFonts w:cs="Times New Roman"/>
          <w:b/>
          <w:bCs/>
        </w:rPr>
      </w:pPr>
      <w:r w:rsidRPr="00DA2477">
        <w:rPr>
          <w:rFonts w:cs="Times New Roman"/>
          <w:b/>
          <w:bCs/>
        </w:rPr>
        <w:t>Efficiency ratio</w:t>
      </w:r>
    </w:p>
    <w:p w14:paraId="53719E17" w14:textId="77777777" w:rsidR="00870A62" w:rsidRPr="00DA2477" w:rsidRDefault="00870A62" w:rsidP="00870A62">
      <w:pPr>
        <w:tabs>
          <w:tab w:val="left" w:pos="2940"/>
        </w:tabs>
        <w:spacing w:line="360" w:lineRule="auto"/>
        <w:ind w:left="360"/>
        <w:rPr>
          <w:rFonts w:cs="Times New Roman"/>
        </w:rPr>
      </w:pPr>
      <w:r w:rsidRPr="00DA2477">
        <w:rPr>
          <w:rFonts w:cs="Times New Roman"/>
        </w:rPr>
        <w:lastRenderedPageBreak/>
        <w:t xml:space="preserve">There has been substantial improvement in the efficiency ratio of Marriott during the past 5 years. The position of working capital has been stretched because of the dynamics between payable and receivable </w:t>
      </w:r>
      <w:r w:rsidRPr="00DA2477">
        <w:rPr>
          <w:rFonts w:cs="Times New Roman"/>
          <w:szCs w:val="24"/>
        </w:rPr>
        <w:t>(Adão, 2025).</w:t>
      </w:r>
      <w:r w:rsidRPr="00DA2477">
        <w:rPr>
          <w:rFonts w:cs="Times New Roman"/>
        </w:rPr>
        <w:t xml:space="preserve"> There has been an exceptional improvement in receivable days observed, as it reduced from 68 days in 2021 to 41 days in 2025, which means that the hotel has revisited its credit control policies and the billing methods for the franchise have also been improved. Marriott increased its focus on direct bookings, which has increased its gains from operational efficiency </w:t>
      </w:r>
      <w:r w:rsidRPr="00DA2477">
        <w:rPr>
          <w:rFonts w:cs="Times New Roman"/>
          <w:szCs w:val="24"/>
        </w:rPr>
        <w:t xml:space="preserve">(Chen, 2025). </w:t>
      </w:r>
      <w:r w:rsidRPr="00DA2477">
        <w:rPr>
          <w:rFonts w:cs="Times New Roman"/>
        </w:rPr>
        <w:t xml:space="preserve"> There has been a sharp compression seen in the payable days, which reduced from 24 in 2021 to 14 days in 2025. This shows that payment made by Marriott to its suppliers is twice as quickly as in 2021, which means that it has given up the leverage of working capital. With the improvement in the collection from customers, the payment to the supplier has compensated for this benefit. </w:t>
      </w:r>
    </w:p>
    <w:p w14:paraId="48CAAC6D" w14:textId="77777777" w:rsidR="00870A62" w:rsidRPr="00DA2477" w:rsidRDefault="00870A62" w:rsidP="00870A62">
      <w:pPr>
        <w:pStyle w:val="ListParagraph"/>
        <w:numPr>
          <w:ilvl w:val="0"/>
          <w:numId w:val="2"/>
        </w:numPr>
        <w:tabs>
          <w:tab w:val="left" w:pos="2940"/>
        </w:tabs>
        <w:rPr>
          <w:rFonts w:cs="Times New Roman"/>
          <w:b/>
          <w:bCs/>
        </w:rPr>
      </w:pPr>
      <w:r w:rsidRPr="00DA2477">
        <w:rPr>
          <w:rFonts w:cs="Times New Roman"/>
          <w:b/>
          <w:bCs/>
        </w:rPr>
        <w:t>Cash Flow ratio</w:t>
      </w:r>
    </w:p>
    <w:p w14:paraId="2245A3CC" w14:textId="77777777" w:rsidR="00870A62" w:rsidRPr="00DA2477" w:rsidRDefault="00870A62" w:rsidP="00870A62">
      <w:pPr>
        <w:tabs>
          <w:tab w:val="left" w:pos="2940"/>
        </w:tabs>
        <w:spacing w:line="360" w:lineRule="auto"/>
        <w:ind w:left="360"/>
        <w:rPr>
          <w:rFonts w:cs="Times New Roman"/>
        </w:rPr>
      </w:pPr>
      <w:r w:rsidRPr="00DA2477">
        <w:rPr>
          <w:rFonts w:cs="Times New Roman"/>
        </w:rPr>
        <w:t xml:space="preserve">There has been a strong generation of cash by Marriott from its operational activities. The current position of the balance sheet of the company can be viewed in this context. There has been a three-fold growth in the operating cash flow of Marriott, which increased from 1177 in 2021 to 3212 in 2025, showing the robust quality of earnings.  The margin of cash flow has been reduced from 17.1% in 2022 to 12.3% in 2025, which shows that the company has faced a compression in its margin, and this trend is structural instead of any isolated case </w:t>
      </w:r>
      <w:r w:rsidRPr="00DA2477">
        <w:rPr>
          <w:rFonts w:cs="Times New Roman"/>
          <w:szCs w:val="24"/>
        </w:rPr>
        <w:t>(</w:t>
      </w:r>
      <w:proofErr w:type="spellStart"/>
      <w:r w:rsidRPr="00DA2477">
        <w:rPr>
          <w:rFonts w:cs="Times New Roman"/>
          <w:szCs w:val="24"/>
        </w:rPr>
        <w:t>Horozhankina</w:t>
      </w:r>
      <w:proofErr w:type="spellEnd"/>
      <w:r w:rsidRPr="00DA2477">
        <w:rPr>
          <w:rFonts w:cs="Times New Roman"/>
          <w:szCs w:val="24"/>
        </w:rPr>
        <w:t xml:space="preserve"> et al., 2024).</w:t>
      </w:r>
      <w:r w:rsidRPr="00DA2477">
        <w:rPr>
          <w:rFonts w:cs="Times New Roman"/>
        </w:rPr>
        <w:t xml:space="preserve"> The ratio of operating cash flow is still lower than 50% despite improvement, which means that cash inflows from operating activities are not enough to cover full current liabilities. This is not showing the strength in the balance sheet liquidity position of Marriott, but the strength in its operating cash flow.</w:t>
      </w:r>
    </w:p>
    <w:p w14:paraId="64A9868C" w14:textId="77777777" w:rsidR="00870A62" w:rsidRPr="00DA2477" w:rsidRDefault="00870A62" w:rsidP="00870A62">
      <w:pPr>
        <w:pStyle w:val="ListParagraph"/>
        <w:numPr>
          <w:ilvl w:val="0"/>
          <w:numId w:val="2"/>
        </w:numPr>
        <w:tabs>
          <w:tab w:val="left" w:pos="2940"/>
        </w:tabs>
        <w:rPr>
          <w:rFonts w:cs="Times New Roman"/>
          <w:b/>
          <w:bCs/>
        </w:rPr>
      </w:pPr>
      <w:r w:rsidRPr="00DA2477">
        <w:rPr>
          <w:rFonts w:cs="Times New Roman"/>
          <w:b/>
          <w:bCs/>
        </w:rPr>
        <w:t>Investment ratio</w:t>
      </w:r>
    </w:p>
    <w:p w14:paraId="569BA6F6" w14:textId="77777777" w:rsidR="00870A62" w:rsidRPr="00DA2477" w:rsidRDefault="00870A62" w:rsidP="00870A62">
      <w:pPr>
        <w:tabs>
          <w:tab w:val="left" w:pos="2940"/>
        </w:tabs>
        <w:spacing w:line="360" w:lineRule="auto"/>
        <w:ind w:left="360"/>
        <w:rPr>
          <w:rFonts w:cs="Times New Roman"/>
        </w:rPr>
      </w:pPr>
      <w:r w:rsidRPr="00DA2477">
        <w:rPr>
          <w:rFonts w:cs="Times New Roman"/>
        </w:rPr>
        <w:t xml:space="preserve">The investment ratio of Marriott reflects the market position, which has shown confident growth according to the business of Marriott; however, there is margin pressure </w:t>
      </w:r>
      <w:r w:rsidRPr="00DA2477">
        <w:rPr>
          <w:rFonts w:cs="Times New Roman"/>
          <w:szCs w:val="24"/>
        </w:rPr>
        <w:t>(Eschenbrenner et al., 2023).</w:t>
      </w:r>
      <w:r w:rsidRPr="00DA2477">
        <w:rPr>
          <w:rFonts w:cs="Times New Roman"/>
        </w:rPr>
        <w:t xml:space="preserve"> EPS increased at a 3 times rate from 2021 to 2025, which is because of the real growth in the profits; however, it markedly increased due to the aggressive share-buying back policy of Marriott, which has decreased the denominator </w:t>
      </w:r>
      <w:r w:rsidRPr="00DA2477">
        <w:rPr>
          <w:rFonts w:cs="Times New Roman"/>
          <w:szCs w:val="24"/>
        </w:rPr>
        <w:t>(Correia, 2022).</w:t>
      </w:r>
      <w:r w:rsidRPr="00DA2477">
        <w:rPr>
          <w:rFonts w:cs="Times New Roman"/>
        </w:rPr>
        <w:t xml:space="preserve"> This is also known as the effect of financial engineering, which should be ignored by the investors. There is also the expansion in the price-earnings ratio, showing </w:t>
      </w:r>
      <w:r w:rsidRPr="00DA2477">
        <w:rPr>
          <w:rFonts w:cs="Times New Roman"/>
        </w:rPr>
        <w:lastRenderedPageBreak/>
        <w:t xml:space="preserve">the pricing of the market is targeting the robust future growth expectations, which is an optimistic outcome considering the reducing trends for compression of margin and revenue. </w:t>
      </w:r>
    </w:p>
    <w:p w14:paraId="2C61201B" w14:textId="77777777" w:rsidR="00870A62" w:rsidRPr="00DA2477" w:rsidRDefault="00870A62" w:rsidP="00870A62">
      <w:pPr>
        <w:pStyle w:val="Heading2"/>
        <w:numPr>
          <w:ilvl w:val="0"/>
          <w:numId w:val="4"/>
        </w:numPr>
        <w:spacing w:line="360" w:lineRule="auto"/>
        <w:rPr>
          <w:rFonts w:cs="Times New Roman"/>
        </w:rPr>
      </w:pPr>
      <w:bookmarkStart w:id="5" w:name="_Toc233996392"/>
      <w:r w:rsidRPr="00DA2477">
        <w:rPr>
          <w:rFonts w:cs="Times New Roman"/>
        </w:rPr>
        <w:t>Identification of Strengths, Threats, and Trends</w:t>
      </w:r>
      <w:bookmarkEnd w:id="5"/>
    </w:p>
    <w:p w14:paraId="25198580" w14:textId="77777777" w:rsidR="00870A62" w:rsidRPr="00DA2477" w:rsidRDefault="00870A62" w:rsidP="00870A62">
      <w:pPr>
        <w:tabs>
          <w:tab w:val="left" w:pos="2940"/>
        </w:tabs>
        <w:spacing w:line="360" w:lineRule="auto"/>
        <w:ind w:left="360"/>
        <w:rPr>
          <w:rFonts w:cs="Times New Roman"/>
        </w:rPr>
      </w:pPr>
      <w:r w:rsidRPr="00DA2477">
        <w:rPr>
          <w:rFonts w:cs="Times New Roman"/>
        </w:rPr>
        <w:t xml:space="preserve">According to the trend, it has been observed that Marriott is facing a declining trend in its revenue growth, which has reduced from 49.9% to 4.3%. The provided profitability metrics also show a reduction in the profit margins, whereas an increase is seen in the leverage position of the company </w:t>
      </w:r>
      <w:r w:rsidRPr="00DA2477">
        <w:rPr>
          <w:rFonts w:cs="Times New Roman"/>
          <w:szCs w:val="24"/>
        </w:rPr>
        <w:t>(Rice et al., 2023).</w:t>
      </w:r>
      <w:r w:rsidRPr="00DA2477">
        <w:rPr>
          <w:rFonts w:cs="Times New Roman"/>
        </w:rPr>
        <w:t xml:space="preserve"> The advantage received from the post-pandemic recovery in 2022 has disappeared in 2023-2025. Its growth rate becomes slower, and the phase of growth becomes normalized, which shows that there is a need for discipline in operational activities rather than looking for demand-based momentum </w:t>
      </w:r>
      <w:r w:rsidRPr="00DA2477">
        <w:rPr>
          <w:rFonts w:cs="Times New Roman"/>
          <w:szCs w:val="24"/>
        </w:rPr>
        <w:t>(Tillery et al., 2023).</w:t>
      </w:r>
    </w:p>
    <w:p w14:paraId="5F23433C" w14:textId="77777777" w:rsidR="00870A62" w:rsidRPr="00DA2477" w:rsidRDefault="00870A62" w:rsidP="00870A62">
      <w:pPr>
        <w:tabs>
          <w:tab w:val="left" w:pos="2940"/>
        </w:tabs>
        <w:spacing w:line="360" w:lineRule="auto"/>
        <w:ind w:left="360"/>
        <w:rPr>
          <w:rFonts w:cs="Times New Roman"/>
        </w:rPr>
      </w:pPr>
      <w:r w:rsidRPr="00DA2477">
        <w:rPr>
          <w:rFonts w:cs="Times New Roman"/>
        </w:rPr>
        <w:t xml:space="preserve">The major strength of Marriott lies in its ability to generate healthy cash from operating activities, which also surpasses the weakness in its liquidity position.  There has been a threefold increase in the operating cash flow, which shows the resilience of the franchise model </w:t>
      </w:r>
      <w:r w:rsidRPr="00DA2477">
        <w:rPr>
          <w:rFonts w:cs="Times New Roman"/>
          <w:szCs w:val="24"/>
        </w:rPr>
        <w:t>(Kwak, 2024).</w:t>
      </w:r>
      <w:r w:rsidRPr="00DA2477">
        <w:rPr>
          <w:rFonts w:cs="Times New Roman"/>
        </w:rPr>
        <w:t xml:space="preserve"> The operational competency has also been improved, which is justified by reducing days of receivable, increased EPS, and utilization of assets.</w:t>
      </w:r>
    </w:p>
    <w:p w14:paraId="66D7366D" w14:textId="77777777" w:rsidR="00870A62" w:rsidRPr="00DA2477" w:rsidRDefault="00870A62" w:rsidP="00870A62">
      <w:pPr>
        <w:tabs>
          <w:tab w:val="left" w:pos="2940"/>
        </w:tabs>
        <w:spacing w:line="360" w:lineRule="auto"/>
        <w:ind w:left="360"/>
        <w:rPr>
          <w:rFonts w:cs="Times New Roman"/>
        </w:rPr>
      </w:pPr>
      <w:r w:rsidRPr="00DA2477">
        <w:rPr>
          <w:rFonts w:cs="Times New Roman"/>
        </w:rPr>
        <w:t xml:space="preserve">Increases in interest expenses are the major threats faced by Marriott because of its high dependency on debt financing. There is low financial flexibility due to negative equity </w:t>
      </w:r>
      <w:r w:rsidRPr="00DA2477">
        <w:rPr>
          <w:rFonts w:cs="Times New Roman"/>
          <w:szCs w:val="24"/>
        </w:rPr>
        <w:t>(Bartoš et al., 2022).</w:t>
      </w:r>
      <w:r w:rsidRPr="00DA2477">
        <w:rPr>
          <w:rFonts w:cs="Times New Roman"/>
        </w:rPr>
        <w:t xml:space="preserve"> An increase in price-earnings ratios shows the highly valued stocks having a low margin for disappointment in earnings. Other external threats are high competition, issues in the geopolitical situation, and a slowdown in the macroeconomics. </w:t>
      </w:r>
    </w:p>
    <w:p w14:paraId="694FE76F" w14:textId="77777777" w:rsidR="00870A62" w:rsidRPr="00DA2477" w:rsidRDefault="00870A62" w:rsidP="00870A62">
      <w:pPr>
        <w:pStyle w:val="Heading2"/>
        <w:numPr>
          <w:ilvl w:val="0"/>
          <w:numId w:val="4"/>
        </w:numPr>
        <w:spacing w:line="360" w:lineRule="auto"/>
        <w:rPr>
          <w:rFonts w:cs="Times New Roman"/>
        </w:rPr>
      </w:pPr>
      <w:bookmarkStart w:id="6" w:name="_Toc233996393"/>
      <w:r w:rsidRPr="00DA2477">
        <w:rPr>
          <w:rFonts w:cs="Times New Roman"/>
        </w:rPr>
        <w:t>Comparison of the liquidity ratio</w:t>
      </w:r>
      <w:bookmarkEnd w:id="6"/>
    </w:p>
    <w:p w14:paraId="396E867C" w14:textId="77777777" w:rsidR="00870A62" w:rsidRPr="00DA2477" w:rsidRDefault="00870A62" w:rsidP="00870A62">
      <w:pPr>
        <w:tabs>
          <w:tab w:val="left" w:pos="2940"/>
        </w:tabs>
        <w:spacing w:line="360" w:lineRule="auto"/>
        <w:rPr>
          <w:rFonts w:cs="Times New Roman"/>
        </w:rPr>
      </w:pPr>
      <w:r w:rsidRPr="00DA2477">
        <w:rPr>
          <w:rFonts w:cs="Times New Roman"/>
        </w:rPr>
        <w:t xml:space="preserve">The current ratio of Marriott for the year 2025 is 0.43, whereas the industry has an average result of 0.96, which is almost double the achievement of Marriott. The comparison shows a weaker liquidity position of the company in the balance sheet. Marriott has underperformed in improving its liquidity position over the past 5 years. This shows that the company is more focused on share-buyback strategies, and liquid assets become depressed </w:t>
      </w:r>
      <w:r w:rsidRPr="00DA2477">
        <w:rPr>
          <w:rFonts w:cs="Times New Roman"/>
          <w:szCs w:val="24"/>
        </w:rPr>
        <w:t>(Quan et al., 2022).</w:t>
      </w:r>
      <w:r w:rsidRPr="00DA2477">
        <w:rPr>
          <w:rFonts w:cs="Times New Roman"/>
        </w:rPr>
        <w:t xml:space="preserve"> There is the same model followed by competitors (Hyatt and Hilton), but the liquidity numbers of Marriott are lower, making it open to liquidity stress.</w:t>
      </w:r>
    </w:p>
    <w:p w14:paraId="602A11DF" w14:textId="77777777" w:rsidR="00870A62" w:rsidRPr="00DA2477" w:rsidRDefault="00870A62" w:rsidP="00870A62">
      <w:pPr>
        <w:pStyle w:val="Heading2"/>
        <w:numPr>
          <w:ilvl w:val="0"/>
          <w:numId w:val="3"/>
        </w:numPr>
        <w:spacing w:line="360" w:lineRule="auto"/>
        <w:rPr>
          <w:rFonts w:cs="Times New Roman"/>
        </w:rPr>
      </w:pPr>
      <w:bookmarkStart w:id="7" w:name="_Toc233996394"/>
      <w:r w:rsidRPr="00DA2477">
        <w:rPr>
          <w:rFonts w:cs="Times New Roman"/>
        </w:rPr>
        <w:lastRenderedPageBreak/>
        <w:t>Analysis for the management of working capital</w:t>
      </w:r>
      <w:bookmarkEnd w:id="7"/>
      <w:r w:rsidRPr="00DA2477">
        <w:rPr>
          <w:rFonts w:cs="Times New Roman"/>
        </w:rPr>
        <w:t xml:space="preserve"> </w:t>
      </w:r>
    </w:p>
    <w:p w14:paraId="48FC7526" w14:textId="77777777" w:rsidR="00870A62" w:rsidRPr="00DA2477" w:rsidRDefault="00870A62" w:rsidP="00870A62">
      <w:pPr>
        <w:pStyle w:val="Heading2"/>
        <w:numPr>
          <w:ilvl w:val="0"/>
          <w:numId w:val="5"/>
        </w:numPr>
        <w:spacing w:line="360" w:lineRule="auto"/>
        <w:rPr>
          <w:rFonts w:cs="Times New Roman"/>
        </w:rPr>
      </w:pPr>
      <w:bookmarkStart w:id="8" w:name="_Toc233996395"/>
      <w:r w:rsidRPr="00DA2477">
        <w:rPr>
          <w:rFonts w:cs="Times New Roman"/>
        </w:rPr>
        <w:t>Assessment of the cash operating cycle</w:t>
      </w:r>
      <w:bookmarkEnd w:id="8"/>
    </w:p>
    <w:p w14:paraId="1827042E" w14:textId="77777777" w:rsidR="00870A62" w:rsidRPr="00DA2477" w:rsidRDefault="00870A62" w:rsidP="00870A62">
      <w:pPr>
        <w:ind w:left="360"/>
        <w:rPr>
          <w:rFonts w:cs="Times New Roman"/>
          <w:b/>
          <w:bCs/>
        </w:rPr>
      </w:pPr>
      <w:r w:rsidRPr="00DA2477">
        <w:rPr>
          <w:rFonts w:cs="Times New Roman"/>
          <w:b/>
          <w:bCs/>
        </w:rPr>
        <w:t>The working of the cash operating cycle is mentioned in section B below in the Appendices.</w:t>
      </w:r>
    </w:p>
    <w:p w14:paraId="2BD8163B" w14:textId="77777777" w:rsidR="00870A62" w:rsidRPr="00DA2477" w:rsidRDefault="00870A62" w:rsidP="00870A62">
      <w:pPr>
        <w:spacing w:line="360" w:lineRule="auto"/>
        <w:rPr>
          <w:rFonts w:cs="Times New Roman"/>
        </w:rPr>
      </w:pPr>
      <w:r w:rsidRPr="00DA2477">
        <w:rPr>
          <w:rFonts w:cs="Times New Roman"/>
        </w:rPr>
        <w:t xml:space="preserve">There has been substantial improvement in the cash operating cycle of Marriott, which has been reduced from 44 to 27 days in 2025. This shows that the company has achieved a high efficiency gain related to its working capital management during the period of 5 years. There is also a need for a detailed review of the mechanics warranting this improvement </w:t>
      </w:r>
      <w:r w:rsidRPr="00DA2477">
        <w:rPr>
          <w:rFonts w:cs="Times New Roman"/>
          <w:szCs w:val="24"/>
        </w:rPr>
        <w:t>(</w:t>
      </w:r>
      <w:proofErr w:type="spellStart"/>
      <w:r w:rsidRPr="00DA2477">
        <w:rPr>
          <w:rFonts w:cs="Times New Roman"/>
          <w:szCs w:val="24"/>
        </w:rPr>
        <w:t>Aldubhani</w:t>
      </w:r>
      <w:proofErr w:type="spellEnd"/>
      <w:r w:rsidRPr="00DA2477">
        <w:rPr>
          <w:rFonts w:cs="Times New Roman"/>
          <w:szCs w:val="24"/>
        </w:rPr>
        <w:t xml:space="preserve"> et al., 2022).</w:t>
      </w:r>
      <w:r w:rsidRPr="00DA2477">
        <w:rPr>
          <w:rFonts w:cs="Times New Roman"/>
        </w:rPr>
        <w:t xml:space="preserve"> The major impact on the operating cash cycle is due to the reduction in the receivable collection days, which reduced from 68 to 41 days. The company also reduced the payment days of its suppliers, which shows that the company is decreasing its credit leverage and not asking for extended credit terms from its suppliers. In the optimization of the strategy of working capital, many companies look for increasing their payable days by extended credit terms </w:t>
      </w:r>
      <w:proofErr w:type="gramStart"/>
      <w:r w:rsidRPr="00DA2477">
        <w:rPr>
          <w:rFonts w:cs="Times New Roman"/>
        </w:rPr>
        <w:t>and also</w:t>
      </w:r>
      <w:proofErr w:type="gramEnd"/>
      <w:r w:rsidRPr="00DA2477">
        <w:rPr>
          <w:rFonts w:cs="Times New Roman"/>
        </w:rPr>
        <w:t xml:space="preserve"> look for reducing collection days, which can increase the buffer of cash </w:t>
      </w:r>
      <w:r w:rsidRPr="00DA2477">
        <w:rPr>
          <w:rFonts w:cs="Times New Roman"/>
          <w:szCs w:val="24"/>
        </w:rPr>
        <w:t>(Na and Shimizu, 2024).</w:t>
      </w:r>
      <w:r w:rsidRPr="00DA2477">
        <w:rPr>
          <w:rFonts w:cs="Times New Roman"/>
        </w:rPr>
        <w:t xml:space="preserve"> There is an opposite strategy to this adopted by Marriott, which might be because of the contract terms with the suppliers </w:t>
      </w:r>
      <w:proofErr w:type="gramStart"/>
      <w:r w:rsidRPr="00DA2477">
        <w:rPr>
          <w:rFonts w:cs="Times New Roman"/>
        </w:rPr>
        <w:t>and also</w:t>
      </w:r>
      <w:proofErr w:type="gramEnd"/>
      <w:r w:rsidRPr="00DA2477">
        <w:rPr>
          <w:rFonts w:cs="Times New Roman"/>
        </w:rPr>
        <w:t xml:space="preserve"> for maintaining a healthy relationship. Since there is high stress on the liquidity position of the company, it should look for renegotiation with the vendors on credit terms </w:t>
      </w:r>
      <w:r w:rsidRPr="00DA2477">
        <w:rPr>
          <w:rFonts w:cs="Times New Roman"/>
          <w:szCs w:val="24"/>
        </w:rPr>
        <w:t>(Lefebvre, 2022).</w:t>
      </w:r>
    </w:p>
    <w:p w14:paraId="1BD98DC8" w14:textId="77777777" w:rsidR="00870A62" w:rsidRPr="00DA2477" w:rsidRDefault="00870A62" w:rsidP="00870A62">
      <w:pPr>
        <w:pStyle w:val="Heading2"/>
        <w:numPr>
          <w:ilvl w:val="0"/>
          <w:numId w:val="5"/>
        </w:numPr>
        <w:spacing w:line="360" w:lineRule="auto"/>
        <w:rPr>
          <w:rFonts w:cs="Times New Roman"/>
        </w:rPr>
      </w:pPr>
      <w:bookmarkStart w:id="9" w:name="_Toc233996396"/>
      <w:r w:rsidRPr="00DA2477">
        <w:rPr>
          <w:rFonts w:cs="Times New Roman"/>
        </w:rPr>
        <w:t>Recommendation of strategies for improvement in liquidities</w:t>
      </w:r>
      <w:bookmarkEnd w:id="9"/>
      <w:r w:rsidRPr="00DA2477">
        <w:rPr>
          <w:rFonts w:cs="Times New Roman"/>
        </w:rPr>
        <w:t xml:space="preserve"> </w:t>
      </w:r>
    </w:p>
    <w:p w14:paraId="0420FBEA" w14:textId="77777777" w:rsidR="00870A62" w:rsidRPr="00DA2477" w:rsidRDefault="00870A62" w:rsidP="00870A62">
      <w:pPr>
        <w:spacing w:line="360" w:lineRule="auto"/>
        <w:rPr>
          <w:rFonts w:cs="Times New Roman"/>
        </w:rPr>
      </w:pPr>
      <w:r w:rsidRPr="00DA2477">
        <w:rPr>
          <w:rFonts w:cs="Times New Roman"/>
        </w:rPr>
        <w:t xml:space="preserve">There has been significant pressure on the liquidity position of Marriott as current assets are lower than current liabilities </w:t>
      </w:r>
      <w:r w:rsidRPr="00DA2477">
        <w:rPr>
          <w:rFonts w:cs="Times New Roman"/>
          <w:szCs w:val="24"/>
        </w:rPr>
        <w:t>(Huynh et al., 2025).</w:t>
      </w:r>
      <w:r w:rsidRPr="00DA2477">
        <w:rPr>
          <w:rFonts w:cs="Times New Roman"/>
        </w:rPr>
        <w:t xml:space="preserve"> The first recommendation for Marriott would be to look for getting increased credit days from suppliers; this will increase the operating cash cycle and increase the cash buffer between receivable collection days and payable days. The 14 payable days to suppliers are notably lower than the industry norms, and it will also reduce the leverage of working capital. There should be a standard credit period of 40 to 45 days for payment to be received from the supplier </w:t>
      </w:r>
      <w:r w:rsidRPr="00DA2477">
        <w:rPr>
          <w:rFonts w:cs="Times New Roman"/>
          <w:szCs w:val="24"/>
        </w:rPr>
        <w:t>(Shaik et al., 2023).</w:t>
      </w:r>
      <w:r w:rsidRPr="00DA2477">
        <w:rPr>
          <w:rFonts w:cs="Times New Roman"/>
        </w:rPr>
        <w:t xml:space="preserve"> Once the extended days are received, Marriott has the option to put the liquidity into operational work and lower the burden of borrowing. There are financing programs for the supply chain as well, which the company can look for. </w:t>
      </w:r>
    </w:p>
    <w:p w14:paraId="006CF3B6" w14:textId="77777777" w:rsidR="00870A62" w:rsidRPr="00DA2477" w:rsidRDefault="00870A62" w:rsidP="00870A62">
      <w:pPr>
        <w:spacing w:line="360" w:lineRule="auto"/>
        <w:rPr>
          <w:rFonts w:cs="Times New Roman"/>
        </w:rPr>
      </w:pPr>
      <w:r w:rsidRPr="00DA2477">
        <w:rPr>
          <w:rFonts w:cs="Times New Roman"/>
        </w:rPr>
        <w:lastRenderedPageBreak/>
        <w:t xml:space="preserve">Although there is improvement in receivable days, attention is still required in the receivable of franchise; there should be a discounting method in which incentives shall be given for early payments, as this strategy will increase cash conversion. The evaluation is also required for the timing of the share buyback </w:t>
      </w:r>
      <w:r w:rsidRPr="00DA2477">
        <w:rPr>
          <w:rFonts w:cs="Times New Roman"/>
          <w:szCs w:val="24"/>
        </w:rPr>
        <w:t>(Lefebvre, 2022).</w:t>
      </w:r>
      <w:r w:rsidRPr="00DA2477">
        <w:rPr>
          <w:rFonts w:cs="Times New Roman"/>
        </w:rPr>
        <w:t xml:space="preserve"> It shows no consideration towards the importance of the need for capital when the company is doing aggressive buybacks, even during a situation where the interest coverage ratio is reducing, and the liquidity position is 0.43. For improvement in liquidity, the buyback of shares should be delayed, especially when interest rates are high </w:t>
      </w:r>
      <w:r w:rsidRPr="00DA2477">
        <w:rPr>
          <w:rFonts w:cs="Times New Roman"/>
          <w:szCs w:val="24"/>
        </w:rPr>
        <w:t>(Roy et al., 2025).</w:t>
      </w:r>
      <w:r w:rsidRPr="00DA2477">
        <w:rPr>
          <w:rFonts w:cs="Times New Roman"/>
        </w:rPr>
        <w:t xml:space="preserve"> Treasury options should also be centralized across the agreements of hotel management.</w:t>
      </w:r>
    </w:p>
    <w:p w14:paraId="6ECE4D54" w14:textId="77777777" w:rsidR="00870A62" w:rsidRPr="00DA2477" w:rsidRDefault="00870A62" w:rsidP="00870A62">
      <w:pPr>
        <w:pStyle w:val="Heading2"/>
        <w:numPr>
          <w:ilvl w:val="0"/>
          <w:numId w:val="5"/>
        </w:numPr>
        <w:spacing w:line="360" w:lineRule="auto"/>
        <w:rPr>
          <w:rFonts w:cs="Times New Roman"/>
        </w:rPr>
      </w:pPr>
      <w:bookmarkStart w:id="10" w:name="_Toc233996397"/>
      <w:r w:rsidRPr="00DA2477">
        <w:rPr>
          <w:rFonts w:cs="Times New Roman"/>
        </w:rPr>
        <w:t>Comparison of short- and long-term options for financing</w:t>
      </w:r>
      <w:bookmarkEnd w:id="10"/>
      <w:r w:rsidRPr="00DA2477">
        <w:rPr>
          <w:rFonts w:cs="Times New Roman"/>
        </w:rPr>
        <w:t xml:space="preserve"> </w:t>
      </w:r>
    </w:p>
    <w:p w14:paraId="7B7982E7" w14:textId="77777777" w:rsidR="00870A62" w:rsidRPr="00DA2477" w:rsidRDefault="00870A62" w:rsidP="00870A62">
      <w:pPr>
        <w:pStyle w:val="ListParagraph"/>
        <w:numPr>
          <w:ilvl w:val="0"/>
          <w:numId w:val="2"/>
        </w:numPr>
        <w:rPr>
          <w:rFonts w:cs="Times New Roman"/>
          <w:b/>
          <w:bCs/>
        </w:rPr>
      </w:pPr>
      <w:r w:rsidRPr="00DA2477">
        <w:rPr>
          <w:rFonts w:cs="Times New Roman"/>
          <w:b/>
          <w:bCs/>
        </w:rPr>
        <w:t xml:space="preserve">Short-term financing </w:t>
      </w:r>
    </w:p>
    <w:p w14:paraId="7F9FD92A" w14:textId="77777777" w:rsidR="00870A62" w:rsidRPr="00DA2477" w:rsidRDefault="00870A62" w:rsidP="00870A62">
      <w:pPr>
        <w:spacing w:line="360" w:lineRule="auto"/>
        <w:rPr>
          <w:rFonts w:cs="Times New Roman"/>
          <w:szCs w:val="24"/>
        </w:rPr>
      </w:pPr>
      <w:r w:rsidRPr="00DA2477">
        <w:rPr>
          <w:rFonts w:cs="Times New Roman"/>
        </w:rPr>
        <w:t xml:space="preserve">Ongoing debt facilities show the quick accessibility of short-term financing for Marriott, which can help the company manage the flexibility and cover the financial needs during fluctuations in the seasonal demand and gaps in working capital </w:t>
      </w:r>
      <w:r w:rsidRPr="00DA2477">
        <w:rPr>
          <w:rFonts w:cs="Times New Roman"/>
          <w:szCs w:val="24"/>
        </w:rPr>
        <w:t>(Huynh et al., 2025).</w:t>
      </w:r>
      <w:r w:rsidRPr="00DA2477">
        <w:rPr>
          <w:rFonts w:cs="Times New Roman"/>
        </w:rPr>
        <w:t xml:space="preserve"> There are competitive rates that are easily available to Marriott due to its credit rating. An increase in the international interest rate will increase the cost of short-term borrowings on a variable basis, which can be seen in the ratio analysis where interest expense increased from 403 in 2022 to 809 in 2025. Marriott has the option for issuance of commercial papers, which is lower in cost and will cover the operational liquidity needs for the short term, but there is sensitivity of this market towards lending sentiments. Supply chain financing is another short-term option that can be achieved through the extension of payable days without paying borrowing costs </w:t>
      </w:r>
      <w:r w:rsidRPr="00DA2477">
        <w:rPr>
          <w:rFonts w:cs="Times New Roman"/>
          <w:szCs w:val="24"/>
        </w:rPr>
        <w:t>(Shaik et al., 2023).</w:t>
      </w:r>
    </w:p>
    <w:p w14:paraId="325B2D33" w14:textId="77777777" w:rsidR="00870A62" w:rsidRPr="00DA2477" w:rsidRDefault="00870A62" w:rsidP="00870A62">
      <w:pPr>
        <w:spacing w:line="360" w:lineRule="auto"/>
        <w:rPr>
          <w:rFonts w:cs="Times New Roman"/>
        </w:rPr>
      </w:pPr>
    </w:p>
    <w:p w14:paraId="6EE1CAA0" w14:textId="77777777" w:rsidR="00870A62" w:rsidRPr="00DA2477" w:rsidRDefault="00870A62" w:rsidP="00870A62">
      <w:pPr>
        <w:pStyle w:val="ListParagraph"/>
        <w:numPr>
          <w:ilvl w:val="0"/>
          <w:numId w:val="2"/>
        </w:numPr>
        <w:rPr>
          <w:rFonts w:cs="Times New Roman"/>
          <w:b/>
          <w:bCs/>
        </w:rPr>
      </w:pPr>
      <w:r w:rsidRPr="00DA2477">
        <w:rPr>
          <w:rFonts w:cs="Times New Roman"/>
          <w:b/>
          <w:bCs/>
        </w:rPr>
        <w:t xml:space="preserve">Long-term financing </w:t>
      </w:r>
    </w:p>
    <w:p w14:paraId="672758CE" w14:textId="77777777" w:rsidR="00870A62" w:rsidRPr="00DA2477" w:rsidRDefault="00870A62" w:rsidP="00870A62">
      <w:pPr>
        <w:spacing w:line="360" w:lineRule="auto"/>
        <w:rPr>
          <w:rFonts w:cs="Times New Roman"/>
        </w:rPr>
      </w:pPr>
      <w:r w:rsidRPr="00DA2477">
        <w:rPr>
          <w:rFonts w:cs="Times New Roman"/>
        </w:rPr>
        <w:t xml:space="preserve">The strategically reasonable instrument of finance for Marriott is fixed-rate bonds for the long term. These are also based on the model of cash-generating and asset-light. There is a fixed rate at which the debt has been locked for the long term. This will also free up business from any fluctuation in the interest rate, and its importance can be seen in the interest coverage ratio, which is in a declining phase for Marriott. Since the equity is negative, the credit agencies will increase their scrutiny, and there is a chance that spreads will increase. There is also the option for issuance of equity, which will bring equity numbers in the positive for Marriott, and the </w:t>
      </w:r>
      <w:r w:rsidRPr="00DA2477">
        <w:rPr>
          <w:rFonts w:cs="Times New Roman"/>
        </w:rPr>
        <w:lastRenderedPageBreak/>
        <w:t xml:space="preserve">balance sheet will also improve </w:t>
      </w:r>
      <w:r w:rsidRPr="00DA2477">
        <w:rPr>
          <w:rFonts w:cs="Times New Roman"/>
          <w:szCs w:val="24"/>
        </w:rPr>
        <w:t>(Roy et al., 2025).</w:t>
      </w:r>
      <w:r w:rsidRPr="00DA2477">
        <w:rPr>
          <w:rFonts w:cs="Times New Roman"/>
        </w:rPr>
        <w:t xml:space="preserve"> This might also conflict with the long-term capital return of Marriott and can let down shareholders who have the information buy-back based on growth in EPS, which can also become politically challenging. </w:t>
      </w:r>
    </w:p>
    <w:p w14:paraId="6B86BA43" w14:textId="77777777" w:rsidR="00870A62" w:rsidRPr="00DA2477" w:rsidRDefault="00870A62" w:rsidP="00870A62">
      <w:pPr>
        <w:pStyle w:val="ListParagraph"/>
        <w:numPr>
          <w:ilvl w:val="0"/>
          <w:numId w:val="2"/>
        </w:numPr>
        <w:rPr>
          <w:rFonts w:cs="Times New Roman"/>
          <w:b/>
          <w:bCs/>
        </w:rPr>
      </w:pPr>
      <w:r w:rsidRPr="00DA2477">
        <w:rPr>
          <w:rFonts w:cs="Times New Roman"/>
          <w:b/>
          <w:bCs/>
        </w:rPr>
        <w:t xml:space="preserve">Assessment </w:t>
      </w:r>
    </w:p>
    <w:p w14:paraId="2AA49DF8" w14:textId="77777777" w:rsidR="00870A62" w:rsidRPr="00DA2477" w:rsidRDefault="00870A62" w:rsidP="00870A62">
      <w:pPr>
        <w:spacing w:line="360" w:lineRule="auto"/>
        <w:rPr>
          <w:rFonts w:cs="Times New Roman"/>
        </w:rPr>
      </w:pPr>
      <w:r w:rsidRPr="00DA2477">
        <w:rPr>
          <w:rFonts w:cs="Times New Roman"/>
        </w:rPr>
        <w:t xml:space="preserve">Both discussed options have the complication for Marriott considering its leverage position. The company can use a blended strategy in which financing based on the supply chain and short-term needs, and ongoing credit facilities can be used for short-term needs. The company can also look for a refinancing option, which can convert current debts into extended terms with fixed interest rates, which can decrease the effect of fluctuations in interest rates </w:t>
      </w:r>
      <w:r w:rsidRPr="00DA2477">
        <w:rPr>
          <w:rFonts w:cs="Times New Roman"/>
          <w:szCs w:val="24"/>
        </w:rPr>
        <w:t>(Na and Shimizu, 2024).</w:t>
      </w:r>
      <w:r w:rsidRPr="00DA2477">
        <w:rPr>
          <w:rFonts w:cs="Times New Roman"/>
        </w:rPr>
        <w:t xml:space="preserve"> With the reduction in the buyback of shares, the borrowing need will also reduce.</w:t>
      </w:r>
    </w:p>
    <w:p w14:paraId="084CEFB7" w14:textId="77777777" w:rsidR="00870A62" w:rsidRPr="00DA2477" w:rsidRDefault="00870A62" w:rsidP="00870A62">
      <w:pPr>
        <w:pStyle w:val="Heading2"/>
        <w:numPr>
          <w:ilvl w:val="0"/>
          <w:numId w:val="3"/>
        </w:numPr>
        <w:spacing w:line="360" w:lineRule="auto"/>
        <w:rPr>
          <w:rFonts w:cs="Times New Roman"/>
        </w:rPr>
      </w:pPr>
      <w:bookmarkStart w:id="11" w:name="_Toc233996398"/>
      <w:r w:rsidRPr="00DA2477">
        <w:rPr>
          <w:rFonts w:cs="Times New Roman"/>
        </w:rPr>
        <w:t>Plan for Strategic Financial Restructuring</w:t>
      </w:r>
      <w:bookmarkEnd w:id="11"/>
      <w:r w:rsidRPr="00DA2477">
        <w:rPr>
          <w:rFonts w:cs="Times New Roman"/>
        </w:rPr>
        <w:t xml:space="preserve"> </w:t>
      </w:r>
    </w:p>
    <w:p w14:paraId="0A94F0F0" w14:textId="77777777" w:rsidR="00870A62" w:rsidRPr="00DA2477" w:rsidRDefault="00870A62" w:rsidP="00870A62">
      <w:pPr>
        <w:pStyle w:val="Heading2"/>
        <w:numPr>
          <w:ilvl w:val="0"/>
          <w:numId w:val="6"/>
        </w:numPr>
        <w:spacing w:line="360" w:lineRule="auto"/>
        <w:rPr>
          <w:rFonts w:cs="Times New Roman"/>
        </w:rPr>
      </w:pPr>
      <w:bookmarkStart w:id="12" w:name="_Toc233996399"/>
      <w:r w:rsidRPr="00DA2477">
        <w:rPr>
          <w:rFonts w:cs="Times New Roman"/>
        </w:rPr>
        <w:t>Recommendation for the options of financial restructuring</w:t>
      </w:r>
      <w:bookmarkEnd w:id="12"/>
      <w:r w:rsidRPr="00DA2477">
        <w:rPr>
          <w:rFonts w:cs="Times New Roman"/>
        </w:rPr>
        <w:t xml:space="preserve"> </w:t>
      </w:r>
    </w:p>
    <w:p w14:paraId="0EEBD62C" w14:textId="77777777" w:rsidR="00870A62" w:rsidRPr="00DA2477" w:rsidRDefault="00870A62" w:rsidP="00870A62">
      <w:pPr>
        <w:pStyle w:val="ListParagraph"/>
        <w:numPr>
          <w:ilvl w:val="0"/>
          <w:numId w:val="2"/>
        </w:numPr>
        <w:rPr>
          <w:rFonts w:cs="Times New Roman"/>
          <w:b/>
          <w:bCs/>
        </w:rPr>
      </w:pPr>
      <w:r w:rsidRPr="00DA2477">
        <w:rPr>
          <w:rFonts w:cs="Times New Roman"/>
          <w:b/>
          <w:bCs/>
        </w:rPr>
        <w:t xml:space="preserve">Divestiture </w:t>
      </w:r>
    </w:p>
    <w:p w14:paraId="08840531" w14:textId="77777777" w:rsidR="00870A62" w:rsidRPr="00DA2477" w:rsidRDefault="00870A62" w:rsidP="00870A62">
      <w:pPr>
        <w:spacing w:line="360" w:lineRule="auto"/>
        <w:ind w:left="360"/>
        <w:rPr>
          <w:rFonts w:cs="Times New Roman"/>
        </w:rPr>
      </w:pPr>
      <w:r w:rsidRPr="00DA2477">
        <w:rPr>
          <w:rFonts w:cs="Times New Roman"/>
        </w:rPr>
        <w:t xml:space="preserve">There is the asset-light model in which Marriott operates; on the balance sheet, the company maintains leased and strategically owned properties </w:t>
      </w:r>
      <w:r w:rsidRPr="00DA2477">
        <w:rPr>
          <w:rFonts w:cs="Times New Roman"/>
          <w:szCs w:val="24"/>
        </w:rPr>
        <w:t>(</w:t>
      </w:r>
      <w:proofErr w:type="spellStart"/>
      <w:r w:rsidRPr="00DA2477">
        <w:rPr>
          <w:rFonts w:cs="Times New Roman"/>
          <w:szCs w:val="24"/>
        </w:rPr>
        <w:t>Zaramella</w:t>
      </w:r>
      <w:proofErr w:type="spellEnd"/>
      <w:r w:rsidRPr="00DA2477">
        <w:rPr>
          <w:rFonts w:cs="Times New Roman"/>
          <w:szCs w:val="24"/>
        </w:rPr>
        <w:t>, 2023).</w:t>
      </w:r>
      <w:r w:rsidRPr="00DA2477">
        <w:rPr>
          <w:rFonts w:cs="Times New Roman"/>
        </w:rPr>
        <w:t xml:space="preserve"> Divestiture of owned assets strategically using arrangements of scale and leased back will provide capital inflows, and the leverage based on assets will be reduced, and Marriott can implement a fee model for management and franchise </w:t>
      </w:r>
      <w:r w:rsidRPr="00DA2477">
        <w:rPr>
          <w:rFonts w:cs="Times New Roman"/>
          <w:szCs w:val="24"/>
        </w:rPr>
        <w:t>(Celestin, 2024).</w:t>
      </w:r>
      <w:r w:rsidRPr="00DA2477">
        <w:rPr>
          <w:rFonts w:cs="Times New Roman"/>
        </w:rPr>
        <w:t xml:space="preserve"> Implementation of this method can also reduce debts, which will also improve the interest coverage ratio and increase financial flexibility with no need to reduce shareholders.</w:t>
      </w:r>
    </w:p>
    <w:p w14:paraId="4BC7ECE9" w14:textId="77777777" w:rsidR="00870A62" w:rsidRPr="00DA2477" w:rsidRDefault="00870A62" w:rsidP="00870A62">
      <w:pPr>
        <w:pStyle w:val="ListParagraph"/>
        <w:numPr>
          <w:ilvl w:val="0"/>
          <w:numId w:val="2"/>
        </w:numPr>
        <w:rPr>
          <w:rFonts w:cs="Times New Roman"/>
          <w:b/>
          <w:bCs/>
        </w:rPr>
      </w:pPr>
      <w:r w:rsidRPr="00DA2477">
        <w:rPr>
          <w:rFonts w:cs="Times New Roman"/>
          <w:b/>
          <w:bCs/>
        </w:rPr>
        <w:t>Optimization of franchise portfolio</w:t>
      </w:r>
    </w:p>
    <w:p w14:paraId="4FD884C1" w14:textId="77777777" w:rsidR="00870A62" w:rsidRPr="00DA2477" w:rsidRDefault="00870A62" w:rsidP="00870A62">
      <w:pPr>
        <w:spacing w:line="360" w:lineRule="auto"/>
        <w:ind w:left="360"/>
        <w:rPr>
          <w:rFonts w:cs="Times New Roman"/>
        </w:rPr>
      </w:pPr>
      <w:r w:rsidRPr="00DA2477">
        <w:rPr>
          <w:rFonts w:cs="Times New Roman"/>
        </w:rPr>
        <w:t xml:space="preserve">The managed properties by Marriott can be converted into a franchise agreement, which will reduce the operational risk, whereas royalty income and an advance conversion fee can be generated </w:t>
      </w:r>
      <w:r w:rsidRPr="00DA2477">
        <w:rPr>
          <w:rFonts w:cs="Times New Roman"/>
          <w:szCs w:val="24"/>
        </w:rPr>
        <w:t>(Al-Filali et al., 2024).</w:t>
      </w:r>
      <w:r w:rsidRPr="00DA2477">
        <w:rPr>
          <w:rFonts w:cs="Times New Roman"/>
        </w:rPr>
        <w:t xml:space="preserve"> The predictability of cash flow can be improved with this restructuring, and the quality of margins will also improve (considering the compression in the margins of Marriott observed from ratio analysis)</w:t>
      </w:r>
    </w:p>
    <w:p w14:paraId="4069BF59" w14:textId="77777777" w:rsidR="00870A62" w:rsidRPr="00DA2477" w:rsidRDefault="00870A62" w:rsidP="00870A62">
      <w:pPr>
        <w:pStyle w:val="ListParagraph"/>
        <w:numPr>
          <w:ilvl w:val="0"/>
          <w:numId w:val="2"/>
        </w:numPr>
        <w:rPr>
          <w:rFonts w:cs="Times New Roman"/>
          <w:b/>
          <w:bCs/>
        </w:rPr>
      </w:pPr>
      <w:r w:rsidRPr="00DA2477">
        <w:rPr>
          <w:rFonts w:cs="Times New Roman"/>
          <w:b/>
          <w:bCs/>
        </w:rPr>
        <w:t>Equity Injection</w:t>
      </w:r>
    </w:p>
    <w:p w14:paraId="33DE8E01" w14:textId="77777777" w:rsidR="00870A62" w:rsidRPr="00DA2477" w:rsidRDefault="00870A62" w:rsidP="00870A62">
      <w:pPr>
        <w:spacing w:line="360" w:lineRule="auto"/>
        <w:ind w:left="360"/>
        <w:rPr>
          <w:rFonts w:cs="Times New Roman"/>
        </w:rPr>
      </w:pPr>
      <w:r w:rsidRPr="00DA2477">
        <w:rPr>
          <w:rFonts w:cs="Times New Roman"/>
        </w:rPr>
        <w:lastRenderedPageBreak/>
        <w:t xml:space="preserve">The issuance of equity method will create conflicts with the Marriott strategy of share buyback (providing cash back to shareholders), but there is the option where the company can issue shares to institutional investors rather than go for offerings to the public </w:t>
      </w:r>
      <w:r w:rsidRPr="00DA2477">
        <w:rPr>
          <w:rFonts w:cs="Times New Roman"/>
          <w:szCs w:val="24"/>
        </w:rPr>
        <w:t>(</w:t>
      </w:r>
      <w:proofErr w:type="spellStart"/>
      <w:r w:rsidRPr="00DA2477">
        <w:rPr>
          <w:rFonts w:cs="Times New Roman"/>
          <w:szCs w:val="24"/>
        </w:rPr>
        <w:t>Colliard</w:t>
      </w:r>
      <w:proofErr w:type="spellEnd"/>
      <w:r w:rsidRPr="00DA2477">
        <w:rPr>
          <w:rFonts w:cs="Times New Roman"/>
          <w:szCs w:val="24"/>
        </w:rPr>
        <w:t xml:space="preserve"> and </w:t>
      </w:r>
      <w:proofErr w:type="spellStart"/>
      <w:r w:rsidRPr="00DA2477">
        <w:rPr>
          <w:rFonts w:cs="Times New Roman"/>
          <w:szCs w:val="24"/>
        </w:rPr>
        <w:t>Gromb</w:t>
      </w:r>
      <w:proofErr w:type="spellEnd"/>
      <w:r w:rsidRPr="00DA2477">
        <w:rPr>
          <w:rFonts w:cs="Times New Roman"/>
          <w:szCs w:val="24"/>
        </w:rPr>
        <w:t>, 2025).</w:t>
      </w:r>
      <w:r w:rsidRPr="00DA2477">
        <w:rPr>
          <w:rFonts w:cs="Times New Roman"/>
        </w:rPr>
        <w:t xml:space="preserve"> This will help in creating positive equity in the balance sheet, and there will also be positive signals to the market. The financial position will be improved, whereas the credit rating will be strengthened. The company can also get flexibility in its debt agreement </w:t>
      </w:r>
      <w:r w:rsidRPr="00DA2477">
        <w:rPr>
          <w:rFonts w:cs="Times New Roman"/>
          <w:szCs w:val="24"/>
        </w:rPr>
        <w:t>(Grundy et al., 2022).</w:t>
      </w:r>
    </w:p>
    <w:p w14:paraId="7BFA7994" w14:textId="77777777" w:rsidR="00870A62" w:rsidRPr="00DA2477" w:rsidRDefault="00870A62" w:rsidP="00870A62">
      <w:pPr>
        <w:pStyle w:val="Heading2"/>
        <w:numPr>
          <w:ilvl w:val="0"/>
          <w:numId w:val="6"/>
        </w:numPr>
        <w:spacing w:line="360" w:lineRule="auto"/>
        <w:rPr>
          <w:rFonts w:cs="Times New Roman"/>
        </w:rPr>
      </w:pPr>
      <w:bookmarkStart w:id="13" w:name="_Toc233996400"/>
      <w:r w:rsidRPr="00DA2477">
        <w:rPr>
          <w:rFonts w:cs="Times New Roman"/>
        </w:rPr>
        <w:t>Evaluation</w:t>
      </w:r>
      <w:bookmarkEnd w:id="13"/>
      <w:r w:rsidRPr="00DA2477">
        <w:rPr>
          <w:rFonts w:cs="Times New Roman"/>
        </w:rPr>
        <w:t xml:space="preserve"> </w:t>
      </w:r>
    </w:p>
    <w:p w14:paraId="53170BF7" w14:textId="77777777" w:rsidR="00870A62" w:rsidRPr="00DA2477" w:rsidRDefault="00870A62" w:rsidP="00870A62">
      <w:pPr>
        <w:pStyle w:val="ListParagraph"/>
        <w:numPr>
          <w:ilvl w:val="0"/>
          <w:numId w:val="2"/>
        </w:numPr>
        <w:rPr>
          <w:rFonts w:cs="Times New Roman"/>
          <w:b/>
          <w:bCs/>
        </w:rPr>
      </w:pPr>
      <w:r w:rsidRPr="00DA2477">
        <w:rPr>
          <w:rFonts w:cs="Times New Roman"/>
          <w:b/>
          <w:bCs/>
        </w:rPr>
        <w:t>Shareholder value</w:t>
      </w:r>
    </w:p>
    <w:p w14:paraId="3632DD78" w14:textId="77777777" w:rsidR="00870A62" w:rsidRPr="00DA2477" w:rsidRDefault="00870A62" w:rsidP="00870A62">
      <w:pPr>
        <w:spacing w:line="360" w:lineRule="auto"/>
        <w:ind w:left="360"/>
        <w:rPr>
          <w:rFonts w:cs="Times New Roman"/>
        </w:rPr>
      </w:pPr>
      <w:r w:rsidRPr="00DA2477">
        <w:rPr>
          <w:rFonts w:cs="Times New Roman"/>
        </w:rPr>
        <w:t xml:space="preserve">There is a tension between the short-term and long-term value of the shareholders, considering the provided options for restructuring. EPS can be compressed through moderation in buybacks and issuance of equity, whereas the confidence of income-concerned investors will be reduced for capital returns. This will provide the company with positive equity, an improvement in the interest coverage ratio, and lower risk from leverage </w:t>
      </w:r>
      <w:r w:rsidRPr="00DA2477">
        <w:rPr>
          <w:rFonts w:cs="Times New Roman"/>
          <w:szCs w:val="24"/>
        </w:rPr>
        <w:t>(</w:t>
      </w:r>
      <w:proofErr w:type="spellStart"/>
      <w:r w:rsidRPr="00DA2477">
        <w:rPr>
          <w:rFonts w:cs="Times New Roman"/>
          <w:szCs w:val="24"/>
        </w:rPr>
        <w:t>Aniebonam</w:t>
      </w:r>
      <w:proofErr w:type="spellEnd"/>
      <w:r w:rsidRPr="00DA2477">
        <w:rPr>
          <w:rFonts w:cs="Times New Roman"/>
          <w:szCs w:val="24"/>
        </w:rPr>
        <w:t>, 2024).</w:t>
      </w:r>
      <w:r w:rsidRPr="00DA2477">
        <w:rPr>
          <w:rFonts w:cs="Times New Roman"/>
        </w:rPr>
        <w:t xml:space="preserve"> This will also create fragile foundations for margins.</w:t>
      </w:r>
    </w:p>
    <w:p w14:paraId="58671D28" w14:textId="77777777" w:rsidR="00870A62" w:rsidRPr="00DA2477" w:rsidRDefault="00870A62" w:rsidP="00870A62">
      <w:pPr>
        <w:pStyle w:val="ListParagraph"/>
        <w:numPr>
          <w:ilvl w:val="0"/>
          <w:numId w:val="2"/>
        </w:numPr>
        <w:rPr>
          <w:rFonts w:cs="Times New Roman"/>
          <w:b/>
          <w:bCs/>
        </w:rPr>
      </w:pPr>
      <w:r w:rsidRPr="00DA2477">
        <w:rPr>
          <w:rFonts w:cs="Times New Roman"/>
          <w:b/>
          <w:bCs/>
        </w:rPr>
        <w:t xml:space="preserve">Debt structure </w:t>
      </w:r>
    </w:p>
    <w:p w14:paraId="06D67C33" w14:textId="77777777" w:rsidR="00870A62" w:rsidRPr="00DA2477" w:rsidRDefault="00870A62" w:rsidP="00870A62">
      <w:pPr>
        <w:spacing w:line="360" w:lineRule="auto"/>
        <w:ind w:left="360"/>
        <w:rPr>
          <w:rFonts w:cs="Times New Roman"/>
        </w:rPr>
      </w:pPr>
      <w:r w:rsidRPr="00DA2477">
        <w:rPr>
          <w:rFonts w:cs="Times New Roman"/>
        </w:rPr>
        <w:t xml:space="preserve">Refinancing of available debt options into fixed-rate long-term borrowing, along with proceeds from the sale of selected assets for repayment of debt, will increase the ability of Marriott to fulfil the obligations of interest payments. It is highly required because the interest coverage ratio shows a downward trend; a good financial cushion can be said when the ratio increases to 7 or 8 times </w:t>
      </w:r>
      <w:r w:rsidRPr="00DA2477">
        <w:rPr>
          <w:rFonts w:cs="Times New Roman"/>
          <w:szCs w:val="24"/>
        </w:rPr>
        <w:t>(Al-Filali et al., 2024).</w:t>
      </w:r>
      <w:r w:rsidRPr="00DA2477">
        <w:rPr>
          <w:rFonts w:cs="Times New Roman"/>
        </w:rPr>
        <w:t xml:space="preserve"> This will also strengthen the credit profile of Marriott, and borrowing costs will become lower. </w:t>
      </w:r>
    </w:p>
    <w:p w14:paraId="6D675CE2" w14:textId="77777777" w:rsidR="00870A62" w:rsidRPr="00DA2477" w:rsidRDefault="00870A62" w:rsidP="00870A62">
      <w:pPr>
        <w:pStyle w:val="ListParagraph"/>
        <w:numPr>
          <w:ilvl w:val="0"/>
          <w:numId w:val="2"/>
        </w:numPr>
        <w:rPr>
          <w:rFonts w:cs="Times New Roman"/>
          <w:b/>
          <w:bCs/>
        </w:rPr>
      </w:pPr>
      <w:r w:rsidRPr="00DA2477">
        <w:rPr>
          <w:rFonts w:cs="Times New Roman"/>
          <w:b/>
          <w:bCs/>
        </w:rPr>
        <w:t xml:space="preserve">Operational flexibility </w:t>
      </w:r>
    </w:p>
    <w:p w14:paraId="31633853" w14:textId="77777777" w:rsidR="00870A62" w:rsidRPr="00DA2477" w:rsidRDefault="00870A62" w:rsidP="00870A62">
      <w:pPr>
        <w:spacing w:line="360" w:lineRule="auto"/>
        <w:ind w:left="360"/>
        <w:rPr>
          <w:rFonts w:cs="Times New Roman"/>
        </w:rPr>
      </w:pPr>
      <w:r w:rsidRPr="00DA2477">
        <w:rPr>
          <w:rFonts w:cs="Times New Roman"/>
        </w:rPr>
        <w:t xml:space="preserve">At the moment, the financial position of Marriott is a limitation on operational agility, and the room is further reduced through negative equity considering the agreement of debt and restrictions on the response to unwanted events due to limited liquidity; however, the increased cost of finance is absorbing a major portion of operating profits </w:t>
      </w:r>
      <w:r w:rsidRPr="00DA2477">
        <w:rPr>
          <w:rFonts w:cs="Times New Roman"/>
          <w:szCs w:val="24"/>
        </w:rPr>
        <w:t>(</w:t>
      </w:r>
      <w:proofErr w:type="spellStart"/>
      <w:r w:rsidRPr="00DA2477">
        <w:rPr>
          <w:rFonts w:cs="Times New Roman"/>
          <w:szCs w:val="24"/>
        </w:rPr>
        <w:t>Colliard</w:t>
      </w:r>
      <w:proofErr w:type="spellEnd"/>
      <w:r w:rsidRPr="00DA2477">
        <w:rPr>
          <w:rFonts w:cs="Times New Roman"/>
          <w:szCs w:val="24"/>
        </w:rPr>
        <w:t xml:space="preserve"> and </w:t>
      </w:r>
      <w:proofErr w:type="spellStart"/>
      <w:r w:rsidRPr="00DA2477">
        <w:rPr>
          <w:rFonts w:cs="Times New Roman"/>
          <w:szCs w:val="24"/>
        </w:rPr>
        <w:t>Gromb</w:t>
      </w:r>
      <w:proofErr w:type="spellEnd"/>
      <w:r w:rsidRPr="00DA2477">
        <w:rPr>
          <w:rFonts w:cs="Times New Roman"/>
          <w:szCs w:val="24"/>
        </w:rPr>
        <w:t>, 2025).</w:t>
      </w:r>
      <w:r w:rsidRPr="00DA2477">
        <w:rPr>
          <w:rFonts w:cs="Times New Roman"/>
        </w:rPr>
        <w:t xml:space="preserve"> With the application of the provided measures, Marriott can experience </w:t>
      </w:r>
      <w:r w:rsidRPr="00DA2477">
        <w:rPr>
          <w:rFonts w:cs="Times New Roman"/>
        </w:rPr>
        <w:lastRenderedPageBreak/>
        <w:t>strength in its financial position and increase its flexibility. The company will also have a cushion for investment in strategic acquisitions.</w:t>
      </w:r>
    </w:p>
    <w:p w14:paraId="4674831F" w14:textId="77777777" w:rsidR="00870A62" w:rsidRPr="00DA2477" w:rsidRDefault="00870A62" w:rsidP="00870A62">
      <w:pPr>
        <w:pStyle w:val="Heading2"/>
        <w:numPr>
          <w:ilvl w:val="0"/>
          <w:numId w:val="6"/>
        </w:numPr>
        <w:spacing w:line="360" w:lineRule="auto"/>
        <w:rPr>
          <w:rFonts w:cs="Times New Roman"/>
        </w:rPr>
      </w:pPr>
      <w:bookmarkStart w:id="14" w:name="_Toc233996401"/>
      <w:r w:rsidRPr="00DA2477">
        <w:rPr>
          <w:rFonts w:cs="Times New Roman"/>
        </w:rPr>
        <w:t>Ethical and international considerations</w:t>
      </w:r>
      <w:bookmarkEnd w:id="14"/>
      <w:r w:rsidRPr="00DA2477">
        <w:rPr>
          <w:rFonts w:cs="Times New Roman"/>
        </w:rPr>
        <w:t xml:space="preserve"> </w:t>
      </w:r>
    </w:p>
    <w:p w14:paraId="7ED71439" w14:textId="77777777" w:rsidR="00870A62" w:rsidRPr="00DA2477" w:rsidRDefault="00870A62" w:rsidP="00870A62">
      <w:pPr>
        <w:pStyle w:val="ListParagraph"/>
        <w:numPr>
          <w:ilvl w:val="0"/>
          <w:numId w:val="2"/>
        </w:numPr>
        <w:spacing w:line="360" w:lineRule="auto"/>
        <w:ind w:left="360"/>
        <w:rPr>
          <w:rFonts w:cs="Times New Roman"/>
        </w:rPr>
      </w:pPr>
      <w:r w:rsidRPr="00DA2477">
        <w:rPr>
          <w:rFonts w:cs="Times New Roman"/>
        </w:rPr>
        <w:t xml:space="preserve">There is complexity in tax implications for Marriott due to the availability of operations in more than 140 countries. The pricing arrangements can increase scrutiny from regulations. The company is required to carefully evaluate withholding tax </w:t>
      </w:r>
      <w:r w:rsidRPr="00DA2477">
        <w:rPr>
          <w:rFonts w:cs="Times New Roman"/>
          <w:szCs w:val="24"/>
        </w:rPr>
        <w:t>(</w:t>
      </w:r>
      <w:proofErr w:type="spellStart"/>
      <w:r w:rsidRPr="00DA2477">
        <w:rPr>
          <w:rFonts w:cs="Times New Roman"/>
          <w:szCs w:val="24"/>
        </w:rPr>
        <w:t>Zaramella</w:t>
      </w:r>
      <w:proofErr w:type="spellEnd"/>
      <w:r w:rsidRPr="00DA2477">
        <w:rPr>
          <w:rFonts w:cs="Times New Roman"/>
          <w:szCs w:val="24"/>
        </w:rPr>
        <w:t>, 2023).</w:t>
      </w:r>
    </w:p>
    <w:p w14:paraId="1C2FD85A" w14:textId="77777777" w:rsidR="00870A62" w:rsidRPr="00DA2477" w:rsidRDefault="00870A62" w:rsidP="00870A62">
      <w:pPr>
        <w:pStyle w:val="ListParagraph"/>
        <w:numPr>
          <w:ilvl w:val="0"/>
          <w:numId w:val="2"/>
        </w:numPr>
        <w:spacing w:line="360" w:lineRule="auto"/>
        <w:ind w:left="360"/>
        <w:rPr>
          <w:rFonts w:cs="Times New Roman"/>
        </w:rPr>
      </w:pPr>
      <w:r w:rsidRPr="00DA2477">
        <w:rPr>
          <w:rFonts w:cs="Times New Roman"/>
        </w:rPr>
        <w:t xml:space="preserve">The operations are conducted in diversified currencies, which increase the exposure of Marriott to currency risk. Exposure of foreign currency risk for Marriott is transactional and translational. The earnings are volatile when revenue is expressed in the currencies of weaker emerging markets, which are then converted into USD. Forward contracts and hedging programs can lower this risk </w:t>
      </w:r>
      <w:r w:rsidRPr="00DA2477">
        <w:rPr>
          <w:rFonts w:cs="Times New Roman"/>
          <w:szCs w:val="24"/>
        </w:rPr>
        <w:t>(Al-Filali et al., 2024).</w:t>
      </w:r>
    </w:p>
    <w:p w14:paraId="728BC218" w14:textId="77777777" w:rsidR="00870A62" w:rsidRPr="00DA2477" w:rsidRDefault="00870A62" w:rsidP="00870A62">
      <w:pPr>
        <w:pStyle w:val="ListParagraph"/>
        <w:numPr>
          <w:ilvl w:val="0"/>
          <w:numId w:val="2"/>
        </w:numPr>
        <w:spacing w:line="360" w:lineRule="auto"/>
        <w:ind w:left="360"/>
        <w:rPr>
          <w:rFonts w:cs="Times New Roman"/>
        </w:rPr>
      </w:pPr>
      <w:r w:rsidRPr="00DA2477">
        <w:rPr>
          <w:rFonts w:cs="Times New Roman"/>
        </w:rPr>
        <w:t xml:space="preserve">The labor cost for Marriott is directly affected by international inflation, as this covers a major operational expense for the company. The inputs of beverages and foods are also reducing margins above the growth rate of revenue, which is mitigated by the declining growth rates </w:t>
      </w:r>
      <w:r w:rsidRPr="00DA2477">
        <w:rPr>
          <w:rFonts w:cs="Times New Roman"/>
          <w:szCs w:val="24"/>
        </w:rPr>
        <w:t>(Celestin, 2024).</w:t>
      </w:r>
    </w:p>
    <w:p w14:paraId="76A204E8" w14:textId="77777777" w:rsidR="00870A62" w:rsidRPr="00DA2477" w:rsidRDefault="00870A62" w:rsidP="00870A62">
      <w:pPr>
        <w:pStyle w:val="ListParagraph"/>
        <w:numPr>
          <w:ilvl w:val="0"/>
          <w:numId w:val="2"/>
        </w:numPr>
        <w:spacing w:line="360" w:lineRule="auto"/>
        <w:ind w:left="360"/>
        <w:rPr>
          <w:rFonts w:cs="Times New Roman"/>
        </w:rPr>
      </w:pPr>
      <w:r w:rsidRPr="00DA2477">
        <w:rPr>
          <w:rFonts w:cs="Times New Roman"/>
        </w:rPr>
        <w:t xml:space="preserve">There are about 360 commitments to sustainability that are served by Marriott. This includes the reduction of carbon, conservation of water, accountable sourcing, as this can also attract the preference of institutional investors, and assessment of credit rating. There will be a risk to the access of capital markets if Marriott remains short in fulfilling these ESG measures </w:t>
      </w:r>
      <w:r w:rsidRPr="00DA2477">
        <w:rPr>
          <w:rFonts w:cs="Times New Roman"/>
          <w:szCs w:val="24"/>
        </w:rPr>
        <w:t>(</w:t>
      </w:r>
      <w:proofErr w:type="spellStart"/>
      <w:r w:rsidRPr="00DA2477">
        <w:rPr>
          <w:rFonts w:cs="Times New Roman"/>
          <w:szCs w:val="24"/>
        </w:rPr>
        <w:t>Aniebonam</w:t>
      </w:r>
      <w:proofErr w:type="spellEnd"/>
      <w:r w:rsidRPr="00DA2477">
        <w:rPr>
          <w:rFonts w:cs="Times New Roman"/>
          <w:szCs w:val="24"/>
        </w:rPr>
        <w:t>, 2024).</w:t>
      </w:r>
    </w:p>
    <w:p w14:paraId="40A33197" w14:textId="77777777" w:rsidR="00870A62" w:rsidRPr="00DA2477" w:rsidRDefault="00870A62" w:rsidP="00870A62">
      <w:pPr>
        <w:pStyle w:val="Heading2"/>
        <w:numPr>
          <w:ilvl w:val="0"/>
          <w:numId w:val="3"/>
        </w:numPr>
        <w:spacing w:line="360" w:lineRule="auto"/>
        <w:rPr>
          <w:rFonts w:cs="Times New Roman"/>
        </w:rPr>
      </w:pPr>
      <w:bookmarkStart w:id="15" w:name="_Toc233996402"/>
      <w:r w:rsidRPr="00DA2477">
        <w:rPr>
          <w:rFonts w:cs="Times New Roman"/>
        </w:rPr>
        <w:t>Capital budgeting and investment appraisal</w:t>
      </w:r>
      <w:bookmarkEnd w:id="15"/>
    </w:p>
    <w:p w14:paraId="4FB24AB1" w14:textId="77777777" w:rsidR="00870A62" w:rsidRPr="00DA2477" w:rsidRDefault="00870A62" w:rsidP="00870A62">
      <w:pPr>
        <w:rPr>
          <w:rFonts w:cs="Times New Roman"/>
        </w:rPr>
      </w:pPr>
      <w:r w:rsidRPr="00DA2477">
        <w:rPr>
          <w:rFonts w:cs="Times New Roman"/>
        </w:rPr>
        <w:t>Below is the summary of the initial outlay and cash inflow of 03 given projects.</w:t>
      </w:r>
    </w:p>
    <w:tbl>
      <w:tblPr>
        <w:tblW w:w="7200" w:type="dxa"/>
        <w:jc w:val="center"/>
        <w:tblLook w:val="04A0" w:firstRow="1" w:lastRow="0" w:firstColumn="1" w:lastColumn="0" w:noHBand="0" w:noVBand="1"/>
      </w:tblPr>
      <w:tblGrid>
        <w:gridCol w:w="960"/>
        <w:gridCol w:w="2080"/>
        <w:gridCol w:w="2080"/>
        <w:gridCol w:w="2080"/>
      </w:tblGrid>
      <w:tr w:rsidR="00870A62" w:rsidRPr="00DA2477" w14:paraId="4F05810D" w14:textId="77777777" w:rsidTr="00CD4033">
        <w:trPr>
          <w:trHeight w:val="315"/>
          <w:jc w:val="center"/>
        </w:trPr>
        <w:tc>
          <w:tcPr>
            <w:tcW w:w="960" w:type="dxa"/>
            <w:tcBorders>
              <w:top w:val="single" w:sz="8" w:space="0" w:color="auto"/>
              <w:left w:val="single" w:sz="8" w:space="0" w:color="auto"/>
              <w:bottom w:val="single" w:sz="8" w:space="0" w:color="auto"/>
              <w:right w:val="single" w:sz="8" w:space="0" w:color="auto"/>
            </w:tcBorders>
            <w:noWrap/>
            <w:vAlign w:val="bottom"/>
            <w:hideMark/>
          </w:tcPr>
          <w:p w14:paraId="05E8442B"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Year</w:t>
            </w:r>
          </w:p>
        </w:tc>
        <w:tc>
          <w:tcPr>
            <w:tcW w:w="2080" w:type="dxa"/>
            <w:tcBorders>
              <w:top w:val="single" w:sz="8" w:space="0" w:color="auto"/>
              <w:left w:val="nil"/>
              <w:bottom w:val="single" w:sz="8" w:space="0" w:color="auto"/>
              <w:right w:val="single" w:sz="8" w:space="0" w:color="auto"/>
            </w:tcBorders>
            <w:noWrap/>
            <w:vAlign w:val="bottom"/>
            <w:hideMark/>
          </w:tcPr>
          <w:p w14:paraId="3A8BCD42"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Inflow of Project A</w:t>
            </w:r>
          </w:p>
        </w:tc>
        <w:tc>
          <w:tcPr>
            <w:tcW w:w="2080" w:type="dxa"/>
            <w:tcBorders>
              <w:top w:val="single" w:sz="8" w:space="0" w:color="auto"/>
              <w:left w:val="nil"/>
              <w:bottom w:val="single" w:sz="8" w:space="0" w:color="auto"/>
              <w:right w:val="single" w:sz="8" w:space="0" w:color="auto"/>
            </w:tcBorders>
            <w:noWrap/>
            <w:vAlign w:val="bottom"/>
            <w:hideMark/>
          </w:tcPr>
          <w:p w14:paraId="204E3A31"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Inflow of Project B</w:t>
            </w:r>
          </w:p>
        </w:tc>
        <w:tc>
          <w:tcPr>
            <w:tcW w:w="2080" w:type="dxa"/>
            <w:tcBorders>
              <w:top w:val="single" w:sz="8" w:space="0" w:color="auto"/>
              <w:left w:val="nil"/>
              <w:bottom w:val="single" w:sz="8" w:space="0" w:color="auto"/>
              <w:right w:val="single" w:sz="8" w:space="0" w:color="auto"/>
            </w:tcBorders>
            <w:noWrap/>
            <w:vAlign w:val="bottom"/>
            <w:hideMark/>
          </w:tcPr>
          <w:p w14:paraId="741B1BC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Inflow of Project C</w:t>
            </w:r>
          </w:p>
        </w:tc>
      </w:tr>
      <w:tr w:rsidR="00870A62" w:rsidRPr="00DA2477" w14:paraId="368970F6" w14:textId="77777777" w:rsidTr="00CD4033">
        <w:trPr>
          <w:trHeight w:val="300"/>
          <w:jc w:val="center"/>
        </w:trPr>
        <w:tc>
          <w:tcPr>
            <w:tcW w:w="960" w:type="dxa"/>
            <w:tcBorders>
              <w:top w:val="nil"/>
              <w:left w:val="single" w:sz="4" w:space="0" w:color="auto"/>
              <w:bottom w:val="single" w:sz="4" w:space="0" w:color="auto"/>
              <w:right w:val="single" w:sz="4" w:space="0" w:color="auto"/>
            </w:tcBorders>
            <w:noWrap/>
            <w:vAlign w:val="bottom"/>
            <w:hideMark/>
          </w:tcPr>
          <w:p w14:paraId="2134AEC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0</w:t>
            </w:r>
          </w:p>
        </w:tc>
        <w:tc>
          <w:tcPr>
            <w:tcW w:w="2080" w:type="dxa"/>
            <w:tcBorders>
              <w:top w:val="nil"/>
              <w:left w:val="nil"/>
              <w:bottom w:val="single" w:sz="4" w:space="0" w:color="auto"/>
              <w:right w:val="single" w:sz="4" w:space="0" w:color="auto"/>
            </w:tcBorders>
            <w:noWrap/>
            <w:vAlign w:val="bottom"/>
            <w:hideMark/>
          </w:tcPr>
          <w:p w14:paraId="7D2301E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-50,000,000</w:t>
            </w:r>
          </w:p>
        </w:tc>
        <w:tc>
          <w:tcPr>
            <w:tcW w:w="2080" w:type="dxa"/>
            <w:tcBorders>
              <w:top w:val="nil"/>
              <w:left w:val="nil"/>
              <w:bottom w:val="single" w:sz="4" w:space="0" w:color="auto"/>
              <w:right w:val="single" w:sz="4" w:space="0" w:color="auto"/>
            </w:tcBorders>
            <w:noWrap/>
            <w:vAlign w:val="bottom"/>
            <w:hideMark/>
          </w:tcPr>
          <w:p w14:paraId="430DF34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-50,000,000</w:t>
            </w:r>
          </w:p>
        </w:tc>
        <w:tc>
          <w:tcPr>
            <w:tcW w:w="2080" w:type="dxa"/>
            <w:tcBorders>
              <w:top w:val="nil"/>
              <w:left w:val="nil"/>
              <w:bottom w:val="single" w:sz="4" w:space="0" w:color="auto"/>
              <w:right w:val="single" w:sz="4" w:space="0" w:color="auto"/>
            </w:tcBorders>
            <w:noWrap/>
            <w:vAlign w:val="bottom"/>
            <w:hideMark/>
          </w:tcPr>
          <w:p w14:paraId="093AF9A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-50,000,000</w:t>
            </w:r>
          </w:p>
        </w:tc>
      </w:tr>
      <w:tr w:rsidR="00870A62" w:rsidRPr="00DA2477" w14:paraId="77E1496B" w14:textId="77777777" w:rsidTr="00CD4033">
        <w:trPr>
          <w:trHeight w:val="300"/>
          <w:jc w:val="center"/>
        </w:trPr>
        <w:tc>
          <w:tcPr>
            <w:tcW w:w="960" w:type="dxa"/>
            <w:tcBorders>
              <w:top w:val="nil"/>
              <w:left w:val="single" w:sz="4" w:space="0" w:color="auto"/>
              <w:bottom w:val="single" w:sz="4" w:space="0" w:color="auto"/>
              <w:right w:val="single" w:sz="4" w:space="0" w:color="auto"/>
            </w:tcBorders>
            <w:noWrap/>
            <w:vAlign w:val="bottom"/>
            <w:hideMark/>
          </w:tcPr>
          <w:p w14:paraId="51BF64A8" w14:textId="77777777" w:rsidR="00870A62" w:rsidRPr="00DA2477" w:rsidRDefault="00870A62" w:rsidP="00CD4033">
            <w:pPr>
              <w:spacing w:after="0" w:line="240" w:lineRule="auto"/>
              <w:jc w:val="center"/>
              <w:rPr>
                <w:rFonts w:eastAsia="Times New Roman" w:cs="Times New Roman"/>
                <w:color w:val="000000"/>
                <w:szCs w:val="24"/>
                <w:lang w:val="" w:eastAsia=""/>
              </w:rPr>
            </w:pPr>
          </w:p>
        </w:tc>
        <w:tc>
          <w:tcPr>
            <w:tcW w:w="2080" w:type="dxa"/>
            <w:tcBorders>
              <w:top w:val="nil"/>
              <w:left w:val="nil"/>
              <w:bottom w:val="single" w:sz="4" w:space="0" w:color="auto"/>
              <w:right w:val="single" w:sz="4" w:space="0" w:color="auto"/>
            </w:tcBorders>
            <w:noWrap/>
            <w:vAlign w:val="bottom"/>
            <w:hideMark/>
          </w:tcPr>
          <w:p w14:paraId="36857253" w14:textId="77777777" w:rsidR="00870A62" w:rsidRPr="00DA2477" w:rsidRDefault="00870A62" w:rsidP="00CD4033">
            <w:pPr>
              <w:spacing w:after="0" w:line="240" w:lineRule="auto"/>
              <w:jc w:val="center"/>
              <w:rPr>
                <w:rFonts w:eastAsia="Times New Roman" w:cs="Times New Roman"/>
                <w:color w:val="000000"/>
                <w:szCs w:val="24"/>
                <w:lang w:val="" w:eastAsia=""/>
              </w:rPr>
            </w:pPr>
          </w:p>
        </w:tc>
        <w:tc>
          <w:tcPr>
            <w:tcW w:w="2080" w:type="dxa"/>
            <w:tcBorders>
              <w:top w:val="nil"/>
              <w:left w:val="nil"/>
              <w:bottom w:val="single" w:sz="4" w:space="0" w:color="auto"/>
              <w:right w:val="single" w:sz="4" w:space="0" w:color="auto"/>
            </w:tcBorders>
            <w:noWrap/>
            <w:vAlign w:val="bottom"/>
            <w:hideMark/>
          </w:tcPr>
          <w:p w14:paraId="387FA635" w14:textId="77777777" w:rsidR="00870A62" w:rsidRPr="00DA2477" w:rsidRDefault="00870A62" w:rsidP="00CD4033">
            <w:pPr>
              <w:spacing w:after="0" w:line="240" w:lineRule="auto"/>
              <w:jc w:val="center"/>
              <w:rPr>
                <w:rFonts w:eastAsia="Times New Roman" w:cs="Times New Roman"/>
                <w:color w:val="000000"/>
                <w:szCs w:val="24"/>
                <w:lang w:val="" w:eastAsia=""/>
              </w:rPr>
            </w:pPr>
          </w:p>
        </w:tc>
        <w:tc>
          <w:tcPr>
            <w:tcW w:w="2080" w:type="dxa"/>
            <w:tcBorders>
              <w:top w:val="nil"/>
              <w:left w:val="nil"/>
              <w:bottom w:val="single" w:sz="4" w:space="0" w:color="auto"/>
              <w:right w:val="single" w:sz="4" w:space="0" w:color="auto"/>
            </w:tcBorders>
            <w:noWrap/>
            <w:vAlign w:val="bottom"/>
            <w:hideMark/>
          </w:tcPr>
          <w:p w14:paraId="141800BF" w14:textId="77777777" w:rsidR="00870A62" w:rsidRPr="00DA2477" w:rsidRDefault="00870A62" w:rsidP="00CD4033">
            <w:pPr>
              <w:spacing w:after="0" w:line="240" w:lineRule="auto"/>
              <w:jc w:val="center"/>
              <w:rPr>
                <w:rFonts w:eastAsia="Times New Roman" w:cs="Times New Roman"/>
                <w:color w:val="000000"/>
                <w:szCs w:val="24"/>
                <w:lang w:val="" w:eastAsia=""/>
              </w:rPr>
            </w:pPr>
          </w:p>
        </w:tc>
      </w:tr>
      <w:tr w:rsidR="00870A62" w:rsidRPr="00DA2477" w14:paraId="1EB10965" w14:textId="77777777" w:rsidTr="00CD4033">
        <w:trPr>
          <w:trHeight w:val="300"/>
          <w:jc w:val="center"/>
        </w:trPr>
        <w:tc>
          <w:tcPr>
            <w:tcW w:w="960" w:type="dxa"/>
            <w:tcBorders>
              <w:top w:val="nil"/>
              <w:left w:val="single" w:sz="4" w:space="0" w:color="auto"/>
              <w:bottom w:val="single" w:sz="4" w:space="0" w:color="auto"/>
              <w:right w:val="single" w:sz="4" w:space="0" w:color="auto"/>
            </w:tcBorders>
            <w:noWrap/>
            <w:vAlign w:val="bottom"/>
            <w:hideMark/>
          </w:tcPr>
          <w:p w14:paraId="18CA8A41"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w:t>
            </w:r>
          </w:p>
        </w:tc>
        <w:tc>
          <w:tcPr>
            <w:tcW w:w="2080" w:type="dxa"/>
            <w:tcBorders>
              <w:top w:val="nil"/>
              <w:left w:val="nil"/>
              <w:bottom w:val="single" w:sz="4" w:space="0" w:color="auto"/>
              <w:right w:val="single" w:sz="4" w:space="0" w:color="auto"/>
            </w:tcBorders>
            <w:noWrap/>
            <w:vAlign w:val="bottom"/>
            <w:hideMark/>
          </w:tcPr>
          <w:p w14:paraId="2D26A72C"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10,000,000</w:t>
            </w:r>
          </w:p>
        </w:tc>
        <w:tc>
          <w:tcPr>
            <w:tcW w:w="2080" w:type="dxa"/>
            <w:tcBorders>
              <w:top w:val="nil"/>
              <w:left w:val="nil"/>
              <w:bottom w:val="single" w:sz="4" w:space="0" w:color="auto"/>
              <w:right w:val="single" w:sz="4" w:space="0" w:color="auto"/>
            </w:tcBorders>
            <w:noWrap/>
            <w:vAlign w:val="bottom"/>
            <w:hideMark/>
          </w:tcPr>
          <w:p w14:paraId="3EE8085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11,000,000</w:t>
            </w:r>
          </w:p>
        </w:tc>
        <w:tc>
          <w:tcPr>
            <w:tcW w:w="2080" w:type="dxa"/>
            <w:tcBorders>
              <w:top w:val="nil"/>
              <w:left w:val="nil"/>
              <w:bottom w:val="single" w:sz="4" w:space="0" w:color="auto"/>
              <w:right w:val="single" w:sz="4" w:space="0" w:color="auto"/>
            </w:tcBorders>
            <w:noWrap/>
            <w:vAlign w:val="bottom"/>
            <w:hideMark/>
          </w:tcPr>
          <w:p w14:paraId="6695DFA1"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5,000,000</w:t>
            </w:r>
          </w:p>
        </w:tc>
      </w:tr>
      <w:tr w:rsidR="00870A62" w:rsidRPr="00DA2477" w14:paraId="4CA83FB5" w14:textId="77777777" w:rsidTr="00CD4033">
        <w:trPr>
          <w:trHeight w:val="300"/>
          <w:jc w:val="center"/>
        </w:trPr>
        <w:tc>
          <w:tcPr>
            <w:tcW w:w="960" w:type="dxa"/>
            <w:tcBorders>
              <w:top w:val="nil"/>
              <w:left w:val="single" w:sz="4" w:space="0" w:color="auto"/>
              <w:bottom w:val="single" w:sz="4" w:space="0" w:color="auto"/>
              <w:right w:val="single" w:sz="4" w:space="0" w:color="auto"/>
            </w:tcBorders>
            <w:noWrap/>
            <w:vAlign w:val="bottom"/>
            <w:hideMark/>
          </w:tcPr>
          <w:p w14:paraId="08C21C5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w:t>
            </w:r>
          </w:p>
        </w:tc>
        <w:tc>
          <w:tcPr>
            <w:tcW w:w="2080" w:type="dxa"/>
            <w:tcBorders>
              <w:top w:val="nil"/>
              <w:left w:val="nil"/>
              <w:bottom w:val="single" w:sz="4" w:space="0" w:color="auto"/>
              <w:right w:val="single" w:sz="4" w:space="0" w:color="auto"/>
            </w:tcBorders>
            <w:noWrap/>
            <w:vAlign w:val="bottom"/>
            <w:hideMark/>
          </w:tcPr>
          <w:p w14:paraId="19C7103A"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12,000,000</w:t>
            </w:r>
          </w:p>
        </w:tc>
        <w:tc>
          <w:tcPr>
            <w:tcW w:w="2080" w:type="dxa"/>
            <w:tcBorders>
              <w:top w:val="nil"/>
              <w:left w:val="nil"/>
              <w:bottom w:val="single" w:sz="4" w:space="0" w:color="auto"/>
              <w:right w:val="single" w:sz="4" w:space="0" w:color="auto"/>
            </w:tcBorders>
            <w:noWrap/>
            <w:vAlign w:val="bottom"/>
            <w:hideMark/>
          </w:tcPr>
          <w:p w14:paraId="04C63EE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11,000,000</w:t>
            </w:r>
          </w:p>
        </w:tc>
        <w:tc>
          <w:tcPr>
            <w:tcW w:w="2080" w:type="dxa"/>
            <w:tcBorders>
              <w:top w:val="nil"/>
              <w:left w:val="nil"/>
              <w:bottom w:val="single" w:sz="4" w:space="0" w:color="auto"/>
              <w:right w:val="single" w:sz="4" w:space="0" w:color="auto"/>
            </w:tcBorders>
            <w:noWrap/>
            <w:vAlign w:val="bottom"/>
            <w:hideMark/>
          </w:tcPr>
          <w:p w14:paraId="44675EA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10,000,000</w:t>
            </w:r>
          </w:p>
        </w:tc>
      </w:tr>
      <w:tr w:rsidR="00870A62" w:rsidRPr="00DA2477" w14:paraId="7F23522A" w14:textId="77777777" w:rsidTr="00CD4033">
        <w:trPr>
          <w:trHeight w:val="300"/>
          <w:jc w:val="center"/>
        </w:trPr>
        <w:tc>
          <w:tcPr>
            <w:tcW w:w="960" w:type="dxa"/>
            <w:tcBorders>
              <w:top w:val="nil"/>
              <w:left w:val="single" w:sz="4" w:space="0" w:color="auto"/>
              <w:bottom w:val="single" w:sz="4" w:space="0" w:color="auto"/>
              <w:right w:val="single" w:sz="4" w:space="0" w:color="auto"/>
            </w:tcBorders>
            <w:noWrap/>
            <w:vAlign w:val="bottom"/>
            <w:hideMark/>
          </w:tcPr>
          <w:p w14:paraId="6DA0DE50"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w:t>
            </w:r>
          </w:p>
        </w:tc>
        <w:tc>
          <w:tcPr>
            <w:tcW w:w="2080" w:type="dxa"/>
            <w:tcBorders>
              <w:top w:val="nil"/>
              <w:left w:val="nil"/>
              <w:bottom w:val="single" w:sz="4" w:space="0" w:color="auto"/>
              <w:right w:val="single" w:sz="4" w:space="0" w:color="auto"/>
            </w:tcBorders>
            <w:noWrap/>
            <w:vAlign w:val="bottom"/>
            <w:hideMark/>
          </w:tcPr>
          <w:p w14:paraId="4F7DA1EA"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14,000,000</w:t>
            </w:r>
          </w:p>
        </w:tc>
        <w:tc>
          <w:tcPr>
            <w:tcW w:w="2080" w:type="dxa"/>
            <w:tcBorders>
              <w:top w:val="nil"/>
              <w:left w:val="nil"/>
              <w:bottom w:val="single" w:sz="4" w:space="0" w:color="auto"/>
              <w:right w:val="single" w:sz="4" w:space="0" w:color="auto"/>
            </w:tcBorders>
            <w:noWrap/>
            <w:vAlign w:val="bottom"/>
            <w:hideMark/>
          </w:tcPr>
          <w:p w14:paraId="21B97BC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11,000,000</w:t>
            </w:r>
          </w:p>
        </w:tc>
        <w:tc>
          <w:tcPr>
            <w:tcW w:w="2080" w:type="dxa"/>
            <w:tcBorders>
              <w:top w:val="nil"/>
              <w:left w:val="nil"/>
              <w:bottom w:val="single" w:sz="4" w:space="0" w:color="auto"/>
              <w:right w:val="single" w:sz="4" w:space="0" w:color="auto"/>
            </w:tcBorders>
            <w:noWrap/>
            <w:vAlign w:val="bottom"/>
            <w:hideMark/>
          </w:tcPr>
          <w:p w14:paraId="63CE5F1A"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20,000,000</w:t>
            </w:r>
          </w:p>
        </w:tc>
      </w:tr>
      <w:tr w:rsidR="00870A62" w:rsidRPr="00DA2477" w14:paraId="00FB56C2" w14:textId="77777777" w:rsidTr="00CD4033">
        <w:trPr>
          <w:trHeight w:val="300"/>
          <w:jc w:val="center"/>
        </w:trPr>
        <w:tc>
          <w:tcPr>
            <w:tcW w:w="960" w:type="dxa"/>
            <w:tcBorders>
              <w:top w:val="nil"/>
              <w:left w:val="single" w:sz="4" w:space="0" w:color="auto"/>
              <w:bottom w:val="single" w:sz="4" w:space="0" w:color="auto"/>
              <w:right w:val="single" w:sz="4" w:space="0" w:color="auto"/>
            </w:tcBorders>
            <w:noWrap/>
            <w:vAlign w:val="bottom"/>
            <w:hideMark/>
          </w:tcPr>
          <w:p w14:paraId="091420C7"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4</w:t>
            </w:r>
          </w:p>
        </w:tc>
        <w:tc>
          <w:tcPr>
            <w:tcW w:w="2080" w:type="dxa"/>
            <w:tcBorders>
              <w:top w:val="nil"/>
              <w:left w:val="nil"/>
              <w:bottom w:val="single" w:sz="4" w:space="0" w:color="auto"/>
              <w:right w:val="single" w:sz="4" w:space="0" w:color="auto"/>
            </w:tcBorders>
            <w:noWrap/>
            <w:vAlign w:val="bottom"/>
            <w:hideMark/>
          </w:tcPr>
          <w:p w14:paraId="643A2E02"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10,000,000</w:t>
            </w:r>
          </w:p>
        </w:tc>
        <w:tc>
          <w:tcPr>
            <w:tcW w:w="2080" w:type="dxa"/>
            <w:tcBorders>
              <w:top w:val="nil"/>
              <w:left w:val="nil"/>
              <w:bottom w:val="single" w:sz="4" w:space="0" w:color="auto"/>
              <w:right w:val="single" w:sz="4" w:space="0" w:color="auto"/>
            </w:tcBorders>
            <w:noWrap/>
            <w:vAlign w:val="bottom"/>
            <w:hideMark/>
          </w:tcPr>
          <w:p w14:paraId="2703FA0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11,000,000</w:t>
            </w:r>
          </w:p>
        </w:tc>
        <w:tc>
          <w:tcPr>
            <w:tcW w:w="2080" w:type="dxa"/>
            <w:tcBorders>
              <w:top w:val="nil"/>
              <w:left w:val="nil"/>
              <w:bottom w:val="single" w:sz="4" w:space="0" w:color="auto"/>
              <w:right w:val="single" w:sz="4" w:space="0" w:color="auto"/>
            </w:tcBorders>
            <w:noWrap/>
            <w:vAlign w:val="bottom"/>
            <w:hideMark/>
          </w:tcPr>
          <w:p w14:paraId="5E9B258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25,000,000</w:t>
            </w:r>
          </w:p>
        </w:tc>
      </w:tr>
      <w:tr w:rsidR="00870A62" w:rsidRPr="00DA2477" w14:paraId="62F7C45A" w14:textId="77777777" w:rsidTr="00CD4033">
        <w:trPr>
          <w:trHeight w:val="315"/>
          <w:jc w:val="center"/>
        </w:trPr>
        <w:tc>
          <w:tcPr>
            <w:tcW w:w="960" w:type="dxa"/>
            <w:tcBorders>
              <w:top w:val="nil"/>
              <w:left w:val="single" w:sz="4" w:space="0" w:color="auto"/>
              <w:bottom w:val="nil"/>
              <w:right w:val="single" w:sz="4" w:space="0" w:color="auto"/>
            </w:tcBorders>
            <w:noWrap/>
            <w:vAlign w:val="bottom"/>
            <w:hideMark/>
          </w:tcPr>
          <w:p w14:paraId="453BF21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w:t>
            </w:r>
          </w:p>
        </w:tc>
        <w:tc>
          <w:tcPr>
            <w:tcW w:w="2080" w:type="dxa"/>
            <w:tcBorders>
              <w:top w:val="nil"/>
              <w:left w:val="nil"/>
              <w:bottom w:val="nil"/>
              <w:right w:val="single" w:sz="4" w:space="0" w:color="auto"/>
            </w:tcBorders>
            <w:noWrap/>
            <w:vAlign w:val="bottom"/>
            <w:hideMark/>
          </w:tcPr>
          <w:p w14:paraId="27C4581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8,000,000</w:t>
            </w:r>
          </w:p>
        </w:tc>
        <w:tc>
          <w:tcPr>
            <w:tcW w:w="2080" w:type="dxa"/>
            <w:tcBorders>
              <w:top w:val="nil"/>
              <w:left w:val="nil"/>
              <w:bottom w:val="single" w:sz="4" w:space="0" w:color="auto"/>
              <w:right w:val="single" w:sz="4" w:space="0" w:color="auto"/>
            </w:tcBorders>
            <w:noWrap/>
            <w:vAlign w:val="bottom"/>
            <w:hideMark/>
          </w:tcPr>
          <w:p w14:paraId="327464F0"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11,000,000</w:t>
            </w:r>
          </w:p>
        </w:tc>
        <w:tc>
          <w:tcPr>
            <w:tcW w:w="2080" w:type="dxa"/>
            <w:tcBorders>
              <w:top w:val="nil"/>
              <w:left w:val="nil"/>
              <w:bottom w:val="single" w:sz="4" w:space="0" w:color="auto"/>
              <w:right w:val="single" w:sz="4" w:space="0" w:color="auto"/>
            </w:tcBorders>
            <w:noWrap/>
            <w:vAlign w:val="bottom"/>
            <w:hideMark/>
          </w:tcPr>
          <w:p w14:paraId="36512B52"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5,000,000</w:t>
            </w:r>
          </w:p>
        </w:tc>
      </w:tr>
      <w:tr w:rsidR="00870A62" w:rsidRPr="00DA2477" w14:paraId="1B4762E8" w14:textId="77777777" w:rsidTr="00CD4033">
        <w:trPr>
          <w:trHeight w:val="315"/>
          <w:jc w:val="center"/>
        </w:trPr>
        <w:tc>
          <w:tcPr>
            <w:tcW w:w="960" w:type="dxa"/>
            <w:tcBorders>
              <w:top w:val="single" w:sz="8" w:space="0" w:color="auto"/>
              <w:left w:val="single" w:sz="8" w:space="0" w:color="auto"/>
              <w:bottom w:val="single" w:sz="8" w:space="0" w:color="auto"/>
              <w:right w:val="single" w:sz="8" w:space="0" w:color="auto"/>
            </w:tcBorders>
            <w:noWrap/>
            <w:vAlign w:val="bottom"/>
            <w:hideMark/>
          </w:tcPr>
          <w:p w14:paraId="5634892F"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Total</w:t>
            </w:r>
          </w:p>
        </w:tc>
        <w:tc>
          <w:tcPr>
            <w:tcW w:w="2080" w:type="dxa"/>
            <w:tcBorders>
              <w:top w:val="single" w:sz="8" w:space="0" w:color="auto"/>
              <w:left w:val="nil"/>
              <w:bottom w:val="single" w:sz="8" w:space="0" w:color="auto"/>
              <w:right w:val="single" w:sz="8" w:space="0" w:color="auto"/>
            </w:tcBorders>
            <w:noWrap/>
            <w:vAlign w:val="bottom"/>
            <w:hideMark/>
          </w:tcPr>
          <w:p w14:paraId="387FBDC5"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54,000,000</w:t>
            </w:r>
          </w:p>
        </w:tc>
        <w:tc>
          <w:tcPr>
            <w:tcW w:w="2080" w:type="dxa"/>
            <w:tcBorders>
              <w:top w:val="single" w:sz="8" w:space="0" w:color="auto"/>
              <w:left w:val="nil"/>
              <w:bottom w:val="single" w:sz="8" w:space="0" w:color="auto"/>
              <w:right w:val="single" w:sz="8" w:space="0" w:color="auto"/>
            </w:tcBorders>
            <w:noWrap/>
            <w:vAlign w:val="bottom"/>
            <w:hideMark/>
          </w:tcPr>
          <w:p w14:paraId="17A00569"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55,000,000</w:t>
            </w:r>
          </w:p>
        </w:tc>
        <w:tc>
          <w:tcPr>
            <w:tcW w:w="2080" w:type="dxa"/>
            <w:tcBorders>
              <w:top w:val="single" w:sz="8" w:space="0" w:color="auto"/>
              <w:left w:val="nil"/>
              <w:bottom w:val="single" w:sz="8" w:space="0" w:color="auto"/>
              <w:right w:val="single" w:sz="8" w:space="0" w:color="auto"/>
            </w:tcBorders>
            <w:noWrap/>
            <w:vAlign w:val="bottom"/>
            <w:hideMark/>
          </w:tcPr>
          <w:p w14:paraId="70FC54A0"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65,000,000</w:t>
            </w:r>
          </w:p>
        </w:tc>
      </w:tr>
    </w:tbl>
    <w:p w14:paraId="1CAA1D99" w14:textId="77777777" w:rsidR="00870A62" w:rsidRPr="00DA2477" w:rsidRDefault="00870A62" w:rsidP="00870A62">
      <w:pPr>
        <w:tabs>
          <w:tab w:val="left" w:pos="2940"/>
        </w:tabs>
        <w:ind w:left="360"/>
        <w:rPr>
          <w:rFonts w:cs="Times New Roman"/>
          <w:b/>
          <w:bCs/>
        </w:rPr>
      </w:pPr>
    </w:p>
    <w:p w14:paraId="453E3CB7" w14:textId="77777777" w:rsidR="00870A62" w:rsidRPr="00DA2477" w:rsidRDefault="00870A62" w:rsidP="00870A62">
      <w:pPr>
        <w:pStyle w:val="Heading2"/>
        <w:numPr>
          <w:ilvl w:val="0"/>
          <w:numId w:val="7"/>
        </w:numPr>
        <w:spacing w:line="360" w:lineRule="auto"/>
        <w:rPr>
          <w:rFonts w:cs="Times New Roman"/>
        </w:rPr>
      </w:pPr>
      <w:bookmarkStart w:id="16" w:name="_Toc233996403"/>
      <w:r w:rsidRPr="00DA2477">
        <w:rPr>
          <w:rFonts w:cs="Times New Roman"/>
        </w:rPr>
        <w:lastRenderedPageBreak/>
        <w:t>Payback Period</w:t>
      </w:r>
      <w:bookmarkEnd w:id="16"/>
      <w:r w:rsidRPr="00DA2477">
        <w:rPr>
          <w:rFonts w:cs="Times New Roman"/>
        </w:rPr>
        <w:t xml:space="preserve"> </w:t>
      </w:r>
    </w:p>
    <w:p w14:paraId="7FAC12EA" w14:textId="77777777" w:rsidR="00870A62" w:rsidRPr="00DA2477" w:rsidRDefault="00870A62" w:rsidP="00870A62">
      <w:pPr>
        <w:spacing w:line="360" w:lineRule="auto"/>
        <w:jc w:val="left"/>
        <w:rPr>
          <w:rFonts w:cs="Times New Roman"/>
          <w:b/>
          <w:bCs/>
          <w:sz w:val="18"/>
          <w:szCs w:val="16"/>
        </w:rPr>
      </w:pPr>
      <w:r w:rsidRPr="00DA2477">
        <w:rPr>
          <w:rFonts w:cs="Times New Roman"/>
          <w:b/>
          <w:bCs/>
          <w:sz w:val="18"/>
          <w:szCs w:val="16"/>
        </w:rPr>
        <w:t>Workings of payback period (Project A, B, and C) are mentioned in section C below the Appendices.</w:t>
      </w:r>
    </w:p>
    <w:p w14:paraId="075EA46E" w14:textId="77777777" w:rsidR="00870A62" w:rsidRPr="00DA2477" w:rsidRDefault="00870A62" w:rsidP="00870A62">
      <w:pPr>
        <w:pStyle w:val="Heading2"/>
        <w:numPr>
          <w:ilvl w:val="0"/>
          <w:numId w:val="7"/>
        </w:numPr>
        <w:spacing w:line="360" w:lineRule="auto"/>
        <w:rPr>
          <w:rFonts w:cs="Times New Roman"/>
        </w:rPr>
      </w:pPr>
      <w:bookmarkStart w:id="17" w:name="_Toc233996404"/>
      <w:r w:rsidRPr="00DA2477">
        <w:rPr>
          <w:rFonts w:cs="Times New Roman"/>
        </w:rPr>
        <w:t>Accounting Rate of Return</w:t>
      </w:r>
      <w:bookmarkEnd w:id="17"/>
      <w:r w:rsidRPr="00DA2477">
        <w:rPr>
          <w:rFonts w:cs="Times New Roman"/>
        </w:rPr>
        <w:t xml:space="preserve"> </w:t>
      </w:r>
    </w:p>
    <w:p w14:paraId="54D6C862" w14:textId="77777777" w:rsidR="00870A62" w:rsidRPr="00DA2477" w:rsidRDefault="00870A62" w:rsidP="00870A62">
      <w:pPr>
        <w:spacing w:line="360" w:lineRule="auto"/>
        <w:jc w:val="left"/>
        <w:rPr>
          <w:rFonts w:cs="Times New Roman"/>
          <w:b/>
          <w:bCs/>
          <w:sz w:val="20"/>
          <w:szCs w:val="18"/>
        </w:rPr>
      </w:pPr>
      <w:r w:rsidRPr="00DA2477">
        <w:rPr>
          <w:rFonts w:cs="Times New Roman"/>
          <w:b/>
          <w:bCs/>
          <w:sz w:val="20"/>
          <w:szCs w:val="18"/>
        </w:rPr>
        <w:t>Workings of ARR (Project A, B, and C) are mentioned in section C below Appendices.</w:t>
      </w:r>
    </w:p>
    <w:p w14:paraId="4ED228D3" w14:textId="77777777" w:rsidR="00870A62" w:rsidRPr="00DA2477" w:rsidRDefault="00870A62" w:rsidP="00870A62">
      <w:pPr>
        <w:pStyle w:val="Heading2"/>
        <w:numPr>
          <w:ilvl w:val="0"/>
          <w:numId w:val="7"/>
        </w:numPr>
        <w:spacing w:line="360" w:lineRule="auto"/>
        <w:rPr>
          <w:rFonts w:cs="Times New Roman"/>
        </w:rPr>
      </w:pPr>
      <w:bookmarkStart w:id="18" w:name="_Toc233996405"/>
      <w:r w:rsidRPr="00DA2477">
        <w:rPr>
          <w:rFonts w:cs="Times New Roman"/>
        </w:rPr>
        <w:t>Net Present Value</w:t>
      </w:r>
      <w:bookmarkEnd w:id="18"/>
    </w:p>
    <w:p w14:paraId="6F74FC98" w14:textId="77777777" w:rsidR="00870A62" w:rsidRPr="00DA2477" w:rsidRDefault="00870A62" w:rsidP="00870A62">
      <w:pPr>
        <w:spacing w:line="360" w:lineRule="auto"/>
        <w:jc w:val="left"/>
        <w:rPr>
          <w:rFonts w:cs="Times New Roman"/>
          <w:b/>
          <w:bCs/>
          <w:sz w:val="20"/>
          <w:szCs w:val="18"/>
        </w:rPr>
      </w:pPr>
      <w:r w:rsidRPr="00DA2477">
        <w:rPr>
          <w:rFonts w:cs="Times New Roman"/>
          <w:b/>
          <w:bCs/>
          <w:sz w:val="20"/>
          <w:szCs w:val="18"/>
        </w:rPr>
        <w:t>Workings of NPV (Project A, B, and C) are mentioned in section C below the Appendices.</w:t>
      </w:r>
    </w:p>
    <w:p w14:paraId="760B3A2B" w14:textId="77777777" w:rsidR="00870A62" w:rsidRPr="00DA2477" w:rsidRDefault="00870A62" w:rsidP="00870A62">
      <w:pPr>
        <w:pStyle w:val="Heading2"/>
        <w:numPr>
          <w:ilvl w:val="0"/>
          <w:numId w:val="7"/>
        </w:numPr>
        <w:spacing w:line="360" w:lineRule="auto"/>
        <w:rPr>
          <w:rFonts w:cs="Times New Roman"/>
        </w:rPr>
      </w:pPr>
      <w:bookmarkStart w:id="19" w:name="_Toc233996406"/>
      <w:r w:rsidRPr="00DA2477">
        <w:rPr>
          <w:rFonts w:cs="Times New Roman"/>
        </w:rPr>
        <w:t>Profitability Index</w:t>
      </w:r>
      <w:bookmarkEnd w:id="19"/>
    </w:p>
    <w:p w14:paraId="27C3737E" w14:textId="77777777" w:rsidR="00870A62" w:rsidRPr="00DA2477" w:rsidRDefault="00870A62" w:rsidP="00870A62">
      <w:pPr>
        <w:spacing w:line="360" w:lineRule="auto"/>
        <w:jc w:val="left"/>
        <w:rPr>
          <w:rFonts w:cs="Times New Roman"/>
          <w:b/>
          <w:bCs/>
          <w:sz w:val="20"/>
          <w:szCs w:val="18"/>
        </w:rPr>
      </w:pPr>
      <w:r w:rsidRPr="00DA2477">
        <w:rPr>
          <w:rFonts w:cs="Times New Roman"/>
          <w:b/>
          <w:bCs/>
          <w:sz w:val="20"/>
          <w:szCs w:val="18"/>
        </w:rPr>
        <w:t>Workings of PI (Project A, B, and C) are mentioned in section C below Appendices.</w:t>
      </w:r>
    </w:p>
    <w:p w14:paraId="10326398" w14:textId="77777777" w:rsidR="00870A62" w:rsidRPr="00DA2477" w:rsidRDefault="00870A62" w:rsidP="00870A62">
      <w:pPr>
        <w:pStyle w:val="Heading2"/>
        <w:numPr>
          <w:ilvl w:val="0"/>
          <w:numId w:val="7"/>
        </w:numPr>
        <w:spacing w:line="360" w:lineRule="auto"/>
        <w:rPr>
          <w:rFonts w:cs="Times New Roman"/>
        </w:rPr>
      </w:pPr>
      <w:bookmarkStart w:id="20" w:name="_Toc233996407"/>
      <w:r w:rsidRPr="00DA2477">
        <w:rPr>
          <w:rFonts w:cs="Times New Roman"/>
        </w:rPr>
        <w:t>Internal Rate of Return</w:t>
      </w:r>
      <w:bookmarkEnd w:id="20"/>
    </w:p>
    <w:p w14:paraId="7823883F" w14:textId="77777777" w:rsidR="00870A62" w:rsidRPr="00DA2477" w:rsidRDefault="00870A62" w:rsidP="00870A62">
      <w:pPr>
        <w:spacing w:line="360" w:lineRule="auto"/>
        <w:jc w:val="left"/>
        <w:rPr>
          <w:rFonts w:cs="Times New Roman"/>
          <w:b/>
          <w:bCs/>
          <w:sz w:val="20"/>
          <w:szCs w:val="18"/>
        </w:rPr>
      </w:pPr>
      <w:r w:rsidRPr="00DA2477">
        <w:rPr>
          <w:rFonts w:cs="Times New Roman"/>
          <w:b/>
          <w:bCs/>
          <w:sz w:val="20"/>
          <w:szCs w:val="18"/>
        </w:rPr>
        <w:t>Workings of IRR (Project A, B, and C) are mentioned in section C below Appendices.</w:t>
      </w:r>
    </w:p>
    <w:p w14:paraId="062EC46A" w14:textId="77777777" w:rsidR="00870A62" w:rsidRPr="00DA2477" w:rsidRDefault="00870A62" w:rsidP="00870A62">
      <w:pPr>
        <w:pStyle w:val="Heading2"/>
        <w:numPr>
          <w:ilvl w:val="0"/>
          <w:numId w:val="7"/>
        </w:numPr>
        <w:spacing w:line="360" w:lineRule="auto"/>
        <w:rPr>
          <w:rFonts w:cs="Times New Roman"/>
        </w:rPr>
      </w:pPr>
      <w:bookmarkStart w:id="21" w:name="_Toc233996408"/>
      <w:r w:rsidRPr="00DA2477">
        <w:rPr>
          <w:rFonts w:cs="Times New Roman"/>
        </w:rPr>
        <w:t>SUMMARY</w:t>
      </w:r>
      <w:bookmarkEnd w:id="21"/>
      <w:r w:rsidRPr="00DA2477">
        <w:rPr>
          <w:rFonts w:cs="Times New Roman"/>
        </w:rPr>
        <w:t xml:space="preserve"> </w:t>
      </w:r>
    </w:p>
    <w:tbl>
      <w:tblPr>
        <w:tblW w:w="5400" w:type="dxa"/>
        <w:jc w:val="center"/>
        <w:tblLook w:val="04A0" w:firstRow="1" w:lastRow="0" w:firstColumn="1" w:lastColumn="0" w:noHBand="0" w:noVBand="1"/>
      </w:tblPr>
      <w:tblGrid>
        <w:gridCol w:w="960"/>
        <w:gridCol w:w="1480"/>
        <w:gridCol w:w="1480"/>
        <w:gridCol w:w="1480"/>
      </w:tblGrid>
      <w:tr w:rsidR="00870A62" w:rsidRPr="00DA2477" w14:paraId="5B2A887D" w14:textId="77777777" w:rsidTr="00CD4033">
        <w:trPr>
          <w:trHeight w:val="330"/>
          <w:jc w:val="center"/>
        </w:trPr>
        <w:tc>
          <w:tcPr>
            <w:tcW w:w="960" w:type="dxa"/>
            <w:tcBorders>
              <w:top w:val="single" w:sz="8" w:space="0" w:color="auto"/>
              <w:left w:val="single" w:sz="8" w:space="0" w:color="auto"/>
              <w:bottom w:val="single" w:sz="8" w:space="0" w:color="auto"/>
              <w:right w:val="single" w:sz="8" w:space="0" w:color="auto"/>
            </w:tcBorders>
            <w:noWrap/>
            <w:vAlign w:val="bottom"/>
            <w:hideMark/>
          </w:tcPr>
          <w:p w14:paraId="4B31BCCC" w14:textId="77777777" w:rsidR="00870A62" w:rsidRPr="00DA2477" w:rsidRDefault="00870A62" w:rsidP="00CD4033">
            <w:pPr>
              <w:spacing w:after="0" w:line="240" w:lineRule="auto"/>
              <w:jc w:val="center"/>
              <w:rPr>
                <w:rFonts w:eastAsia="Times New Roman" w:cs="Times New Roman"/>
                <w:color w:val="000000"/>
                <w:szCs w:val="24"/>
                <w:lang w:val="" w:eastAsia=""/>
              </w:rPr>
            </w:pPr>
          </w:p>
        </w:tc>
        <w:tc>
          <w:tcPr>
            <w:tcW w:w="1480" w:type="dxa"/>
            <w:tcBorders>
              <w:top w:val="single" w:sz="8" w:space="0" w:color="auto"/>
              <w:left w:val="nil"/>
              <w:bottom w:val="single" w:sz="8" w:space="0" w:color="auto"/>
              <w:right w:val="single" w:sz="8" w:space="0" w:color="auto"/>
            </w:tcBorders>
            <w:noWrap/>
            <w:vAlign w:val="bottom"/>
            <w:hideMark/>
          </w:tcPr>
          <w:p w14:paraId="4E24B0FB"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A</w:t>
            </w:r>
          </w:p>
        </w:tc>
        <w:tc>
          <w:tcPr>
            <w:tcW w:w="1480" w:type="dxa"/>
            <w:tcBorders>
              <w:top w:val="single" w:sz="8" w:space="0" w:color="auto"/>
              <w:left w:val="nil"/>
              <w:bottom w:val="single" w:sz="8" w:space="0" w:color="auto"/>
              <w:right w:val="single" w:sz="8" w:space="0" w:color="auto"/>
            </w:tcBorders>
            <w:noWrap/>
            <w:vAlign w:val="bottom"/>
            <w:hideMark/>
          </w:tcPr>
          <w:p w14:paraId="70A662F9"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B</w:t>
            </w:r>
          </w:p>
        </w:tc>
        <w:tc>
          <w:tcPr>
            <w:tcW w:w="1480" w:type="dxa"/>
            <w:tcBorders>
              <w:top w:val="single" w:sz="8" w:space="0" w:color="auto"/>
              <w:left w:val="nil"/>
              <w:bottom w:val="single" w:sz="8" w:space="0" w:color="auto"/>
              <w:right w:val="single" w:sz="8" w:space="0" w:color="auto"/>
            </w:tcBorders>
            <w:noWrap/>
            <w:vAlign w:val="bottom"/>
            <w:hideMark/>
          </w:tcPr>
          <w:p w14:paraId="3A2FE9D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C</w:t>
            </w:r>
          </w:p>
        </w:tc>
      </w:tr>
      <w:tr w:rsidR="00870A62" w:rsidRPr="00DA2477" w14:paraId="1513010E" w14:textId="77777777" w:rsidTr="00CD4033">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09C303C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PBP</w:t>
            </w:r>
          </w:p>
        </w:tc>
        <w:tc>
          <w:tcPr>
            <w:tcW w:w="1480" w:type="dxa"/>
            <w:tcBorders>
              <w:top w:val="nil"/>
              <w:left w:val="nil"/>
              <w:bottom w:val="single" w:sz="4" w:space="0" w:color="auto"/>
              <w:right w:val="single" w:sz="4" w:space="0" w:color="auto"/>
            </w:tcBorders>
            <w:noWrap/>
            <w:vAlign w:val="bottom"/>
            <w:hideMark/>
          </w:tcPr>
          <w:p w14:paraId="197466AC"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4.5 years</w:t>
            </w:r>
          </w:p>
        </w:tc>
        <w:tc>
          <w:tcPr>
            <w:tcW w:w="1480" w:type="dxa"/>
            <w:tcBorders>
              <w:top w:val="nil"/>
              <w:left w:val="nil"/>
              <w:bottom w:val="single" w:sz="4" w:space="0" w:color="auto"/>
              <w:right w:val="single" w:sz="4" w:space="0" w:color="auto"/>
            </w:tcBorders>
            <w:noWrap/>
            <w:vAlign w:val="bottom"/>
            <w:hideMark/>
          </w:tcPr>
          <w:p w14:paraId="2193A09D"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4.545 years</w:t>
            </w:r>
          </w:p>
        </w:tc>
        <w:tc>
          <w:tcPr>
            <w:tcW w:w="1480" w:type="dxa"/>
            <w:tcBorders>
              <w:top w:val="nil"/>
              <w:left w:val="nil"/>
              <w:bottom w:val="single" w:sz="4" w:space="0" w:color="auto"/>
              <w:right w:val="single" w:sz="4" w:space="0" w:color="auto"/>
            </w:tcBorders>
            <w:noWrap/>
            <w:vAlign w:val="bottom"/>
            <w:hideMark/>
          </w:tcPr>
          <w:p w14:paraId="37856F7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3.6 years</w:t>
            </w:r>
          </w:p>
        </w:tc>
      </w:tr>
      <w:tr w:rsidR="00870A62" w:rsidRPr="00DA2477" w14:paraId="7A275A27" w14:textId="77777777" w:rsidTr="00CD4033">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151C261E"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ARR</w:t>
            </w:r>
          </w:p>
        </w:tc>
        <w:tc>
          <w:tcPr>
            <w:tcW w:w="1480" w:type="dxa"/>
            <w:tcBorders>
              <w:top w:val="nil"/>
              <w:left w:val="nil"/>
              <w:bottom w:val="single" w:sz="4" w:space="0" w:color="auto"/>
              <w:right w:val="single" w:sz="4" w:space="0" w:color="auto"/>
            </w:tcBorders>
            <w:noWrap/>
            <w:vAlign w:val="bottom"/>
            <w:hideMark/>
          </w:tcPr>
          <w:p w14:paraId="73EF10E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1.60%</w:t>
            </w:r>
          </w:p>
        </w:tc>
        <w:tc>
          <w:tcPr>
            <w:tcW w:w="1480" w:type="dxa"/>
            <w:tcBorders>
              <w:top w:val="nil"/>
              <w:left w:val="nil"/>
              <w:bottom w:val="single" w:sz="4" w:space="0" w:color="auto"/>
              <w:right w:val="single" w:sz="4" w:space="0" w:color="auto"/>
            </w:tcBorders>
            <w:noWrap/>
            <w:vAlign w:val="bottom"/>
            <w:hideMark/>
          </w:tcPr>
          <w:p w14:paraId="356977F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w:t>
            </w:r>
          </w:p>
        </w:tc>
        <w:tc>
          <w:tcPr>
            <w:tcW w:w="1480" w:type="dxa"/>
            <w:tcBorders>
              <w:top w:val="nil"/>
              <w:left w:val="nil"/>
              <w:bottom w:val="single" w:sz="4" w:space="0" w:color="auto"/>
              <w:right w:val="single" w:sz="4" w:space="0" w:color="auto"/>
            </w:tcBorders>
            <w:noWrap/>
            <w:vAlign w:val="bottom"/>
            <w:hideMark/>
          </w:tcPr>
          <w:p w14:paraId="2A2C2229"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w:t>
            </w:r>
          </w:p>
        </w:tc>
      </w:tr>
      <w:tr w:rsidR="00870A62" w:rsidRPr="00DA2477" w14:paraId="479E727A" w14:textId="77777777" w:rsidTr="00CD4033">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52BA9383"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NPV</w:t>
            </w:r>
          </w:p>
        </w:tc>
        <w:tc>
          <w:tcPr>
            <w:tcW w:w="1480" w:type="dxa"/>
            <w:tcBorders>
              <w:top w:val="nil"/>
              <w:left w:val="nil"/>
              <w:bottom w:val="single" w:sz="4" w:space="0" w:color="auto"/>
              <w:right w:val="single" w:sz="4" w:space="0" w:color="auto"/>
            </w:tcBorders>
            <w:noWrap/>
            <w:vAlign w:val="bottom"/>
            <w:hideMark/>
          </w:tcPr>
          <w:p w14:paraId="5AB9E07B"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(6,544,059)</w:t>
            </w:r>
          </w:p>
        </w:tc>
        <w:tc>
          <w:tcPr>
            <w:tcW w:w="1480" w:type="dxa"/>
            <w:tcBorders>
              <w:top w:val="nil"/>
              <w:left w:val="nil"/>
              <w:bottom w:val="single" w:sz="4" w:space="0" w:color="auto"/>
              <w:right w:val="single" w:sz="4" w:space="0" w:color="auto"/>
            </w:tcBorders>
            <w:noWrap/>
            <w:vAlign w:val="bottom"/>
            <w:hideMark/>
          </w:tcPr>
          <w:p w14:paraId="27E5AAF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(6,080,190)</w:t>
            </w:r>
          </w:p>
        </w:tc>
        <w:tc>
          <w:tcPr>
            <w:tcW w:w="1480" w:type="dxa"/>
            <w:tcBorders>
              <w:top w:val="nil"/>
              <w:left w:val="nil"/>
              <w:bottom w:val="single" w:sz="4" w:space="0" w:color="auto"/>
              <w:right w:val="single" w:sz="4" w:space="0" w:color="auto"/>
            </w:tcBorders>
            <w:noWrap/>
            <w:vAlign w:val="bottom"/>
            <w:hideMark/>
          </w:tcPr>
          <w:p w14:paraId="30DDCA16"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858,325</w:t>
            </w:r>
          </w:p>
        </w:tc>
      </w:tr>
      <w:tr w:rsidR="00870A62" w:rsidRPr="00DA2477" w14:paraId="64CDA4DC" w14:textId="77777777" w:rsidTr="00CD4033">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249A8CE9"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PI</w:t>
            </w:r>
          </w:p>
        </w:tc>
        <w:tc>
          <w:tcPr>
            <w:tcW w:w="1480" w:type="dxa"/>
            <w:tcBorders>
              <w:top w:val="nil"/>
              <w:left w:val="nil"/>
              <w:bottom w:val="single" w:sz="4" w:space="0" w:color="auto"/>
              <w:right w:val="single" w:sz="4" w:space="0" w:color="auto"/>
            </w:tcBorders>
            <w:noWrap/>
            <w:vAlign w:val="bottom"/>
            <w:hideMark/>
          </w:tcPr>
          <w:p w14:paraId="581C9146"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0.869</w:t>
            </w:r>
          </w:p>
        </w:tc>
        <w:tc>
          <w:tcPr>
            <w:tcW w:w="1480" w:type="dxa"/>
            <w:tcBorders>
              <w:top w:val="nil"/>
              <w:left w:val="nil"/>
              <w:bottom w:val="single" w:sz="4" w:space="0" w:color="auto"/>
              <w:right w:val="single" w:sz="4" w:space="0" w:color="auto"/>
            </w:tcBorders>
            <w:noWrap/>
            <w:vAlign w:val="bottom"/>
            <w:hideMark/>
          </w:tcPr>
          <w:p w14:paraId="5AFE00F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0.878</w:t>
            </w:r>
          </w:p>
        </w:tc>
        <w:tc>
          <w:tcPr>
            <w:tcW w:w="1480" w:type="dxa"/>
            <w:tcBorders>
              <w:top w:val="nil"/>
              <w:left w:val="nil"/>
              <w:bottom w:val="single" w:sz="4" w:space="0" w:color="auto"/>
              <w:right w:val="single" w:sz="4" w:space="0" w:color="auto"/>
            </w:tcBorders>
            <w:noWrap/>
            <w:vAlign w:val="bottom"/>
            <w:hideMark/>
          </w:tcPr>
          <w:p w14:paraId="5D78226D"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1.017</w:t>
            </w:r>
          </w:p>
        </w:tc>
      </w:tr>
      <w:tr w:rsidR="00870A62" w:rsidRPr="00DA2477" w14:paraId="7CE61972" w14:textId="77777777" w:rsidTr="00CD4033">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403A7007"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IRR</w:t>
            </w:r>
          </w:p>
        </w:tc>
        <w:tc>
          <w:tcPr>
            <w:tcW w:w="1480" w:type="dxa"/>
            <w:tcBorders>
              <w:top w:val="nil"/>
              <w:left w:val="nil"/>
              <w:bottom w:val="single" w:sz="4" w:space="0" w:color="auto"/>
              <w:right w:val="single" w:sz="4" w:space="0" w:color="auto"/>
            </w:tcBorders>
            <w:noWrap/>
            <w:vAlign w:val="bottom"/>
            <w:hideMark/>
          </w:tcPr>
          <w:p w14:paraId="1CE889CC"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2.72%</w:t>
            </w:r>
          </w:p>
        </w:tc>
        <w:tc>
          <w:tcPr>
            <w:tcW w:w="1480" w:type="dxa"/>
            <w:tcBorders>
              <w:top w:val="nil"/>
              <w:left w:val="nil"/>
              <w:bottom w:val="single" w:sz="4" w:space="0" w:color="auto"/>
              <w:right w:val="single" w:sz="4" w:space="0" w:color="auto"/>
            </w:tcBorders>
            <w:noWrap/>
            <w:vAlign w:val="bottom"/>
            <w:hideMark/>
          </w:tcPr>
          <w:p w14:paraId="1FFB1501"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3.26%</w:t>
            </w:r>
          </w:p>
        </w:tc>
        <w:tc>
          <w:tcPr>
            <w:tcW w:w="1480" w:type="dxa"/>
            <w:tcBorders>
              <w:top w:val="nil"/>
              <w:left w:val="nil"/>
              <w:bottom w:val="single" w:sz="4" w:space="0" w:color="auto"/>
              <w:right w:val="single" w:sz="4" w:space="0" w:color="auto"/>
            </w:tcBorders>
            <w:noWrap/>
            <w:vAlign w:val="bottom"/>
            <w:hideMark/>
          </w:tcPr>
          <w:p w14:paraId="7E617C2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8.59%</w:t>
            </w:r>
          </w:p>
        </w:tc>
      </w:tr>
    </w:tbl>
    <w:p w14:paraId="226B2CB7" w14:textId="77777777" w:rsidR="00870A62" w:rsidRPr="00DA2477" w:rsidRDefault="00870A62" w:rsidP="00870A62">
      <w:pPr>
        <w:spacing w:line="360" w:lineRule="auto"/>
        <w:jc w:val="left"/>
        <w:rPr>
          <w:rFonts w:cs="Times New Roman"/>
          <w:b/>
          <w:bCs/>
          <w:szCs w:val="24"/>
        </w:rPr>
      </w:pPr>
    </w:p>
    <w:p w14:paraId="049F3D87" w14:textId="77777777" w:rsidR="00870A62" w:rsidRPr="00DA2477" w:rsidRDefault="00870A62" w:rsidP="00870A62">
      <w:pPr>
        <w:pStyle w:val="Heading2"/>
        <w:numPr>
          <w:ilvl w:val="0"/>
          <w:numId w:val="6"/>
        </w:numPr>
        <w:spacing w:line="360" w:lineRule="auto"/>
        <w:rPr>
          <w:rFonts w:cs="Times New Roman"/>
        </w:rPr>
      </w:pPr>
      <w:bookmarkStart w:id="22" w:name="_Toc233996409"/>
      <w:r w:rsidRPr="00DA2477">
        <w:rPr>
          <w:rFonts w:cs="Times New Roman"/>
        </w:rPr>
        <w:t>Recommendation</w:t>
      </w:r>
      <w:bookmarkEnd w:id="22"/>
    </w:p>
    <w:p w14:paraId="6C081DBC" w14:textId="77777777" w:rsidR="00870A62" w:rsidRPr="00DA2477" w:rsidRDefault="00870A62" w:rsidP="00870A62">
      <w:pPr>
        <w:spacing w:line="360" w:lineRule="auto"/>
        <w:rPr>
          <w:rFonts w:cs="Times New Roman"/>
          <w:szCs w:val="24"/>
        </w:rPr>
      </w:pPr>
      <w:r w:rsidRPr="00DA2477">
        <w:rPr>
          <w:rFonts w:cs="Times New Roman"/>
          <w:szCs w:val="24"/>
        </w:rPr>
        <w:t>The detailed and comprehensive working of the provided 03 projects has been done, and the results are provided in the appendices and the above-mentioned summary table. There were five appraisal techniques used, i.e., payback period, accounting rate of return, net present value, profitability index, and internal rate of return. Moreover, after consideration of the strategic insight and financial position of the company, Project C will be the definite choice (</w:t>
      </w:r>
      <w:proofErr w:type="spellStart"/>
      <w:r w:rsidRPr="00DA2477">
        <w:rPr>
          <w:rFonts w:cs="Times New Roman"/>
          <w:szCs w:val="24"/>
        </w:rPr>
        <w:t>Awodire</w:t>
      </w:r>
      <w:proofErr w:type="spellEnd"/>
      <w:r w:rsidRPr="00DA2477">
        <w:rPr>
          <w:rFonts w:cs="Times New Roman"/>
          <w:szCs w:val="24"/>
        </w:rPr>
        <w:t xml:space="preserve"> et al., 2023). Among the mentioned 03 projects, Project C is the only one that is generating better results and has a positive NPV, and as per the rules of NPV, the project with positive results should be selected, whereas Project C also has a shorter payback period (</w:t>
      </w:r>
      <w:proofErr w:type="spellStart"/>
      <w:r w:rsidRPr="00DA2477">
        <w:rPr>
          <w:rFonts w:cs="Times New Roman"/>
          <w:szCs w:val="24"/>
        </w:rPr>
        <w:t>Purnamasari</w:t>
      </w:r>
      <w:proofErr w:type="spellEnd"/>
      <w:r w:rsidRPr="00DA2477">
        <w:rPr>
          <w:rFonts w:cs="Times New Roman"/>
          <w:szCs w:val="24"/>
        </w:rPr>
        <w:t xml:space="preserve"> and </w:t>
      </w:r>
      <w:proofErr w:type="spellStart"/>
      <w:r w:rsidRPr="00DA2477">
        <w:rPr>
          <w:rFonts w:cs="Times New Roman"/>
          <w:szCs w:val="24"/>
        </w:rPr>
        <w:t>Adriza</w:t>
      </w:r>
      <w:proofErr w:type="spellEnd"/>
      <w:r w:rsidRPr="00DA2477">
        <w:rPr>
          <w:rFonts w:cs="Times New Roman"/>
          <w:szCs w:val="24"/>
        </w:rPr>
        <w:t xml:space="preserve">, 2024).  From the dimensions to measure the performance, it seems that, as analyzed from the work, a positive value is only created by Project C. There is reinforcement in the </w:t>
      </w:r>
      <w:r w:rsidRPr="00DA2477">
        <w:rPr>
          <w:rFonts w:cs="Times New Roman"/>
          <w:szCs w:val="24"/>
        </w:rPr>
        <w:lastRenderedPageBreak/>
        <w:t>selection of Project C. Moreover, this is not simply supported by the challenges in the financial situation of Marriott and its long-term priorities (Mathew, 2024).</w:t>
      </w:r>
    </w:p>
    <w:p w14:paraId="0E69B042" w14:textId="77777777" w:rsidR="00870A62" w:rsidRPr="00DA2477" w:rsidRDefault="00870A62" w:rsidP="00870A62">
      <w:pPr>
        <w:spacing w:line="360" w:lineRule="auto"/>
        <w:rPr>
          <w:rFonts w:cs="Times New Roman"/>
          <w:szCs w:val="24"/>
        </w:rPr>
      </w:pPr>
      <w:r w:rsidRPr="00DA2477">
        <w:rPr>
          <w:rFonts w:cs="Times New Roman"/>
          <w:szCs w:val="24"/>
        </w:rPr>
        <w:t>From the criteria for the five methods of investment appraisal used in this work, there are standalone results shown by Project C compared to the other two. Project C has a payback period of 3.6 years, which is differentially shorter than the payback periods of Project A and B, meaning that the invested amount will be recovered faster by Project C than the other two (</w:t>
      </w:r>
      <w:proofErr w:type="spellStart"/>
      <w:r w:rsidRPr="00DA2477">
        <w:rPr>
          <w:rFonts w:cs="Times New Roman"/>
          <w:szCs w:val="24"/>
        </w:rPr>
        <w:t>Darmansyah</w:t>
      </w:r>
      <w:proofErr w:type="spellEnd"/>
      <w:r w:rsidRPr="00DA2477">
        <w:rPr>
          <w:rFonts w:cs="Times New Roman"/>
          <w:szCs w:val="24"/>
        </w:rPr>
        <w:t xml:space="preserve"> et al., 2025). It can also provide an advantage to the Marriott considering the company's weak liquidity position (current ratio of 0.43). In the industry where the pace of generating cash highly matters, the quick recovery of investment (payback) will overcome the exposure to the burden on liquidity during the </w:t>
      </w:r>
      <w:proofErr w:type="gramStart"/>
      <w:r w:rsidRPr="00DA2477">
        <w:rPr>
          <w:rFonts w:cs="Times New Roman"/>
          <w:szCs w:val="24"/>
        </w:rPr>
        <w:t>time period</w:t>
      </w:r>
      <w:proofErr w:type="gramEnd"/>
      <w:r w:rsidRPr="00DA2477">
        <w:rPr>
          <w:rFonts w:cs="Times New Roman"/>
          <w:szCs w:val="24"/>
        </w:rPr>
        <w:t xml:space="preserve"> of investment (Kadam and Singh, 2025). There is the accounting rate of return of 6%, which is higher than the other two projects (A 1.6% and B 2%), showing reasonable superiority in the returns from the deployed capital for Project C (Sekhar, 2025).</w:t>
      </w:r>
    </w:p>
    <w:p w14:paraId="079B8A4E" w14:textId="77777777" w:rsidR="00870A62" w:rsidRPr="00DA2477" w:rsidRDefault="00870A62" w:rsidP="00870A62">
      <w:pPr>
        <w:spacing w:line="360" w:lineRule="auto"/>
        <w:rPr>
          <w:rFonts w:cs="Times New Roman"/>
          <w:szCs w:val="24"/>
        </w:rPr>
      </w:pPr>
      <w:r w:rsidRPr="00DA2477">
        <w:rPr>
          <w:rFonts w:cs="Times New Roman"/>
          <w:szCs w:val="24"/>
        </w:rPr>
        <w:t>ARR is still an incomplete metric due to no consideration for the time value of money, but the result is still 3 times higher than the result of Project B (Jensen, 2022). The decisive selection shows that Project C is the only one that is generating a positive NPV result, whereas the other 02 projects are showing negative NPV (</w:t>
      </w:r>
      <w:proofErr w:type="spellStart"/>
      <w:r w:rsidRPr="00DA2477">
        <w:rPr>
          <w:rFonts w:cs="Times New Roman"/>
          <w:szCs w:val="24"/>
        </w:rPr>
        <w:t>Gnap</w:t>
      </w:r>
      <w:proofErr w:type="spellEnd"/>
      <w:r w:rsidRPr="00DA2477">
        <w:rPr>
          <w:rFonts w:cs="Times New Roman"/>
          <w:szCs w:val="24"/>
        </w:rPr>
        <w:t xml:space="preserve"> and Pitera, 2023). Net present value is the most reliable and used technique for selection among multiple projects because it provides the measurement for the creation of wealth in nominal value with inclusion of the cost of capital (Bakri et al., 2022). The project will be misallocated if those projects are selected that offer negative NPV, and it is an irresponsible decision considering the highly occupied debt structure of Marriott, whereas its interest coverage ratio is also declining. The profitability index of Project C is 1.017 higher than the other two investments (Kalkan, 2023). This metric provides information about the creation of value for each unit of invested capital. The results of PI for Projects A and B show destruction of capital. of invested capital (</w:t>
      </w:r>
      <w:proofErr w:type="spellStart"/>
      <w:r w:rsidRPr="00DA2477">
        <w:rPr>
          <w:rFonts w:cs="Times New Roman"/>
          <w:szCs w:val="24"/>
        </w:rPr>
        <w:t>Nunden</w:t>
      </w:r>
      <w:proofErr w:type="spellEnd"/>
      <w:r w:rsidRPr="00DA2477">
        <w:rPr>
          <w:rFonts w:cs="Times New Roman"/>
          <w:szCs w:val="24"/>
        </w:rPr>
        <w:t xml:space="preserve"> et al., 2022).</w:t>
      </w:r>
    </w:p>
    <w:p w14:paraId="751579E5" w14:textId="77777777" w:rsidR="00870A62" w:rsidRPr="00DA2477" w:rsidRDefault="00870A62" w:rsidP="00870A62">
      <w:pPr>
        <w:spacing w:line="360" w:lineRule="auto"/>
        <w:rPr>
          <w:rFonts w:cs="Times New Roman"/>
          <w:szCs w:val="24"/>
        </w:rPr>
      </w:pPr>
      <w:r w:rsidRPr="00DA2477">
        <w:rPr>
          <w:rFonts w:cs="Times New Roman"/>
          <w:szCs w:val="24"/>
        </w:rPr>
        <w:t>Likewise, the IRR of Project C is higher than the cost of capital of 8%, whereas the other two projects show lower IRRs. This means that the return that Project C will generate will compensate for the risk. Projects A and B do not meet the threshold either. It cannot be said that Project C is the preferable option for Marriott considering its financial performance, but since it is necessary, this option is better (</w:t>
      </w:r>
      <w:proofErr w:type="spellStart"/>
      <w:r w:rsidRPr="00DA2477">
        <w:rPr>
          <w:rFonts w:cs="Times New Roman"/>
          <w:szCs w:val="24"/>
        </w:rPr>
        <w:t>Awodire</w:t>
      </w:r>
      <w:proofErr w:type="spellEnd"/>
      <w:r w:rsidRPr="00DA2477">
        <w:rPr>
          <w:rFonts w:cs="Times New Roman"/>
          <w:szCs w:val="24"/>
        </w:rPr>
        <w:t xml:space="preserve"> et al., 2023). The compression has been seen in the operating margin of the company from 2022 to 2025, which means that there is structural pressure on profitability. Margins will further reduce if the company chooses to </w:t>
      </w:r>
      <w:r w:rsidRPr="00DA2477">
        <w:rPr>
          <w:rFonts w:cs="Times New Roman"/>
          <w:szCs w:val="24"/>
        </w:rPr>
        <w:lastRenderedPageBreak/>
        <w:t>invest in projects A and B because both have negative NPV and lower IRR. Instead of worsening the profitability, project C can help in the reversal of profitability compression (</w:t>
      </w:r>
      <w:proofErr w:type="spellStart"/>
      <w:r w:rsidRPr="00DA2477">
        <w:rPr>
          <w:rFonts w:cs="Times New Roman"/>
          <w:szCs w:val="24"/>
        </w:rPr>
        <w:t>Purnamasari</w:t>
      </w:r>
      <w:proofErr w:type="spellEnd"/>
      <w:r w:rsidRPr="00DA2477">
        <w:rPr>
          <w:rFonts w:cs="Times New Roman"/>
          <w:szCs w:val="24"/>
        </w:rPr>
        <w:t xml:space="preserve"> and </w:t>
      </w:r>
      <w:proofErr w:type="spellStart"/>
      <w:r w:rsidRPr="00DA2477">
        <w:rPr>
          <w:rFonts w:cs="Times New Roman"/>
          <w:szCs w:val="24"/>
        </w:rPr>
        <w:t>Adriza</w:t>
      </w:r>
      <w:proofErr w:type="spellEnd"/>
      <w:r w:rsidRPr="00DA2477">
        <w:rPr>
          <w:rFonts w:cs="Times New Roman"/>
          <w:szCs w:val="24"/>
        </w:rPr>
        <w:t>, 2024).</w:t>
      </w:r>
    </w:p>
    <w:p w14:paraId="53F242CC" w14:textId="77777777" w:rsidR="00870A62" w:rsidRPr="00DA2477" w:rsidRDefault="00870A62" w:rsidP="00870A62">
      <w:pPr>
        <w:pStyle w:val="Heading2"/>
        <w:numPr>
          <w:ilvl w:val="0"/>
          <w:numId w:val="6"/>
        </w:numPr>
        <w:spacing w:line="360" w:lineRule="auto"/>
        <w:rPr>
          <w:rFonts w:cs="Times New Roman"/>
        </w:rPr>
      </w:pPr>
      <w:bookmarkStart w:id="23" w:name="_Toc233996410"/>
      <w:r w:rsidRPr="00DA2477">
        <w:rPr>
          <w:rFonts w:cs="Times New Roman"/>
        </w:rPr>
        <w:t>Capital Rationing</w:t>
      </w:r>
      <w:bookmarkEnd w:id="23"/>
      <w:r w:rsidRPr="00DA2477">
        <w:rPr>
          <w:rFonts w:cs="Times New Roman"/>
        </w:rPr>
        <w:t xml:space="preserve"> </w:t>
      </w:r>
    </w:p>
    <w:p w14:paraId="0FF968A6" w14:textId="77777777" w:rsidR="00870A62" w:rsidRPr="00DA2477" w:rsidRDefault="00870A62" w:rsidP="00870A62">
      <w:pPr>
        <w:spacing w:line="360" w:lineRule="auto"/>
        <w:rPr>
          <w:rFonts w:cs="Times New Roman"/>
          <w:szCs w:val="24"/>
        </w:rPr>
      </w:pPr>
      <w:r w:rsidRPr="00DA2477">
        <w:rPr>
          <w:rFonts w:cs="Times New Roman"/>
          <w:szCs w:val="24"/>
        </w:rPr>
        <w:t>Since there is the option to invest GBP 100 million, there is a need for a combination of 02 projects that can combine to make the total 100 million (50 million investment in each project) (Mathew, 2024). The combinations provided below are based on the NPV values of each project because the ranking of the profitability index is prioritized while making the combination using capital rationing (</w:t>
      </w:r>
      <w:proofErr w:type="spellStart"/>
      <w:r w:rsidRPr="00DA2477">
        <w:rPr>
          <w:rFonts w:cs="Times New Roman"/>
          <w:szCs w:val="24"/>
        </w:rPr>
        <w:t>Darmansyah</w:t>
      </w:r>
      <w:proofErr w:type="spellEnd"/>
      <w:r w:rsidRPr="00DA2477">
        <w:rPr>
          <w:rFonts w:cs="Times New Roman"/>
          <w:szCs w:val="24"/>
        </w:rPr>
        <w:t xml:space="preserve"> et al., 2025).</w:t>
      </w:r>
    </w:p>
    <w:tbl>
      <w:tblPr>
        <w:tblW w:w="5400" w:type="dxa"/>
        <w:jc w:val="center"/>
        <w:tblLook w:val="04A0" w:firstRow="1" w:lastRow="0" w:firstColumn="1" w:lastColumn="0" w:noHBand="0" w:noVBand="1"/>
      </w:tblPr>
      <w:tblGrid>
        <w:gridCol w:w="960"/>
        <w:gridCol w:w="1480"/>
        <w:gridCol w:w="1480"/>
        <w:gridCol w:w="1480"/>
      </w:tblGrid>
      <w:tr w:rsidR="00870A62" w:rsidRPr="00DA2477" w14:paraId="68EF9D7D" w14:textId="77777777" w:rsidTr="00CD4033">
        <w:trPr>
          <w:trHeight w:val="330"/>
          <w:jc w:val="center"/>
        </w:trPr>
        <w:tc>
          <w:tcPr>
            <w:tcW w:w="960" w:type="dxa"/>
            <w:tcBorders>
              <w:top w:val="nil"/>
              <w:left w:val="nil"/>
              <w:bottom w:val="nil"/>
              <w:right w:val="nil"/>
            </w:tcBorders>
            <w:noWrap/>
            <w:vAlign w:val="bottom"/>
            <w:hideMark/>
          </w:tcPr>
          <w:p w14:paraId="6E30684A" w14:textId="77777777" w:rsidR="00870A62" w:rsidRPr="00DA2477" w:rsidRDefault="00870A62" w:rsidP="00CD4033">
            <w:pPr>
              <w:spacing w:after="0" w:line="240" w:lineRule="auto"/>
              <w:jc w:val="center"/>
              <w:rPr>
                <w:rFonts w:eastAsia="Times New Roman" w:cs="Times New Roman"/>
                <w:sz w:val="20"/>
                <w:szCs w:val="24"/>
                <w:lang w:val="" w:eastAsia=""/>
              </w:rPr>
            </w:pPr>
          </w:p>
        </w:tc>
        <w:tc>
          <w:tcPr>
            <w:tcW w:w="1480" w:type="dxa"/>
            <w:tcBorders>
              <w:top w:val="single" w:sz="8" w:space="0" w:color="auto"/>
              <w:left w:val="single" w:sz="8" w:space="0" w:color="auto"/>
              <w:bottom w:val="single" w:sz="8" w:space="0" w:color="auto"/>
              <w:right w:val="single" w:sz="8" w:space="0" w:color="auto"/>
            </w:tcBorders>
            <w:noWrap/>
            <w:vAlign w:val="bottom"/>
            <w:hideMark/>
          </w:tcPr>
          <w:p w14:paraId="521DE3BB"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A</w:t>
            </w:r>
          </w:p>
        </w:tc>
        <w:tc>
          <w:tcPr>
            <w:tcW w:w="1480" w:type="dxa"/>
            <w:tcBorders>
              <w:top w:val="single" w:sz="8" w:space="0" w:color="auto"/>
              <w:left w:val="nil"/>
              <w:bottom w:val="single" w:sz="8" w:space="0" w:color="auto"/>
              <w:right w:val="single" w:sz="8" w:space="0" w:color="auto"/>
            </w:tcBorders>
            <w:noWrap/>
            <w:vAlign w:val="bottom"/>
            <w:hideMark/>
          </w:tcPr>
          <w:p w14:paraId="5FB658B8"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B</w:t>
            </w:r>
          </w:p>
        </w:tc>
        <w:tc>
          <w:tcPr>
            <w:tcW w:w="1480" w:type="dxa"/>
            <w:tcBorders>
              <w:top w:val="single" w:sz="8" w:space="0" w:color="auto"/>
              <w:left w:val="nil"/>
              <w:bottom w:val="single" w:sz="8" w:space="0" w:color="auto"/>
              <w:right w:val="single" w:sz="8" w:space="0" w:color="auto"/>
            </w:tcBorders>
            <w:noWrap/>
            <w:vAlign w:val="bottom"/>
            <w:hideMark/>
          </w:tcPr>
          <w:p w14:paraId="7176783D"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Total</w:t>
            </w:r>
          </w:p>
        </w:tc>
      </w:tr>
      <w:tr w:rsidR="00870A62" w:rsidRPr="00DA2477" w14:paraId="37E4CD05" w14:textId="77777777" w:rsidTr="00CD4033">
        <w:trPr>
          <w:trHeight w:val="315"/>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4B79C2D0"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NPV</w:t>
            </w:r>
          </w:p>
        </w:tc>
        <w:tc>
          <w:tcPr>
            <w:tcW w:w="1480" w:type="dxa"/>
            <w:tcBorders>
              <w:top w:val="single" w:sz="4" w:space="0" w:color="auto"/>
              <w:left w:val="nil"/>
              <w:bottom w:val="single" w:sz="4" w:space="0" w:color="auto"/>
              <w:right w:val="single" w:sz="4" w:space="0" w:color="auto"/>
            </w:tcBorders>
            <w:noWrap/>
            <w:vAlign w:val="bottom"/>
            <w:hideMark/>
          </w:tcPr>
          <w:p w14:paraId="19338FD0"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(6,544,059)</w:t>
            </w:r>
          </w:p>
        </w:tc>
        <w:tc>
          <w:tcPr>
            <w:tcW w:w="1480" w:type="dxa"/>
            <w:tcBorders>
              <w:top w:val="single" w:sz="4" w:space="0" w:color="auto"/>
              <w:left w:val="nil"/>
              <w:bottom w:val="single" w:sz="4" w:space="0" w:color="auto"/>
              <w:right w:val="single" w:sz="4" w:space="0" w:color="auto"/>
            </w:tcBorders>
            <w:noWrap/>
            <w:vAlign w:val="bottom"/>
            <w:hideMark/>
          </w:tcPr>
          <w:p w14:paraId="6A20E7C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(6,080,190)</w:t>
            </w:r>
          </w:p>
        </w:tc>
        <w:tc>
          <w:tcPr>
            <w:tcW w:w="1480" w:type="dxa"/>
            <w:tcBorders>
              <w:top w:val="nil"/>
              <w:left w:val="nil"/>
              <w:bottom w:val="single" w:sz="4" w:space="0" w:color="auto"/>
              <w:right w:val="single" w:sz="4" w:space="0" w:color="auto"/>
            </w:tcBorders>
            <w:noWrap/>
            <w:vAlign w:val="bottom"/>
            <w:hideMark/>
          </w:tcPr>
          <w:p w14:paraId="0B6835C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(12,624,249)</w:t>
            </w:r>
          </w:p>
        </w:tc>
      </w:tr>
      <w:tr w:rsidR="00870A62" w:rsidRPr="00DA2477" w14:paraId="563461ED" w14:textId="77777777" w:rsidTr="00CD4033">
        <w:trPr>
          <w:trHeight w:val="315"/>
          <w:jc w:val="center"/>
        </w:trPr>
        <w:tc>
          <w:tcPr>
            <w:tcW w:w="960" w:type="dxa"/>
            <w:tcBorders>
              <w:top w:val="nil"/>
              <w:left w:val="nil"/>
              <w:bottom w:val="nil"/>
              <w:right w:val="nil"/>
            </w:tcBorders>
            <w:noWrap/>
            <w:vAlign w:val="bottom"/>
            <w:hideMark/>
          </w:tcPr>
          <w:p w14:paraId="5F9A0099" w14:textId="77777777" w:rsidR="00870A62" w:rsidRPr="00DA2477" w:rsidRDefault="00870A62" w:rsidP="00CD4033">
            <w:pPr>
              <w:spacing w:after="0" w:line="240" w:lineRule="auto"/>
              <w:jc w:val="center"/>
              <w:rPr>
                <w:rFonts w:eastAsia="Times New Roman" w:cs="Times New Roman"/>
                <w:color w:val="000000"/>
                <w:szCs w:val="24"/>
                <w:lang w:val="" w:eastAsia=""/>
              </w:rPr>
            </w:pPr>
          </w:p>
        </w:tc>
        <w:tc>
          <w:tcPr>
            <w:tcW w:w="1480" w:type="dxa"/>
            <w:tcBorders>
              <w:top w:val="nil"/>
              <w:left w:val="nil"/>
              <w:bottom w:val="nil"/>
              <w:right w:val="nil"/>
            </w:tcBorders>
            <w:noWrap/>
            <w:vAlign w:val="bottom"/>
            <w:hideMark/>
          </w:tcPr>
          <w:p w14:paraId="3215C7DF"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80" w:type="dxa"/>
            <w:tcBorders>
              <w:top w:val="nil"/>
              <w:left w:val="nil"/>
              <w:bottom w:val="nil"/>
              <w:right w:val="nil"/>
            </w:tcBorders>
            <w:noWrap/>
            <w:vAlign w:val="bottom"/>
            <w:hideMark/>
          </w:tcPr>
          <w:p w14:paraId="08A18B22"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80" w:type="dxa"/>
            <w:tcBorders>
              <w:top w:val="nil"/>
              <w:left w:val="nil"/>
              <w:bottom w:val="nil"/>
              <w:right w:val="nil"/>
            </w:tcBorders>
            <w:noWrap/>
            <w:vAlign w:val="bottom"/>
            <w:hideMark/>
          </w:tcPr>
          <w:p w14:paraId="38635804" w14:textId="77777777" w:rsidR="00870A62" w:rsidRPr="00DA2477" w:rsidRDefault="00870A62" w:rsidP="00CD4033">
            <w:pPr>
              <w:spacing w:after="0" w:line="240" w:lineRule="auto"/>
              <w:jc w:val="center"/>
              <w:rPr>
                <w:rFonts w:eastAsia="Times New Roman" w:cs="Times New Roman"/>
                <w:sz w:val="20"/>
                <w:szCs w:val="20"/>
                <w:lang w:val="" w:eastAsia=""/>
              </w:rPr>
            </w:pPr>
          </w:p>
        </w:tc>
      </w:tr>
      <w:tr w:rsidR="00870A62" w:rsidRPr="00DA2477" w14:paraId="48B9B222" w14:textId="77777777" w:rsidTr="00CD4033">
        <w:trPr>
          <w:trHeight w:val="330"/>
          <w:jc w:val="center"/>
        </w:trPr>
        <w:tc>
          <w:tcPr>
            <w:tcW w:w="960" w:type="dxa"/>
            <w:tcBorders>
              <w:top w:val="nil"/>
              <w:left w:val="nil"/>
              <w:bottom w:val="nil"/>
              <w:right w:val="nil"/>
            </w:tcBorders>
            <w:noWrap/>
            <w:vAlign w:val="bottom"/>
            <w:hideMark/>
          </w:tcPr>
          <w:p w14:paraId="329D9E16"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80" w:type="dxa"/>
            <w:tcBorders>
              <w:top w:val="single" w:sz="8" w:space="0" w:color="auto"/>
              <w:left w:val="single" w:sz="8" w:space="0" w:color="auto"/>
              <w:bottom w:val="single" w:sz="8" w:space="0" w:color="auto"/>
              <w:right w:val="single" w:sz="8" w:space="0" w:color="auto"/>
            </w:tcBorders>
            <w:noWrap/>
            <w:vAlign w:val="bottom"/>
            <w:hideMark/>
          </w:tcPr>
          <w:p w14:paraId="63C6756D"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A</w:t>
            </w:r>
          </w:p>
        </w:tc>
        <w:tc>
          <w:tcPr>
            <w:tcW w:w="1480" w:type="dxa"/>
            <w:tcBorders>
              <w:top w:val="single" w:sz="8" w:space="0" w:color="auto"/>
              <w:left w:val="nil"/>
              <w:bottom w:val="single" w:sz="8" w:space="0" w:color="auto"/>
              <w:right w:val="single" w:sz="8" w:space="0" w:color="auto"/>
            </w:tcBorders>
            <w:noWrap/>
            <w:vAlign w:val="bottom"/>
            <w:hideMark/>
          </w:tcPr>
          <w:p w14:paraId="4F93C2B8"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C</w:t>
            </w:r>
          </w:p>
        </w:tc>
        <w:tc>
          <w:tcPr>
            <w:tcW w:w="1480" w:type="dxa"/>
            <w:tcBorders>
              <w:top w:val="single" w:sz="8" w:space="0" w:color="auto"/>
              <w:left w:val="nil"/>
              <w:bottom w:val="single" w:sz="8" w:space="0" w:color="auto"/>
              <w:right w:val="single" w:sz="8" w:space="0" w:color="auto"/>
            </w:tcBorders>
            <w:noWrap/>
            <w:vAlign w:val="bottom"/>
            <w:hideMark/>
          </w:tcPr>
          <w:p w14:paraId="72A1EACD"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Total</w:t>
            </w:r>
          </w:p>
        </w:tc>
      </w:tr>
      <w:tr w:rsidR="00870A62" w:rsidRPr="00DA2477" w14:paraId="2E11DF33" w14:textId="77777777" w:rsidTr="00CD4033">
        <w:trPr>
          <w:trHeight w:val="315"/>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16F39F57"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NPV</w:t>
            </w:r>
          </w:p>
        </w:tc>
        <w:tc>
          <w:tcPr>
            <w:tcW w:w="1480" w:type="dxa"/>
            <w:tcBorders>
              <w:top w:val="single" w:sz="4" w:space="0" w:color="auto"/>
              <w:left w:val="nil"/>
              <w:bottom w:val="single" w:sz="4" w:space="0" w:color="auto"/>
              <w:right w:val="single" w:sz="4" w:space="0" w:color="auto"/>
            </w:tcBorders>
            <w:noWrap/>
            <w:vAlign w:val="bottom"/>
            <w:hideMark/>
          </w:tcPr>
          <w:p w14:paraId="1B34900B"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(6,544,059)</w:t>
            </w:r>
          </w:p>
        </w:tc>
        <w:tc>
          <w:tcPr>
            <w:tcW w:w="1480" w:type="dxa"/>
            <w:tcBorders>
              <w:top w:val="single" w:sz="4" w:space="0" w:color="auto"/>
              <w:left w:val="nil"/>
              <w:bottom w:val="single" w:sz="4" w:space="0" w:color="auto"/>
              <w:right w:val="single" w:sz="4" w:space="0" w:color="auto"/>
            </w:tcBorders>
            <w:noWrap/>
            <w:vAlign w:val="bottom"/>
            <w:hideMark/>
          </w:tcPr>
          <w:p w14:paraId="4A86BBC1"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858,325</w:t>
            </w:r>
          </w:p>
        </w:tc>
        <w:tc>
          <w:tcPr>
            <w:tcW w:w="1480" w:type="dxa"/>
            <w:tcBorders>
              <w:top w:val="nil"/>
              <w:left w:val="nil"/>
              <w:bottom w:val="single" w:sz="4" w:space="0" w:color="auto"/>
              <w:right w:val="single" w:sz="4" w:space="0" w:color="auto"/>
            </w:tcBorders>
            <w:noWrap/>
            <w:vAlign w:val="bottom"/>
            <w:hideMark/>
          </w:tcPr>
          <w:p w14:paraId="2DDDB913"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(5,685,734)</w:t>
            </w:r>
          </w:p>
        </w:tc>
      </w:tr>
      <w:tr w:rsidR="00870A62" w:rsidRPr="00DA2477" w14:paraId="1BFFA676" w14:textId="77777777" w:rsidTr="00CD4033">
        <w:trPr>
          <w:trHeight w:val="315"/>
          <w:jc w:val="center"/>
        </w:trPr>
        <w:tc>
          <w:tcPr>
            <w:tcW w:w="960" w:type="dxa"/>
            <w:tcBorders>
              <w:top w:val="nil"/>
              <w:left w:val="nil"/>
              <w:bottom w:val="nil"/>
              <w:right w:val="nil"/>
            </w:tcBorders>
            <w:noWrap/>
            <w:vAlign w:val="bottom"/>
            <w:hideMark/>
          </w:tcPr>
          <w:p w14:paraId="7EAC846F" w14:textId="77777777" w:rsidR="00870A62" w:rsidRPr="00DA2477" w:rsidRDefault="00870A62" w:rsidP="00CD4033">
            <w:pPr>
              <w:spacing w:after="0" w:line="240" w:lineRule="auto"/>
              <w:jc w:val="center"/>
              <w:rPr>
                <w:rFonts w:eastAsia="Times New Roman" w:cs="Times New Roman"/>
                <w:color w:val="000000"/>
                <w:szCs w:val="24"/>
                <w:lang w:val="" w:eastAsia=""/>
              </w:rPr>
            </w:pPr>
          </w:p>
        </w:tc>
        <w:tc>
          <w:tcPr>
            <w:tcW w:w="1480" w:type="dxa"/>
            <w:tcBorders>
              <w:top w:val="nil"/>
              <w:left w:val="nil"/>
              <w:bottom w:val="nil"/>
              <w:right w:val="nil"/>
            </w:tcBorders>
            <w:noWrap/>
            <w:vAlign w:val="bottom"/>
            <w:hideMark/>
          </w:tcPr>
          <w:p w14:paraId="3B619F85"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80" w:type="dxa"/>
            <w:tcBorders>
              <w:top w:val="nil"/>
              <w:left w:val="nil"/>
              <w:bottom w:val="nil"/>
              <w:right w:val="nil"/>
            </w:tcBorders>
            <w:noWrap/>
            <w:vAlign w:val="bottom"/>
            <w:hideMark/>
          </w:tcPr>
          <w:p w14:paraId="2B317B46"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80" w:type="dxa"/>
            <w:tcBorders>
              <w:top w:val="nil"/>
              <w:left w:val="nil"/>
              <w:bottom w:val="nil"/>
              <w:right w:val="nil"/>
            </w:tcBorders>
            <w:noWrap/>
            <w:vAlign w:val="bottom"/>
            <w:hideMark/>
          </w:tcPr>
          <w:p w14:paraId="2452EA9F" w14:textId="77777777" w:rsidR="00870A62" w:rsidRPr="00DA2477" w:rsidRDefault="00870A62" w:rsidP="00CD4033">
            <w:pPr>
              <w:spacing w:after="0" w:line="240" w:lineRule="auto"/>
              <w:jc w:val="center"/>
              <w:rPr>
                <w:rFonts w:eastAsia="Times New Roman" w:cs="Times New Roman"/>
                <w:sz w:val="20"/>
                <w:szCs w:val="20"/>
                <w:lang w:val="" w:eastAsia=""/>
              </w:rPr>
            </w:pPr>
          </w:p>
        </w:tc>
      </w:tr>
      <w:tr w:rsidR="00870A62" w:rsidRPr="00DA2477" w14:paraId="01F6BBFE" w14:textId="77777777" w:rsidTr="00CD4033">
        <w:trPr>
          <w:trHeight w:val="330"/>
          <w:jc w:val="center"/>
        </w:trPr>
        <w:tc>
          <w:tcPr>
            <w:tcW w:w="960" w:type="dxa"/>
            <w:tcBorders>
              <w:top w:val="nil"/>
              <w:left w:val="nil"/>
              <w:bottom w:val="nil"/>
              <w:right w:val="nil"/>
            </w:tcBorders>
            <w:noWrap/>
            <w:vAlign w:val="bottom"/>
            <w:hideMark/>
          </w:tcPr>
          <w:p w14:paraId="39A1C865"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80" w:type="dxa"/>
            <w:tcBorders>
              <w:top w:val="single" w:sz="8" w:space="0" w:color="auto"/>
              <w:left w:val="single" w:sz="8" w:space="0" w:color="auto"/>
              <w:bottom w:val="single" w:sz="8" w:space="0" w:color="auto"/>
              <w:right w:val="single" w:sz="8" w:space="0" w:color="auto"/>
            </w:tcBorders>
            <w:noWrap/>
            <w:vAlign w:val="bottom"/>
            <w:hideMark/>
          </w:tcPr>
          <w:p w14:paraId="0E91A821"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B</w:t>
            </w:r>
          </w:p>
        </w:tc>
        <w:tc>
          <w:tcPr>
            <w:tcW w:w="1480" w:type="dxa"/>
            <w:tcBorders>
              <w:top w:val="single" w:sz="8" w:space="0" w:color="auto"/>
              <w:left w:val="nil"/>
              <w:bottom w:val="single" w:sz="8" w:space="0" w:color="auto"/>
              <w:right w:val="single" w:sz="8" w:space="0" w:color="auto"/>
            </w:tcBorders>
            <w:noWrap/>
            <w:vAlign w:val="bottom"/>
            <w:hideMark/>
          </w:tcPr>
          <w:p w14:paraId="04EBC0E0"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C</w:t>
            </w:r>
          </w:p>
        </w:tc>
        <w:tc>
          <w:tcPr>
            <w:tcW w:w="1480" w:type="dxa"/>
            <w:tcBorders>
              <w:top w:val="single" w:sz="8" w:space="0" w:color="auto"/>
              <w:left w:val="nil"/>
              <w:bottom w:val="single" w:sz="8" w:space="0" w:color="auto"/>
              <w:right w:val="single" w:sz="8" w:space="0" w:color="auto"/>
            </w:tcBorders>
            <w:noWrap/>
            <w:vAlign w:val="bottom"/>
            <w:hideMark/>
          </w:tcPr>
          <w:p w14:paraId="6352FE68"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Total</w:t>
            </w:r>
          </w:p>
        </w:tc>
      </w:tr>
      <w:tr w:rsidR="00870A62" w:rsidRPr="00DA2477" w14:paraId="0753A6CC" w14:textId="77777777" w:rsidTr="00CD4033">
        <w:trPr>
          <w:trHeight w:val="315"/>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7196BB70"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NPV</w:t>
            </w:r>
          </w:p>
        </w:tc>
        <w:tc>
          <w:tcPr>
            <w:tcW w:w="1480" w:type="dxa"/>
            <w:tcBorders>
              <w:top w:val="single" w:sz="4" w:space="0" w:color="auto"/>
              <w:left w:val="nil"/>
              <w:bottom w:val="single" w:sz="4" w:space="0" w:color="auto"/>
              <w:right w:val="single" w:sz="4" w:space="0" w:color="auto"/>
            </w:tcBorders>
            <w:noWrap/>
            <w:vAlign w:val="bottom"/>
            <w:hideMark/>
          </w:tcPr>
          <w:p w14:paraId="3EA1B26C"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(6,080,190)</w:t>
            </w:r>
          </w:p>
        </w:tc>
        <w:tc>
          <w:tcPr>
            <w:tcW w:w="1480" w:type="dxa"/>
            <w:tcBorders>
              <w:top w:val="single" w:sz="4" w:space="0" w:color="auto"/>
              <w:left w:val="nil"/>
              <w:bottom w:val="single" w:sz="4" w:space="0" w:color="auto"/>
              <w:right w:val="single" w:sz="4" w:space="0" w:color="auto"/>
            </w:tcBorders>
            <w:noWrap/>
            <w:vAlign w:val="bottom"/>
            <w:hideMark/>
          </w:tcPr>
          <w:p w14:paraId="5C46B7D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858,325</w:t>
            </w:r>
          </w:p>
        </w:tc>
        <w:tc>
          <w:tcPr>
            <w:tcW w:w="1480" w:type="dxa"/>
            <w:tcBorders>
              <w:top w:val="nil"/>
              <w:left w:val="nil"/>
              <w:bottom w:val="single" w:sz="4" w:space="0" w:color="auto"/>
              <w:right w:val="single" w:sz="4" w:space="0" w:color="auto"/>
            </w:tcBorders>
            <w:noWrap/>
            <w:vAlign w:val="bottom"/>
            <w:hideMark/>
          </w:tcPr>
          <w:p w14:paraId="2008A94D"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(5,221,865)</w:t>
            </w:r>
          </w:p>
        </w:tc>
      </w:tr>
    </w:tbl>
    <w:p w14:paraId="2F329FF3" w14:textId="77777777" w:rsidR="00870A62" w:rsidRPr="00DA2477" w:rsidRDefault="00870A62" w:rsidP="00870A62">
      <w:pPr>
        <w:spacing w:line="360" w:lineRule="auto"/>
        <w:ind w:left="360"/>
        <w:rPr>
          <w:rFonts w:cs="Times New Roman"/>
          <w:szCs w:val="24"/>
        </w:rPr>
      </w:pPr>
      <w:r w:rsidRPr="00DA2477">
        <w:rPr>
          <w:rFonts w:cs="Times New Roman"/>
          <w:szCs w:val="24"/>
        </w:rPr>
        <w:tab/>
      </w:r>
    </w:p>
    <w:p w14:paraId="442EFDD3" w14:textId="77777777" w:rsidR="00870A62" w:rsidRPr="00DA2477" w:rsidRDefault="00870A62" w:rsidP="00870A62">
      <w:pPr>
        <w:spacing w:line="360" w:lineRule="auto"/>
        <w:ind w:left="360"/>
        <w:rPr>
          <w:rFonts w:cs="Times New Roman"/>
          <w:szCs w:val="24"/>
        </w:rPr>
      </w:pPr>
      <w:r w:rsidRPr="00DA2477">
        <w:rPr>
          <w:rFonts w:cs="Times New Roman"/>
          <w:szCs w:val="24"/>
        </w:rPr>
        <w:t>From the above provided table, the best combination to select is Project B and C because these 02 have higher PI ranking and cumulatively make a lower negative NPV compared to the other 02 mentioned combinations (Sekhar, 2025). This combination will have lower destruction. In the method of capital rationing, there is the requirement for management to look for better allocation of capital in the situation where there is a limited budget available, and it is not possible to invest in all available options. There is a straightforward goal of rationing, which is to maximize the total value of NPV under the limits of capital (Kadam and Singh, 2025). There is an appropriate hierarchy followed while evaluating the available options. The allocation seems worst for the combination of Project A and B, in which about 12 million of the shareholders' value will be destroyed, and there are no positive NPV values in either Project A or B.</w:t>
      </w:r>
    </w:p>
    <w:p w14:paraId="59CC6B9B" w14:textId="77777777" w:rsidR="00870A62" w:rsidRPr="00DA2477" w:rsidRDefault="00870A62" w:rsidP="00870A62">
      <w:pPr>
        <w:spacing w:line="360" w:lineRule="auto"/>
        <w:ind w:left="360"/>
        <w:rPr>
          <w:rFonts w:cs="Times New Roman"/>
          <w:szCs w:val="24"/>
        </w:rPr>
      </w:pPr>
      <w:r w:rsidRPr="00DA2477">
        <w:rPr>
          <w:rFonts w:cs="Times New Roman"/>
          <w:szCs w:val="24"/>
        </w:rPr>
        <w:t xml:space="preserve">There is an improvement seen in the pairs of A and C compared to A and B, but the superior result is achieved while combining projects B and C, which has comparatively lower negative NPV, and the positive NPV number of Project C is offsetting the negative number of Project B (Kadam and Singh, 2025). There is no point in considering Project A, which </w:t>
      </w:r>
      <w:r w:rsidRPr="00DA2477">
        <w:rPr>
          <w:rFonts w:cs="Times New Roman"/>
          <w:szCs w:val="24"/>
        </w:rPr>
        <w:lastRenderedPageBreak/>
        <w:t>has a high payback period, negative NPV, Lower ARR, and PI, which makes this project destructive for the value. It is also required to be noted that although the combination of Project B and C is providing an optimal outcome but still the total NPV value is in negative and it will affect the value of capital, other than the financial return there is the need of appropriate justification for investing the projects which are not providing better value because Marriot is already suffering with lower profit margins and negative equity (Jensen, 2022).</w:t>
      </w:r>
    </w:p>
    <w:p w14:paraId="1248FEFD" w14:textId="77777777" w:rsidR="00870A62" w:rsidRPr="00DA2477" w:rsidRDefault="00870A62" w:rsidP="00870A62">
      <w:pPr>
        <w:pStyle w:val="Heading2"/>
        <w:numPr>
          <w:ilvl w:val="0"/>
          <w:numId w:val="3"/>
        </w:numPr>
        <w:spacing w:line="360" w:lineRule="auto"/>
        <w:rPr>
          <w:rFonts w:cs="Times New Roman"/>
        </w:rPr>
      </w:pPr>
      <w:bookmarkStart w:id="24" w:name="_Toc233996411"/>
      <w:r w:rsidRPr="00DA2477">
        <w:rPr>
          <w:rFonts w:cs="Times New Roman"/>
        </w:rPr>
        <w:t>Reflection</w:t>
      </w:r>
      <w:bookmarkEnd w:id="24"/>
      <w:r w:rsidRPr="00DA2477">
        <w:rPr>
          <w:rFonts w:cs="Times New Roman"/>
        </w:rPr>
        <w:t xml:space="preserve"> </w:t>
      </w:r>
    </w:p>
    <w:p w14:paraId="156AF60C" w14:textId="77777777" w:rsidR="00870A62" w:rsidRPr="00DA2477" w:rsidRDefault="00870A62" w:rsidP="00870A62">
      <w:pPr>
        <w:pStyle w:val="ListParagraph"/>
        <w:numPr>
          <w:ilvl w:val="0"/>
          <w:numId w:val="8"/>
        </w:numPr>
        <w:rPr>
          <w:rFonts w:cs="Times New Roman"/>
          <w:b/>
          <w:bCs/>
        </w:rPr>
      </w:pPr>
      <w:r w:rsidRPr="00DA2477">
        <w:rPr>
          <w:rFonts w:cs="Times New Roman"/>
          <w:b/>
          <w:bCs/>
        </w:rPr>
        <w:t xml:space="preserve">Disclosure of Tool </w:t>
      </w:r>
    </w:p>
    <w:p w14:paraId="436DDE6F" w14:textId="77777777" w:rsidR="00870A62" w:rsidRPr="00DA2477" w:rsidRDefault="00870A62" w:rsidP="00870A62">
      <w:pPr>
        <w:spacing w:line="360" w:lineRule="auto"/>
        <w:ind w:left="360"/>
        <w:rPr>
          <w:rFonts w:cs="Times New Roman"/>
          <w:szCs w:val="24"/>
        </w:rPr>
      </w:pPr>
      <w:r w:rsidRPr="00DA2477">
        <w:rPr>
          <w:rFonts w:cs="Times New Roman"/>
          <w:szCs w:val="24"/>
        </w:rPr>
        <w:t>The primary AI tools that were used to get the support and assistance of the key aspects of this report were Claude, ChatGPT, and Scite. These AI tools were used mainly for the purpose of research, assistance in making work more professional, and rechecking the calculations done in Excel for ratios and investment appraisals (</w:t>
      </w:r>
      <w:proofErr w:type="spellStart"/>
      <w:r w:rsidRPr="00DA2477">
        <w:rPr>
          <w:rFonts w:cs="Times New Roman"/>
          <w:szCs w:val="24"/>
        </w:rPr>
        <w:t>Jasmadi</w:t>
      </w:r>
      <w:proofErr w:type="spellEnd"/>
      <w:r w:rsidRPr="00DA2477">
        <w:rPr>
          <w:rFonts w:cs="Times New Roman"/>
          <w:szCs w:val="24"/>
        </w:rPr>
        <w:t xml:space="preserve"> et al., 2024). The financial information has an independent source, as it was received from the 5-year published annual report of Marriott, and other information was obtained from investing.com. The financial data is not obtained from any of the AI tools or platforms. The acknowledgement for the usage of AI is submitted to the coordinator of this module, whereas there is no assistance taken from AI tools for generating financial data or creating citations.</w:t>
      </w:r>
    </w:p>
    <w:p w14:paraId="68FB2B61" w14:textId="77777777" w:rsidR="00870A62" w:rsidRPr="00DA2477" w:rsidRDefault="00870A62" w:rsidP="00870A62">
      <w:pPr>
        <w:pStyle w:val="ListParagraph"/>
        <w:numPr>
          <w:ilvl w:val="0"/>
          <w:numId w:val="8"/>
        </w:numPr>
        <w:rPr>
          <w:rFonts w:cs="Times New Roman"/>
          <w:b/>
          <w:bCs/>
        </w:rPr>
      </w:pPr>
      <w:r w:rsidRPr="00DA2477">
        <w:rPr>
          <w:rFonts w:cs="Times New Roman"/>
          <w:b/>
          <w:bCs/>
        </w:rPr>
        <w:t xml:space="preserve">Evaluation </w:t>
      </w:r>
    </w:p>
    <w:p w14:paraId="06BC0707" w14:textId="77777777" w:rsidR="00870A62" w:rsidRPr="00DA2477" w:rsidRDefault="00870A62" w:rsidP="00870A62">
      <w:pPr>
        <w:spacing w:line="360" w:lineRule="auto"/>
        <w:ind w:left="360"/>
        <w:rPr>
          <w:rFonts w:cs="Times New Roman"/>
          <w:szCs w:val="24"/>
        </w:rPr>
      </w:pPr>
      <w:r w:rsidRPr="00DA2477">
        <w:rPr>
          <w:rFonts w:cs="Times New Roman"/>
          <w:szCs w:val="24"/>
        </w:rPr>
        <w:t xml:space="preserve">Hallucination (false information) is the main risk that arises when financial information is generated using AI, which can also lead to false citations or incorrect figures. There were multiple steps applied for the purpose of verification in this task. The filing data from the SEC has been used for verification rather than to independently rely on the generated information by AI tools. The financial figures related to the company were cross-checked with the 02 sources, the first was from the published annual report of the company, and the other one was from Investing.com and Yahoo Finance. The working for the investment appraisal methods (ARR, Payback, NPV, PI, and IRR) was individually calculated in Excel, after which it was verified using the process of drafting. There was also a correction required by AI in multiple instances (Lau et al., 2026). Like at one point, the AI tool Claude commented on the negative equity of the company as a serious concern for solvency; </w:t>
      </w:r>
      <w:r w:rsidRPr="00DA2477">
        <w:rPr>
          <w:rFonts w:cs="Times New Roman"/>
          <w:szCs w:val="24"/>
        </w:rPr>
        <w:lastRenderedPageBreak/>
        <w:t>however</w:t>
      </w:r>
      <w:proofErr w:type="gramStart"/>
      <w:r w:rsidRPr="00DA2477">
        <w:rPr>
          <w:rFonts w:cs="Times New Roman"/>
          <w:szCs w:val="24"/>
        </w:rPr>
        <w:t>, in actuality, it</w:t>
      </w:r>
      <w:proofErr w:type="gramEnd"/>
      <w:r w:rsidRPr="00DA2477">
        <w:rPr>
          <w:rFonts w:cs="Times New Roman"/>
          <w:szCs w:val="24"/>
        </w:rPr>
        <w:t xml:space="preserve"> was intentionally kept by the company for the purpose of buying back shares.</w:t>
      </w:r>
    </w:p>
    <w:p w14:paraId="76664266" w14:textId="77777777" w:rsidR="00870A62" w:rsidRPr="00DA2477" w:rsidRDefault="00870A62" w:rsidP="00870A62">
      <w:pPr>
        <w:pStyle w:val="ListParagraph"/>
        <w:numPr>
          <w:ilvl w:val="0"/>
          <w:numId w:val="8"/>
        </w:numPr>
        <w:rPr>
          <w:rFonts w:cs="Times New Roman"/>
          <w:b/>
          <w:bCs/>
        </w:rPr>
      </w:pPr>
      <w:r w:rsidRPr="00DA2477">
        <w:rPr>
          <w:rFonts w:cs="Times New Roman"/>
          <w:b/>
          <w:bCs/>
        </w:rPr>
        <w:t xml:space="preserve">Contribution analysis </w:t>
      </w:r>
    </w:p>
    <w:p w14:paraId="4C0E3F5C" w14:textId="77777777" w:rsidR="00870A62" w:rsidRPr="00DA2477" w:rsidRDefault="00870A62" w:rsidP="00870A62">
      <w:pPr>
        <w:spacing w:line="360" w:lineRule="auto"/>
        <w:ind w:left="360"/>
        <w:rPr>
          <w:rFonts w:cs="Times New Roman"/>
          <w:szCs w:val="24"/>
        </w:rPr>
      </w:pPr>
      <w:r w:rsidRPr="00DA2477">
        <w:rPr>
          <w:rFonts w:cs="Times New Roman"/>
          <w:szCs w:val="24"/>
        </w:rPr>
        <w:t>The content generated for analysis was only for informational purposes and to get an idea about what professional and critical analysis looks like (Mahmut and Şen, 2023). There was assistance from AI, but the contribution originally provided was deliberate and clear. Every calculation for the financial ratios, formulas, and sourcing of data from the annual report of Marriott, modelling in Excel, and working for the investment appraisal and analysis for capital rationing shows the original content only. The analytical perception is independent, and it was done through personal engagement with the available information and data (</w:t>
      </w:r>
      <w:proofErr w:type="spellStart"/>
      <w:r w:rsidRPr="00DA2477">
        <w:rPr>
          <w:rFonts w:cs="Times New Roman"/>
          <w:szCs w:val="24"/>
        </w:rPr>
        <w:t>Gholiagha</w:t>
      </w:r>
      <w:proofErr w:type="spellEnd"/>
      <w:r w:rsidRPr="00DA2477">
        <w:rPr>
          <w:rFonts w:cs="Times New Roman"/>
          <w:szCs w:val="24"/>
        </w:rPr>
        <w:t xml:space="preserve"> et al., 2026).</w:t>
      </w:r>
    </w:p>
    <w:p w14:paraId="59A19372" w14:textId="77777777" w:rsidR="00870A62" w:rsidRPr="00DA2477" w:rsidRDefault="00870A62" w:rsidP="00870A62">
      <w:pPr>
        <w:spacing w:line="360" w:lineRule="auto"/>
        <w:ind w:left="360"/>
        <w:rPr>
          <w:rFonts w:cs="Times New Roman"/>
          <w:szCs w:val="24"/>
        </w:rPr>
      </w:pPr>
    </w:p>
    <w:p w14:paraId="26A27341" w14:textId="77777777" w:rsidR="00870A62" w:rsidRPr="00DA2477" w:rsidRDefault="00870A62" w:rsidP="00870A62">
      <w:pPr>
        <w:spacing w:line="360" w:lineRule="auto"/>
        <w:ind w:left="360"/>
        <w:rPr>
          <w:rFonts w:cs="Times New Roman"/>
          <w:szCs w:val="24"/>
        </w:rPr>
      </w:pPr>
    </w:p>
    <w:p w14:paraId="412C3B3C" w14:textId="77777777" w:rsidR="00870A62" w:rsidRPr="00DA2477" w:rsidRDefault="00870A62" w:rsidP="00870A62">
      <w:pPr>
        <w:pStyle w:val="ListParagraph"/>
        <w:numPr>
          <w:ilvl w:val="0"/>
          <w:numId w:val="8"/>
        </w:numPr>
        <w:rPr>
          <w:rFonts w:cs="Times New Roman"/>
          <w:b/>
          <w:bCs/>
        </w:rPr>
      </w:pPr>
      <w:r w:rsidRPr="00DA2477">
        <w:rPr>
          <w:rFonts w:cs="Times New Roman"/>
          <w:b/>
          <w:bCs/>
        </w:rPr>
        <w:t>Ethical and Professional Reflection</w:t>
      </w:r>
    </w:p>
    <w:p w14:paraId="58E95698" w14:textId="77777777" w:rsidR="00870A62" w:rsidRPr="00DA2477" w:rsidRDefault="00870A62" w:rsidP="00870A62">
      <w:pPr>
        <w:spacing w:line="360" w:lineRule="auto"/>
        <w:ind w:left="360"/>
        <w:rPr>
          <w:rFonts w:cs="Times New Roman"/>
          <w:szCs w:val="24"/>
        </w:rPr>
      </w:pPr>
      <w:r w:rsidRPr="00DA2477">
        <w:rPr>
          <w:rFonts w:cs="Times New Roman"/>
          <w:szCs w:val="24"/>
        </w:rPr>
        <w:t>There are considerable ethical responsibilities that arise while doing financial analysis using an AI tool. These ethical considerations should be included in professional practices as well, which is outside the academic scope. It is also important to maintain transparency. There will be misleading information disclosed to the decision makers if the usage of AI in financial reporting is not disclosed (Li, 2025). There is also the issue related to the privacy of data, like providing confidential information of the respective client or any other financial information of the company on the platforms of AI, which can raise questions regarding the sovereignty of data.</w:t>
      </w:r>
    </w:p>
    <w:p w14:paraId="0AABF158" w14:textId="77777777" w:rsidR="00870A62" w:rsidRPr="00DA2477" w:rsidRDefault="00870A62" w:rsidP="00870A62">
      <w:pPr>
        <w:pStyle w:val="Heading2"/>
        <w:spacing w:line="360" w:lineRule="auto"/>
        <w:ind w:firstLine="360"/>
        <w:rPr>
          <w:rFonts w:cs="Times New Roman"/>
        </w:rPr>
      </w:pPr>
      <w:bookmarkStart w:id="25" w:name="_Toc233996412"/>
      <w:r w:rsidRPr="00DA2477">
        <w:rPr>
          <w:rFonts w:cs="Times New Roman"/>
        </w:rPr>
        <w:t>Conclusion</w:t>
      </w:r>
      <w:bookmarkEnd w:id="25"/>
      <w:r w:rsidRPr="00DA2477">
        <w:rPr>
          <w:rFonts w:cs="Times New Roman"/>
        </w:rPr>
        <w:t xml:space="preserve"> </w:t>
      </w:r>
    </w:p>
    <w:p w14:paraId="01567492" w14:textId="77777777" w:rsidR="00870A62" w:rsidRPr="00DA2477" w:rsidRDefault="00870A62" w:rsidP="00870A62">
      <w:pPr>
        <w:spacing w:line="360" w:lineRule="auto"/>
        <w:ind w:left="360"/>
        <w:rPr>
          <w:rFonts w:cs="Times New Roman"/>
        </w:rPr>
      </w:pPr>
      <w:r w:rsidRPr="00DA2477">
        <w:rPr>
          <w:rFonts w:cs="Times New Roman"/>
        </w:rPr>
        <w:t xml:space="preserve">There is a strong case study of Marriott, which shows resilience in financial performance. The financial analysis provided in this report shows the company suffered a loss in 2020, whereas it rebuilt its position again, which can be seen in the profitability sections where margins improved in 2022. There is an extended financial cost for making this recovery, as Marriott's capital structure is mainly dependent on debt financing, and the equity balance is negative due to aggressive buy-back of shares. There is a need for prioritization of restructuring strategies that can provide the company with a 2x number of debt / EBITDA </w:t>
      </w:r>
      <w:r w:rsidRPr="00DA2477">
        <w:rPr>
          <w:rFonts w:cs="Times New Roman"/>
        </w:rPr>
        <w:lastRenderedPageBreak/>
        <w:t>in three years. The company should also divest its selective underperforming assets for improvement in its cash and liquidity position. The investment appraisal shows the recommendation for the selection of Project C based on superior numbers from NPV, ARR, IRR, PI, and Payback period compared to other options.</w:t>
      </w:r>
    </w:p>
    <w:p w14:paraId="6CC2AFF8" w14:textId="77777777" w:rsidR="00870A62" w:rsidRPr="00DA2477" w:rsidRDefault="00870A62" w:rsidP="00870A62">
      <w:pPr>
        <w:spacing w:line="360" w:lineRule="auto"/>
        <w:ind w:left="360"/>
        <w:rPr>
          <w:rFonts w:cs="Times New Roman"/>
        </w:rPr>
      </w:pPr>
    </w:p>
    <w:p w14:paraId="03E5C060" w14:textId="77777777" w:rsidR="00870A62" w:rsidRPr="00DA2477" w:rsidRDefault="00870A62" w:rsidP="00870A62">
      <w:pPr>
        <w:spacing w:line="360" w:lineRule="auto"/>
        <w:ind w:left="360"/>
        <w:rPr>
          <w:rFonts w:cs="Times New Roman"/>
        </w:rPr>
      </w:pPr>
    </w:p>
    <w:p w14:paraId="2011C485" w14:textId="77777777" w:rsidR="00870A62" w:rsidRPr="00DA2477" w:rsidRDefault="00870A62" w:rsidP="00870A62">
      <w:pPr>
        <w:spacing w:line="360" w:lineRule="auto"/>
        <w:ind w:left="360"/>
        <w:rPr>
          <w:rFonts w:cs="Times New Roman"/>
        </w:rPr>
      </w:pPr>
    </w:p>
    <w:p w14:paraId="64ACEB25" w14:textId="77777777" w:rsidR="00870A62" w:rsidRPr="00DA2477" w:rsidRDefault="00870A62" w:rsidP="00870A62">
      <w:pPr>
        <w:spacing w:line="360" w:lineRule="auto"/>
        <w:ind w:left="360"/>
        <w:rPr>
          <w:rFonts w:cs="Times New Roman"/>
        </w:rPr>
      </w:pPr>
    </w:p>
    <w:p w14:paraId="58C5D98F" w14:textId="77777777" w:rsidR="00870A62" w:rsidRPr="00DA2477" w:rsidRDefault="00870A62" w:rsidP="00870A62">
      <w:pPr>
        <w:spacing w:line="360" w:lineRule="auto"/>
        <w:ind w:left="360"/>
        <w:rPr>
          <w:rFonts w:cs="Times New Roman"/>
        </w:rPr>
      </w:pPr>
    </w:p>
    <w:p w14:paraId="39382B1A" w14:textId="77777777" w:rsidR="00870A62" w:rsidRPr="00DA2477" w:rsidRDefault="00870A62" w:rsidP="00870A62">
      <w:pPr>
        <w:spacing w:line="360" w:lineRule="auto"/>
        <w:ind w:left="360"/>
        <w:rPr>
          <w:rFonts w:cs="Times New Roman"/>
        </w:rPr>
      </w:pPr>
    </w:p>
    <w:p w14:paraId="3ADA4A5B" w14:textId="77777777" w:rsidR="00870A62" w:rsidRPr="00DA2477" w:rsidRDefault="00870A62" w:rsidP="00870A62">
      <w:pPr>
        <w:spacing w:line="360" w:lineRule="auto"/>
        <w:rPr>
          <w:rFonts w:cs="Times New Roman"/>
        </w:rPr>
      </w:pPr>
    </w:p>
    <w:p w14:paraId="63634A97" w14:textId="77777777" w:rsidR="00870A62" w:rsidRPr="00DA2477" w:rsidRDefault="00870A62" w:rsidP="00870A62">
      <w:pPr>
        <w:pStyle w:val="Heading2"/>
        <w:spacing w:line="360" w:lineRule="auto"/>
        <w:rPr>
          <w:rFonts w:cs="Times New Roman"/>
        </w:rPr>
      </w:pPr>
      <w:bookmarkStart w:id="26" w:name="_Toc233996413"/>
      <w:r w:rsidRPr="00DA2477">
        <w:rPr>
          <w:rFonts w:cs="Times New Roman"/>
        </w:rPr>
        <w:t>References</w:t>
      </w:r>
      <w:bookmarkEnd w:id="26"/>
      <w:r w:rsidRPr="00DA2477">
        <w:rPr>
          <w:rFonts w:cs="Times New Roman"/>
        </w:rPr>
        <w:t xml:space="preserve"> </w:t>
      </w:r>
    </w:p>
    <w:p w14:paraId="73317245" w14:textId="77777777" w:rsidR="00870A62" w:rsidRPr="00DA2477" w:rsidRDefault="00870A62" w:rsidP="00870A62">
      <w:pPr>
        <w:spacing w:line="360" w:lineRule="auto"/>
        <w:rPr>
          <w:rFonts w:cs="Times New Roman"/>
          <w:szCs w:val="24"/>
        </w:rPr>
      </w:pPr>
      <w:r w:rsidRPr="00DA2477">
        <w:rPr>
          <w:rFonts w:cs="Times New Roman"/>
          <w:szCs w:val="24"/>
        </w:rPr>
        <w:t>Adão, R.A.G.D.S., 2025. Marriott International, Inc.–a home run to excellence.</w:t>
      </w:r>
    </w:p>
    <w:p w14:paraId="4AF9C517" w14:textId="77777777" w:rsidR="00870A62" w:rsidRPr="00DA2477" w:rsidRDefault="00870A62" w:rsidP="00870A62">
      <w:pPr>
        <w:spacing w:line="360" w:lineRule="auto"/>
        <w:rPr>
          <w:rFonts w:cs="Times New Roman"/>
          <w:szCs w:val="24"/>
        </w:rPr>
      </w:pPr>
      <w:proofErr w:type="spellStart"/>
      <w:r w:rsidRPr="00DA2477">
        <w:rPr>
          <w:rFonts w:cs="Times New Roman"/>
          <w:szCs w:val="24"/>
        </w:rPr>
        <w:t>Aldubhani</w:t>
      </w:r>
      <w:proofErr w:type="spellEnd"/>
      <w:r w:rsidRPr="00DA2477">
        <w:rPr>
          <w:rFonts w:cs="Times New Roman"/>
          <w:szCs w:val="24"/>
        </w:rPr>
        <w:t xml:space="preserve">, M.A., Wang, J., Gong, T. and </w:t>
      </w:r>
      <w:proofErr w:type="spellStart"/>
      <w:r w:rsidRPr="00DA2477">
        <w:rPr>
          <w:rFonts w:cs="Times New Roman"/>
          <w:szCs w:val="24"/>
        </w:rPr>
        <w:t>Maudhah</w:t>
      </w:r>
      <w:proofErr w:type="spellEnd"/>
      <w:r w:rsidRPr="00DA2477">
        <w:rPr>
          <w:rFonts w:cs="Times New Roman"/>
          <w:szCs w:val="24"/>
        </w:rPr>
        <w:t>, R.A., 2022. Impact of working capital management on profitability: evidence from listed companies in Qatar. </w:t>
      </w:r>
      <w:r w:rsidRPr="00DA2477">
        <w:rPr>
          <w:rFonts w:cs="Times New Roman"/>
          <w:i/>
          <w:iCs/>
          <w:szCs w:val="24"/>
        </w:rPr>
        <w:t>Journal of Money and Business</w:t>
      </w:r>
      <w:r w:rsidRPr="00DA2477">
        <w:rPr>
          <w:rFonts w:cs="Times New Roman"/>
          <w:szCs w:val="24"/>
        </w:rPr>
        <w:t>, </w:t>
      </w:r>
      <w:r w:rsidRPr="00DA2477">
        <w:rPr>
          <w:rFonts w:cs="Times New Roman"/>
          <w:i/>
          <w:iCs/>
          <w:szCs w:val="24"/>
        </w:rPr>
        <w:t>2</w:t>
      </w:r>
      <w:r w:rsidRPr="00DA2477">
        <w:rPr>
          <w:rFonts w:cs="Times New Roman"/>
          <w:szCs w:val="24"/>
        </w:rPr>
        <w:t>(1), pp.70-81.</w:t>
      </w:r>
    </w:p>
    <w:p w14:paraId="6B0ADF24" w14:textId="77777777" w:rsidR="00870A62" w:rsidRPr="00DA2477" w:rsidRDefault="00870A62" w:rsidP="00870A62">
      <w:pPr>
        <w:spacing w:line="360" w:lineRule="auto"/>
        <w:rPr>
          <w:rFonts w:cs="Times New Roman"/>
          <w:szCs w:val="24"/>
        </w:rPr>
      </w:pPr>
      <w:r w:rsidRPr="00DA2477">
        <w:rPr>
          <w:rFonts w:cs="Times New Roman"/>
          <w:szCs w:val="24"/>
        </w:rPr>
        <w:t xml:space="preserve">Al-Filali, I.Y., </w:t>
      </w:r>
      <w:proofErr w:type="spellStart"/>
      <w:r w:rsidRPr="00DA2477">
        <w:rPr>
          <w:rFonts w:cs="Times New Roman"/>
          <w:szCs w:val="24"/>
        </w:rPr>
        <w:t>Abdulaal</w:t>
      </w:r>
      <w:proofErr w:type="spellEnd"/>
      <w:r w:rsidRPr="00DA2477">
        <w:rPr>
          <w:rFonts w:cs="Times New Roman"/>
          <w:szCs w:val="24"/>
        </w:rPr>
        <w:t>, R.M., Alawi, S.M. and Makki, A.A., 2024. Modification of strategic planning tools for planning financial sustainability in‎ higher education institutions. </w:t>
      </w:r>
      <w:r w:rsidRPr="00DA2477">
        <w:rPr>
          <w:rFonts w:cs="Times New Roman"/>
          <w:i/>
          <w:iCs/>
          <w:szCs w:val="24"/>
        </w:rPr>
        <w:t>Journal of Engineering Research</w:t>
      </w:r>
      <w:r w:rsidRPr="00DA2477">
        <w:rPr>
          <w:rFonts w:cs="Times New Roman"/>
          <w:szCs w:val="24"/>
        </w:rPr>
        <w:t>, </w:t>
      </w:r>
      <w:r w:rsidRPr="00DA2477">
        <w:rPr>
          <w:rFonts w:cs="Times New Roman"/>
          <w:i/>
          <w:iCs/>
          <w:szCs w:val="24"/>
        </w:rPr>
        <w:t>12</w:t>
      </w:r>
      <w:r w:rsidRPr="00DA2477">
        <w:rPr>
          <w:rFonts w:cs="Times New Roman"/>
          <w:szCs w:val="24"/>
        </w:rPr>
        <w:t>(1), pp.192-203.</w:t>
      </w:r>
    </w:p>
    <w:p w14:paraId="1B1F557A" w14:textId="77777777" w:rsidR="00870A62" w:rsidRPr="00DA2477" w:rsidRDefault="00870A62" w:rsidP="00870A62">
      <w:pPr>
        <w:spacing w:line="360" w:lineRule="auto"/>
        <w:rPr>
          <w:rFonts w:cs="Times New Roman"/>
          <w:szCs w:val="24"/>
        </w:rPr>
      </w:pPr>
      <w:proofErr w:type="spellStart"/>
      <w:r w:rsidRPr="00DA2477">
        <w:rPr>
          <w:rFonts w:cs="Times New Roman"/>
          <w:szCs w:val="24"/>
        </w:rPr>
        <w:t>Aniebonam</w:t>
      </w:r>
      <w:proofErr w:type="spellEnd"/>
      <w:r w:rsidRPr="00DA2477">
        <w:rPr>
          <w:rFonts w:cs="Times New Roman"/>
          <w:szCs w:val="24"/>
        </w:rPr>
        <w:t>, E.E., 2024. Strategic management in turbulent markets: A case study of the USA. </w:t>
      </w:r>
      <w:r w:rsidRPr="00DA2477">
        <w:rPr>
          <w:rFonts w:cs="Times New Roman"/>
          <w:i/>
          <w:iCs/>
          <w:szCs w:val="24"/>
        </w:rPr>
        <w:t>International Journal of Modern Science and Research Technology</w:t>
      </w:r>
      <w:r w:rsidRPr="00DA2477">
        <w:rPr>
          <w:rFonts w:cs="Times New Roman"/>
          <w:szCs w:val="24"/>
        </w:rPr>
        <w:t>, </w:t>
      </w:r>
      <w:r w:rsidRPr="00DA2477">
        <w:rPr>
          <w:rFonts w:cs="Times New Roman"/>
          <w:i/>
          <w:iCs/>
          <w:szCs w:val="24"/>
        </w:rPr>
        <w:t>1</w:t>
      </w:r>
      <w:r w:rsidRPr="00DA2477">
        <w:rPr>
          <w:rFonts w:cs="Times New Roman"/>
          <w:szCs w:val="24"/>
        </w:rPr>
        <w:t>(8), pp.35-43.</w:t>
      </w:r>
    </w:p>
    <w:p w14:paraId="1C1EE44B" w14:textId="77777777" w:rsidR="00870A62" w:rsidRPr="00DA2477" w:rsidRDefault="00870A62" w:rsidP="00870A62">
      <w:pPr>
        <w:spacing w:line="360" w:lineRule="auto"/>
        <w:rPr>
          <w:rFonts w:cs="Times New Roman"/>
          <w:szCs w:val="24"/>
        </w:rPr>
      </w:pPr>
      <w:proofErr w:type="spellStart"/>
      <w:r w:rsidRPr="00DA2477">
        <w:rPr>
          <w:rFonts w:cs="Times New Roman"/>
          <w:szCs w:val="24"/>
        </w:rPr>
        <w:t>Awodire</w:t>
      </w:r>
      <w:proofErr w:type="spellEnd"/>
      <w:r w:rsidRPr="00DA2477">
        <w:rPr>
          <w:rFonts w:cs="Times New Roman"/>
          <w:szCs w:val="24"/>
        </w:rPr>
        <w:t xml:space="preserve">, M., Agboola, O., </w:t>
      </w:r>
      <w:proofErr w:type="spellStart"/>
      <w:r w:rsidRPr="00DA2477">
        <w:rPr>
          <w:rFonts w:cs="Times New Roman"/>
          <w:szCs w:val="24"/>
        </w:rPr>
        <w:t>Ogundojutimi</w:t>
      </w:r>
      <w:proofErr w:type="spellEnd"/>
      <w:r w:rsidRPr="00DA2477">
        <w:rPr>
          <w:rFonts w:cs="Times New Roman"/>
          <w:szCs w:val="24"/>
        </w:rPr>
        <w:t xml:space="preserve">, O. and </w:t>
      </w:r>
      <w:proofErr w:type="spellStart"/>
      <w:r w:rsidRPr="00DA2477">
        <w:rPr>
          <w:rFonts w:cs="Times New Roman"/>
          <w:szCs w:val="24"/>
        </w:rPr>
        <w:t>Odumuwagun</w:t>
      </w:r>
      <w:proofErr w:type="spellEnd"/>
      <w:r w:rsidRPr="00DA2477">
        <w:rPr>
          <w:rFonts w:cs="Times New Roman"/>
          <w:szCs w:val="24"/>
        </w:rPr>
        <w:t>, O., 2023. Capital budgeting and financial investment appraisal: A review of archival literature. </w:t>
      </w:r>
      <w:r w:rsidRPr="00DA2477">
        <w:rPr>
          <w:rFonts w:cs="Times New Roman"/>
          <w:i/>
          <w:iCs/>
          <w:szCs w:val="24"/>
        </w:rPr>
        <w:t>American Journal of Multidisciplinary Research in Africa</w:t>
      </w:r>
      <w:r w:rsidRPr="00DA2477">
        <w:rPr>
          <w:rFonts w:cs="Times New Roman"/>
          <w:szCs w:val="24"/>
        </w:rPr>
        <w:t>, </w:t>
      </w:r>
      <w:r w:rsidRPr="00DA2477">
        <w:rPr>
          <w:rFonts w:cs="Times New Roman"/>
          <w:i/>
          <w:iCs/>
          <w:szCs w:val="24"/>
        </w:rPr>
        <w:t>3</w:t>
      </w:r>
      <w:r w:rsidRPr="00DA2477">
        <w:rPr>
          <w:rFonts w:cs="Times New Roman"/>
          <w:szCs w:val="24"/>
        </w:rPr>
        <w:t>(10.58314).</w:t>
      </w:r>
    </w:p>
    <w:p w14:paraId="6828C2D9" w14:textId="77777777" w:rsidR="00870A62" w:rsidRPr="00DA2477" w:rsidRDefault="00870A62" w:rsidP="00870A62">
      <w:pPr>
        <w:spacing w:line="360" w:lineRule="auto"/>
        <w:rPr>
          <w:rFonts w:cs="Times New Roman"/>
          <w:szCs w:val="24"/>
        </w:rPr>
      </w:pPr>
      <w:r w:rsidRPr="00DA2477">
        <w:rPr>
          <w:rFonts w:cs="Times New Roman"/>
          <w:szCs w:val="24"/>
        </w:rPr>
        <w:t>Bakri, A., Fifield, S.G. and Power, D.M., 2022. Capital budgeting practices and political risk: evidence from Lebanon. </w:t>
      </w:r>
      <w:r w:rsidRPr="00DA2477">
        <w:rPr>
          <w:rFonts w:cs="Times New Roman"/>
          <w:i/>
          <w:iCs/>
          <w:szCs w:val="24"/>
        </w:rPr>
        <w:t>Qualitative Research in Financial Markets</w:t>
      </w:r>
      <w:r w:rsidRPr="00DA2477">
        <w:rPr>
          <w:rFonts w:cs="Times New Roman"/>
          <w:szCs w:val="24"/>
        </w:rPr>
        <w:t>, </w:t>
      </w:r>
      <w:r w:rsidRPr="00DA2477">
        <w:rPr>
          <w:rFonts w:cs="Times New Roman"/>
          <w:i/>
          <w:iCs/>
          <w:szCs w:val="24"/>
        </w:rPr>
        <w:t>14</w:t>
      </w:r>
      <w:r w:rsidRPr="00DA2477">
        <w:rPr>
          <w:rFonts w:cs="Times New Roman"/>
          <w:szCs w:val="24"/>
        </w:rPr>
        <w:t>(3), pp.483-504.</w:t>
      </w:r>
    </w:p>
    <w:p w14:paraId="7EC7E21C" w14:textId="77777777" w:rsidR="00870A62" w:rsidRPr="00DA2477" w:rsidRDefault="00870A62" w:rsidP="00870A62">
      <w:pPr>
        <w:spacing w:line="360" w:lineRule="auto"/>
        <w:rPr>
          <w:rFonts w:cs="Times New Roman"/>
          <w:szCs w:val="24"/>
        </w:rPr>
      </w:pPr>
      <w:r w:rsidRPr="00DA2477">
        <w:rPr>
          <w:rFonts w:cs="Times New Roman"/>
          <w:szCs w:val="24"/>
        </w:rPr>
        <w:lastRenderedPageBreak/>
        <w:t xml:space="preserve">Bartoš, V., Vochozka, M. and </w:t>
      </w:r>
      <w:proofErr w:type="spellStart"/>
      <w:r w:rsidRPr="00DA2477">
        <w:rPr>
          <w:rFonts w:cs="Times New Roman"/>
          <w:szCs w:val="24"/>
        </w:rPr>
        <w:t>Škopková</w:t>
      </w:r>
      <w:proofErr w:type="spellEnd"/>
      <w:r w:rsidRPr="00DA2477">
        <w:rPr>
          <w:rFonts w:cs="Times New Roman"/>
          <w:szCs w:val="24"/>
        </w:rPr>
        <w:t>, K., 2022. Assessment of financial health of service sector companies in the Central European region. </w:t>
      </w:r>
      <w:r w:rsidRPr="00DA2477">
        <w:rPr>
          <w:rFonts w:cs="Times New Roman"/>
          <w:i/>
          <w:iCs/>
          <w:szCs w:val="24"/>
        </w:rPr>
        <w:t>Entrepreneurship and Sustainability Issues</w:t>
      </w:r>
      <w:r w:rsidRPr="00DA2477">
        <w:rPr>
          <w:rFonts w:cs="Times New Roman"/>
          <w:szCs w:val="24"/>
        </w:rPr>
        <w:t>, </w:t>
      </w:r>
      <w:r w:rsidRPr="00DA2477">
        <w:rPr>
          <w:rFonts w:cs="Times New Roman"/>
          <w:i/>
          <w:iCs/>
          <w:szCs w:val="24"/>
        </w:rPr>
        <w:t>10</w:t>
      </w:r>
      <w:r w:rsidRPr="00DA2477">
        <w:rPr>
          <w:rFonts w:cs="Times New Roman"/>
          <w:szCs w:val="24"/>
        </w:rPr>
        <w:t>(2), p.375.</w:t>
      </w:r>
    </w:p>
    <w:p w14:paraId="553A3FDC" w14:textId="77777777" w:rsidR="00870A62" w:rsidRPr="00DA2477" w:rsidRDefault="00870A62" w:rsidP="00870A62">
      <w:pPr>
        <w:spacing w:line="360" w:lineRule="auto"/>
        <w:rPr>
          <w:rFonts w:cs="Times New Roman"/>
          <w:szCs w:val="24"/>
        </w:rPr>
      </w:pPr>
      <w:r w:rsidRPr="00DA2477">
        <w:rPr>
          <w:rFonts w:cs="Times New Roman"/>
          <w:szCs w:val="24"/>
        </w:rPr>
        <w:t>Celestin, P., 2024. The Impact of Corporate Bankruptcy Laws on Financial Restructuring and Business Continuity Strategies. </w:t>
      </w:r>
      <w:proofErr w:type="spellStart"/>
      <w:r w:rsidRPr="00DA2477">
        <w:rPr>
          <w:rFonts w:cs="Times New Roman"/>
          <w:i/>
          <w:iCs/>
          <w:szCs w:val="24"/>
        </w:rPr>
        <w:t>Mbonigaba</w:t>
      </w:r>
      <w:proofErr w:type="spellEnd"/>
      <w:r w:rsidRPr="00DA2477">
        <w:rPr>
          <w:rFonts w:cs="Times New Roman"/>
          <w:i/>
          <w:iCs/>
          <w:szCs w:val="24"/>
        </w:rPr>
        <w:t xml:space="preserve">, The Impact </w:t>
      </w:r>
      <w:proofErr w:type="gramStart"/>
      <w:r w:rsidRPr="00DA2477">
        <w:rPr>
          <w:rFonts w:cs="Times New Roman"/>
          <w:i/>
          <w:iCs/>
          <w:szCs w:val="24"/>
        </w:rPr>
        <w:t>Of</w:t>
      </w:r>
      <w:proofErr w:type="gramEnd"/>
      <w:r w:rsidRPr="00DA2477">
        <w:rPr>
          <w:rFonts w:cs="Times New Roman"/>
          <w:i/>
          <w:iCs/>
          <w:szCs w:val="24"/>
        </w:rPr>
        <w:t xml:space="preserve"> Corporate Bankruptcy Laws </w:t>
      </w:r>
      <w:proofErr w:type="gramStart"/>
      <w:r w:rsidRPr="00DA2477">
        <w:rPr>
          <w:rFonts w:cs="Times New Roman"/>
          <w:i/>
          <w:iCs/>
          <w:szCs w:val="24"/>
        </w:rPr>
        <w:t>On</w:t>
      </w:r>
      <w:proofErr w:type="gramEnd"/>
      <w:r w:rsidRPr="00DA2477">
        <w:rPr>
          <w:rFonts w:cs="Times New Roman"/>
          <w:i/>
          <w:iCs/>
          <w:szCs w:val="24"/>
        </w:rPr>
        <w:t xml:space="preserve"> Financial Restructuring </w:t>
      </w:r>
      <w:proofErr w:type="gramStart"/>
      <w:r w:rsidRPr="00DA2477">
        <w:rPr>
          <w:rFonts w:cs="Times New Roman"/>
          <w:i/>
          <w:iCs/>
          <w:szCs w:val="24"/>
        </w:rPr>
        <w:t>And</w:t>
      </w:r>
      <w:proofErr w:type="gramEnd"/>
      <w:r w:rsidRPr="00DA2477">
        <w:rPr>
          <w:rFonts w:cs="Times New Roman"/>
          <w:i/>
          <w:iCs/>
          <w:szCs w:val="24"/>
        </w:rPr>
        <w:t xml:space="preserve"> Business Continuity Strategies (October 30, 2024)</w:t>
      </w:r>
      <w:r w:rsidRPr="00DA2477">
        <w:rPr>
          <w:rFonts w:cs="Times New Roman"/>
          <w:szCs w:val="24"/>
        </w:rPr>
        <w:t>.</w:t>
      </w:r>
    </w:p>
    <w:p w14:paraId="36B0C625" w14:textId="77777777" w:rsidR="00870A62" w:rsidRPr="00DA2477" w:rsidRDefault="00870A62" w:rsidP="00870A62">
      <w:pPr>
        <w:spacing w:line="360" w:lineRule="auto"/>
        <w:rPr>
          <w:rFonts w:cs="Times New Roman"/>
          <w:szCs w:val="24"/>
        </w:rPr>
      </w:pPr>
      <w:r w:rsidRPr="00DA2477">
        <w:rPr>
          <w:rFonts w:cs="Times New Roman"/>
          <w:szCs w:val="24"/>
        </w:rPr>
        <w:t>Chen, Y., 2025, February. Corporate Competition and Financial Analysis-Based on Marriott’s Analysis. In </w:t>
      </w:r>
      <w:r w:rsidRPr="00DA2477">
        <w:rPr>
          <w:rFonts w:cs="Times New Roman"/>
          <w:i/>
          <w:iCs/>
          <w:szCs w:val="24"/>
        </w:rPr>
        <w:t>International Workshop on Navigating the Digital Business Frontier for Sustainable Financial Innovation (ICDEBA 2024)</w:t>
      </w:r>
      <w:r w:rsidRPr="00DA2477">
        <w:rPr>
          <w:rFonts w:cs="Times New Roman"/>
          <w:szCs w:val="24"/>
        </w:rPr>
        <w:t> (pp. 554-565). Atlantis Press.</w:t>
      </w:r>
    </w:p>
    <w:p w14:paraId="36AE5082" w14:textId="77777777" w:rsidR="00870A62" w:rsidRPr="00DA2477" w:rsidRDefault="00870A62" w:rsidP="00870A62">
      <w:pPr>
        <w:spacing w:line="360" w:lineRule="auto"/>
        <w:rPr>
          <w:rFonts w:cs="Times New Roman"/>
          <w:szCs w:val="24"/>
        </w:rPr>
      </w:pPr>
      <w:proofErr w:type="spellStart"/>
      <w:r w:rsidRPr="00DA2477">
        <w:rPr>
          <w:rFonts w:cs="Times New Roman"/>
          <w:szCs w:val="24"/>
        </w:rPr>
        <w:t>Colliard</w:t>
      </w:r>
      <w:proofErr w:type="spellEnd"/>
      <w:r w:rsidRPr="00DA2477">
        <w:rPr>
          <w:rFonts w:cs="Times New Roman"/>
          <w:szCs w:val="24"/>
        </w:rPr>
        <w:t xml:space="preserve">, J.E. and </w:t>
      </w:r>
      <w:proofErr w:type="spellStart"/>
      <w:r w:rsidRPr="00DA2477">
        <w:rPr>
          <w:rFonts w:cs="Times New Roman"/>
          <w:szCs w:val="24"/>
        </w:rPr>
        <w:t>Gromb</w:t>
      </w:r>
      <w:proofErr w:type="spellEnd"/>
      <w:r w:rsidRPr="00DA2477">
        <w:rPr>
          <w:rFonts w:cs="Times New Roman"/>
          <w:szCs w:val="24"/>
        </w:rPr>
        <w:t>, D., 2025. Financial restructuring and resolution of banks. </w:t>
      </w:r>
      <w:r w:rsidRPr="00DA2477">
        <w:rPr>
          <w:rFonts w:cs="Times New Roman"/>
          <w:i/>
          <w:iCs/>
          <w:szCs w:val="24"/>
        </w:rPr>
        <w:t>The Review of Financial Studies</w:t>
      </w:r>
      <w:r w:rsidRPr="00DA2477">
        <w:rPr>
          <w:rFonts w:cs="Times New Roman"/>
          <w:szCs w:val="24"/>
        </w:rPr>
        <w:t xml:space="preserve">, </w:t>
      </w:r>
      <w:proofErr w:type="gramStart"/>
      <w:r w:rsidRPr="00DA2477">
        <w:rPr>
          <w:rFonts w:cs="Times New Roman"/>
          <w:szCs w:val="24"/>
        </w:rPr>
        <w:t>p.hhaf</w:t>
      </w:r>
      <w:proofErr w:type="gramEnd"/>
      <w:r w:rsidRPr="00DA2477">
        <w:rPr>
          <w:rFonts w:cs="Times New Roman"/>
          <w:szCs w:val="24"/>
        </w:rPr>
        <w:t>113.</w:t>
      </w:r>
    </w:p>
    <w:p w14:paraId="5853679D" w14:textId="77777777" w:rsidR="00870A62" w:rsidRPr="00DA2477" w:rsidRDefault="00870A62" w:rsidP="00870A62">
      <w:pPr>
        <w:spacing w:line="360" w:lineRule="auto"/>
        <w:rPr>
          <w:rFonts w:cs="Times New Roman"/>
          <w:szCs w:val="24"/>
        </w:rPr>
      </w:pPr>
      <w:r w:rsidRPr="00DA2477">
        <w:rPr>
          <w:rFonts w:cs="Times New Roman"/>
          <w:szCs w:val="24"/>
        </w:rPr>
        <w:t>Correia, H.F.P.R.N., 2022. </w:t>
      </w:r>
      <w:r w:rsidRPr="00DA2477">
        <w:rPr>
          <w:rFonts w:cs="Times New Roman"/>
          <w:i/>
          <w:iCs/>
          <w:szCs w:val="24"/>
        </w:rPr>
        <w:t>Marriott International Inc Equity Research-Consolidating a Leading Position Amid Recovery</w:t>
      </w:r>
      <w:r w:rsidRPr="00DA2477">
        <w:rPr>
          <w:rFonts w:cs="Times New Roman"/>
          <w:szCs w:val="24"/>
        </w:rPr>
        <w:t> (</w:t>
      </w:r>
      <w:proofErr w:type="gramStart"/>
      <w:r w:rsidRPr="00DA2477">
        <w:rPr>
          <w:rFonts w:cs="Times New Roman"/>
          <w:szCs w:val="24"/>
        </w:rPr>
        <w:t>Master's</w:t>
      </w:r>
      <w:proofErr w:type="gramEnd"/>
      <w:r w:rsidRPr="00DA2477">
        <w:rPr>
          <w:rFonts w:cs="Times New Roman"/>
          <w:szCs w:val="24"/>
        </w:rPr>
        <w:t xml:space="preserve"> thesis, </w:t>
      </w:r>
      <w:proofErr w:type="spellStart"/>
      <w:r w:rsidRPr="00DA2477">
        <w:rPr>
          <w:rFonts w:cs="Times New Roman"/>
          <w:szCs w:val="24"/>
        </w:rPr>
        <w:t>Universidade</w:t>
      </w:r>
      <w:proofErr w:type="spellEnd"/>
      <w:r w:rsidRPr="00DA2477">
        <w:rPr>
          <w:rFonts w:cs="Times New Roman"/>
          <w:szCs w:val="24"/>
        </w:rPr>
        <w:t xml:space="preserve"> NOVA de Lisboa (Portugal)).</w:t>
      </w:r>
    </w:p>
    <w:p w14:paraId="12BACA74" w14:textId="77777777" w:rsidR="00870A62" w:rsidRPr="00DA2477" w:rsidRDefault="00870A62" w:rsidP="00870A62">
      <w:pPr>
        <w:spacing w:line="360" w:lineRule="auto"/>
        <w:rPr>
          <w:rFonts w:cs="Times New Roman"/>
          <w:szCs w:val="24"/>
        </w:rPr>
      </w:pPr>
      <w:proofErr w:type="spellStart"/>
      <w:r w:rsidRPr="00DA2477">
        <w:rPr>
          <w:rFonts w:cs="Times New Roman"/>
          <w:szCs w:val="24"/>
        </w:rPr>
        <w:t>Darmansyah</w:t>
      </w:r>
      <w:proofErr w:type="spellEnd"/>
      <w:r w:rsidRPr="00DA2477">
        <w:rPr>
          <w:rFonts w:cs="Times New Roman"/>
          <w:szCs w:val="24"/>
        </w:rPr>
        <w:t>, A., Ali, Q. and Parveen, S., 2025. Sophisticated capital budgeting decisions for financial performance and risk management—A tale of two business entities. </w:t>
      </w:r>
      <w:r w:rsidRPr="00DA2477">
        <w:rPr>
          <w:rFonts w:cs="Times New Roman"/>
          <w:i/>
          <w:iCs/>
          <w:szCs w:val="24"/>
        </w:rPr>
        <w:t>Journal of Risk and Financial Management</w:t>
      </w:r>
      <w:r w:rsidRPr="00DA2477">
        <w:rPr>
          <w:rFonts w:cs="Times New Roman"/>
          <w:szCs w:val="24"/>
        </w:rPr>
        <w:t>, </w:t>
      </w:r>
      <w:r w:rsidRPr="00DA2477">
        <w:rPr>
          <w:rFonts w:cs="Times New Roman"/>
          <w:i/>
          <w:iCs/>
          <w:szCs w:val="24"/>
        </w:rPr>
        <w:t>18</w:t>
      </w:r>
      <w:r w:rsidRPr="00DA2477">
        <w:rPr>
          <w:rFonts w:cs="Times New Roman"/>
          <w:szCs w:val="24"/>
        </w:rPr>
        <w:t>(6), p.297.</w:t>
      </w:r>
    </w:p>
    <w:p w14:paraId="22F58482" w14:textId="77777777" w:rsidR="00870A62" w:rsidRPr="00DA2477" w:rsidRDefault="00870A62" w:rsidP="00870A62">
      <w:pPr>
        <w:spacing w:line="360" w:lineRule="auto"/>
        <w:rPr>
          <w:rFonts w:cs="Times New Roman"/>
          <w:szCs w:val="24"/>
        </w:rPr>
      </w:pPr>
      <w:r w:rsidRPr="00DA2477">
        <w:rPr>
          <w:rFonts w:cs="Times New Roman"/>
          <w:szCs w:val="24"/>
        </w:rPr>
        <w:t>Debnath, B., Bari, A.M., Haq, M.M., de Jesus Pacheco, D.A. and Khan, M.A., 2023. An integrated stepwise weight assessment ratio analysis and weighted aggregated sum product assessment framework for sustainable supplier selection in the healthcare supply chains. </w:t>
      </w:r>
      <w:r w:rsidRPr="00DA2477">
        <w:rPr>
          <w:rFonts w:cs="Times New Roman"/>
          <w:i/>
          <w:iCs/>
          <w:szCs w:val="24"/>
        </w:rPr>
        <w:t>Supply chain analytics</w:t>
      </w:r>
      <w:r w:rsidRPr="00DA2477">
        <w:rPr>
          <w:rFonts w:cs="Times New Roman"/>
          <w:szCs w:val="24"/>
        </w:rPr>
        <w:t>, </w:t>
      </w:r>
      <w:r w:rsidRPr="00DA2477">
        <w:rPr>
          <w:rFonts w:cs="Times New Roman"/>
          <w:i/>
          <w:iCs/>
          <w:szCs w:val="24"/>
        </w:rPr>
        <w:t>1</w:t>
      </w:r>
      <w:r w:rsidRPr="00DA2477">
        <w:rPr>
          <w:rFonts w:cs="Times New Roman"/>
          <w:szCs w:val="24"/>
        </w:rPr>
        <w:t>, p.100001.</w:t>
      </w:r>
    </w:p>
    <w:p w14:paraId="3FE923D4" w14:textId="77777777" w:rsidR="00870A62" w:rsidRPr="00DA2477" w:rsidRDefault="00870A62" w:rsidP="00870A62">
      <w:pPr>
        <w:spacing w:line="360" w:lineRule="auto"/>
        <w:rPr>
          <w:rFonts w:cs="Times New Roman"/>
          <w:szCs w:val="24"/>
        </w:rPr>
      </w:pPr>
      <w:r w:rsidRPr="00DA2477">
        <w:rPr>
          <w:rFonts w:cs="Times New Roman"/>
          <w:szCs w:val="24"/>
        </w:rPr>
        <w:t>Eschenbrenner, B., Zlatic, A., Bechtel, M., Collins, B., Straley, C. and Gubbels, G., 2023. Marriott International: a managerial strategic audit.</w:t>
      </w:r>
    </w:p>
    <w:p w14:paraId="6E10431F" w14:textId="77777777" w:rsidR="00870A62" w:rsidRPr="00DA2477" w:rsidRDefault="00870A62" w:rsidP="00870A62">
      <w:pPr>
        <w:spacing w:line="360" w:lineRule="auto"/>
        <w:rPr>
          <w:rFonts w:cs="Times New Roman"/>
          <w:szCs w:val="24"/>
        </w:rPr>
      </w:pPr>
      <w:r w:rsidRPr="00DA2477">
        <w:rPr>
          <w:rFonts w:cs="Times New Roman"/>
          <w:szCs w:val="24"/>
        </w:rPr>
        <w:t xml:space="preserve">Fadillah, I.R., Nadiyah, N., </w:t>
      </w:r>
      <w:proofErr w:type="spellStart"/>
      <w:r w:rsidRPr="00DA2477">
        <w:rPr>
          <w:rFonts w:cs="Times New Roman"/>
          <w:szCs w:val="24"/>
        </w:rPr>
        <w:t>Rohmah</w:t>
      </w:r>
      <w:proofErr w:type="spellEnd"/>
      <w:r w:rsidRPr="00DA2477">
        <w:rPr>
          <w:rFonts w:cs="Times New Roman"/>
          <w:szCs w:val="24"/>
        </w:rPr>
        <w:t>, L., Haryadi, D. and Wahyudi, W., 2024. Profitability ratio analysis to assess the financial performance. </w:t>
      </w:r>
      <w:r w:rsidRPr="00DA2477">
        <w:rPr>
          <w:rFonts w:cs="Times New Roman"/>
          <w:i/>
          <w:iCs/>
          <w:szCs w:val="24"/>
        </w:rPr>
        <w:t>International Journal of Applied Finance and Business Studies</w:t>
      </w:r>
      <w:r w:rsidRPr="00DA2477">
        <w:rPr>
          <w:rFonts w:cs="Times New Roman"/>
          <w:szCs w:val="24"/>
        </w:rPr>
        <w:t>, </w:t>
      </w:r>
      <w:r w:rsidRPr="00DA2477">
        <w:rPr>
          <w:rFonts w:cs="Times New Roman"/>
          <w:i/>
          <w:iCs/>
          <w:szCs w:val="24"/>
        </w:rPr>
        <w:t>11</w:t>
      </w:r>
      <w:r w:rsidRPr="00DA2477">
        <w:rPr>
          <w:rFonts w:cs="Times New Roman"/>
          <w:szCs w:val="24"/>
        </w:rPr>
        <w:t>(4), pp.964-969.</w:t>
      </w:r>
    </w:p>
    <w:p w14:paraId="00EBE491" w14:textId="77777777" w:rsidR="00870A62" w:rsidRPr="00DA2477" w:rsidRDefault="00870A62" w:rsidP="00870A62">
      <w:pPr>
        <w:spacing w:line="360" w:lineRule="auto"/>
        <w:rPr>
          <w:rFonts w:cs="Times New Roman"/>
          <w:szCs w:val="24"/>
        </w:rPr>
      </w:pPr>
      <w:r w:rsidRPr="00DA2477">
        <w:rPr>
          <w:rFonts w:cs="Times New Roman"/>
          <w:szCs w:val="24"/>
        </w:rPr>
        <w:t xml:space="preserve">Fitriani, N., </w:t>
      </w:r>
      <w:proofErr w:type="spellStart"/>
      <w:r w:rsidRPr="00DA2477">
        <w:rPr>
          <w:rFonts w:cs="Times New Roman"/>
          <w:szCs w:val="24"/>
        </w:rPr>
        <w:t>Minanurohman</w:t>
      </w:r>
      <w:proofErr w:type="spellEnd"/>
      <w:r w:rsidRPr="00DA2477">
        <w:rPr>
          <w:rFonts w:cs="Times New Roman"/>
          <w:szCs w:val="24"/>
        </w:rPr>
        <w:t>, A. and Firmansah, G.L., 2022. Financial ratio analysis in stock price: Evidence from Indonesia. </w:t>
      </w:r>
      <w:proofErr w:type="spellStart"/>
      <w:r w:rsidRPr="00DA2477">
        <w:rPr>
          <w:rFonts w:cs="Times New Roman"/>
          <w:i/>
          <w:iCs/>
          <w:szCs w:val="24"/>
        </w:rPr>
        <w:t>Jurnal</w:t>
      </w:r>
      <w:proofErr w:type="spellEnd"/>
      <w:r w:rsidRPr="00DA2477">
        <w:rPr>
          <w:rFonts w:cs="Times New Roman"/>
          <w:i/>
          <w:iCs/>
          <w:szCs w:val="24"/>
        </w:rPr>
        <w:t xml:space="preserve"> ASET (</w:t>
      </w:r>
      <w:proofErr w:type="spellStart"/>
      <w:r w:rsidRPr="00DA2477">
        <w:rPr>
          <w:rFonts w:cs="Times New Roman"/>
          <w:i/>
          <w:iCs/>
          <w:szCs w:val="24"/>
        </w:rPr>
        <w:t>Akuntansi</w:t>
      </w:r>
      <w:proofErr w:type="spellEnd"/>
      <w:r w:rsidRPr="00DA2477">
        <w:rPr>
          <w:rFonts w:cs="Times New Roman"/>
          <w:i/>
          <w:iCs/>
          <w:szCs w:val="24"/>
        </w:rPr>
        <w:t xml:space="preserve"> Riset)</w:t>
      </w:r>
      <w:r w:rsidRPr="00DA2477">
        <w:rPr>
          <w:rFonts w:cs="Times New Roman"/>
          <w:szCs w:val="24"/>
        </w:rPr>
        <w:t>, </w:t>
      </w:r>
      <w:r w:rsidRPr="00DA2477">
        <w:rPr>
          <w:rFonts w:cs="Times New Roman"/>
          <w:i/>
          <w:iCs/>
          <w:szCs w:val="24"/>
        </w:rPr>
        <w:t>14</w:t>
      </w:r>
      <w:r w:rsidRPr="00DA2477">
        <w:rPr>
          <w:rFonts w:cs="Times New Roman"/>
          <w:szCs w:val="24"/>
        </w:rPr>
        <w:t>(2), pp.285-296.</w:t>
      </w:r>
    </w:p>
    <w:p w14:paraId="74AC3C28" w14:textId="77777777" w:rsidR="00870A62" w:rsidRPr="00DA2477" w:rsidRDefault="00870A62" w:rsidP="00870A62">
      <w:pPr>
        <w:spacing w:line="360" w:lineRule="auto"/>
        <w:rPr>
          <w:rFonts w:cs="Times New Roman"/>
          <w:szCs w:val="24"/>
        </w:rPr>
      </w:pPr>
      <w:proofErr w:type="spellStart"/>
      <w:r w:rsidRPr="00DA2477">
        <w:rPr>
          <w:rFonts w:cs="Times New Roman"/>
          <w:szCs w:val="24"/>
        </w:rPr>
        <w:t>Gholiagha</w:t>
      </w:r>
      <w:proofErr w:type="spellEnd"/>
      <w:r w:rsidRPr="00DA2477">
        <w:rPr>
          <w:rFonts w:cs="Times New Roman"/>
          <w:szCs w:val="24"/>
        </w:rPr>
        <w:t xml:space="preserve">, S., Neyer, J., Sienknecht, M., Wolska, M.A., Kiesel, D., Riehmann, P., Voigt, J., Wiegmann, M., López García, I., </w:t>
      </w:r>
      <w:proofErr w:type="spellStart"/>
      <w:r w:rsidRPr="00DA2477">
        <w:rPr>
          <w:rFonts w:cs="Times New Roman"/>
          <w:szCs w:val="24"/>
        </w:rPr>
        <w:t>Girgensohn</w:t>
      </w:r>
      <w:proofErr w:type="spellEnd"/>
      <w:r w:rsidRPr="00DA2477">
        <w:rPr>
          <w:rFonts w:cs="Times New Roman"/>
          <w:szCs w:val="24"/>
        </w:rPr>
        <w:t xml:space="preserve">, K. and Stein, B., 2026. From annotation to </w:t>
      </w:r>
      <w:r w:rsidRPr="00DA2477">
        <w:rPr>
          <w:rFonts w:cs="Times New Roman"/>
          <w:szCs w:val="24"/>
        </w:rPr>
        <w:lastRenderedPageBreak/>
        <w:t>reflection: how participatory AI training enhances critical thinking. </w:t>
      </w:r>
      <w:r w:rsidRPr="00DA2477">
        <w:rPr>
          <w:rFonts w:cs="Times New Roman"/>
          <w:i/>
          <w:iCs/>
          <w:szCs w:val="24"/>
        </w:rPr>
        <w:t>AI &amp; SOCIETY</w:t>
      </w:r>
      <w:r w:rsidRPr="00DA2477">
        <w:rPr>
          <w:rFonts w:cs="Times New Roman"/>
          <w:szCs w:val="24"/>
        </w:rPr>
        <w:t>, </w:t>
      </w:r>
      <w:r w:rsidRPr="00DA2477">
        <w:rPr>
          <w:rFonts w:cs="Times New Roman"/>
          <w:i/>
          <w:iCs/>
          <w:szCs w:val="24"/>
        </w:rPr>
        <w:t>41</w:t>
      </w:r>
      <w:r w:rsidRPr="00DA2477">
        <w:rPr>
          <w:rFonts w:cs="Times New Roman"/>
          <w:szCs w:val="24"/>
        </w:rPr>
        <w:t>(3), pp.1937-1950.</w:t>
      </w:r>
    </w:p>
    <w:p w14:paraId="0E8CAE31" w14:textId="77777777" w:rsidR="00870A62" w:rsidRPr="00DA2477" w:rsidRDefault="00870A62" w:rsidP="00870A62">
      <w:pPr>
        <w:spacing w:line="360" w:lineRule="auto"/>
        <w:rPr>
          <w:rFonts w:cs="Times New Roman"/>
          <w:szCs w:val="24"/>
        </w:rPr>
      </w:pPr>
      <w:proofErr w:type="spellStart"/>
      <w:r w:rsidRPr="00DA2477">
        <w:rPr>
          <w:rFonts w:cs="Times New Roman"/>
          <w:szCs w:val="24"/>
        </w:rPr>
        <w:t>Gnap</w:t>
      </w:r>
      <w:proofErr w:type="spellEnd"/>
      <w:r w:rsidRPr="00DA2477">
        <w:rPr>
          <w:rFonts w:cs="Times New Roman"/>
          <w:szCs w:val="24"/>
        </w:rPr>
        <w:t>, M. and Pitera, R., 2023. The relevance of using cash flows and economic profit-based methods in capital budgeting: A focus on techniques–FCFF, FCFE and EVA. </w:t>
      </w:r>
      <w:proofErr w:type="spellStart"/>
      <w:r w:rsidRPr="00DA2477">
        <w:rPr>
          <w:rFonts w:cs="Times New Roman"/>
          <w:i/>
          <w:iCs/>
          <w:szCs w:val="24"/>
        </w:rPr>
        <w:t>Zeszyty</w:t>
      </w:r>
      <w:proofErr w:type="spellEnd"/>
      <w:r w:rsidRPr="00DA2477">
        <w:rPr>
          <w:rFonts w:cs="Times New Roman"/>
          <w:i/>
          <w:iCs/>
          <w:szCs w:val="24"/>
        </w:rPr>
        <w:t xml:space="preserve"> Naukowe. Organizacja </w:t>
      </w:r>
      <w:proofErr w:type="spellStart"/>
      <w:r w:rsidRPr="00DA2477">
        <w:rPr>
          <w:rFonts w:cs="Times New Roman"/>
          <w:i/>
          <w:iCs/>
          <w:szCs w:val="24"/>
        </w:rPr>
        <w:t>i</w:t>
      </w:r>
      <w:proofErr w:type="spellEnd"/>
      <w:r w:rsidRPr="00DA2477">
        <w:rPr>
          <w:rFonts w:cs="Times New Roman"/>
          <w:i/>
          <w:iCs/>
          <w:szCs w:val="24"/>
        </w:rPr>
        <w:t xml:space="preserve"> </w:t>
      </w:r>
      <w:proofErr w:type="spellStart"/>
      <w:r w:rsidRPr="00DA2477">
        <w:rPr>
          <w:rFonts w:cs="Times New Roman"/>
          <w:i/>
          <w:iCs/>
          <w:szCs w:val="24"/>
        </w:rPr>
        <w:t>Zarządzanie</w:t>
      </w:r>
      <w:proofErr w:type="spellEnd"/>
      <w:r w:rsidRPr="00DA2477">
        <w:rPr>
          <w:rFonts w:cs="Times New Roman"/>
          <w:i/>
          <w:iCs/>
          <w:szCs w:val="24"/>
        </w:rPr>
        <w:t>/</w:t>
      </w:r>
      <w:proofErr w:type="spellStart"/>
      <w:r w:rsidRPr="00DA2477">
        <w:rPr>
          <w:rFonts w:cs="Times New Roman"/>
          <w:i/>
          <w:iCs/>
          <w:szCs w:val="24"/>
        </w:rPr>
        <w:t>Politechnika</w:t>
      </w:r>
      <w:proofErr w:type="spellEnd"/>
      <w:r w:rsidRPr="00DA2477">
        <w:rPr>
          <w:rFonts w:cs="Times New Roman"/>
          <w:i/>
          <w:iCs/>
          <w:szCs w:val="24"/>
        </w:rPr>
        <w:t xml:space="preserve"> Śląska</w:t>
      </w:r>
      <w:r w:rsidRPr="00DA2477">
        <w:rPr>
          <w:rFonts w:cs="Times New Roman"/>
          <w:szCs w:val="24"/>
        </w:rPr>
        <w:t>, (172), pp.219-238.</w:t>
      </w:r>
    </w:p>
    <w:p w14:paraId="46033CC8" w14:textId="77777777" w:rsidR="00870A62" w:rsidRPr="00DA2477" w:rsidRDefault="00870A62" w:rsidP="00870A62">
      <w:pPr>
        <w:spacing w:line="360" w:lineRule="auto"/>
        <w:rPr>
          <w:rFonts w:cs="Times New Roman"/>
          <w:szCs w:val="24"/>
        </w:rPr>
      </w:pPr>
      <w:r w:rsidRPr="00DA2477">
        <w:rPr>
          <w:rFonts w:cs="Times New Roman"/>
          <w:szCs w:val="24"/>
        </w:rPr>
        <w:t>Grundy, T., Johnson, G. and Scholes, K., 2022. Strategic Financial Management. </w:t>
      </w:r>
      <w:r w:rsidRPr="00DA2477">
        <w:rPr>
          <w:rFonts w:cs="Times New Roman"/>
          <w:i/>
          <w:iCs/>
          <w:szCs w:val="24"/>
        </w:rPr>
        <w:t xml:space="preserve">Bachelor of Business Administration </w:t>
      </w:r>
      <w:proofErr w:type="spellStart"/>
      <w:r w:rsidRPr="00DA2477">
        <w:rPr>
          <w:rFonts w:cs="Times New Roman"/>
          <w:i/>
          <w:iCs/>
          <w:szCs w:val="24"/>
        </w:rPr>
        <w:t>Programme</w:t>
      </w:r>
      <w:proofErr w:type="spellEnd"/>
      <w:r w:rsidRPr="00DA2477">
        <w:rPr>
          <w:rFonts w:cs="Times New Roman"/>
          <w:i/>
          <w:iCs/>
          <w:szCs w:val="24"/>
        </w:rPr>
        <w:t xml:space="preserve"> Code: BBA Duration–3 Years Full Time</w:t>
      </w:r>
      <w:r w:rsidRPr="00DA2477">
        <w:rPr>
          <w:rFonts w:cs="Times New Roman"/>
          <w:szCs w:val="24"/>
        </w:rPr>
        <w:t>, </w:t>
      </w:r>
      <w:r w:rsidRPr="00DA2477">
        <w:rPr>
          <w:rFonts w:cs="Times New Roman"/>
          <w:i/>
          <w:iCs/>
          <w:szCs w:val="24"/>
        </w:rPr>
        <w:t>2</w:t>
      </w:r>
      <w:r w:rsidRPr="00DA2477">
        <w:rPr>
          <w:rFonts w:cs="Times New Roman"/>
          <w:szCs w:val="24"/>
        </w:rPr>
        <w:t>(1), pp.1-575.</w:t>
      </w:r>
    </w:p>
    <w:p w14:paraId="053F9A3A" w14:textId="77777777" w:rsidR="00870A62" w:rsidRPr="00DA2477" w:rsidRDefault="00870A62" w:rsidP="00870A62">
      <w:pPr>
        <w:spacing w:line="360" w:lineRule="auto"/>
        <w:rPr>
          <w:rFonts w:cs="Times New Roman"/>
          <w:szCs w:val="24"/>
        </w:rPr>
      </w:pPr>
      <w:proofErr w:type="spellStart"/>
      <w:r w:rsidRPr="00DA2477">
        <w:rPr>
          <w:rFonts w:cs="Times New Roman"/>
          <w:szCs w:val="24"/>
        </w:rPr>
        <w:t>Horozhankina</w:t>
      </w:r>
      <w:proofErr w:type="spellEnd"/>
      <w:r w:rsidRPr="00DA2477">
        <w:rPr>
          <w:rFonts w:cs="Times New Roman"/>
          <w:szCs w:val="24"/>
        </w:rPr>
        <w:t xml:space="preserve">, N., Korneyev, M. and </w:t>
      </w:r>
      <w:proofErr w:type="spellStart"/>
      <w:r w:rsidRPr="00DA2477">
        <w:rPr>
          <w:rFonts w:cs="Times New Roman"/>
          <w:szCs w:val="24"/>
        </w:rPr>
        <w:t>Farzullaev</w:t>
      </w:r>
      <w:proofErr w:type="spellEnd"/>
      <w:r w:rsidRPr="00DA2477">
        <w:rPr>
          <w:rFonts w:cs="Times New Roman"/>
          <w:szCs w:val="24"/>
        </w:rPr>
        <w:t>, R., 2024. Marriott International’s place in international hotel chains.</w:t>
      </w:r>
    </w:p>
    <w:p w14:paraId="740C672D" w14:textId="77777777" w:rsidR="00870A62" w:rsidRPr="00DA2477" w:rsidRDefault="00870A62" w:rsidP="00870A62">
      <w:pPr>
        <w:spacing w:line="360" w:lineRule="auto"/>
        <w:rPr>
          <w:rFonts w:cs="Times New Roman"/>
          <w:szCs w:val="24"/>
        </w:rPr>
      </w:pPr>
      <w:r w:rsidRPr="00DA2477">
        <w:rPr>
          <w:rFonts w:cs="Times New Roman"/>
          <w:szCs w:val="24"/>
        </w:rPr>
        <w:t xml:space="preserve">Huynh, T.X.T., Nguyen, T.T.H. and Nguyen, C.V., 2025. The impact of working capital management on the financial performance of listed enterprises: </w:t>
      </w:r>
      <w:proofErr w:type="gramStart"/>
      <w:r w:rsidRPr="00DA2477">
        <w:rPr>
          <w:rFonts w:cs="Times New Roman"/>
          <w:szCs w:val="24"/>
        </w:rPr>
        <w:t>an empirical evidence</w:t>
      </w:r>
      <w:proofErr w:type="gramEnd"/>
      <w:r w:rsidRPr="00DA2477">
        <w:rPr>
          <w:rFonts w:cs="Times New Roman"/>
          <w:szCs w:val="24"/>
        </w:rPr>
        <w:t xml:space="preserve"> from Vietnam. </w:t>
      </w:r>
      <w:r w:rsidRPr="00DA2477">
        <w:rPr>
          <w:rFonts w:cs="Times New Roman"/>
          <w:i/>
          <w:iCs/>
          <w:szCs w:val="24"/>
        </w:rPr>
        <w:t>Cogent Business &amp; Management</w:t>
      </w:r>
      <w:r w:rsidRPr="00DA2477">
        <w:rPr>
          <w:rFonts w:cs="Times New Roman"/>
          <w:szCs w:val="24"/>
        </w:rPr>
        <w:t>, </w:t>
      </w:r>
      <w:r w:rsidRPr="00DA2477">
        <w:rPr>
          <w:rFonts w:cs="Times New Roman"/>
          <w:i/>
          <w:iCs/>
          <w:szCs w:val="24"/>
        </w:rPr>
        <w:t>12</w:t>
      </w:r>
      <w:r w:rsidRPr="00DA2477">
        <w:rPr>
          <w:rFonts w:cs="Times New Roman"/>
          <w:szCs w:val="24"/>
        </w:rPr>
        <w:t>(1), p.2473033.</w:t>
      </w:r>
    </w:p>
    <w:p w14:paraId="1ADF2DD3" w14:textId="77777777" w:rsidR="00870A62" w:rsidRPr="00DA2477" w:rsidRDefault="00870A62" w:rsidP="00870A62">
      <w:pPr>
        <w:spacing w:line="360" w:lineRule="auto"/>
        <w:rPr>
          <w:rFonts w:cs="Times New Roman"/>
          <w:szCs w:val="24"/>
        </w:rPr>
      </w:pPr>
      <w:proofErr w:type="spellStart"/>
      <w:r w:rsidRPr="00DA2477">
        <w:rPr>
          <w:rFonts w:cs="Times New Roman"/>
          <w:szCs w:val="24"/>
        </w:rPr>
        <w:t>Jasmadi</w:t>
      </w:r>
      <w:proofErr w:type="spellEnd"/>
      <w:r w:rsidRPr="00DA2477">
        <w:rPr>
          <w:rFonts w:cs="Times New Roman"/>
          <w:szCs w:val="24"/>
        </w:rPr>
        <w:t xml:space="preserve">, J., Saddam, S. and Lasri, L., 2024. Critical thinking: An analytical study on the impact of Artificial Intelligence (AI) usage on students at Al </w:t>
      </w:r>
      <w:proofErr w:type="spellStart"/>
      <w:r w:rsidRPr="00DA2477">
        <w:rPr>
          <w:rFonts w:cs="Times New Roman"/>
          <w:szCs w:val="24"/>
        </w:rPr>
        <w:t>Washliyah</w:t>
      </w:r>
      <w:proofErr w:type="spellEnd"/>
      <w:r w:rsidRPr="00DA2477">
        <w:rPr>
          <w:rFonts w:cs="Times New Roman"/>
          <w:szCs w:val="24"/>
        </w:rPr>
        <w:t xml:space="preserve"> Darussalam University, Banda Aceh. </w:t>
      </w:r>
      <w:proofErr w:type="spellStart"/>
      <w:r w:rsidRPr="00DA2477">
        <w:rPr>
          <w:rFonts w:cs="Times New Roman"/>
          <w:i/>
          <w:iCs/>
          <w:szCs w:val="24"/>
        </w:rPr>
        <w:t>Sekumpul</w:t>
      </w:r>
      <w:proofErr w:type="spellEnd"/>
      <w:r w:rsidRPr="00DA2477">
        <w:rPr>
          <w:rFonts w:cs="Times New Roman"/>
          <w:i/>
          <w:iCs/>
          <w:szCs w:val="24"/>
        </w:rPr>
        <w:t>: Journal of Multidisciplinary Education Sciences</w:t>
      </w:r>
      <w:r w:rsidRPr="00DA2477">
        <w:rPr>
          <w:rFonts w:cs="Times New Roman"/>
          <w:szCs w:val="24"/>
        </w:rPr>
        <w:t>, </w:t>
      </w:r>
      <w:r w:rsidRPr="00DA2477">
        <w:rPr>
          <w:rFonts w:cs="Times New Roman"/>
          <w:i/>
          <w:iCs/>
          <w:szCs w:val="24"/>
        </w:rPr>
        <w:t>2</w:t>
      </w:r>
      <w:r w:rsidRPr="00DA2477">
        <w:rPr>
          <w:rFonts w:cs="Times New Roman"/>
          <w:szCs w:val="24"/>
        </w:rPr>
        <w:t>(1), pp.25-32.</w:t>
      </w:r>
    </w:p>
    <w:p w14:paraId="7EEDB085" w14:textId="77777777" w:rsidR="00870A62" w:rsidRPr="00DA2477" w:rsidRDefault="00870A62" w:rsidP="00870A62">
      <w:pPr>
        <w:spacing w:line="360" w:lineRule="auto"/>
        <w:rPr>
          <w:rFonts w:cs="Times New Roman"/>
          <w:szCs w:val="24"/>
        </w:rPr>
      </w:pPr>
      <w:r w:rsidRPr="00DA2477">
        <w:rPr>
          <w:rFonts w:cs="Times New Roman"/>
          <w:szCs w:val="24"/>
        </w:rPr>
        <w:t>Jensen, C.H., 2022. Capital budgeting and strategic investments: A control perspective.</w:t>
      </w:r>
    </w:p>
    <w:p w14:paraId="7F99D958" w14:textId="77777777" w:rsidR="00870A62" w:rsidRPr="00DA2477" w:rsidRDefault="00870A62" w:rsidP="00870A62">
      <w:pPr>
        <w:spacing w:line="360" w:lineRule="auto"/>
        <w:rPr>
          <w:rFonts w:cs="Times New Roman"/>
          <w:szCs w:val="24"/>
        </w:rPr>
      </w:pPr>
      <w:r w:rsidRPr="00DA2477">
        <w:rPr>
          <w:rFonts w:cs="Times New Roman"/>
          <w:szCs w:val="24"/>
        </w:rPr>
        <w:t>Kadam, M. and Singh, N., 2025. A Study of Identification of Capital Budgeting Tools Applied in Investment Decision. </w:t>
      </w:r>
      <w:r w:rsidRPr="00DA2477">
        <w:rPr>
          <w:rFonts w:cs="Times New Roman"/>
          <w:i/>
          <w:iCs/>
          <w:szCs w:val="24"/>
        </w:rPr>
        <w:t>Bioscan</w:t>
      </w:r>
      <w:r w:rsidRPr="00DA2477">
        <w:rPr>
          <w:rFonts w:cs="Times New Roman"/>
          <w:szCs w:val="24"/>
        </w:rPr>
        <w:t>, </w:t>
      </w:r>
      <w:r w:rsidRPr="00DA2477">
        <w:rPr>
          <w:rFonts w:cs="Times New Roman"/>
          <w:i/>
          <w:iCs/>
          <w:szCs w:val="24"/>
        </w:rPr>
        <w:t>20</w:t>
      </w:r>
      <w:r w:rsidRPr="00DA2477">
        <w:rPr>
          <w:rFonts w:cs="Times New Roman"/>
          <w:szCs w:val="24"/>
        </w:rPr>
        <w:t>, pp.671-676.</w:t>
      </w:r>
    </w:p>
    <w:p w14:paraId="4C340EE9" w14:textId="77777777" w:rsidR="00870A62" w:rsidRPr="00DA2477" w:rsidRDefault="00870A62" w:rsidP="00870A62">
      <w:pPr>
        <w:spacing w:line="360" w:lineRule="auto"/>
        <w:rPr>
          <w:rFonts w:cs="Times New Roman"/>
          <w:szCs w:val="24"/>
        </w:rPr>
      </w:pPr>
      <w:r w:rsidRPr="00DA2477">
        <w:rPr>
          <w:rFonts w:cs="Times New Roman"/>
          <w:szCs w:val="24"/>
        </w:rPr>
        <w:t>Kalkan, Y., 2023. An Overview of Capital Budgeting Methods. </w:t>
      </w:r>
      <w:r w:rsidRPr="00DA2477">
        <w:rPr>
          <w:rFonts w:cs="Times New Roman"/>
          <w:i/>
          <w:iCs/>
          <w:szCs w:val="24"/>
        </w:rPr>
        <w:t>New Frontiers in Social, Human and Administrative Sciences</w:t>
      </w:r>
      <w:r w:rsidRPr="00DA2477">
        <w:rPr>
          <w:rFonts w:cs="Times New Roman"/>
          <w:szCs w:val="24"/>
        </w:rPr>
        <w:t>, pp.579-598.</w:t>
      </w:r>
    </w:p>
    <w:p w14:paraId="042CE9EC" w14:textId="77777777" w:rsidR="00870A62" w:rsidRPr="00DA2477" w:rsidRDefault="00870A62" w:rsidP="00870A62">
      <w:pPr>
        <w:spacing w:line="360" w:lineRule="auto"/>
        <w:rPr>
          <w:rFonts w:cs="Times New Roman"/>
          <w:szCs w:val="24"/>
        </w:rPr>
      </w:pPr>
      <w:r w:rsidRPr="00DA2477">
        <w:rPr>
          <w:rFonts w:cs="Times New Roman"/>
          <w:szCs w:val="24"/>
        </w:rPr>
        <w:t>Kwak, J.W., 2024. A Study on the Financial Ratio Analysis of Premium Hotels in Korea Since 2020. </w:t>
      </w:r>
      <w:proofErr w:type="spellStart"/>
      <w:r w:rsidRPr="00DA2477">
        <w:rPr>
          <w:rFonts w:eastAsia="Malgun Gothic" w:cs="Times New Roman"/>
          <w:i/>
          <w:iCs/>
          <w:szCs w:val="24"/>
        </w:rPr>
        <w:t>글로벌경영학회지</w:t>
      </w:r>
      <w:proofErr w:type="spellEnd"/>
      <w:r w:rsidRPr="00DA2477">
        <w:rPr>
          <w:rFonts w:cs="Times New Roman"/>
          <w:szCs w:val="24"/>
        </w:rPr>
        <w:t>, </w:t>
      </w:r>
      <w:r w:rsidRPr="00DA2477">
        <w:rPr>
          <w:rFonts w:cs="Times New Roman"/>
          <w:i/>
          <w:iCs/>
          <w:szCs w:val="24"/>
        </w:rPr>
        <w:t>21</w:t>
      </w:r>
      <w:r w:rsidRPr="00DA2477">
        <w:rPr>
          <w:rFonts w:cs="Times New Roman"/>
          <w:szCs w:val="24"/>
        </w:rPr>
        <w:t>(5), pp.192-227.</w:t>
      </w:r>
    </w:p>
    <w:p w14:paraId="4A16BE14" w14:textId="77777777" w:rsidR="00870A62" w:rsidRPr="00DA2477" w:rsidRDefault="00870A62" w:rsidP="00870A62">
      <w:pPr>
        <w:spacing w:line="360" w:lineRule="auto"/>
        <w:rPr>
          <w:rFonts w:cs="Times New Roman"/>
          <w:szCs w:val="24"/>
        </w:rPr>
      </w:pPr>
      <w:r w:rsidRPr="00DA2477">
        <w:rPr>
          <w:rFonts w:cs="Times New Roman"/>
          <w:szCs w:val="24"/>
        </w:rPr>
        <w:t xml:space="preserve">Lau, G.R., Low, W.Y., Tay, L., Guevarra, Y.A., </w:t>
      </w:r>
      <w:proofErr w:type="spellStart"/>
      <w:r w:rsidRPr="00DA2477">
        <w:rPr>
          <w:rFonts w:cs="Times New Roman"/>
          <w:szCs w:val="24"/>
        </w:rPr>
        <w:t>Gašević</w:t>
      </w:r>
      <w:proofErr w:type="spellEnd"/>
      <w:r w:rsidRPr="00DA2477">
        <w:rPr>
          <w:rFonts w:cs="Times New Roman"/>
          <w:szCs w:val="24"/>
        </w:rPr>
        <w:t>, D. and Hartanto, A., 2026. Understanding critical thinking in generative artificial intelligence use: Development, validation, and correlates of the critical thinking in AI use scale. </w:t>
      </w:r>
      <w:r w:rsidRPr="00DA2477">
        <w:rPr>
          <w:rFonts w:cs="Times New Roman"/>
          <w:i/>
          <w:iCs/>
          <w:szCs w:val="24"/>
        </w:rPr>
        <w:t>Computers in Human Behavior Reports</w:t>
      </w:r>
      <w:r w:rsidRPr="00DA2477">
        <w:rPr>
          <w:rFonts w:cs="Times New Roman"/>
          <w:szCs w:val="24"/>
        </w:rPr>
        <w:t>, </w:t>
      </w:r>
      <w:r w:rsidRPr="00DA2477">
        <w:rPr>
          <w:rFonts w:cs="Times New Roman"/>
          <w:i/>
          <w:iCs/>
          <w:szCs w:val="24"/>
        </w:rPr>
        <w:t>22</w:t>
      </w:r>
      <w:r w:rsidRPr="00DA2477">
        <w:rPr>
          <w:rFonts w:cs="Times New Roman"/>
          <w:szCs w:val="24"/>
        </w:rPr>
        <w:t>, p.101103.</w:t>
      </w:r>
    </w:p>
    <w:p w14:paraId="6586D9B5" w14:textId="77777777" w:rsidR="00870A62" w:rsidRPr="00DA2477" w:rsidRDefault="00870A62" w:rsidP="00870A62">
      <w:pPr>
        <w:spacing w:line="360" w:lineRule="auto"/>
        <w:rPr>
          <w:rFonts w:cs="Times New Roman"/>
          <w:szCs w:val="24"/>
        </w:rPr>
      </w:pPr>
      <w:r w:rsidRPr="00DA2477">
        <w:rPr>
          <w:rFonts w:cs="Times New Roman"/>
          <w:szCs w:val="24"/>
        </w:rPr>
        <w:t xml:space="preserve">Lefebvre, V., 2022. Performance, working capital management, and the liability of smallness: a question of opportunity </w:t>
      </w:r>
      <w:proofErr w:type="gramStart"/>
      <w:r w:rsidRPr="00DA2477">
        <w:rPr>
          <w:rFonts w:cs="Times New Roman"/>
          <w:szCs w:val="24"/>
        </w:rPr>
        <w:t>costs?.</w:t>
      </w:r>
      <w:proofErr w:type="gramEnd"/>
      <w:r w:rsidRPr="00DA2477">
        <w:rPr>
          <w:rFonts w:cs="Times New Roman"/>
          <w:szCs w:val="24"/>
        </w:rPr>
        <w:t> </w:t>
      </w:r>
      <w:r w:rsidRPr="00DA2477">
        <w:rPr>
          <w:rFonts w:cs="Times New Roman"/>
          <w:i/>
          <w:iCs/>
          <w:szCs w:val="24"/>
        </w:rPr>
        <w:t>Journal of Small Business Management</w:t>
      </w:r>
      <w:r w:rsidRPr="00DA2477">
        <w:rPr>
          <w:rFonts w:cs="Times New Roman"/>
          <w:szCs w:val="24"/>
        </w:rPr>
        <w:t>, </w:t>
      </w:r>
      <w:r w:rsidRPr="00DA2477">
        <w:rPr>
          <w:rFonts w:cs="Times New Roman"/>
          <w:i/>
          <w:iCs/>
          <w:szCs w:val="24"/>
        </w:rPr>
        <w:t>60</w:t>
      </w:r>
      <w:r w:rsidRPr="00DA2477">
        <w:rPr>
          <w:rFonts w:cs="Times New Roman"/>
          <w:szCs w:val="24"/>
        </w:rPr>
        <w:t>(3), pp.704-733.</w:t>
      </w:r>
    </w:p>
    <w:p w14:paraId="015AE9CC" w14:textId="77777777" w:rsidR="00870A62" w:rsidRPr="00DA2477" w:rsidRDefault="00870A62" w:rsidP="00870A62">
      <w:pPr>
        <w:spacing w:line="360" w:lineRule="auto"/>
        <w:rPr>
          <w:rFonts w:cs="Times New Roman"/>
          <w:szCs w:val="24"/>
        </w:rPr>
      </w:pPr>
      <w:r w:rsidRPr="00DA2477">
        <w:rPr>
          <w:rFonts w:cs="Times New Roman"/>
          <w:szCs w:val="24"/>
        </w:rPr>
        <w:lastRenderedPageBreak/>
        <w:t>Li, X., 2025, April. Artificial intelligence in teacher education: Examining critical thinking and creativity through AI usage. In </w:t>
      </w:r>
      <w:r w:rsidRPr="00DA2477">
        <w:rPr>
          <w:rFonts w:cs="Times New Roman"/>
          <w:i/>
          <w:iCs/>
          <w:szCs w:val="24"/>
        </w:rPr>
        <w:t>Forum for Education Studies</w:t>
      </w:r>
      <w:r w:rsidRPr="00DA2477">
        <w:rPr>
          <w:rFonts w:cs="Times New Roman"/>
          <w:szCs w:val="24"/>
        </w:rPr>
        <w:t> (Vol. 3, No. 2, pp. 2727-2727).</w:t>
      </w:r>
    </w:p>
    <w:p w14:paraId="17C7DFF3" w14:textId="77777777" w:rsidR="00870A62" w:rsidRPr="00DA2477" w:rsidRDefault="00870A62" w:rsidP="00870A62">
      <w:pPr>
        <w:spacing w:line="360" w:lineRule="auto"/>
        <w:rPr>
          <w:rFonts w:cs="Times New Roman"/>
          <w:szCs w:val="24"/>
        </w:rPr>
      </w:pPr>
      <w:r w:rsidRPr="00DA2477">
        <w:rPr>
          <w:rFonts w:cs="Times New Roman"/>
          <w:szCs w:val="24"/>
        </w:rPr>
        <w:t>Mahmut, D. and Şen, D.Ş., 2023. Reflection of artificial intelligence applications on students' critical and analytical abilities. </w:t>
      </w:r>
      <w:r w:rsidRPr="00DA2477">
        <w:rPr>
          <w:rFonts w:cs="Times New Roman"/>
          <w:i/>
          <w:iCs/>
          <w:szCs w:val="24"/>
        </w:rPr>
        <w:t>Scientific Collection «</w:t>
      </w:r>
      <w:proofErr w:type="spellStart"/>
      <w:r w:rsidRPr="00DA2477">
        <w:rPr>
          <w:rFonts w:cs="Times New Roman"/>
          <w:i/>
          <w:iCs/>
          <w:szCs w:val="24"/>
        </w:rPr>
        <w:t>InterConf</w:t>
      </w:r>
      <w:proofErr w:type="spellEnd"/>
      <w:r w:rsidRPr="00DA2477">
        <w:rPr>
          <w:rFonts w:cs="Times New Roman"/>
          <w:i/>
          <w:iCs/>
          <w:szCs w:val="24"/>
        </w:rPr>
        <w:t>»</w:t>
      </w:r>
      <w:r w:rsidRPr="00DA2477">
        <w:rPr>
          <w:rFonts w:cs="Times New Roman"/>
          <w:szCs w:val="24"/>
        </w:rPr>
        <w:t>, (184), pp.459-467.</w:t>
      </w:r>
    </w:p>
    <w:p w14:paraId="69E72087" w14:textId="77777777" w:rsidR="00870A62" w:rsidRPr="00DA2477" w:rsidRDefault="00870A62" w:rsidP="00870A62">
      <w:pPr>
        <w:spacing w:line="360" w:lineRule="auto"/>
        <w:rPr>
          <w:rFonts w:cs="Times New Roman"/>
          <w:szCs w:val="24"/>
        </w:rPr>
      </w:pPr>
      <w:r w:rsidRPr="00DA2477">
        <w:rPr>
          <w:rFonts w:cs="Times New Roman"/>
          <w:szCs w:val="24"/>
        </w:rPr>
        <w:t>Mathew, S., 2024. An overview on capital investment.</w:t>
      </w:r>
    </w:p>
    <w:p w14:paraId="62D7C9AC" w14:textId="77777777" w:rsidR="00870A62" w:rsidRPr="00DA2477" w:rsidRDefault="00870A62" w:rsidP="00870A62">
      <w:pPr>
        <w:spacing w:line="360" w:lineRule="auto"/>
        <w:rPr>
          <w:rFonts w:cs="Times New Roman"/>
          <w:szCs w:val="24"/>
        </w:rPr>
      </w:pPr>
      <w:r w:rsidRPr="00DA2477">
        <w:rPr>
          <w:rFonts w:cs="Times New Roman"/>
          <w:szCs w:val="24"/>
        </w:rPr>
        <w:t>Na, B. and Shimizu, K., 2024. Working capital management and bank mergers. </w:t>
      </w:r>
      <w:r w:rsidRPr="00DA2477">
        <w:rPr>
          <w:rFonts w:cs="Times New Roman"/>
          <w:i/>
          <w:iCs/>
          <w:szCs w:val="24"/>
        </w:rPr>
        <w:t>Journal of Risk and Financial Management</w:t>
      </w:r>
      <w:r w:rsidRPr="00DA2477">
        <w:rPr>
          <w:rFonts w:cs="Times New Roman"/>
          <w:szCs w:val="24"/>
        </w:rPr>
        <w:t>, </w:t>
      </w:r>
      <w:r w:rsidRPr="00DA2477">
        <w:rPr>
          <w:rFonts w:cs="Times New Roman"/>
          <w:i/>
          <w:iCs/>
          <w:szCs w:val="24"/>
        </w:rPr>
        <w:t>17</w:t>
      </w:r>
      <w:r w:rsidRPr="00DA2477">
        <w:rPr>
          <w:rFonts w:cs="Times New Roman"/>
          <w:szCs w:val="24"/>
        </w:rPr>
        <w:t>(5), p.213.</w:t>
      </w:r>
    </w:p>
    <w:p w14:paraId="0B60BFED" w14:textId="77777777" w:rsidR="00870A62" w:rsidRPr="00DA2477" w:rsidRDefault="00870A62" w:rsidP="00870A62">
      <w:pPr>
        <w:spacing w:line="360" w:lineRule="auto"/>
        <w:rPr>
          <w:rFonts w:cs="Times New Roman"/>
          <w:szCs w:val="24"/>
        </w:rPr>
      </w:pPr>
      <w:proofErr w:type="spellStart"/>
      <w:r w:rsidRPr="00DA2477">
        <w:rPr>
          <w:rFonts w:cs="Times New Roman"/>
          <w:szCs w:val="24"/>
        </w:rPr>
        <w:t>Nunden</w:t>
      </w:r>
      <w:proofErr w:type="spellEnd"/>
      <w:r w:rsidRPr="00DA2477">
        <w:rPr>
          <w:rFonts w:cs="Times New Roman"/>
          <w:szCs w:val="24"/>
        </w:rPr>
        <w:t xml:space="preserve">, N., Abbana, S., Marimuthu, F. and </w:t>
      </w:r>
      <w:proofErr w:type="spellStart"/>
      <w:r w:rsidRPr="00DA2477">
        <w:rPr>
          <w:rFonts w:cs="Times New Roman"/>
          <w:szCs w:val="24"/>
        </w:rPr>
        <w:t>Sentoo</w:t>
      </w:r>
      <w:proofErr w:type="spellEnd"/>
      <w:r w:rsidRPr="00DA2477">
        <w:rPr>
          <w:rFonts w:cs="Times New Roman"/>
          <w:szCs w:val="24"/>
        </w:rPr>
        <w:t>, N., 2022. An assessment of management skills on capital budgeting planning and practices: evidence from the small and medium enterprise sector. </w:t>
      </w:r>
      <w:r w:rsidRPr="00DA2477">
        <w:rPr>
          <w:rFonts w:cs="Times New Roman"/>
          <w:i/>
          <w:iCs/>
          <w:szCs w:val="24"/>
        </w:rPr>
        <w:t>Cogent Business &amp; Management</w:t>
      </w:r>
      <w:r w:rsidRPr="00DA2477">
        <w:rPr>
          <w:rFonts w:cs="Times New Roman"/>
          <w:szCs w:val="24"/>
        </w:rPr>
        <w:t>, </w:t>
      </w:r>
      <w:r w:rsidRPr="00DA2477">
        <w:rPr>
          <w:rFonts w:cs="Times New Roman"/>
          <w:i/>
          <w:iCs/>
          <w:szCs w:val="24"/>
        </w:rPr>
        <w:t>9</w:t>
      </w:r>
      <w:r w:rsidRPr="00DA2477">
        <w:rPr>
          <w:rFonts w:cs="Times New Roman"/>
          <w:szCs w:val="24"/>
        </w:rPr>
        <w:t>(1), p.2136481.</w:t>
      </w:r>
    </w:p>
    <w:p w14:paraId="19AFA4EB" w14:textId="77777777" w:rsidR="00870A62" w:rsidRPr="00DA2477" w:rsidRDefault="00870A62" w:rsidP="00870A62">
      <w:pPr>
        <w:spacing w:line="360" w:lineRule="auto"/>
        <w:rPr>
          <w:rFonts w:cs="Times New Roman"/>
          <w:szCs w:val="24"/>
        </w:rPr>
      </w:pPr>
      <w:r w:rsidRPr="00DA2477">
        <w:rPr>
          <w:rFonts w:cs="Times New Roman"/>
          <w:szCs w:val="24"/>
        </w:rPr>
        <w:t xml:space="preserve">Patwary, A.K., Tosun, C., Sharif, A., Ismail, N.A. and </w:t>
      </w:r>
      <w:proofErr w:type="spellStart"/>
      <w:r w:rsidRPr="00DA2477">
        <w:rPr>
          <w:rFonts w:cs="Times New Roman"/>
          <w:szCs w:val="24"/>
        </w:rPr>
        <w:t>Abuelhassan</w:t>
      </w:r>
      <w:proofErr w:type="spellEnd"/>
      <w:r w:rsidRPr="00DA2477">
        <w:rPr>
          <w:rFonts w:cs="Times New Roman"/>
          <w:szCs w:val="24"/>
        </w:rPr>
        <w:t>, A.E., 2024. Measuring sustainable business performance in Malaysian hotels: The roles of green information, green innovation strategic orientation, and digital technology implementation. </w:t>
      </w:r>
      <w:r w:rsidRPr="00DA2477">
        <w:rPr>
          <w:rFonts w:cs="Times New Roman"/>
          <w:i/>
          <w:iCs/>
          <w:szCs w:val="24"/>
        </w:rPr>
        <w:t>International Journal of Hospitality Management</w:t>
      </w:r>
      <w:r w:rsidRPr="00DA2477">
        <w:rPr>
          <w:rFonts w:cs="Times New Roman"/>
          <w:szCs w:val="24"/>
        </w:rPr>
        <w:t>, </w:t>
      </w:r>
      <w:r w:rsidRPr="00DA2477">
        <w:rPr>
          <w:rFonts w:cs="Times New Roman"/>
          <w:i/>
          <w:iCs/>
          <w:szCs w:val="24"/>
        </w:rPr>
        <w:t>123</w:t>
      </w:r>
      <w:r w:rsidRPr="00DA2477">
        <w:rPr>
          <w:rFonts w:cs="Times New Roman"/>
          <w:szCs w:val="24"/>
        </w:rPr>
        <w:t>, p.103935.</w:t>
      </w:r>
    </w:p>
    <w:p w14:paraId="0256793B" w14:textId="77777777" w:rsidR="00870A62" w:rsidRPr="00DA2477" w:rsidRDefault="00870A62" w:rsidP="00870A62">
      <w:pPr>
        <w:spacing w:line="360" w:lineRule="auto"/>
        <w:rPr>
          <w:rFonts w:cs="Times New Roman"/>
          <w:szCs w:val="24"/>
        </w:rPr>
      </w:pPr>
      <w:proofErr w:type="spellStart"/>
      <w:r w:rsidRPr="00DA2477">
        <w:rPr>
          <w:rFonts w:cs="Times New Roman"/>
          <w:szCs w:val="24"/>
        </w:rPr>
        <w:t>Purnamasari</w:t>
      </w:r>
      <w:proofErr w:type="spellEnd"/>
      <w:r w:rsidRPr="00DA2477">
        <w:rPr>
          <w:rFonts w:cs="Times New Roman"/>
          <w:szCs w:val="24"/>
        </w:rPr>
        <w:t xml:space="preserve">, P. and </w:t>
      </w:r>
      <w:proofErr w:type="spellStart"/>
      <w:r w:rsidRPr="00DA2477">
        <w:rPr>
          <w:rFonts w:cs="Times New Roman"/>
          <w:szCs w:val="24"/>
        </w:rPr>
        <w:t>Adriza</w:t>
      </w:r>
      <w:proofErr w:type="spellEnd"/>
      <w:r w:rsidRPr="00DA2477">
        <w:rPr>
          <w:rFonts w:cs="Times New Roman"/>
          <w:szCs w:val="24"/>
        </w:rPr>
        <w:t>, 2024. Capital budgeting techniques and financial performance: a comparison between SMEs and large listed firms. </w:t>
      </w:r>
      <w:r w:rsidRPr="00DA2477">
        <w:rPr>
          <w:rFonts w:cs="Times New Roman"/>
          <w:i/>
          <w:iCs/>
          <w:szCs w:val="24"/>
        </w:rPr>
        <w:t>Cogent Economics &amp; Finance</w:t>
      </w:r>
      <w:r w:rsidRPr="00DA2477">
        <w:rPr>
          <w:rFonts w:cs="Times New Roman"/>
          <w:szCs w:val="24"/>
        </w:rPr>
        <w:t>, </w:t>
      </w:r>
      <w:r w:rsidRPr="00DA2477">
        <w:rPr>
          <w:rFonts w:cs="Times New Roman"/>
          <w:i/>
          <w:iCs/>
          <w:szCs w:val="24"/>
        </w:rPr>
        <w:t>12</w:t>
      </w:r>
      <w:r w:rsidRPr="00DA2477">
        <w:rPr>
          <w:rFonts w:cs="Times New Roman"/>
          <w:szCs w:val="24"/>
        </w:rPr>
        <w:t>(1), p.2404707.</w:t>
      </w:r>
    </w:p>
    <w:p w14:paraId="4A758634" w14:textId="77777777" w:rsidR="00870A62" w:rsidRPr="00DA2477" w:rsidRDefault="00870A62" w:rsidP="00870A62">
      <w:pPr>
        <w:spacing w:line="360" w:lineRule="auto"/>
        <w:rPr>
          <w:rFonts w:cs="Times New Roman"/>
          <w:szCs w:val="24"/>
        </w:rPr>
      </w:pPr>
      <w:r w:rsidRPr="00DA2477">
        <w:rPr>
          <w:rFonts w:cs="Times New Roman"/>
          <w:szCs w:val="24"/>
        </w:rPr>
        <w:t>Quan, L., Al-Ansi, A. and Han, H., 2022. Assessing customer financial risk perception and attitude in the hotel industry: Exploring the role of protective measures against COVID-19. </w:t>
      </w:r>
      <w:r w:rsidRPr="00DA2477">
        <w:rPr>
          <w:rFonts w:cs="Times New Roman"/>
          <w:i/>
          <w:iCs/>
          <w:szCs w:val="24"/>
        </w:rPr>
        <w:t>International Journal of Hospitality Management</w:t>
      </w:r>
      <w:r w:rsidRPr="00DA2477">
        <w:rPr>
          <w:rFonts w:cs="Times New Roman"/>
          <w:szCs w:val="24"/>
        </w:rPr>
        <w:t>, </w:t>
      </w:r>
      <w:r w:rsidRPr="00DA2477">
        <w:rPr>
          <w:rFonts w:cs="Times New Roman"/>
          <w:i/>
          <w:iCs/>
          <w:szCs w:val="24"/>
        </w:rPr>
        <w:t>101</w:t>
      </w:r>
      <w:r w:rsidRPr="00DA2477">
        <w:rPr>
          <w:rFonts w:cs="Times New Roman"/>
          <w:szCs w:val="24"/>
        </w:rPr>
        <w:t>, p.103123.</w:t>
      </w:r>
    </w:p>
    <w:p w14:paraId="19AA5475" w14:textId="77777777" w:rsidR="00870A62" w:rsidRPr="00DA2477" w:rsidRDefault="00870A62" w:rsidP="00870A62">
      <w:pPr>
        <w:spacing w:line="360" w:lineRule="auto"/>
        <w:rPr>
          <w:rFonts w:cs="Times New Roman"/>
          <w:szCs w:val="24"/>
        </w:rPr>
      </w:pPr>
      <w:r w:rsidRPr="00DA2477">
        <w:rPr>
          <w:rFonts w:cs="Times New Roman"/>
          <w:szCs w:val="24"/>
        </w:rPr>
        <w:t>Rice, J., Raziq, M.M., Martin, N., Fieger, P. and Rice, B., 2023. The debt crisis and the adoption of Asset-Light and Fee-Orientated (ALFO) arrangements at Marriott: 1980-1995. </w:t>
      </w:r>
      <w:r w:rsidRPr="00DA2477">
        <w:rPr>
          <w:rFonts w:cs="Times New Roman"/>
          <w:i/>
          <w:iCs/>
          <w:szCs w:val="24"/>
        </w:rPr>
        <w:t>Journal of Tourism, Heritage &amp; Services Marketing</w:t>
      </w:r>
      <w:r w:rsidRPr="00DA2477">
        <w:rPr>
          <w:rFonts w:cs="Times New Roman"/>
          <w:szCs w:val="24"/>
        </w:rPr>
        <w:t>, </w:t>
      </w:r>
      <w:r w:rsidRPr="00DA2477">
        <w:rPr>
          <w:rFonts w:cs="Times New Roman"/>
          <w:i/>
          <w:iCs/>
          <w:szCs w:val="24"/>
        </w:rPr>
        <w:t>9</w:t>
      </w:r>
      <w:r w:rsidRPr="00DA2477">
        <w:rPr>
          <w:rFonts w:cs="Times New Roman"/>
          <w:szCs w:val="24"/>
        </w:rPr>
        <w:t>(1), pp.58-66.</w:t>
      </w:r>
    </w:p>
    <w:p w14:paraId="3676D5A3" w14:textId="77777777" w:rsidR="00870A62" w:rsidRPr="00DA2477" w:rsidRDefault="00870A62" w:rsidP="00870A62">
      <w:pPr>
        <w:spacing w:line="360" w:lineRule="auto"/>
        <w:rPr>
          <w:rFonts w:cs="Times New Roman"/>
          <w:szCs w:val="24"/>
        </w:rPr>
      </w:pPr>
      <w:r w:rsidRPr="00DA2477">
        <w:rPr>
          <w:rFonts w:cs="Times New Roman"/>
          <w:szCs w:val="24"/>
        </w:rPr>
        <w:t>Roy, P., Rossi, M., Salloum, C., Jarrar, H. and Ghose, B., 2025. Working capital management efficiency in large firms during crisis: implications for community-based enterprises. </w:t>
      </w:r>
      <w:r w:rsidRPr="00DA2477">
        <w:rPr>
          <w:rFonts w:cs="Times New Roman"/>
          <w:i/>
          <w:iCs/>
          <w:szCs w:val="24"/>
        </w:rPr>
        <w:t>Journal of Enterprising Communities: People and Places in the Global Economy</w:t>
      </w:r>
      <w:r w:rsidRPr="00DA2477">
        <w:rPr>
          <w:rFonts w:cs="Times New Roman"/>
          <w:szCs w:val="24"/>
        </w:rPr>
        <w:t>, </w:t>
      </w:r>
      <w:r w:rsidRPr="00DA2477">
        <w:rPr>
          <w:rFonts w:cs="Times New Roman"/>
          <w:i/>
          <w:iCs/>
          <w:szCs w:val="24"/>
        </w:rPr>
        <w:t>19</w:t>
      </w:r>
      <w:r w:rsidRPr="00DA2477">
        <w:rPr>
          <w:rFonts w:cs="Times New Roman"/>
          <w:szCs w:val="24"/>
        </w:rPr>
        <w:t>(3), pp.485-509.</w:t>
      </w:r>
    </w:p>
    <w:p w14:paraId="07EE8C7C" w14:textId="77777777" w:rsidR="00870A62" w:rsidRPr="00DA2477" w:rsidRDefault="00870A62" w:rsidP="00870A62">
      <w:pPr>
        <w:spacing w:line="360" w:lineRule="auto"/>
        <w:rPr>
          <w:rFonts w:cs="Times New Roman"/>
          <w:szCs w:val="24"/>
        </w:rPr>
      </w:pPr>
      <w:r w:rsidRPr="00DA2477">
        <w:rPr>
          <w:rFonts w:cs="Times New Roman"/>
          <w:szCs w:val="24"/>
        </w:rPr>
        <w:t xml:space="preserve">Sekhar, S.C., 2025. Reassessing The Role </w:t>
      </w:r>
      <w:proofErr w:type="gramStart"/>
      <w:r w:rsidRPr="00DA2477">
        <w:rPr>
          <w:rFonts w:cs="Times New Roman"/>
          <w:szCs w:val="24"/>
        </w:rPr>
        <w:t>Of</w:t>
      </w:r>
      <w:proofErr w:type="gramEnd"/>
      <w:r w:rsidRPr="00DA2477">
        <w:rPr>
          <w:rFonts w:cs="Times New Roman"/>
          <w:szCs w:val="24"/>
        </w:rPr>
        <w:t xml:space="preserve"> Net Present Value </w:t>
      </w:r>
      <w:proofErr w:type="gramStart"/>
      <w:r w:rsidRPr="00DA2477">
        <w:rPr>
          <w:rFonts w:cs="Times New Roman"/>
          <w:szCs w:val="24"/>
        </w:rPr>
        <w:t>In</w:t>
      </w:r>
      <w:proofErr w:type="gramEnd"/>
      <w:r w:rsidRPr="00DA2477">
        <w:rPr>
          <w:rFonts w:cs="Times New Roman"/>
          <w:szCs w:val="24"/>
        </w:rPr>
        <w:t xml:space="preserve"> Capital Budgeting Decisions. </w:t>
      </w:r>
      <w:r w:rsidRPr="00DA2477">
        <w:rPr>
          <w:rFonts w:cs="Times New Roman"/>
          <w:i/>
          <w:iCs/>
          <w:szCs w:val="24"/>
        </w:rPr>
        <w:t>International Journal of Research and Analytical Reviews</w:t>
      </w:r>
      <w:r w:rsidRPr="00DA2477">
        <w:rPr>
          <w:rFonts w:cs="Times New Roman"/>
          <w:szCs w:val="24"/>
        </w:rPr>
        <w:t>.</w:t>
      </w:r>
    </w:p>
    <w:p w14:paraId="65902259" w14:textId="77777777" w:rsidR="00870A62" w:rsidRPr="00DA2477" w:rsidRDefault="00870A62" w:rsidP="00870A62">
      <w:pPr>
        <w:spacing w:line="360" w:lineRule="auto"/>
        <w:rPr>
          <w:rFonts w:cs="Times New Roman"/>
          <w:szCs w:val="24"/>
        </w:rPr>
      </w:pPr>
      <w:r w:rsidRPr="00DA2477">
        <w:rPr>
          <w:rFonts w:cs="Times New Roman"/>
          <w:szCs w:val="24"/>
        </w:rPr>
        <w:lastRenderedPageBreak/>
        <w:t>Shaik, A.R., Ali, A. and Alanazi, I.D., 2023. Working capital and financial performance in the energy sector of Saudi Arabia: Moderating role of leverage. </w:t>
      </w:r>
      <w:r w:rsidRPr="00DA2477">
        <w:rPr>
          <w:rFonts w:cs="Times New Roman"/>
          <w:i/>
          <w:iCs/>
          <w:szCs w:val="24"/>
        </w:rPr>
        <w:t>International Journal of Energy Economics and Policy</w:t>
      </w:r>
      <w:r w:rsidRPr="00DA2477">
        <w:rPr>
          <w:rFonts w:cs="Times New Roman"/>
          <w:szCs w:val="24"/>
        </w:rPr>
        <w:t>, </w:t>
      </w:r>
      <w:r w:rsidRPr="00DA2477">
        <w:rPr>
          <w:rFonts w:cs="Times New Roman"/>
          <w:i/>
          <w:iCs/>
          <w:szCs w:val="24"/>
        </w:rPr>
        <w:t>13</w:t>
      </w:r>
      <w:r w:rsidRPr="00DA2477">
        <w:rPr>
          <w:rFonts w:cs="Times New Roman"/>
          <w:szCs w:val="24"/>
        </w:rPr>
        <w:t>(3), pp.158-163.</w:t>
      </w:r>
    </w:p>
    <w:p w14:paraId="65829E1A" w14:textId="77777777" w:rsidR="00870A62" w:rsidRPr="00DA2477" w:rsidRDefault="00870A62" w:rsidP="00870A62">
      <w:pPr>
        <w:spacing w:line="360" w:lineRule="auto"/>
        <w:rPr>
          <w:rFonts w:cs="Times New Roman"/>
          <w:szCs w:val="24"/>
        </w:rPr>
      </w:pPr>
      <w:r w:rsidRPr="00DA2477">
        <w:rPr>
          <w:rFonts w:cs="Times New Roman"/>
          <w:szCs w:val="24"/>
        </w:rPr>
        <w:t>Tillery, H., Sheppard, S. and Ayoun, B., 2023. Marriott’s strategy to survive an economic crisis: Invest and reposition the brand. </w:t>
      </w:r>
      <w:r w:rsidRPr="00DA2477">
        <w:rPr>
          <w:rFonts w:cs="Times New Roman"/>
          <w:i/>
          <w:iCs/>
          <w:szCs w:val="24"/>
        </w:rPr>
        <w:t>Journal of Hospitality &amp; Tourism Cases</w:t>
      </w:r>
      <w:r w:rsidRPr="00DA2477">
        <w:rPr>
          <w:rFonts w:cs="Times New Roman"/>
          <w:szCs w:val="24"/>
        </w:rPr>
        <w:t>, </w:t>
      </w:r>
      <w:r w:rsidRPr="00DA2477">
        <w:rPr>
          <w:rFonts w:cs="Times New Roman"/>
          <w:i/>
          <w:iCs/>
          <w:szCs w:val="24"/>
        </w:rPr>
        <w:t>11</w:t>
      </w:r>
      <w:r w:rsidRPr="00DA2477">
        <w:rPr>
          <w:rFonts w:cs="Times New Roman"/>
          <w:szCs w:val="24"/>
        </w:rPr>
        <w:t>(2), pp.50-57.</w:t>
      </w:r>
    </w:p>
    <w:p w14:paraId="5EF82941" w14:textId="77777777" w:rsidR="00870A62" w:rsidRPr="00DA2477" w:rsidRDefault="00870A62" w:rsidP="00870A62">
      <w:pPr>
        <w:spacing w:line="360" w:lineRule="auto"/>
        <w:rPr>
          <w:rFonts w:cs="Times New Roman"/>
          <w:szCs w:val="24"/>
        </w:rPr>
      </w:pPr>
      <w:proofErr w:type="spellStart"/>
      <w:r w:rsidRPr="00DA2477">
        <w:rPr>
          <w:rFonts w:cs="Times New Roman"/>
          <w:szCs w:val="24"/>
        </w:rPr>
        <w:t>Zaramella</w:t>
      </w:r>
      <w:proofErr w:type="spellEnd"/>
      <w:r w:rsidRPr="00DA2477">
        <w:rPr>
          <w:rFonts w:cs="Times New Roman"/>
          <w:szCs w:val="24"/>
        </w:rPr>
        <w:t>, G., 2023. Financial Restructuring: analysis and applications.</w:t>
      </w:r>
    </w:p>
    <w:p w14:paraId="71538C56" w14:textId="77777777" w:rsidR="00870A62" w:rsidRPr="00DA2477" w:rsidRDefault="00870A62" w:rsidP="00870A62">
      <w:pPr>
        <w:spacing w:line="360" w:lineRule="auto"/>
        <w:rPr>
          <w:rFonts w:cs="Times New Roman"/>
          <w:szCs w:val="24"/>
        </w:rPr>
      </w:pPr>
    </w:p>
    <w:p w14:paraId="2D3BA466" w14:textId="77777777" w:rsidR="00870A62" w:rsidRPr="00DA2477" w:rsidRDefault="00870A62" w:rsidP="00870A62">
      <w:pPr>
        <w:spacing w:line="360" w:lineRule="auto"/>
        <w:rPr>
          <w:rFonts w:cs="Times New Roman"/>
          <w:szCs w:val="24"/>
        </w:rPr>
      </w:pPr>
    </w:p>
    <w:p w14:paraId="641E98C5" w14:textId="77777777" w:rsidR="00870A62" w:rsidRPr="00DA2477" w:rsidRDefault="00870A62" w:rsidP="00870A62">
      <w:pPr>
        <w:spacing w:line="360" w:lineRule="auto"/>
        <w:rPr>
          <w:rFonts w:cs="Times New Roman"/>
          <w:szCs w:val="24"/>
        </w:rPr>
      </w:pPr>
    </w:p>
    <w:p w14:paraId="04D7B4DB" w14:textId="77777777" w:rsidR="00870A62" w:rsidRPr="00DA2477" w:rsidRDefault="00870A62" w:rsidP="00870A62">
      <w:pPr>
        <w:spacing w:line="360" w:lineRule="auto"/>
        <w:rPr>
          <w:rFonts w:cs="Times New Roman"/>
          <w:szCs w:val="24"/>
        </w:rPr>
      </w:pPr>
    </w:p>
    <w:p w14:paraId="6241EFA0" w14:textId="77777777" w:rsidR="00870A62" w:rsidRPr="00DA2477" w:rsidRDefault="00870A62" w:rsidP="00870A62">
      <w:pPr>
        <w:rPr>
          <w:rFonts w:cs="Times New Roman"/>
        </w:rPr>
      </w:pPr>
    </w:p>
    <w:p w14:paraId="1692C490" w14:textId="77777777" w:rsidR="00870A62" w:rsidRPr="00DA2477" w:rsidRDefault="00870A62" w:rsidP="00870A62">
      <w:pPr>
        <w:pStyle w:val="Heading2"/>
        <w:spacing w:line="360" w:lineRule="auto"/>
        <w:rPr>
          <w:rFonts w:cs="Times New Roman"/>
        </w:rPr>
      </w:pPr>
      <w:bookmarkStart w:id="27" w:name="_Toc233996414"/>
      <w:r w:rsidRPr="00DA2477">
        <w:rPr>
          <w:rFonts w:cs="Times New Roman"/>
        </w:rPr>
        <w:t>Appendices</w:t>
      </w:r>
      <w:bookmarkEnd w:id="27"/>
      <w:r w:rsidRPr="00DA2477">
        <w:rPr>
          <w:rFonts w:cs="Times New Roman"/>
        </w:rPr>
        <w:t xml:space="preserve"> </w:t>
      </w:r>
    </w:p>
    <w:p w14:paraId="178B9052" w14:textId="77777777" w:rsidR="00870A62" w:rsidRPr="00DA2477" w:rsidRDefault="00870A62" w:rsidP="00870A62">
      <w:pPr>
        <w:pStyle w:val="Heading2"/>
        <w:spacing w:line="360" w:lineRule="auto"/>
        <w:rPr>
          <w:rFonts w:cs="Times New Roman"/>
        </w:rPr>
      </w:pPr>
      <w:bookmarkStart w:id="28" w:name="_Toc233996415"/>
      <w:r w:rsidRPr="00DA2477">
        <w:rPr>
          <w:rFonts w:cs="Times New Roman"/>
        </w:rPr>
        <w:t>Section A: Ratio Analysis</w:t>
      </w:r>
      <w:bookmarkEnd w:id="28"/>
      <w:r w:rsidRPr="00DA2477">
        <w:rPr>
          <w:rFonts w:cs="Times New Roman"/>
        </w:rPr>
        <w:t xml:space="preserve"> </w:t>
      </w:r>
    </w:p>
    <w:tbl>
      <w:tblPr>
        <w:tblW w:w="10437" w:type="dxa"/>
        <w:jc w:val="center"/>
        <w:tblLook w:val="04A0" w:firstRow="1" w:lastRow="0" w:firstColumn="1" w:lastColumn="0" w:noHBand="0" w:noVBand="1"/>
      </w:tblPr>
      <w:tblGrid>
        <w:gridCol w:w="1177"/>
        <w:gridCol w:w="2043"/>
        <w:gridCol w:w="1247"/>
        <w:gridCol w:w="1315"/>
        <w:gridCol w:w="1555"/>
        <w:gridCol w:w="1620"/>
        <w:gridCol w:w="1480"/>
      </w:tblGrid>
      <w:tr w:rsidR="00870A62" w:rsidRPr="00DA2477" w14:paraId="7FDE1A11" w14:textId="77777777" w:rsidTr="00CD4033">
        <w:trPr>
          <w:trHeight w:val="645"/>
          <w:jc w:val="center"/>
        </w:trPr>
        <w:tc>
          <w:tcPr>
            <w:tcW w:w="677" w:type="dxa"/>
            <w:tcBorders>
              <w:top w:val="single" w:sz="8" w:space="0" w:color="auto"/>
              <w:left w:val="single" w:sz="8" w:space="0" w:color="auto"/>
              <w:bottom w:val="single" w:sz="8" w:space="0" w:color="auto"/>
              <w:right w:val="single" w:sz="8" w:space="0" w:color="auto"/>
            </w:tcBorders>
            <w:vAlign w:val="bottom"/>
            <w:hideMark/>
          </w:tcPr>
          <w:p w14:paraId="602C629E"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Liquidity Ratios</w:t>
            </w:r>
          </w:p>
        </w:tc>
        <w:tc>
          <w:tcPr>
            <w:tcW w:w="2200" w:type="dxa"/>
            <w:tcBorders>
              <w:top w:val="single" w:sz="8" w:space="0" w:color="auto"/>
              <w:left w:val="nil"/>
              <w:bottom w:val="single" w:sz="8" w:space="0" w:color="auto"/>
              <w:right w:val="single" w:sz="8" w:space="0" w:color="auto"/>
            </w:tcBorders>
            <w:vAlign w:val="bottom"/>
            <w:hideMark/>
          </w:tcPr>
          <w:p w14:paraId="21D03685"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Formula</w:t>
            </w:r>
          </w:p>
        </w:tc>
        <w:tc>
          <w:tcPr>
            <w:tcW w:w="1340" w:type="dxa"/>
            <w:tcBorders>
              <w:top w:val="single" w:sz="8" w:space="0" w:color="auto"/>
              <w:left w:val="nil"/>
              <w:bottom w:val="single" w:sz="8" w:space="0" w:color="auto"/>
              <w:right w:val="single" w:sz="8" w:space="0" w:color="auto"/>
            </w:tcBorders>
            <w:vAlign w:val="bottom"/>
            <w:hideMark/>
          </w:tcPr>
          <w:p w14:paraId="4BC84E1A"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2025</w:t>
            </w:r>
          </w:p>
        </w:tc>
        <w:tc>
          <w:tcPr>
            <w:tcW w:w="1420" w:type="dxa"/>
            <w:tcBorders>
              <w:top w:val="single" w:sz="8" w:space="0" w:color="auto"/>
              <w:left w:val="nil"/>
              <w:bottom w:val="single" w:sz="8" w:space="0" w:color="auto"/>
              <w:right w:val="single" w:sz="8" w:space="0" w:color="auto"/>
            </w:tcBorders>
            <w:vAlign w:val="bottom"/>
            <w:hideMark/>
          </w:tcPr>
          <w:p w14:paraId="5E6927B7"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2024</w:t>
            </w:r>
          </w:p>
        </w:tc>
        <w:tc>
          <w:tcPr>
            <w:tcW w:w="1700" w:type="dxa"/>
            <w:tcBorders>
              <w:top w:val="single" w:sz="8" w:space="0" w:color="auto"/>
              <w:left w:val="nil"/>
              <w:bottom w:val="single" w:sz="8" w:space="0" w:color="auto"/>
              <w:right w:val="single" w:sz="8" w:space="0" w:color="auto"/>
            </w:tcBorders>
            <w:vAlign w:val="bottom"/>
            <w:hideMark/>
          </w:tcPr>
          <w:p w14:paraId="03258362"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2023</w:t>
            </w:r>
          </w:p>
        </w:tc>
        <w:tc>
          <w:tcPr>
            <w:tcW w:w="1620" w:type="dxa"/>
            <w:tcBorders>
              <w:top w:val="single" w:sz="8" w:space="0" w:color="auto"/>
              <w:left w:val="nil"/>
              <w:bottom w:val="single" w:sz="8" w:space="0" w:color="auto"/>
              <w:right w:val="single" w:sz="8" w:space="0" w:color="auto"/>
            </w:tcBorders>
            <w:noWrap/>
            <w:vAlign w:val="bottom"/>
            <w:hideMark/>
          </w:tcPr>
          <w:p w14:paraId="512DE94B"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2022</w:t>
            </w:r>
          </w:p>
        </w:tc>
        <w:tc>
          <w:tcPr>
            <w:tcW w:w="1480" w:type="dxa"/>
            <w:tcBorders>
              <w:top w:val="single" w:sz="8" w:space="0" w:color="auto"/>
              <w:left w:val="nil"/>
              <w:bottom w:val="single" w:sz="8" w:space="0" w:color="auto"/>
              <w:right w:val="single" w:sz="8" w:space="0" w:color="auto"/>
            </w:tcBorders>
            <w:noWrap/>
            <w:vAlign w:val="bottom"/>
            <w:hideMark/>
          </w:tcPr>
          <w:p w14:paraId="695BBFE8"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2021</w:t>
            </w:r>
          </w:p>
        </w:tc>
      </w:tr>
      <w:tr w:rsidR="00870A62" w:rsidRPr="00DA2477" w14:paraId="6BE105D8" w14:textId="77777777" w:rsidTr="00CD4033">
        <w:trPr>
          <w:trHeight w:val="900"/>
          <w:jc w:val="center"/>
        </w:trPr>
        <w:tc>
          <w:tcPr>
            <w:tcW w:w="677" w:type="dxa"/>
            <w:tcBorders>
              <w:top w:val="nil"/>
              <w:left w:val="single" w:sz="4" w:space="0" w:color="auto"/>
              <w:bottom w:val="single" w:sz="4" w:space="0" w:color="auto"/>
              <w:right w:val="single" w:sz="4" w:space="0" w:color="auto"/>
            </w:tcBorders>
            <w:vAlign w:val="center"/>
            <w:hideMark/>
          </w:tcPr>
          <w:p w14:paraId="069B08D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Current ratio</w:t>
            </w:r>
          </w:p>
        </w:tc>
        <w:tc>
          <w:tcPr>
            <w:tcW w:w="2200" w:type="dxa"/>
            <w:tcBorders>
              <w:top w:val="nil"/>
              <w:left w:val="nil"/>
              <w:bottom w:val="single" w:sz="4" w:space="0" w:color="auto"/>
              <w:right w:val="single" w:sz="4" w:space="0" w:color="auto"/>
            </w:tcBorders>
            <w:vAlign w:val="center"/>
            <w:hideMark/>
          </w:tcPr>
          <w:p w14:paraId="04B00EE2"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Current assets / current liabilities</w:t>
            </w:r>
          </w:p>
        </w:tc>
        <w:tc>
          <w:tcPr>
            <w:tcW w:w="1340" w:type="dxa"/>
            <w:tcBorders>
              <w:top w:val="nil"/>
              <w:left w:val="nil"/>
              <w:bottom w:val="single" w:sz="4" w:space="0" w:color="auto"/>
              <w:right w:val="single" w:sz="4" w:space="0" w:color="auto"/>
            </w:tcBorders>
            <w:vAlign w:val="bottom"/>
            <w:hideMark/>
          </w:tcPr>
          <w:p w14:paraId="7137AC9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3584 / 8398 = 0.43</w:t>
            </w:r>
          </w:p>
        </w:tc>
        <w:tc>
          <w:tcPr>
            <w:tcW w:w="1420" w:type="dxa"/>
            <w:tcBorders>
              <w:top w:val="nil"/>
              <w:left w:val="nil"/>
              <w:bottom w:val="single" w:sz="4" w:space="0" w:color="auto"/>
              <w:right w:val="single" w:sz="4" w:space="0" w:color="auto"/>
            </w:tcBorders>
            <w:vAlign w:val="bottom"/>
            <w:hideMark/>
          </w:tcPr>
          <w:p w14:paraId="7FE541C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3485 / 8649 = 0.4</w:t>
            </w:r>
          </w:p>
        </w:tc>
        <w:tc>
          <w:tcPr>
            <w:tcW w:w="1700" w:type="dxa"/>
            <w:tcBorders>
              <w:top w:val="nil"/>
              <w:left w:val="nil"/>
              <w:bottom w:val="single" w:sz="4" w:space="0" w:color="auto"/>
              <w:right w:val="single" w:sz="4" w:space="0" w:color="auto"/>
            </w:tcBorders>
            <w:vAlign w:val="bottom"/>
            <w:hideMark/>
          </w:tcPr>
          <w:p w14:paraId="19191AD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3311 / 7762 = 0.43 </w:t>
            </w:r>
          </w:p>
        </w:tc>
        <w:tc>
          <w:tcPr>
            <w:tcW w:w="1620" w:type="dxa"/>
            <w:tcBorders>
              <w:top w:val="nil"/>
              <w:left w:val="nil"/>
              <w:bottom w:val="single" w:sz="4" w:space="0" w:color="auto"/>
              <w:right w:val="single" w:sz="4" w:space="0" w:color="auto"/>
            </w:tcBorders>
            <w:vAlign w:val="bottom"/>
            <w:hideMark/>
          </w:tcPr>
          <w:p w14:paraId="7326FF0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3313 / 7339 = 0.45 </w:t>
            </w:r>
          </w:p>
        </w:tc>
        <w:tc>
          <w:tcPr>
            <w:tcW w:w="1480" w:type="dxa"/>
            <w:tcBorders>
              <w:top w:val="nil"/>
              <w:left w:val="nil"/>
              <w:bottom w:val="single" w:sz="4" w:space="0" w:color="auto"/>
              <w:right w:val="single" w:sz="4" w:space="0" w:color="auto"/>
            </w:tcBorders>
            <w:vAlign w:val="bottom"/>
            <w:hideMark/>
          </w:tcPr>
          <w:p w14:paraId="3A125203"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3626 / 6407 = 0.57 </w:t>
            </w:r>
          </w:p>
        </w:tc>
      </w:tr>
    </w:tbl>
    <w:p w14:paraId="32AA179F" w14:textId="77777777" w:rsidR="00870A62" w:rsidRPr="00DA2477" w:rsidRDefault="00870A62" w:rsidP="00870A62">
      <w:pPr>
        <w:tabs>
          <w:tab w:val="left" w:pos="2940"/>
        </w:tabs>
        <w:ind w:left="360"/>
        <w:rPr>
          <w:rFonts w:cs="Times New Roman"/>
          <w:b/>
          <w:bCs/>
        </w:rPr>
      </w:pPr>
    </w:p>
    <w:p w14:paraId="4258F4AC" w14:textId="77777777" w:rsidR="00870A62" w:rsidRPr="00DA2477" w:rsidRDefault="00870A62" w:rsidP="00870A62">
      <w:pPr>
        <w:tabs>
          <w:tab w:val="left" w:pos="2940"/>
        </w:tabs>
        <w:ind w:left="360"/>
        <w:rPr>
          <w:rFonts w:cs="Times New Roman"/>
          <w:b/>
          <w:bCs/>
        </w:rPr>
      </w:pPr>
      <w:r w:rsidRPr="00DA2477">
        <w:rPr>
          <w:rFonts w:cs="Times New Roman"/>
          <w:noProof/>
        </w:rPr>
        <w:lastRenderedPageBreak/>
        <w:drawing>
          <wp:inline distT="0" distB="0" distL="0" distR="0" wp14:anchorId="14BF391A" wp14:editId="06FE4A41">
            <wp:extent cx="4572000" cy="2743200"/>
            <wp:effectExtent l="0" t="0" r="0" b="0"/>
            <wp:docPr id="645075163" name="Chart 1">
              <a:extLst xmlns:a="http://schemas.openxmlformats.org/drawingml/2006/main">
                <a:ext uri="{FF2B5EF4-FFF2-40B4-BE49-F238E27FC236}">
                  <a16:creationId xmlns:a16="http://schemas.microsoft.com/office/drawing/2014/main" id="{ED25006A-C914-E4E9-2619-B514BBD28D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bl>
      <w:tblPr>
        <w:tblW w:w="10579" w:type="dxa"/>
        <w:jc w:val="center"/>
        <w:tblLook w:val="04A0" w:firstRow="1" w:lastRow="0" w:firstColumn="1" w:lastColumn="0" w:noHBand="0" w:noVBand="1"/>
      </w:tblPr>
      <w:tblGrid>
        <w:gridCol w:w="1136"/>
        <w:gridCol w:w="2077"/>
        <w:gridCol w:w="1277"/>
        <w:gridCol w:w="1364"/>
        <w:gridCol w:w="1625"/>
        <w:gridCol w:w="1620"/>
        <w:gridCol w:w="1480"/>
      </w:tblGrid>
      <w:tr w:rsidR="00870A62" w:rsidRPr="00DA2477" w14:paraId="5491DE1D" w14:textId="77777777" w:rsidTr="00CD4033">
        <w:trPr>
          <w:trHeight w:val="645"/>
          <w:jc w:val="center"/>
        </w:trPr>
        <w:tc>
          <w:tcPr>
            <w:tcW w:w="819" w:type="dxa"/>
            <w:tcBorders>
              <w:top w:val="single" w:sz="8" w:space="0" w:color="auto"/>
              <w:left w:val="single" w:sz="8" w:space="0" w:color="auto"/>
              <w:bottom w:val="single" w:sz="8" w:space="0" w:color="auto"/>
              <w:right w:val="single" w:sz="8" w:space="0" w:color="auto"/>
            </w:tcBorders>
            <w:vAlign w:val="bottom"/>
            <w:hideMark/>
          </w:tcPr>
          <w:p w14:paraId="69AF3004"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Gearing Ratios</w:t>
            </w:r>
          </w:p>
        </w:tc>
        <w:tc>
          <w:tcPr>
            <w:tcW w:w="2200" w:type="dxa"/>
            <w:tcBorders>
              <w:top w:val="single" w:sz="8" w:space="0" w:color="auto"/>
              <w:left w:val="nil"/>
              <w:bottom w:val="single" w:sz="8" w:space="0" w:color="auto"/>
              <w:right w:val="single" w:sz="8" w:space="0" w:color="auto"/>
            </w:tcBorders>
            <w:vAlign w:val="bottom"/>
            <w:hideMark/>
          </w:tcPr>
          <w:p w14:paraId="00D1F8E0"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Formula</w:t>
            </w:r>
          </w:p>
        </w:tc>
        <w:tc>
          <w:tcPr>
            <w:tcW w:w="1340" w:type="dxa"/>
            <w:tcBorders>
              <w:top w:val="single" w:sz="8" w:space="0" w:color="auto"/>
              <w:left w:val="nil"/>
              <w:bottom w:val="single" w:sz="8" w:space="0" w:color="auto"/>
              <w:right w:val="single" w:sz="8" w:space="0" w:color="auto"/>
            </w:tcBorders>
            <w:vAlign w:val="bottom"/>
            <w:hideMark/>
          </w:tcPr>
          <w:p w14:paraId="124560AD"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2025</w:t>
            </w:r>
          </w:p>
        </w:tc>
        <w:tc>
          <w:tcPr>
            <w:tcW w:w="1420" w:type="dxa"/>
            <w:tcBorders>
              <w:top w:val="single" w:sz="8" w:space="0" w:color="auto"/>
              <w:left w:val="nil"/>
              <w:bottom w:val="single" w:sz="8" w:space="0" w:color="auto"/>
              <w:right w:val="single" w:sz="8" w:space="0" w:color="auto"/>
            </w:tcBorders>
            <w:vAlign w:val="bottom"/>
            <w:hideMark/>
          </w:tcPr>
          <w:p w14:paraId="0A9A8247"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2024</w:t>
            </w:r>
          </w:p>
        </w:tc>
        <w:tc>
          <w:tcPr>
            <w:tcW w:w="1700" w:type="dxa"/>
            <w:tcBorders>
              <w:top w:val="single" w:sz="8" w:space="0" w:color="auto"/>
              <w:left w:val="nil"/>
              <w:bottom w:val="single" w:sz="8" w:space="0" w:color="auto"/>
              <w:right w:val="single" w:sz="8" w:space="0" w:color="auto"/>
            </w:tcBorders>
            <w:vAlign w:val="bottom"/>
            <w:hideMark/>
          </w:tcPr>
          <w:p w14:paraId="648489F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2023</w:t>
            </w:r>
          </w:p>
        </w:tc>
        <w:tc>
          <w:tcPr>
            <w:tcW w:w="1620" w:type="dxa"/>
            <w:tcBorders>
              <w:top w:val="single" w:sz="8" w:space="0" w:color="auto"/>
              <w:left w:val="nil"/>
              <w:bottom w:val="single" w:sz="8" w:space="0" w:color="auto"/>
              <w:right w:val="single" w:sz="8" w:space="0" w:color="auto"/>
            </w:tcBorders>
            <w:noWrap/>
            <w:vAlign w:val="bottom"/>
            <w:hideMark/>
          </w:tcPr>
          <w:p w14:paraId="4BAD9259"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2022</w:t>
            </w:r>
          </w:p>
        </w:tc>
        <w:tc>
          <w:tcPr>
            <w:tcW w:w="1480" w:type="dxa"/>
            <w:tcBorders>
              <w:top w:val="single" w:sz="8" w:space="0" w:color="auto"/>
              <w:left w:val="nil"/>
              <w:bottom w:val="single" w:sz="8" w:space="0" w:color="auto"/>
              <w:right w:val="single" w:sz="8" w:space="0" w:color="auto"/>
            </w:tcBorders>
            <w:noWrap/>
            <w:vAlign w:val="bottom"/>
            <w:hideMark/>
          </w:tcPr>
          <w:p w14:paraId="5CD438BF"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2021</w:t>
            </w:r>
          </w:p>
        </w:tc>
      </w:tr>
      <w:tr w:rsidR="00870A62" w:rsidRPr="00DA2477" w14:paraId="7E895BEC" w14:textId="77777777" w:rsidTr="00CD4033">
        <w:trPr>
          <w:trHeight w:val="900"/>
          <w:jc w:val="center"/>
        </w:trPr>
        <w:tc>
          <w:tcPr>
            <w:tcW w:w="819" w:type="dxa"/>
            <w:tcBorders>
              <w:top w:val="nil"/>
              <w:left w:val="single" w:sz="4" w:space="0" w:color="auto"/>
              <w:bottom w:val="single" w:sz="4" w:space="0" w:color="auto"/>
              <w:right w:val="single" w:sz="4" w:space="0" w:color="auto"/>
            </w:tcBorders>
            <w:vAlign w:val="center"/>
            <w:hideMark/>
          </w:tcPr>
          <w:p w14:paraId="7B02D97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Debt to equity</w:t>
            </w:r>
          </w:p>
        </w:tc>
        <w:tc>
          <w:tcPr>
            <w:tcW w:w="2200" w:type="dxa"/>
            <w:tcBorders>
              <w:top w:val="nil"/>
              <w:left w:val="nil"/>
              <w:bottom w:val="single" w:sz="4" w:space="0" w:color="auto"/>
              <w:right w:val="single" w:sz="4" w:space="0" w:color="auto"/>
            </w:tcBorders>
            <w:vAlign w:val="center"/>
            <w:hideMark/>
          </w:tcPr>
          <w:p w14:paraId="375ECA9C"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Total Debt / Total Equity</w:t>
            </w:r>
          </w:p>
        </w:tc>
        <w:tc>
          <w:tcPr>
            <w:tcW w:w="1340" w:type="dxa"/>
            <w:tcBorders>
              <w:top w:val="nil"/>
              <w:left w:val="nil"/>
              <w:bottom w:val="single" w:sz="4" w:space="0" w:color="auto"/>
              <w:right w:val="single" w:sz="4" w:space="0" w:color="auto"/>
            </w:tcBorders>
            <w:vAlign w:val="bottom"/>
            <w:hideMark/>
          </w:tcPr>
          <w:p w14:paraId="4A8F84A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31311 / -3771 = -830%</w:t>
            </w:r>
          </w:p>
        </w:tc>
        <w:tc>
          <w:tcPr>
            <w:tcW w:w="1420" w:type="dxa"/>
            <w:tcBorders>
              <w:top w:val="nil"/>
              <w:left w:val="nil"/>
              <w:bottom w:val="single" w:sz="4" w:space="0" w:color="auto"/>
              <w:right w:val="single" w:sz="4" w:space="0" w:color="auto"/>
            </w:tcBorders>
            <w:vAlign w:val="bottom"/>
            <w:hideMark/>
          </w:tcPr>
          <w:p w14:paraId="7EE20862"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29174 / -2992 = -975.1%</w:t>
            </w:r>
          </w:p>
        </w:tc>
        <w:tc>
          <w:tcPr>
            <w:tcW w:w="1700" w:type="dxa"/>
            <w:tcBorders>
              <w:top w:val="nil"/>
              <w:left w:val="nil"/>
              <w:bottom w:val="single" w:sz="4" w:space="0" w:color="auto"/>
              <w:right w:val="single" w:sz="4" w:space="0" w:color="auto"/>
            </w:tcBorders>
            <w:vAlign w:val="bottom"/>
            <w:hideMark/>
          </w:tcPr>
          <w:p w14:paraId="40689D80"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26356 / -682 = -3864.5% </w:t>
            </w:r>
          </w:p>
        </w:tc>
        <w:tc>
          <w:tcPr>
            <w:tcW w:w="1620" w:type="dxa"/>
            <w:tcBorders>
              <w:top w:val="nil"/>
              <w:left w:val="nil"/>
              <w:bottom w:val="single" w:sz="4" w:space="0" w:color="auto"/>
              <w:right w:val="single" w:sz="4" w:space="0" w:color="auto"/>
            </w:tcBorders>
            <w:vAlign w:val="bottom"/>
            <w:hideMark/>
          </w:tcPr>
          <w:p w14:paraId="086F01C2"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24247/ 568 = 4268.8% </w:t>
            </w:r>
          </w:p>
        </w:tc>
        <w:tc>
          <w:tcPr>
            <w:tcW w:w="1480" w:type="dxa"/>
            <w:tcBorders>
              <w:top w:val="nil"/>
              <w:left w:val="nil"/>
              <w:bottom w:val="single" w:sz="4" w:space="0" w:color="auto"/>
              <w:right w:val="single" w:sz="4" w:space="0" w:color="auto"/>
            </w:tcBorders>
            <w:vAlign w:val="bottom"/>
            <w:hideMark/>
          </w:tcPr>
          <w:p w14:paraId="25A3232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24139 / 1414 = 1707.1% </w:t>
            </w:r>
          </w:p>
        </w:tc>
      </w:tr>
      <w:tr w:rsidR="00870A62" w:rsidRPr="00DA2477" w14:paraId="2AFCEE27" w14:textId="77777777" w:rsidTr="00CD4033">
        <w:trPr>
          <w:trHeight w:val="600"/>
          <w:jc w:val="center"/>
        </w:trPr>
        <w:tc>
          <w:tcPr>
            <w:tcW w:w="819" w:type="dxa"/>
            <w:tcBorders>
              <w:top w:val="nil"/>
              <w:left w:val="single" w:sz="4" w:space="0" w:color="auto"/>
              <w:bottom w:val="single" w:sz="4" w:space="0" w:color="auto"/>
              <w:right w:val="single" w:sz="4" w:space="0" w:color="auto"/>
            </w:tcBorders>
            <w:vAlign w:val="center"/>
            <w:hideMark/>
          </w:tcPr>
          <w:p w14:paraId="7698601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Interest Coverage</w:t>
            </w:r>
          </w:p>
        </w:tc>
        <w:tc>
          <w:tcPr>
            <w:tcW w:w="2200" w:type="dxa"/>
            <w:tcBorders>
              <w:top w:val="nil"/>
              <w:left w:val="nil"/>
              <w:bottom w:val="single" w:sz="4" w:space="0" w:color="auto"/>
              <w:right w:val="single" w:sz="4" w:space="0" w:color="auto"/>
            </w:tcBorders>
            <w:vAlign w:val="center"/>
            <w:hideMark/>
          </w:tcPr>
          <w:p w14:paraId="4EAC7AF9"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Operating profit/ Interest Expense</w:t>
            </w:r>
          </w:p>
        </w:tc>
        <w:tc>
          <w:tcPr>
            <w:tcW w:w="1340" w:type="dxa"/>
            <w:tcBorders>
              <w:top w:val="nil"/>
              <w:left w:val="nil"/>
              <w:bottom w:val="single" w:sz="4" w:space="0" w:color="auto"/>
              <w:right w:val="single" w:sz="4" w:space="0" w:color="auto"/>
            </w:tcBorders>
            <w:vAlign w:val="bottom"/>
            <w:hideMark/>
          </w:tcPr>
          <w:p w14:paraId="49F68A1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4141 / 809 = 5.12</w:t>
            </w:r>
          </w:p>
        </w:tc>
        <w:tc>
          <w:tcPr>
            <w:tcW w:w="1420" w:type="dxa"/>
            <w:tcBorders>
              <w:top w:val="nil"/>
              <w:left w:val="nil"/>
              <w:bottom w:val="single" w:sz="4" w:space="0" w:color="auto"/>
              <w:right w:val="single" w:sz="4" w:space="0" w:color="auto"/>
            </w:tcBorders>
            <w:vAlign w:val="bottom"/>
            <w:hideMark/>
          </w:tcPr>
          <w:p w14:paraId="121C297D"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3767 / 695 = 5.42</w:t>
            </w:r>
          </w:p>
        </w:tc>
        <w:tc>
          <w:tcPr>
            <w:tcW w:w="1700" w:type="dxa"/>
            <w:tcBorders>
              <w:top w:val="nil"/>
              <w:left w:val="nil"/>
              <w:bottom w:val="single" w:sz="4" w:space="0" w:color="auto"/>
              <w:right w:val="single" w:sz="4" w:space="0" w:color="auto"/>
            </w:tcBorders>
            <w:vAlign w:val="bottom"/>
            <w:hideMark/>
          </w:tcPr>
          <w:p w14:paraId="5D705C6D"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3864 / 565 = 6.84 </w:t>
            </w:r>
          </w:p>
        </w:tc>
        <w:tc>
          <w:tcPr>
            <w:tcW w:w="1620" w:type="dxa"/>
            <w:tcBorders>
              <w:top w:val="nil"/>
              <w:left w:val="nil"/>
              <w:bottom w:val="single" w:sz="4" w:space="0" w:color="auto"/>
              <w:right w:val="single" w:sz="4" w:space="0" w:color="auto"/>
            </w:tcBorders>
            <w:vAlign w:val="bottom"/>
            <w:hideMark/>
          </w:tcPr>
          <w:p w14:paraId="3A96AE6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3462 / 403 = 8.59 </w:t>
            </w:r>
          </w:p>
        </w:tc>
        <w:tc>
          <w:tcPr>
            <w:tcW w:w="1480" w:type="dxa"/>
            <w:tcBorders>
              <w:top w:val="nil"/>
              <w:left w:val="nil"/>
              <w:bottom w:val="single" w:sz="4" w:space="0" w:color="auto"/>
              <w:right w:val="single" w:sz="4" w:space="0" w:color="auto"/>
            </w:tcBorders>
            <w:vAlign w:val="bottom"/>
            <w:hideMark/>
          </w:tcPr>
          <w:p w14:paraId="41AD28A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1750 / 420 = 4.17 </w:t>
            </w:r>
          </w:p>
        </w:tc>
      </w:tr>
    </w:tbl>
    <w:p w14:paraId="44490816" w14:textId="77777777" w:rsidR="00870A62" w:rsidRPr="00DA2477" w:rsidRDefault="00870A62" w:rsidP="00870A62">
      <w:pPr>
        <w:tabs>
          <w:tab w:val="left" w:pos="2940"/>
        </w:tabs>
        <w:ind w:left="360"/>
        <w:rPr>
          <w:rFonts w:cs="Times New Roman"/>
          <w:b/>
          <w:bCs/>
        </w:rPr>
      </w:pPr>
      <w:r w:rsidRPr="00DA2477">
        <w:rPr>
          <w:rFonts w:cs="Times New Roman"/>
          <w:noProof/>
        </w:rPr>
        <w:drawing>
          <wp:inline distT="0" distB="0" distL="0" distR="0" wp14:anchorId="64734EBE" wp14:editId="36A0B287">
            <wp:extent cx="4572000" cy="2519363"/>
            <wp:effectExtent l="0" t="0" r="0" b="14605"/>
            <wp:docPr id="1557678182" name="Chart 1">
              <a:extLst xmlns:a="http://schemas.openxmlformats.org/drawingml/2006/main">
                <a:ext uri="{FF2B5EF4-FFF2-40B4-BE49-F238E27FC236}">
                  <a16:creationId xmlns:a16="http://schemas.microsoft.com/office/drawing/2014/main" id="{49CB05E9-8344-4022-F4FB-9EBABF57BB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0C81D7E" w14:textId="77777777" w:rsidR="00870A62" w:rsidRPr="00DA2477" w:rsidRDefault="00870A62" w:rsidP="00870A62">
      <w:pPr>
        <w:tabs>
          <w:tab w:val="left" w:pos="2940"/>
        </w:tabs>
        <w:ind w:left="360"/>
        <w:rPr>
          <w:rFonts w:cs="Times New Roman"/>
          <w:b/>
          <w:bCs/>
        </w:rPr>
      </w:pPr>
      <w:r w:rsidRPr="00DA2477">
        <w:rPr>
          <w:rFonts w:cs="Times New Roman"/>
          <w:noProof/>
        </w:rPr>
        <w:lastRenderedPageBreak/>
        <w:drawing>
          <wp:inline distT="0" distB="0" distL="0" distR="0" wp14:anchorId="4DEDC746" wp14:editId="3602A74A">
            <wp:extent cx="4572000" cy="2314575"/>
            <wp:effectExtent l="0" t="0" r="0" b="9525"/>
            <wp:docPr id="1445934232" name="Chart 1">
              <a:extLst xmlns:a="http://schemas.openxmlformats.org/drawingml/2006/main">
                <a:ext uri="{FF2B5EF4-FFF2-40B4-BE49-F238E27FC236}">
                  <a16:creationId xmlns:a16="http://schemas.microsoft.com/office/drawing/2014/main" id="{1E3A768B-80BE-D9CF-1CE3-A1B3411643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8203B05" w14:textId="77777777" w:rsidR="00870A62" w:rsidRPr="00DA2477" w:rsidRDefault="00870A62" w:rsidP="00870A62">
      <w:pPr>
        <w:tabs>
          <w:tab w:val="left" w:pos="2940"/>
        </w:tabs>
        <w:ind w:left="360"/>
        <w:rPr>
          <w:rFonts w:cs="Times New Roman"/>
          <w:b/>
          <w:bCs/>
        </w:rPr>
      </w:pPr>
    </w:p>
    <w:tbl>
      <w:tblPr>
        <w:tblW w:w="10763" w:type="dxa"/>
        <w:jc w:val="center"/>
        <w:tblLook w:val="04A0" w:firstRow="1" w:lastRow="0" w:firstColumn="1" w:lastColumn="0" w:noHBand="0" w:noVBand="1"/>
      </w:tblPr>
      <w:tblGrid>
        <w:gridCol w:w="1471"/>
        <w:gridCol w:w="1496"/>
        <w:gridCol w:w="1568"/>
        <w:gridCol w:w="1551"/>
        <w:gridCol w:w="1559"/>
        <w:gridCol w:w="1559"/>
        <w:gridCol w:w="1559"/>
      </w:tblGrid>
      <w:tr w:rsidR="00870A62" w:rsidRPr="00DA2477" w14:paraId="435F5CE9" w14:textId="77777777" w:rsidTr="00CD4033">
        <w:trPr>
          <w:trHeight w:val="645"/>
          <w:jc w:val="center"/>
        </w:trPr>
        <w:tc>
          <w:tcPr>
            <w:tcW w:w="1471" w:type="dxa"/>
            <w:tcBorders>
              <w:top w:val="single" w:sz="8" w:space="0" w:color="auto"/>
              <w:left w:val="single" w:sz="8" w:space="0" w:color="auto"/>
              <w:bottom w:val="single" w:sz="8" w:space="0" w:color="auto"/>
              <w:right w:val="single" w:sz="8" w:space="0" w:color="auto"/>
            </w:tcBorders>
            <w:vAlign w:val="bottom"/>
            <w:hideMark/>
          </w:tcPr>
          <w:p w14:paraId="67851D42" w14:textId="77777777" w:rsidR="00870A62" w:rsidRPr="00BD25F3" w:rsidRDefault="00870A62" w:rsidP="00CD4033">
            <w:pPr>
              <w:spacing w:after="0" w:line="360" w:lineRule="auto"/>
              <w:jc w:val="center"/>
              <w:rPr>
                <w:rFonts w:eastAsia="Times New Roman" w:cs="Times New Roman"/>
                <w:b/>
                <w:bCs/>
                <w:color w:val="000000"/>
                <w:sz w:val="22"/>
                <w:lang w:val="" w:eastAsia=""/>
              </w:rPr>
            </w:pPr>
            <w:r w:rsidRPr="00BD25F3">
              <w:rPr>
                <w:rFonts w:eastAsia="Times New Roman" w:cs="Times New Roman"/>
                <w:b/>
                <w:bCs/>
                <w:color w:val="000000"/>
                <w:sz w:val="22"/>
                <w:lang w:val="" w:eastAsia=""/>
              </w:rPr>
              <w:t>Profitability Ratios</w:t>
            </w:r>
          </w:p>
        </w:tc>
        <w:tc>
          <w:tcPr>
            <w:tcW w:w="1496" w:type="dxa"/>
            <w:tcBorders>
              <w:top w:val="single" w:sz="8" w:space="0" w:color="auto"/>
              <w:left w:val="nil"/>
              <w:bottom w:val="single" w:sz="8" w:space="0" w:color="auto"/>
              <w:right w:val="single" w:sz="8" w:space="0" w:color="auto"/>
            </w:tcBorders>
            <w:vAlign w:val="bottom"/>
            <w:hideMark/>
          </w:tcPr>
          <w:p w14:paraId="78C06323" w14:textId="77777777" w:rsidR="00870A62" w:rsidRPr="00BD25F3" w:rsidRDefault="00870A62" w:rsidP="00CD4033">
            <w:pPr>
              <w:spacing w:after="0" w:line="360" w:lineRule="auto"/>
              <w:jc w:val="center"/>
              <w:rPr>
                <w:rFonts w:eastAsia="Times New Roman" w:cs="Times New Roman"/>
                <w:b/>
                <w:bCs/>
                <w:color w:val="000000"/>
                <w:sz w:val="22"/>
                <w:lang w:val="" w:eastAsia=""/>
              </w:rPr>
            </w:pPr>
            <w:r w:rsidRPr="00BD25F3">
              <w:rPr>
                <w:rFonts w:eastAsia="Times New Roman" w:cs="Times New Roman"/>
                <w:b/>
                <w:bCs/>
                <w:color w:val="000000"/>
                <w:sz w:val="22"/>
                <w:lang w:val="" w:eastAsia=""/>
              </w:rPr>
              <w:t>Formula</w:t>
            </w:r>
          </w:p>
        </w:tc>
        <w:tc>
          <w:tcPr>
            <w:tcW w:w="1568" w:type="dxa"/>
            <w:tcBorders>
              <w:top w:val="single" w:sz="8" w:space="0" w:color="auto"/>
              <w:left w:val="nil"/>
              <w:bottom w:val="single" w:sz="8" w:space="0" w:color="auto"/>
              <w:right w:val="single" w:sz="8" w:space="0" w:color="auto"/>
            </w:tcBorders>
            <w:vAlign w:val="bottom"/>
            <w:hideMark/>
          </w:tcPr>
          <w:p w14:paraId="07A820B7" w14:textId="77777777" w:rsidR="00870A62" w:rsidRPr="00BD25F3" w:rsidRDefault="00870A62" w:rsidP="00CD4033">
            <w:pPr>
              <w:spacing w:after="0" w:line="360" w:lineRule="auto"/>
              <w:jc w:val="center"/>
              <w:rPr>
                <w:rFonts w:eastAsia="Times New Roman" w:cs="Times New Roman"/>
                <w:b/>
                <w:bCs/>
                <w:color w:val="000000"/>
                <w:sz w:val="22"/>
                <w:lang w:val="" w:eastAsia=""/>
              </w:rPr>
            </w:pPr>
            <w:r w:rsidRPr="00BD25F3">
              <w:rPr>
                <w:rFonts w:eastAsia="Times New Roman" w:cs="Times New Roman"/>
                <w:b/>
                <w:bCs/>
                <w:color w:val="000000"/>
                <w:sz w:val="22"/>
                <w:lang w:val="" w:eastAsia=""/>
              </w:rPr>
              <w:t>2025</w:t>
            </w:r>
          </w:p>
        </w:tc>
        <w:tc>
          <w:tcPr>
            <w:tcW w:w="1551" w:type="dxa"/>
            <w:tcBorders>
              <w:top w:val="single" w:sz="8" w:space="0" w:color="auto"/>
              <w:left w:val="nil"/>
              <w:bottom w:val="single" w:sz="8" w:space="0" w:color="auto"/>
              <w:right w:val="single" w:sz="8" w:space="0" w:color="auto"/>
            </w:tcBorders>
            <w:vAlign w:val="bottom"/>
            <w:hideMark/>
          </w:tcPr>
          <w:p w14:paraId="57FBCEA4" w14:textId="77777777" w:rsidR="00870A62" w:rsidRPr="00BD25F3" w:rsidRDefault="00870A62" w:rsidP="00CD4033">
            <w:pPr>
              <w:spacing w:after="0" w:line="360" w:lineRule="auto"/>
              <w:jc w:val="center"/>
              <w:rPr>
                <w:rFonts w:eastAsia="Times New Roman" w:cs="Times New Roman"/>
                <w:b/>
                <w:bCs/>
                <w:color w:val="000000"/>
                <w:sz w:val="22"/>
                <w:lang w:val="" w:eastAsia=""/>
              </w:rPr>
            </w:pPr>
            <w:r w:rsidRPr="00BD25F3">
              <w:rPr>
                <w:rFonts w:eastAsia="Times New Roman" w:cs="Times New Roman"/>
                <w:b/>
                <w:bCs/>
                <w:color w:val="000000"/>
                <w:sz w:val="22"/>
                <w:lang w:val="" w:eastAsia=""/>
              </w:rPr>
              <w:t>2024</w:t>
            </w:r>
          </w:p>
        </w:tc>
        <w:tc>
          <w:tcPr>
            <w:tcW w:w="1559" w:type="dxa"/>
            <w:tcBorders>
              <w:top w:val="single" w:sz="8" w:space="0" w:color="auto"/>
              <w:left w:val="nil"/>
              <w:bottom w:val="single" w:sz="8" w:space="0" w:color="auto"/>
              <w:right w:val="single" w:sz="8" w:space="0" w:color="auto"/>
            </w:tcBorders>
            <w:vAlign w:val="bottom"/>
            <w:hideMark/>
          </w:tcPr>
          <w:p w14:paraId="72335253" w14:textId="77777777" w:rsidR="00870A62" w:rsidRPr="00BD25F3" w:rsidRDefault="00870A62" w:rsidP="00CD4033">
            <w:pPr>
              <w:spacing w:after="0" w:line="360" w:lineRule="auto"/>
              <w:jc w:val="center"/>
              <w:rPr>
                <w:rFonts w:eastAsia="Times New Roman" w:cs="Times New Roman"/>
                <w:b/>
                <w:bCs/>
                <w:color w:val="000000"/>
                <w:sz w:val="22"/>
                <w:lang w:val="" w:eastAsia=""/>
              </w:rPr>
            </w:pPr>
            <w:r w:rsidRPr="00BD25F3">
              <w:rPr>
                <w:rFonts w:eastAsia="Times New Roman" w:cs="Times New Roman"/>
                <w:b/>
                <w:bCs/>
                <w:color w:val="000000"/>
                <w:sz w:val="22"/>
                <w:lang w:val="" w:eastAsia=""/>
              </w:rPr>
              <w:t>2023</w:t>
            </w:r>
          </w:p>
        </w:tc>
        <w:tc>
          <w:tcPr>
            <w:tcW w:w="1559" w:type="dxa"/>
            <w:tcBorders>
              <w:top w:val="single" w:sz="8" w:space="0" w:color="auto"/>
              <w:left w:val="nil"/>
              <w:bottom w:val="single" w:sz="8" w:space="0" w:color="auto"/>
              <w:right w:val="single" w:sz="8" w:space="0" w:color="auto"/>
            </w:tcBorders>
            <w:noWrap/>
            <w:vAlign w:val="bottom"/>
            <w:hideMark/>
          </w:tcPr>
          <w:p w14:paraId="35EA37CF" w14:textId="77777777" w:rsidR="00870A62" w:rsidRPr="00BD25F3" w:rsidRDefault="00870A62" w:rsidP="00CD4033">
            <w:pPr>
              <w:spacing w:after="0" w:line="360" w:lineRule="auto"/>
              <w:jc w:val="center"/>
              <w:rPr>
                <w:rFonts w:eastAsia="Times New Roman" w:cs="Times New Roman"/>
                <w:b/>
                <w:bCs/>
                <w:color w:val="000000"/>
                <w:sz w:val="22"/>
                <w:lang w:val="" w:eastAsia=""/>
              </w:rPr>
            </w:pPr>
            <w:r w:rsidRPr="00BD25F3">
              <w:rPr>
                <w:rFonts w:eastAsia="Times New Roman" w:cs="Times New Roman"/>
                <w:b/>
                <w:bCs/>
                <w:color w:val="000000"/>
                <w:sz w:val="22"/>
                <w:lang w:val="" w:eastAsia=""/>
              </w:rPr>
              <w:t>2022</w:t>
            </w:r>
          </w:p>
        </w:tc>
        <w:tc>
          <w:tcPr>
            <w:tcW w:w="1559" w:type="dxa"/>
            <w:tcBorders>
              <w:top w:val="single" w:sz="8" w:space="0" w:color="auto"/>
              <w:left w:val="nil"/>
              <w:bottom w:val="single" w:sz="8" w:space="0" w:color="auto"/>
              <w:right w:val="single" w:sz="8" w:space="0" w:color="auto"/>
            </w:tcBorders>
            <w:noWrap/>
            <w:vAlign w:val="bottom"/>
            <w:hideMark/>
          </w:tcPr>
          <w:p w14:paraId="756BCB33" w14:textId="77777777" w:rsidR="00870A62" w:rsidRPr="00BD25F3" w:rsidRDefault="00870A62" w:rsidP="00CD4033">
            <w:pPr>
              <w:spacing w:after="0" w:line="360" w:lineRule="auto"/>
              <w:jc w:val="center"/>
              <w:rPr>
                <w:rFonts w:eastAsia="Times New Roman" w:cs="Times New Roman"/>
                <w:b/>
                <w:bCs/>
                <w:color w:val="000000"/>
                <w:sz w:val="22"/>
                <w:lang w:val="" w:eastAsia=""/>
              </w:rPr>
            </w:pPr>
            <w:r w:rsidRPr="00BD25F3">
              <w:rPr>
                <w:rFonts w:eastAsia="Times New Roman" w:cs="Times New Roman"/>
                <w:b/>
                <w:bCs/>
                <w:color w:val="000000"/>
                <w:sz w:val="22"/>
                <w:lang w:val="" w:eastAsia=""/>
              </w:rPr>
              <w:t>2021</w:t>
            </w:r>
          </w:p>
        </w:tc>
      </w:tr>
      <w:tr w:rsidR="00870A62" w:rsidRPr="00DA2477" w14:paraId="712B956D" w14:textId="77777777" w:rsidTr="00CD4033">
        <w:trPr>
          <w:trHeight w:val="900"/>
          <w:jc w:val="center"/>
        </w:trPr>
        <w:tc>
          <w:tcPr>
            <w:tcW w:w="1471" w:type="dxa"/>
            <w:tcBorders>
              <w:top w:val="nil"/>
              <w:left w:val="single" w:sz="4" w:space="0" w:color="auto"/>
              <w:bottom w:val="single" w:sz="4" w:space="0" w:color="auto"/>
              <w:right w:val="single" w:sz="4" w:space="0" w:color="auto"/>
            </w:tcBorders>
            <w:vAlign w:val="center"/>
            <w:hideMark/>
          </w:tcPr>
          <w:p w14:paraId="3C7C3A60" w14:textId="77777777" w:rsidR="00870A62" w:rsidRPr="00BD25F3" w:rsidRDefault="00870A62" w:rsidP="00CD4033">
            <w:pPr>
              <w:spacing w:after="0" w:line="240"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Net Profit Margin</w:t>
            </w:r>
          </w:p>
        </w:tc>
        <w:tc>
          <w:tcPr>
            <w:tcW w:w="1496" w:type="dxa"/>
            <w:tcBorders>
              <w:top w:val="nil"/>
              <w:left w:val="nil"/>
              <w:bottom w:val="single" w:sz="4" w:space="0" w:color="auto"/>
              <w:right w:val="single" w:sz="4" w:space="0" w:color="auto"/>
            </w:tcBorders>
            <w:vAlign w:val="center"/>
            <w:hideMark/>
          </w:tcPr>
          <w:p w14:paraId="04D845A7" w14:textId="77777777" w:rsidR="00870A62" w:rsidRPr="00BD25F3" w:rsidRDefault="00870A62" w:rsidP="00CD4033">
            <w:pPr>
              <w:spacing w:after="0" w:line="240"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Net profit / Revenue </w:t>
            </w:r>
          </w:p>
        </w:tc>
        <w:tc>
          <w:tcPr>
            <w:tcW w:w="1568" w:type="dxa"/>
            <w:tcBorders>
              <w:top w:val="nil"/>
              <w:left w:val="nil"/>
              <w:bottom w:val="single" w:sz="4" w:space="0" w:color="auto"/>
              <w:right w:val="single" w:sz="4" w:space="0" w:color="auto"/>
            </w:tcBorders>
            <w:vAlign w:val="bottom"/>
            <w:hideMark/>
          </w:tcPr>
          <w:p w14:paraId="77F4C3CC"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2601 / 26186 = 9.9%</w:t>
            </w:r>
          </w:p>
        </w:tc>
        <w:tc>
          <w:tcPr>
            <w:tcW w:w="1551" w:type="dxa"/>
            <w:tcBorders>
              <w:top w:val="nil"/>
              <w:left w:val="nil"/>
              <w:bottom w:val="single" w:sz="4" w:space="0" w:color="auto"/>
              <w:right w:val="single" w:sz="4" w:space="0" w:color="auto"/>
            </w:tcBorders>
            <w:vAlign w:val="bottom"/>
            <w:hideMark/>
          </w:tcPr>
          <w:p w14:paraId="040868CB"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2375 / 25100 = 9.5%</w:t>
            </w:r>
          </w:p>
        </w:tc>
        <w:tc>
          <w:tcPr>
            <w:tcW w:w="1559" w:type="dxa"/>
            <w:tcBorders>
              <w:top w:val="nil"/>
              <w:left w:val="nil"/>
              <w:bottom w:val="single" w:sz="4" w:space="0" w:color="auto"/>
              <w:right w:val="single" w:sz="4" w:space="0" w:color="auto"/>
            </w:tcBorders>
            <w:vAlign w:val="bottom"/>
            <w:hideMark/>
          </w:tcPr>
          <w:p w14:paraId="51A8D4A4"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3083 / 20773 = 14.8% </w:t>
            </w:r>
          </w:p>
        </w:tc>
        <w:tc>
          <w:tcPr>
            <w:tcW w:w="1559" w:type="dxa"/>
            <w:tcBorders>
              <w:top w:val="nil"/>
              <w:left w:val="nil"/>
              <w:bottom w:val="single" w:sz="4" w:space="0" w:color="auto"/>
              <w:right w:val="single" w:sz="4" w:space="0" w:color="auto"/>
            </w:tcBorders>
            <w:vAlign w:val="bottom"/>
            <w:hideMark/>
          </w:tcPr>
          <w:p w14:paraId="54F26773"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2358 / 13857 = 17% </w:t>
            </w:r>
          </w:p>
        </w:tc>
        <w:tc>
          <w:tcPr>
            <w:tcW w:w="1559" w:type="dxa"/>
            <w:tcBorders>
              <w:top w:val="nil"/>
              <w:left w:val="nil"/>
              <w:bottom w:val="single" w:sz="4" w:space="0" w:color="auto"/>
              <w:right w:val="single" w:sz="4" w:space="0" w:color="auto"/>
            </w:tcBorders>
            <w:vAlign w:val="bottom"/>
            <w:hideMark/>
          </w:tcPr>
          <w:p w14:paraId="727798BE"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1099 / 10571 = 10.4% </w:t>
            </w:r>
          </w:p>
        </w:tc>
      </w:tr>
      <w:tr w:rsidR="00870A62" w:rsidRPr="00DA2477" w14:paraId="47AEC2EE" w14:textId="77777777" w:rsidTr="00CD4033">
        <w:trPr>
          <w:trHeight w:val="900"/>
          <w:jc w:val="center"/>
        </w:trPr>
        <w:tc>
          <w:tcPr>
            <w:tcW w:w="1471" w:type="dxa"/>
            <w:tcBorders>
              <w:top w:val="nil"/>
              <w:left w:val="single" w:sz="4" w:space="0" w:color="auto"/>
              <w:bottom w:val="single" w:sz="4" w:space="0" w:color="auto"/>
              <w:right w:val="single" w:sz="4" w:space="0" w:color="auto"/>
            </w:tcBorders>
            <w:vAlign w:val="center"/>
            <w:hideMark/>
          </w:tcPr>
          <w:p w14:paraId="30105FB9" w14:textId="77777777" w:rsidR="00870A62" w:rsidRPr="00BD25F3" w:rsidRDefault="00870A62" w:rsidP="00CD4033">
            <w:pPr>
              <w:spacing w:after="0" w:line="240"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Operating Profit Margin</w:t>
            </w:r>
          </w:p>
        </w:tc>
        <w:tc>
          <w:tcPr>
            <w:tcW w:w="1496" w:type="dxa"/>
            <w:tcBorders>
              <w:top w:val="nil"/>
              <w:left w:val="nil"/>
              <w:bottom w:val="single" w:sz="4" w:space="0" w:color="auto"/>
              <w:right w:val="single" w:sz="4" w:space="0" w:color="auto"/>
            </w:tcBorders>
            <w:vAlign w:val="center"/>
            <w:hideMark/>
          </w:tcPr>
          <w:p w14:paraId="7F35100C" w14:textId="77777777" w:rsidR="00870A62" w:rsidRPr="00BD25F3" w:rsidRDefault="00870A62" w:rsidP="00CD4033">
            <w:pPr>
              <w:spacing w:after="0" w:line="240"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Operating profit / Revenue </w:t>
            </w:r>
          </w:p>
        </w:tc>
        <w:tc>
          <w:tcPr>
            <w:tcW w:w="1568" w:type="dxa"/>
            <w:tcBorders>
              <w:top w:val="nil"/>
              <w:left w:val="nil"/>
              <w:bottom w:val="single" w:sz="4" w:space="0" w:color="auto"/>
              <w:right w:val="single" w:sz="4" w:space="0" w:color="auto"/>
            </w:tcBorders>
            <w:vAlign w:val="bottom"/>
            <w:hideMark/>
          </w:tcPr>
          <w:p w14:paraId="31B5A661"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4141 / 26186 = 15%</w:t>
            </w:r>
          </w:p>
        </w:tc>
        <w:tc>
          <w:tcPr>
            <w:tcW w:w="1551" w:type="dxa"/>
            <w:tcBorders>
              <w:top w:val="nil"/>
              <w:left w:val="nil"/>
              <w:bottom w:val="single" w:sz="4" w:space="0" w:color="auto"/>
              <w:right w:val="single" w:sz="4" w:space="0" w:color="auto"/>
            </w:tcBorders>
            <w:vAlign w:val="bottom"/>
            <w:hideMark/>
          </w:tcPr>
          <w:p w14:paraId="20BCA10B"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3767 / 25100 = 15%</w:t>
            </w:r>
          </w:p>
        </w:tc>
        <w:tc>
          <w:tcPr>
            <w:tcW w:w="1559" w:type="dxa"/>
            <w:tcBorders>
              <w:top w:val="nil"/>
              <w:left w:val="nil"/>
              <w:bottom w:val="single" w:sz="4" w:space="0" w:color="auto"/>
              <w:right w:val="single" w:sz="4" w:space="0" w:color="auto"/>
            </w:tcBorders>
            <w:vAlign w:val="bottom"/>
            <w:hideMark/>
          </w:tcPr>
          <w:p w14:paraId="7F7AF99C"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3864 / 20773 = 18.6% </w:t>
            </w:r>
          </w:p>
        </w:tc>
        <w:tc>
          <w:tcPr>
            <w:tcW w:w="1559" w:type="dxa"/>
            <w:tcBorders>
              <w:top w:val="nil"/>
              <w:left w:val="nil"/>
              <w:bottom w:val="single" w:sz="4" w:space="0" w:color="auto"/>
              <w:right w:val="single" w:sz="4" w:space="0" w:color="auto"/>
            </w:tcBorders>
            <w:vAlign w:val="bottom"/>
            <w:hideMark/>
          </w:tcPr>
          <w:p w14:paraId="2BC6D4FA"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3462 / 13857 = 25% </w:t>
            </w:r>
          </w:p>
        </w:tc>
        <w:tc>
          <w:tcPr>
            <w:tcW w:w="1559" w:type="dxa"/>
            <w:tcBorders>
              <w:top w:val="nil"/>
              <w:left w:val="nil"/>
              <w:bottom w:val="single" w:sz="4" w:space="0" w:color="auto"/>
              <w:right w:val="single" w:sz="4" w:space="0" w:color="auto"/>
            </w:tcBorders>
            <w:vAlign w:val="bottom"/>
            <w:hideMark/>
          </w:tcPr>
          <w:p w14:paraId="05E545AD"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1750 / 10571 = 16.6% </w:t>
            </w:r>
          </w:p>
        </w:tc>
      </w:tr>
      <w:tr w:rsidR="00870A62" w:rsidRPr="00DA2477" w14:paraId="78A8441C" w14:textId="77777777" w:rsidTr="00CD4033">
        <w:trPr>
          <w:trHeight w:val="900"/>
          <w:jc w:val="center"/>
        </w:trPr>
        <w:tc>
          <w:tcPr>
            <w:tcW w:w="1471" w:type="dxa"/>
            <w:tcBorders>
              <w:top w:val="nil"/>
              <w:left w:val="single" w:sz="4" w:space="0" w:color="auto"/>
              <w:bottom w:val="single" w:sz="4" w:space="0" w:color="auto"/>
              <w:right w:val="single" w:sz="4" w:space="0" w:color="auto"/>
            </w:tcBorders>
            <w:vAlign w:val="center"/>
            <w:hideMark/>
          </w:tcPr>
          <w:p w14:paraId="1679106F" w14:textId="77777777" w:rsidR="00870A62" w:rsidRPr="00BD25F3" w:rsidRDefault="00870A62" w:rsidP="00CD4033">
            <w:pPr>
              <w:spacing w:after="0" w:line="240"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ROA</w:t>
            </w:r>
          </w:p>
        </w:tc>
        <w:tc>
          <w:tcPr>
            <w:tcW w:w="1496" w:type="dxa"/>
            <w:tcBorders>
              <w:top w:val="nil"/>
              <w:left w:val="nil"/>
              <w:bottom w:val="single" w:sz="4" w:space="0" w:color="auto"/>
              <w:right w:val="single" w:sz="4" w:space="0" w:color="auto"/>
            </w:tcBorders>
            <w:vAlign w:val="center"/>
            <w:hideMark/>
          </w:tcPr>
          <w:p w14:paraId="3D784259" w14:textId="77777777" w:rsidR="00870A62" w:rsidRPr="00BD25F3" w:rsidRDefault="00870A62" w:rsidP="00CD4033">
            <w:pPr>
              <w:spacing w:after="0" w:line="240"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Net profit / Total Assets</w:t>
            </w:r>
          </w:p>
        </w:tc>
        <w:tc>
          <w:tcPr>
            <w:tcW w:w="1568" w:type="dxa"/>
            <w:tcBorders>
              <w:top w:val="nil"/>
              <w:left w:val="nil"/>
              <w:bottom w:val="single" w:sz="4" w:space="0" w:color="auto"/>
              <w:right w:val="single" w:sz="4" w:space="0" w:color="auto"/>
            </w:tcBorders>
            <w:vAlign w:val="bottom"/>
            <w:hideMark/>
          </w:tcPr>
          <w:p w14:paraId="499629DF"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2601 / 27540 = 9.4%</w:t>
            </w:r>
          </w:p>
        </w:tc>
        <w:tc>
          <w:tcPr>
            <w:tcW w:w="1551" w:type="dxa"/>
            <w:tcBorders>
              <w:top w:val="nil"/>
              <w:left w:val="nil"/>
              <w:bottom w:val="single" w:sz="4" w:space="0" w:color="auto"/>
              <w:right w:val="single" w:sz="4" w:space="0" w:color="auto"/>
            </w:tcBorders>
            <w:vAlign w:val="bottom"/>
            <w:hideMark/>
          </w:tcPr>
          <w:p w14:paraId="20D12C2D"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2375 / 26182 = 9.1%</w:t>
            </w:r>
          </w:p>
        </w:tc>
        <w:tc>
          <w:tcPr>
            <w:tcW w:w="1559" w:type="dxa"/>
            <w:tcBorders>
              <w:top w:val="nil"/>
              <w:left w:val="nil"/>
              <w:bottom w:val="single" w:sz="4" w:space="0" w:color="auto"/>
              <w:right w:val="single" w:sz="4" w:space="0" w:color="auto"/>
            </w:tcBorders>
            <w:vAlign w:val="bottom"/>
            <w:hideMark/>
          </w:tcPr>
          <w:p w14:paraId="13987DDC"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3083 / 25674 = 12% </w:t>
            </w:r>
          </w:p>
        </w:tc>
        <w:tc>
          <w:tcPr>
            <w:tcW w:w="1559" w:type="dxa"/>
            <w:tcBorders>
              <w:top w:val="nil"/>
              <w:left w:val="nil"/>
              <w:bottom w:val="single" w:sz="4" w:space="0" w:color="auto"/>
              <w:right w:val="single" w:sz="4" w:space="0" w:color="auto"/>
            </w:tcBorders>
            <w:vAlign w:val="bottom"/>
            <w:hideMark/>
          </w:tcPr>
          <w:p w14:paraId="5C212DA6"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2358 / 24815 = 9.5% </w:t>
            </w:r>
          </w:p>
        </w:tc>
        <w:tc>
          <w:tcPr>
            <w:tcW w:w="1559" w:type="dxa"/>
            <w:tcBorders>
              <w:top w:val="nil"/>
              <w:left w:val="nil"/>
              <w:bottom w:val="single" w:sz="4" w:space="0" w:color="auto"/>
              <w:right w:val="single" w:sz="4" w:space="0" w:color="auto"/>
            </w:tcBorders>
            <w:vAlign w:val="bottom"/>
            <w:hideMark/>
          </w:tcPr>
          <w:p w14:paraId="7FE11324"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1099 / 25553 = 4.3% </w:t>
            </w:r>
          </w:p>
        </w:tc>
      </w:tr>
      <w:tr w:rsidR="00870A62" w:rsidRPr="00DA2477" w14:paraId="28D145C5" w14:textId="77777777" w:rsidTr="00CD4033">
        <w:trPr>
          <w:trHeight w:val="538"/>
          <w:jc w:val="center"/>
        </w:trPr>
        <w:tc>
          <w:tcPr>
            <w:tcW w:w="1471" w:type="dxa"/>
            <w:tcBorders>
              <w:top w:val="nil"/>
              <w:left w:val="single" w:sz="4" w:space="0" w:color="auto"/>
              <w:bottom w:val="single" w:sz="4" w:space="0" w:color="auto"/>
              <w:right w:val="single" w:sz="4" w:space="0" w:color="auto"/>
            </w:tcBorders>
            <w:vAlign w:val="center"/>
            <w:hideMark/>
          </w:tcPr>
          <w:p w14:paraId="6A49E5EC" w14:textId="77777777" w:rsidR="00870A62" w:rsidRPr="00BD25F3" w:rsidRDefault="00870A62" w:rsidP="00CD4033">
            <w:pPr>
              <w:spacing w:after="0" w:line="240"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ROE</w:t>
            </w:r>
          </w:p>
        </w:tc>
        <w:tc>
          <w:tcPr>
            <w:tcW w:w="1496" w:type="dxa"/>
            <w:tcBorders>
              <w:top w:val="nil"/>
              <w:left w:val="nil"/>
              <w:bottom w:val="single" w:sz="4" w:space="0" w:color="auto"/>
              <w:right w:val="single" w:sz="4" w:space="0" w:color="auto"/>
            </w:tcBorders>
            <w:vAlign w:val="center"/>
            <w:hideMark/>
          </w:tcPr>
          <w:p w14:paraId="30068366" w14:textId="77777777" w:rsidR="00870A62" w:rsidRPr="00BD25F3" w:rsidRDefault="00870A62" w:rsidP="00CD4033">
            <w:pPr>
              <w:spacing w:after="0" w:line="240"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Net profit / Total Equities</w:t>
            </w:r>
          </w:p>
        </w:tc>
        <w:tc>
          <w:tcPr>
            <w:tcW w:w="1568" w:type="dxa"/>
            <w:tcBorders>
              <w:top w:val="nil"/>
              <w:left w:val="nil"/>
              <w:bottom w:val="single" w:sz="4" w:space="0" w:color="auto"/>
              <w:right w:val="single" w:sz="4" w:space="0" w:color="auto"/>
            </w:tcBorders>
            <w:vAlign w:val="bottom"/>
            <w:hideMark/>
          </w:tcPr>
          <w:p w14:paraId="04EBB2C8"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2601 / (3771) = (69%)</w:t>
            </w:r>
          </w:p>
        </w:tc>
        <w:tc>
          <w:tcPr>
            <w:tcW w:w="1551" w:type="dxa"/>
            <w:tcBorders>
              <w:top w:val="nil"/>
              <w:left w:val="nil"/>
              <w:bottom w:val="single" w:sz="4" w:space="0" w:color="auto"/>
              <w:right w:val="single" w:sz="4" w:space="0" w:color="auto"/>
            </w:tcBorders>
            <w:vAlign w:val="bottom"/>
            <w:hideMark/>
          </w:tcPr>
          <w:p w14:paraId="61364426"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2375 / (2992) = (79.4%)</w:t>
            </w:r>
          </w:p>
        </w:tc>
        <w:tc>
          <w:tcPr>
            <w:tcW w:w="1559" w:type="dxa"/>
            <w:tcBorders>
              <w:top w:val="nil"/>
              <w:left w:val="nil"/>
              <w:bottom w:val="single" w:sz="4" w:space="0" w:color="auto"/>
              <w:right w:val="single" w:sz="4" w:space="0" w:color="auto"/>
            </w:tcBorders>
            <w:vAlign w:val="bottom"/>
            <w:hideMark/>
          </w:tcPr>
          <w:p w14:paraId="79E1470F"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3083 / (682) = (452.1%) </w:t>
            </w:r>
          </w:p>
        </w:tc>
        <w:tc>
          <w:tcPr>
            <w:tcW w:w="1559" w:type="dxa"/>
            <w:tcBorders>
              <w:top w:val="nil"/>
              <w:left w:val="nil"/>
              <w:bottom w:val="single" w:sz="4" w:space="0" w:color="auto"/>
              <w:right w:val="single" w:sz="4" w:space="0" w:color="auto"/>
            </w:tcBorders>
            <w:vAlign w:val="bottom"/>
            <w:hideMark/>
          </w:tcPr>
          <w:p w14:paraId="527001CF"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2358 / 568 = 415.1% </w:t>
            </w:r>
          </w:p>
        </w:tc>
        <w:tc>
          <w:tcPr>
            <w:tcW w:w="1559" w:type="dxa"/>
            <w:tcBorders>
              <w:top w:val="nil"/>
              <w:left w:val="nil"/>
              <w:bottom w:val="single" w:sz="4" w:space="0" w:color="auto"/>
              <w:right w:val="single" w:sz="4" w:space="0" w:color="auto"/>
            </w:tcBorders>
            <w:vAlign w:val="bottom"/>
            <w:hideMark/>
          </w:tcPr>
          <w:p w14:paraId="2E0249AD" w14:textId="77777777" w:rsidR="00870A62" w:rsidRPr="00BD25F3" w:rsidRDefault="00870A62" w:rsidP="00CD4033">
            <w:pPr>
              <w:spacing w:after="0" w:line="276" w:lineRule="auto"/>
              <w:jc w:val="center"/>
              <w:rPr>
                <w:rFonts w:eastAsia="Times New Roman" w:cs="Times New Roman"/>
                <w:color w:val="000000"/>
                <w:sz w:val="22"/>
                <w:lang w:val="" w:eastAsia=""/>
              </w:rPr>
            </w:pPr>
            <w:r w:rsidRPr="00BD25F3">
              <w:rPr>
                <w:rFonts w:eastAsia="Times New Roman" w:cs="Times New Roman"/>
                <w:color w:val="000000"/>
                <w:sz w:val="22"/>
                <w:lang w:val="" w:eastAsia=""/>
              </w:rPr>
              <w:t xml:space="preserve"> 1099 / 1414 = 77.7% </w:t>
            </w:r>
          </w:p>
        </w:tc>
      </w:tr>
    </w:tbl>
    <w:p w14:paraId="7F6E5AD3" w14:textId="77777777" w:rsidR="00870A62" w:rsidRPr="00DA2477" w:rsidRDefault="00870A62" w:rsidP="00870A62">
      <w:pPr>
        <w:tabs>
          <w:tab w:val="left" w:pos="2940"/>
        </w:tabs>
        <w:ind w:left="360"/>
        <w:rPr>
          <w:rFonts w:cs="Times New Roman"/>
          <w:b/>
          <w:bCs/>
        </w:rPr>
      </w:pPr>
    </w:p>
    <w:p w14:paraId="479F3CB3" w14:textId="77777777" w:rsidR="00870A62" w:rsidRPr="00DA2477" w:rsidRDefault="00870A62" w:rsidP="00870A62">
      <w:pPr>
        <w:tabs>
          <w:tab w:val="left" w:pos="2940"/>
        </w:tabs>
        <w:ind w:left="360"/>
        <w:jc w:val="center"/>
        <w:rPr>
          <w:rFonts w:cs="Times New Roman"/>
          <w:b/>
          <w:bCs/>
        </w:rPr>
      </w:pPr>
      <w:r w:rsidRPr="00DA2477">
        <w:rPr>
          <w:rFonts w:cs="Times New Roman"/>
          <w:noProof/>
        </w:rPr>
        <w:lastRenderedPageBreak/>
        <w:drawing>
          <wp:inline distT="0" distB="0" distL="0" distR="0" wp14:anchorId="1ED89A13" wp14:editId="769B9CB9">
            <wp:extent cx="5530850" cy="3035030"/>
            <wp:effectExtent l="0" t="0" r="6350" b="13335"/>
            <wp:docPr id="1389760718" name="Chart 1">
              <a:extLst xmlns:a="http://schemas.openxmlformats.org/drawingml/2006/main">
                <a:ext uri="{FF2B5EF4-FFF2-40B4-BE49-F238E27FC236}">
                  <a16:creationId xmlns:a16="http://schemas.microsoft.com/office/drawing/2014/main" id="{F71FEA1A-1E58-E943-D3FE-EF7F74C73D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bl>
      <w:tblPr>
        <w:tblW w:w="10721" w:type="dxa"/>
        <w:jc w:val="center"/>
        <w:tblLook w:val="04A0" w:firstRow="1" w:lastRow="0" w:firstColumn="1" w:lastColumn="0" w:noHBand="0" w:noVBand="1"/>
      </w:tblPr>
      <w:tblGrid>
        <w:gridCol w:w="1283"/>
        <w:gridCol w:w="1612"/>
        <w:gridCol w:w="1883"/>
        <w:gridCol w:w="1379"/>
        <w:gridCol w:w="1464"/>
        <w:gridCol w:w="1620"/>
        <w:gridCol w:w="1480"/>
      </w:tblGrid>
      <w:tr w:rsidR="00870A62" w:rsidRPr="00DA2477" w14:paraId="739BC5E8" w14:textId="77777777" w:rsidTr="00CD4033">
        <w:trPr>
          <w:trHeight w:val="645"/>
          <w:jc w:val="center"/>
        </w:trPr>
        <w:tc>
          <w:tcPr>
            <w:tcW w:w="836" w:type="dxa"/>
            <w:tcBorders>
              <w:top w:val="single" w:sz="8" w:space="0" w:color="auto"/>
              <w:left w:val="single" w:sz="8" w:space="0" w:color="auto"/>
              <w:bottom w:val="single" w:sz="8" w:space="0" w:color="auto"/>
              <w:right w:val="single" w:sz="8" w:space="0" w:color="auto"/>
            </w:tcBorders>
            <w:vAlign w:val="bottom"/>
            <w:hideMark/>
          </w:tcPr>
          <w:p w14:paraId="42E87605"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Efficiency Ratios</w:t>
            </w:r>
          </w:p>
        </w:tc>
        <w:tc>
          <w:tcPr>
            <w:tcW w:w="1939" w:type="dxa"/>
            <w:tcBorders>
              <w:top w:val="single" w:sz="8" w:space="0" w:color="auto"/>
              <w:left w:val="nil"/>
              <w:bottom w:val="single" w:sz="8" w:space="0" w:color="auto"/>
              <w:right w:val="single" w:sz="8" w:space="0" w:color="auto"/>
            </w:tcBorders>
            <w:vAlign w:val="bottom"/>
            <w:hideMark/>
          </w:tcPr>
          <w:p w14:paraId="6B04733B"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Formula</w:t>
            </w:r>
          </w:p>
        </w:tc>
        <w:tc>
          <w:tcPr>
            <w:tcW w:w="1883" w:type="dxa"/>
            <w:tcBorders>
              <w:top w:val="single" w:sz="8" w:space="0" w:color="auto"/>
              <w:left w:val="nil"/>
              <w:bottom w:val="single" w:sz="8" w:space="0" w:color="auto"/>
              <w:right w:val="single" w:sz="8" w:space="0" w:color="auto"/>
            </w:tcBorders>
            <w:vAlign w:val="bottom"/>
            <w:hideMark/>
          </w:tcPr>
          <w:p w14:paraId="24C5A15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2025</w:t>
            </w:r>
          </w:p>
        </w:tc>
        <w:tc>
          <w:tcPr>
            <w:tcW w:w="1383" w:type="dxa"/>
            <w:tcBorders>
              <w:top w:val="single" w:sz="8" w:space="0" w:color="auto"/>
              <w:left w:val="nil"/>
              <w:bottom w:val="single" w:sz="8" w:space="0" w:color="auto"/>
              <w:right w:val="single" w:sz="8" w:space="0" w:color="auto"/>
            </w:tcBorders>
            <w:vAlign w:val="bottom"/>
            <w:hideMark/>
          </w:tcPr>
          <w:p w14:paraId="4CCB204E"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2024</w:t>
            </w:r>
          </w:p>
        </w:tc>
        <w:tc>
          <w:tcPr>
            <w:tcW w:w="1580" w:type="dxa"/>
            <w:tcBorders>
              <w:top w:val="single" w:sz="8" w:space="0" w:color="auto"/>
              <w:left w:val="nil"/>
              <w:bottom w:val="single" w:sz="8" w:space="0" w:color="auto"/>
              <w:right w:val="single" w:sz="8" w:space="0" w:color="auto"/>
            </w:tcBorders>
            <w:vAlign w:val="bottom"/>
            <w:hideMark/>
          </w:tcPr>
          <w:p w14:paraId="27A335CA"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2023</w:t>
            </w:r>
          </w:p>
        </w:tc>
        <w:tc>
          <w:tcPr>
            <w:tcW w:w="1620" w:type="dxa"/>
            <w:tcBorders>
              <w:top w:val="single" w:sz="8" w:space="0" w:color="auto"/>
              <w:left w:val="nil"/>
              <w:bottom w:val="single" w:sz="8" w:space="0" w:color="auto"/>
              <w:right w:val="single" w:sz="8" w:space="0" w:color="auto"/>
            </w:tcBorders>
            <w:noWrap/>
            <w:vAlign w:val="bottom"/>
            <w:hideMark/>
          </w:tcPr>
          <w:p w14:paraId="3B535DF9"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2022</w:t>
            </w:r>
          </w:p>
        </w:tc>
        <w:tc>
          <w:tcPr>
            <w:tcW w:w="1480" w:type="dxa"/>
            <w:tcBorders>
              <w:top w:val="single" w:sz="8" w:space="0" w:color="auto"/>
              <w:left w:val="nil"/>
              <w:bottom w:val="single" w:sz="8" w:space="0" w:color="auto"/>
              <w:right w:val="single" w:sz="8" w:space="0" w:color="auto"/>
            </w:tcBorders>
            <w:noWrap/>
            <w:vAlign w:val="bottom"/>
            <w:hideMark/>
          </w:tcPr>
          <w:p w14:paraId="08490043"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2021</w:t>
            </w:r>
          </w:p>
        </w:tc>
      </w:tr>
      <w:tr w:rsidR="00870A62" w:rsidRPr="00DA2477" w14:paraId="1EFF6F09" w14:textId="77777777" w:rsidTr="00CD4033">
        <w:trPr>
          <w:trHeight w:val="1200"/>
          <w:jc w:val="center"/>
        </w:trPr>
        <w:tc>
          <w:tcPr>
            <w:tcW w:w="836" w:type="dxa"/>
            <w:tcBorders>
              <w:top w:val="nil"/>
              <w:left w:val="single" w:sz="4" w:space="0" w:color="auto"/>
              <w:bottom w:val="single" w:sz="4" w:space="0" w:color="auto"/>
              <w:right w:val="single" w:sz="4" w:space="0" w:color="auto"/>
            </w:tcBorders>
            <w:vAlign w:val="center"/>
            <w:hideMark/>
          </w:tcPr>
          <w:p w14:paraId="3A043EA2"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Receivable turnover (Days)</w:t>
            </w:r>
          </w:p>
        </w:tc>
        <w:tc>
          <w:tcPr>
            <w:tcW w:w="1939" w:type="dxa"/>
            <w:tcBorders>
              <w:top w:val="nil"/>
              <w:left w:val="nil"/>
              <w:bottom w:val="single" w:sz="4" w:space="0" w:color="auto"/>
              <w:right w:val="single" w:sz="4" w:space="0" w:color="auto"/>
            </w:tcBorders>
            <w:vAlign w:val="center"/>
            <w:hideMark/>
          </w:tcPr>
          <w:p w14:paraId="4FE38F2A"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(Receivable / Sales )*365</w:t>
            </w:r>
          </w:p>
        </w:tc>
        <w:tc>
          <w:tcPr>
            <w:tcW w:w="1883" w:type="dxa"/>
            <w:tcBorders>
              <w:top w:val="nil"/>
              <w:left w:val="nil"/>
              <w:bottom w:val="single" w:sz="4" w:space="0" w:color="auto"/>
              <w:right w:val="single" w:sz="4" w:space="0" w:color="auto"/>
            </w:tcBorders>
            <w:vAlign w:val="bottom"/>
            <w:hideMark/>
          </w:tcPr>
          <w:p w14:paraId="67F80E9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(2909 / 26186)*365 = 41 Days</w:t>
            </w:r>
          </w:p>
        </w:tc>
        <w:tc>
          <w:tcPr>
            <w:tcW w:w="1383" w:type="dxa"/>
            <w:tcBorders>
              <w:top w:val="nil"/>
              <w:left w:val="nil"/>
              <w:bottom w:val="single" w:sz="4" w:space="0" w:color="auto"/>
              <w:right w:val="single" w:sz="4" w:space="0" w:color="auto"/>
            </w:tcBorders>
            <w:vAlign w:val="bottom"/>
            <w:hideMark/>
          </w:tcPr>
          <w:p w14:paraId="3254392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(2795 / 2375)*365 = 41 Days</w:t>
            </w:r>
          </w:p>
        </w:tc>
        <w:tc>
          <w:tcPr>
            <w:tcW w:w="1580" w:type="dxa"/>
            <w:tcBorders>
              <w:top w:val="nil"/>
              <w:left w:val="nil"/>
              <w:bottom w:val="single" w:sz="4" w:space="0" w:color="auto"/>
              <w:right w:val="single" w:sz="4" w:space="0" w:color="auto"/>
            </w:tcBorders>
            <w:vAlign w:val="bottom"/>
            <w:hideMark/>
          </w:tcPr>
          <w:p w14:paraId="64226563"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(2712 / 20773)*365 = 48 Days </w:t>
            </w:r>
          </w:p>
        </w:tc>
        <w:tc>
          <w:tcPr>
            <w:tcW w:w="1620" w:type="dxa"/>
            <w:tcBorders>
              <w:top w:val="nil"/>
              <w:left w:val="nil"/>
              <w:bottom w:val="single" w:sz="4" w:space="0" w:color="auto"/>
              <w:right w:val="single" w:sz="4" w:space="0" w:color="auto"/>
            </w:tcBorders>
            <w:vAlign w:val="bottom"/>
            <w:hideMark/>
          </w:tcPr>
          <w:p w14:paraId="16987257"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(2571 / 13857)*365 = 68 Days </w:t>
            </w:r>
          </w:p>
        </w:tc>
        <w:tc>
          <w:tcPr>
            <w:tcW w:w="1480" w:type="dxa"/>
            <w:tcBorders>
              <w:top w:val="nil"/>
              <w:left w:val="nil"/>
              <w:bottom w:val="single" w:sz="4" w:space="0" w:color="auto"/>
              <w:right w:val="single" w:sz="4" w:space="0" w:color="auto"/>
            </w:tcBorders>
            <w:vAlign w:val="bottom"/>
            <w:hideMark/>
          </w:tcPr>
          <w:p w14:paraId="7167323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(1982 / 10571)*365 = 68 Days </w:t>
            </w:r>
          </w:p>
        </w:tc>
      </w:tr>
      <w:tr w:rsidR="00870A62" w:rsidRPr="00DA2477" w14:paraId="215591B1" w14:textId="77777777" w:rsidTr="00CD4033">
        <w:trPr>
          <w:trHeight w:val="900"/>
          <w:jc w:val="center"/>
        </w:trPr>
        <w:tc>
          <w:tcPr>
            <w:tcW w:w="836" w:type="dxa"/>
            <w:tcBorders>
              <w:top w:val="nil"/>
              <w:left w:val="single" w:sz="4" w:space="0" w:color="auto"/>
              <w:bottom w:val="single" w:sz="4" w:space="0" w:color="auto"/>
              <w:right w:val="single" w:sz="4" w:space="0" w:color="auto"/>
            </w:tcBorders>
            <w:vAlign w:val="center"/>
            <w:hideMark/>
          </w:tcPr>
          <w:p w14:paraId="48535F2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Payable Turnover (in days)</w:t>
            </w:r>
          </w:p>
        </w:tc>
        <w:tc>
          <w:tcPr>
            <w:tcW w:w="1939" w:type="dxa"/>
            <w:tcBorders>
              <w:top w:val="nil"/>
              <w:left w:val="nil"/>
              <w:bottom w:val="single" w:sz="4" w:space="0" w:color="auto"/>
              <w:right w:val="single" w:sz="4" w:space="0" w:color="auto"/>
            </w:tcBorders>
            <w:vAlign w:val="center"/>
            <w:hideMark/>
          </w:tcPr>
          <w:p w14:paraId="4175F51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(Payable / COGS ) 365</w:t>
            </w:r>
          </w:p>
        </w:tc>
        <w:tc>
          <w:tcPr>
            <w:tcW w:w="1883" w:type="dxa"/>
            <w:tcBorders>
              <w:top w:val="nil"/>
              <w:left w:val="nil"/>
              <w:bottom w:val="single" w:sz="4" w:space="0" w:color="auto"/>
              <w:right w:val="single" w:sz="4" w:space="0" w:color="auto"/>
            </w:tcBorders>
            <w:vAlign w:val="bottom"/>
            <w:hideMark/>
          </w:tcPr>
          <w:p w14:paraId="65486DB6"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(814/20964)*365 = 14 Days</w:t>
            </w:r>
          </w:p>
        </w:tc>
        <w:tc>
          <w:tcPr>
            <w:tcW w:w="1383" w:type="dxa"/>
            <w:tcBorders>
              <w:top w:val="nil"/>
              <w:left w:val="nil"/>
              <w:bottom w:val="single" w:sz="4" w:space="0" w:color="auto"/>
              <w:right w:val="single" w:sz="4" w:space="0" w:color="auto"/>
            </w:tcBorders>
            <w:vAlign w:val="bottom"/>
            <w:hideMark/>
          </w:tcPr>
          <w:p w14:paraId="26A5D0B6"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(763 / 20128)*365 = 14 Days</w:t>
            </w:r>
          </w:p>
        </w:tc>
        <w:tc>
          <w:tcPr>
            <w:tcW w:w="1580" w:type="dxa"/>
            <w:tcBorders>
              <w:top w:val="nil"/>
              <w:left w:val="nil"/>
              <w:bottom w:val="single" w:sz="4" w:space="0" w:color="auto"/>
              <w:right w:val="single" w:sz="4" w:space="0" w:color="auto"/>
            </w:tcBorders>
            <w:vAlign w:val="bottom"/>
            <w:hideMark/>
          </w:tcPr>
          <w:p w14:paraId="424497A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(738 / 18733)*365 = 14 Days </w:t>
            </w:r>
          </w:p>
        </w:tc>
        <w:tc>
          <w:tcPr>
            <w:tcW w:w="1620" w:type="dxa"/>
            <w:tcBorders>
              <w:top w:val="nil"/>
              <w:left w:val="nil"/>
              <w:bottom w:val="single" w:sz="4" w:space="0" w:color="auto"/>
              <w:right w:val="single" w:sz="4" w:space="0" w:color="auto"/>
            </w:tcBorders>
            <w:vAlign w:val="bottom"/>
            <w:hideMark/>
          </w:tcPr>
          <w:p w14:paraId="5C7BC593"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(746 / 16215)*365 = 17 Days </w:t>
            </w:r>
          </w:p>
        </w:tc>
        <w:tc>
          <w:tcPr>
            <w:tcW w:w="1480" w:type="dxa"/>
            <w:tcBorders>
              <w:top w:val="nil"/>
              <w:left w:val="nil"/>
              <w:bottom w:val="single" w:sz="4" w:space="0" w:color="auto"/>
              <w:right w:val="single" w:sz="4" w:space="0" w:color="auto"/>
            </w:tcBorders>
            <w:vAlign w:val="bottom"/>
            <w:hideMark/>
          </w:tcPr>
          <w:p w14:paraId="135790AA"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(726 / 11056)*365 = 24 Days </w:t>
            </w:r>
          </w:p>
        </w:tc>
      </w:tr>
    </w:tbl>
    <w:p w14:paraId="6AC2F529" w14:textId="77777777" w:rsidR="00870A62" w:rsidRPr="00DA2477" w:rsidRDefault="00870A62" w:rsidP="00870A62">
      <w:pPr>
        <w:tabs>
          <w:tab w:val="left" w:pos="2940"/>
        </w:tabs>
        <w:ind w:left="360"/>
        <w:rPr>
          <w:rFonts w:cs="Times New Roman"/>
          <w:b/>
          <w:bCs/>
        </w:rPr>
      </w:pPr>
    </w:p>
    <w:p w14:paraId="54441922" w14:textId="77777777" w:rsidR="00870A62" w:rsidRPr="00DA2477" w:rsidRDefault="00870A62" w:rsidP="00870A62">
      <w:pPr>
        <w:tabs>
          <w:tab w:val="left" w:pos="2940"/>
        </w:tabs>
        <w:ind w:left="360"/>
        <w:rPr>
          <w:rFonts w:cs="Times New Roman"/>
          <w:b/>
          <w:bCs/>
        </w:rPr>
      </w:pPr>
      <w:r w:rsidRPr="00DA2477">
        <w:rPr>
          <w:rFonts w:cs="Times New Roman"/>
          <w:noProof/>
        </w:rPr>
        <w:drawing>
          <wp:inline distT="0" distB="0" distL="0" distR="0" wp14:anchorId="4AD84C88" wp14:editId="66FCE9D3">
            <wp:extent cx="4572000" cy="2552700"/>
            <wp:effectExtent l="0" t="0" r="0" b="0"/>
            <wp:docPr id="750955206" name="Chart 1">
              <a:extLst xmlns:a="http://schemas.openxmlformats.org/drawingml/2006/main">
                <a:ext uri="{FF2B5EF4-FFF2-40B4-BE49-F238E27FC236}">
                  <a16:creationId xmlns:a16="http://schemas.microsoft.com/office/drawing/2014/main" id="{A18B95E4-9E53-5B97-DEDD-FE149AD4D2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bl>
      <w:tblPr>
        <w:tblW w:w="10721" w:type="dxa"/>
        <w:jc w:val="center"/>
        <w:tblLook w:val="04A0" w:firstRow="1" w:lastRow="0" w:firstColumn="1" w:lastColumn="0" w:noHBand="0" w:noVBand="1"/>
      </w:tblPr>
      <w:tblGrid>
        <w:gridCol w:w="1176"/>
        <w:gridCol w:w="2126"/>
        <w:gridCol w:w="1304"/>
        <w:gridCol w:w="1377"/>
        <w:gridCol w:w="1638"/>
        <w:gridCol w:w="1620"/>
        <w:gridCol w:w="1480"/>
      </w:tblGrid>
      <w:tr w:rsidR="00870A62" w:rsidRPr="00DA2477" w14:paraId="3BF58720" w14:textId="77777777" w:rsidTr="00CD4033">
        <w:trPr>
          <w:trHeight w:val="645"/>
          <w:jc w:val="center"/>
        </w:trPr>
        <w:tc>
          <w:tcPr>
            <w:tcW w:w="961" w:type="dxa"/>
            <w:tcBorders>
              <w:top w:val="single" w:sz="8" w:space="0" w:color="auto"/>
              <w:left w:val="single" w:sz="8" w:space="0" w:color="auto"/>
              <w:bottom w:val="single" w:sz="8" w:space="0" w:color="auto"/>
              <w:right w:val="single" w:sz="8" w:space="0" w:color="auto"/>
            </w:tcBorders>
            <w:vAlign w:val="bottom"/>
            <w:hideMark/>
          </w:tcPr>
          <w:p w14:paraId="53851520"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lastRenderedPageBreak/>
              <w:t>Cash Flow Ratios</w:t>
            </w:r>
          </w:p>
        </w:tc>
        <w:tc>
          <w:tcPr>
            <w:tcW w:w="2200" w:type="dxa"/>
            <w:tcBorders>
              <w:top w:val="single" w:sz="8" w:space="0" w:color="auto"/>
              <w:left w:val="nil"/>
              <w:bottom w:val="single" w:sz="8" w:space="0" w:color="auto"/>
              <w:right w:val="single" w:sz="8" w:space="0" w:color="auto"/>
            </w:tcBorders>
            <w:vAlign w:val="bottom"/>
            <w:hideMark/>
          </w:tcPr>
          <w:p w14:paraId="33885C6B"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Formula</w:t>
            </w:r>
          </w:p>
        </w:tc>
        <w:tc>
          <w:tcPr>
            <w:tcW w:w="1340" w:type="dxa"/>
            <w:tcBorders>
              <w:top w:val="single" w:sz="8" w:space="0" w:color="auto"/>
              <w:left w:val="nil"/>
              <w:bottom w:val="single" w:sz="8" w:space="0" w:color="auto"/>
              <w:right w:val="single" w:sz="8" w:space="0" w:color="auto"/>
            </w:tcBorders>
            <w:vAlign w:val="bottom"/>
            <w:hideMark/>
          </w:tcPr>
          <w:p w14:paraId="114E4F03"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2025</w:t>
            </w:r>
          </w:p>
        </w:tc>
        <w:tc>
          <w:tcPr>
            <w:tcW w:w="1420" w:type="dxa"/>
            <w:tcBorders>
              <w:top w:val="single" w:sz="8" w:space="0" w:color="auto"/>
              <w:left w:val="nil"/>
              <w:bottom w:val="single" w:sz="8" w:space="0" w:color="auto"/>
              <w:right w:val="single" w:sz="8" w:space="0" w:color="auto"/>
            </w:tcBorders>
            <w:vAlign w:val="bottom"/>
            <w:hideMark/>
          </w:tcPr>
          <w:p w14:paraId="0439ED47"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2024</w:t>
            </w:r>
          </w:p>
        </w:tc>
        <w:tc>
          <w:tcPr>
            <w:tcW w:w="1700" w:type="dxa"/>
            <w:tcBorders>
              <w:top w:val="single" w:sz="8" w:space="0" w:color="auto"/>
              <w:left w:val="nil"/>
              <w:bottom w:val="single" w:sz="8" w:space="0" w:color="auto"/>
              <w:right w:val="single" w:sz="8" w:space="0" w:color="auto"/>
            </w:tcBorders>
            <w:vAlign w:val="bottom"/>
            <w:hideMark/>
          </w:tcPr>
          <w:p w14:paraId="3D505F5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2023</w:t>
            </w:r>
          </w:p>
        </w:tc>
        <w:tc>
          <w:tcPr>
            <w:tcW w:w="1620" w:type="dxa"/>
            <w:tcBorders>
              <w:top w:val="single" w:sz="8" w:space="0" w:color="auto"/>
              <w:left w:val="nil"/>
              <w:bottom w:val="single" w:sz="8" w:space="0" w:color="auto"/>
              <w:right w:val="single" w:sz="8" w:space="0" w:color="auto"/>
            </w:tcBorders>
            <w:noWrap/>
            <w:vAlign w:val="bottom"/>
            <w:hideMark/>
          </w:tcPr>
          <w:p w14:paraId="4F6635F7"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2022</w:t>
            </w:r>
          </w:p>
        </w:tc>
        <w:tc>
          <w:tcPr>
            <w:tcW w:w="1480" w:type="dxa"/>
            <w:tcBorders>
              <w:top w:val="single" w:sz="8" w:space="0" w:color="auto"/>
              <w:left w:val="nil"/>
              <w:bottom w:val="single" w:sz="8" w:space="0" w:color="auto"/>
              <w:right w:val="single" w:sz="8" w:space="0" w:color="auto"/>
            </w:tcBorders>
            <w:noWrap/>
            <w:vAlign w:val="bottom"/>
            <w:hideMark/>
          </w:tcPr>
          <w:p w14:paraId="1F3128C3"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2021</w:t>
            </w:r>
          </w:p>
        </w:tc>
      </w:tr>
      <w:tr w:rsidR="00870A62" w:rsidRPr="00DA2477" w14:paraId="5FCB929E" w14:textId="77777777" w:rsidTr="00CD4033">
        <w:trPr>
          <w:trHeight w:val="900"/>
          <w:jc w:val="center"/>
        </w:trPr>
        <w:tc>
          <w:tcPr>
            <w:tcW w:w="961" w:type="dxa"/>
            <w:tcBorders>
              <w:top w:val="nil"/>
              <w:left w:val="single" w:sz="4" w:space="0" w:color="auto"/>
              <w:bottom w:val="single" w:sz="4" w:space="0" w:color="auto"/>
              <w:right w:val="single" w:sz="4" w:space="0" w:color="auto"/>
            </w:tcBorders>
            <w:vAlign w:val="center"/>
            <w:hideMark/>
          </w:tcPr>
          <w:p w14:paraId="554D98A3"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Operating cash flow ratio</w:t>
            </w:r>
          </w:p>
        </w:tc>
        <w:tc>
          <w:tcPr>
            <w:tcW w:w="2200" w:type="dxa"/>
            <w:tcBorders>
              <w:top w:val="nil"/>
              <w:left w:val="nil"/>
              <w:bottom w:val="single" w:sz="4" w:space="0" w:color="auto"/>
              <w:right w:val="single" w:sz="4" w:space="0" w:color="auto"/>
            </w:tcBorders>
            <w:vAlign w:val="center"/>
            <w:hideMark/>
          </w:tcPr>
          <w:p w14:paraId="1CE5800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Operating cash flow / current liabilities </w:t>
            </w:r>
          </w:p>
        </w:tc>
        <w:tc>
          <w:tcPr>
            <w:tcW w:w="1340" w:type="dxa"/>
            <w:tcBorders>
              <w:top w:val="nil"/>
              <w:left w:val="nil"/>
              <w:bottom w:val="single" w:sz="4" w:space="0" w:color="auto"/>
              <w:right w:val="single" w:sz="4" w:space="0" w:color="auto"/>
            </w:tcBorders>
            <w:vAlign w:val="bottom"/>
            <w:hideMark/>
          </w:tcPr>
          <w:p w14:paraId="2B6D6C1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3212 / 8398 = 38%</w:t>
            </w:r>
          </w:p>
        </w:tc>
        <w:tc>
          <w:tcPr>
            <w:tcW w:w="1420" w:type="dxa"/>
            <w:tcBorders>
              <w:top w:val="nil"/>
              <w:left w:val="nil"/>
              <w:bottom w:val="single" w:sz="4" w:space="0" w:color="auto"/>
              <w:right w:val="single" w:sz="4" w:space="0" w:color="auto"/>
            </w:tcBorders>
            <w:vAlign w:val="bottom"/>
            <w:hideMark/>
          </w:tcPr>
          <w:p w14:paraId="1FD80572"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2749 / 8649 = 32%</w:t>
            </w:r>
          </w:p>
        </w:tc>
        <w:tc>
          <w:tcPr>
            <w:tcW w:w="1700" w:type="dxa"/>
            <w:tcBorders>
              <w:top w:val="nil"/>
              <w:left w:val="nil"/>
              <w:bottom w:val="single" w:sz="4" w:space="0" w:color="auto"/>
              <w:right w:val="single" w:sz="4" w:space="0" w:color="auto"/>
            </w:tcBorders>
            <w:vAlign w:val="bottom"/>
            <w:hideMark/>
          </w:tcPr>
          <w:p w14:paraId="3D55B983"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3170 / 7762 = 41% </w:t>
            </w:r>
          </w:p>
        </w:tc>
        <w:tc>
          <w:tcPr>
            <w:tcW w:w="1620" w:type="dxa"/>
            <w:tcBorders>
              <w:top w:val="nil"/>
              <w:left w:val="nil"/>
              <w:bottom w:val="single" w:sz="4" w:space="0" w:color="auto"/>
              <w:right w:val="single" w:sz="4" w:space="0" w:color="auto"/>
            </w:tcBorders>
            <w:vAlign w:val="bottom"/>
            <w:hideMark/>
          </w:tcPr>
          <w:p w14:paraId="1CBA9AED"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2363 / 7339 = 32% </w:t>
            </w:r>
          </w:p>
        </w:tc>
        <w:tc>
          <w:tcPr>
            <w:tcW w:w="1480" w:type="dxa"/>
            <w:tcBorders>
              <w:top w:val="nil"/>
              <w:left w:val="nil"/>
              <w:bottom w:val="single" w:sz="4" w:space="0" w:color="auto"/>
              <w:right w:val="single" w:sz="4" w:space="0" w:color="auto"/>
            </w:tcBorders>
            <w:vAlign w:val="bottom"/>
            <w:hideMark/>
          </w:tcPr>
          <w:p w14:paraId="3DD642C0"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1177 / 6407 = 18% </w:t>
            </w:r>
          </w:p>
        </w:tc>
      </w:tr>
      <w:tr w:rsidR="00870A62" w:rsidRPr="00DA2477" w14:paraId="39B3C178" w14:textId="77777777" w:rsidTr="00CD4033">
        <w:trPr>
          <w:trHeight w:val="900"/>
          <w:jc w:val="center"/>
        </w:trPr>
        <w:tc>
          <w:tcPr>
            <w:tcW w:w="961" w:type="dxa"/>
            <w:tcBorders>
              <w:top w:val="nil"/>
              <w:left w:val="single" w:sz="4" w:space="0" w:color="auto"/>
              <w:bottom w:val="single" w:sz="4" w:space="0" w:color="auto"/>
              <w:right w:val="single" w:sz="4" w:space="0" w:color="auto"/>
            </w:tcBorders>
            <w:vAlign w:val="center"/>
            <w:hideMark/>
          </w:tcPr>
          <w:p w14:paraId="1FC4B38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Cash flow margin ratio</w:t>
            </w:r>
          </w:p>
        </w:tc>
        <w:tc>
          <w:tcPr>
            <w:tcW w:w="2200" w:type="dxa"/>
            <w:tcBorders>
              <w:top w:val="nil"/>
              <w:left w:val="nil"/>
              <w:bottom w:val="single" w:sz="4" w:space="0" w:color="auto"/>
              <w:right w:val="single" w:sz="4" w:space="0" w:color="auto"/>
            </w:tcBorders>
            <w:vAlign w:val="center"/>
            <w:hideMark/>
          </w:tcPr>
          <w:p w14:paraId="58292799"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Operating cash flow / Net sales</w:t>
            </w:r>
          </w:p>
        </w:tc>
        <w:tc>
          <w:tcPr>
            <w:tcW w:w="1340" w:type="dxa"/>
            <w:tcBorders>
              <w:top w:val="nil"/>
              <w:left w:val="nil"/>
              <w:bottom w:val="single" w:sz="4" w:space="0" w:color="auto"/>
              <w:right w:val="single" w:sz="4" w:space="0" w:color="auto"/>
            </w:tcBorders>
            <w:vAlign w:val="bottom"/>
            <w:hideMark/>
          </w:tcPr>
          <w:p w14:paraId="3DE110B1"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3212 / 26186 = 12.3%</w:t>
            </w:r>
          </w:p>
        </w:tc>
        <w:tc>
          <w:tcPr>
            <w:tcW w:w="1420" w:type="dxa"/>
            <w:tcBorders>
              <w:top w:val="nil"/>
              <w:left w:val="nil"/>
              <w:bottom w:val="single" w:sz="4" w:space="0" w:color="auto"/>
              <w:right w:val="single" w:sz="4" w:space="0" w:color="auto"/>
            </w:tcBorders>
            <w:vAlign w:val="bottom"/>
            <w:hideMark/>
          </w:tcPr>
          <w:p w14:paraId="7E4A36A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2749 / 25100 = 11%</w:t>
            </w:r>
          </w:p>
        </w:tc>
        <w:tc>
          <w:tcPr>
            <w:tcW w:w="1700" w:type="dxa"/>
            <w:tcBorders>
              <w:top w:val="nil"/>
              <w:left w:val="nil"/>
              <w:bottom w:val="single" w:sz="4" w:space="0" w:color="auto"/>
              <w:right w:val="single" w:sz="4" w:space="0" w:color="auto"/>
            </w:tcBorders>
            <w:vAlign w:val="bottom"/>
            <w:hideMark/>
          </w:tcPr>
          <w:p w14:paraId="001FBB81"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3170 / 20773 = 15.3% </w:t>
            </w:r>
          </w:p>
        </w:tc>
        <w:tc>
          <w:tcPr>
            <w:tcW w:w="1620" w:type="dxa"/>
            <w:tcBorders>
              <w:top w:val="nil"/>
              <w:left w:val="nil"/>
              <w:bottom w:val="single" w:sz="4" w:space="0" w:color="auto"/>
              <w:right w:val="single" w:sz="4" w:space="0" w:color="auto"/>
            </w:tcBorders>
            <w:vAlign w:val="bottom"/>
            <w:hideMark/>
          </w:tcPr>
          <w:p w14:paraId="5C68E9B3"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2363 / 13857 = 17.1% </w:t>
            </w:r>
          </w:p>
        </w:tc>
        <w:tc>
          <w:tcPr>
            <w:tcW w:w="1480" w:type="dxa"/>
            <w:tcBorders>
              <w:top w:val="nil"/>
              <w:left w:val="nil"/>
              <w:bottom w:val="single" w:sz="4" w:space="0" w:color="auto"/>
              <w:right w:val="single" w:sz="4" w:space="0" w:color="auto"/>
            </w:tcBorders>
            <w:vAlign w:val="bottom"/>
            <w:hideMark/>
          </w:tcPr>
          <w:p w14:paraId="3FDA6DD1"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1177 / 10571 = 11.1% </w:t>
            </w:r>
          </w:p>
        </w:tc>
      </w:tr>
    </w:tbl>
    <w:p w14:paraId="4011EA91" w14:textId="77777777" w:rsidR="00870A62" w:rsidRPr="00DA2477" w:rsidRDefault="00870A62" w:rsidP="00870A62">
      <w:pPr>
        <w:tabs>
          <w:tab w:val="left" w:pos="2940"/>
        </w:tabs>
        <w:ind w:left="360"/>
        <w:rPr>
          <w:rFonts w:cs="Times New Roman"/>
          <w:b/>
          <w:bCs/>
        </w:rPr>
      </w:pPr>
    </w:p>
    <w:p w14:paraId="0A608B94" w14:textId="77777777" w:rsidR="00870A62" w:rsidRPr="00DA2477" w:rsidRDefault="00870A62" w:rsidP="00870A62">
      <w:pPr>
        <w:tabs>
          <w:tab w:val="left" w:pos="2940"/>
        </w:tabs>
        <w:ind w:left="360"/>
        <w:rPr>
          <w:rFonts w:cs="Times New Roman"/>
          <w:b/>
          <w:bCs/>
        </w:rPr>
      </w:pPr>
      <w:r w:rsidRPr="00DA2477">
        <w:rPr>
          <w:rFonts w:cs="Times New Roman"/>
          <w:noProof/>
        </w:rPr>
        <w:drawing>
          <wp:inline distT="0" distB="0" distL="0" distR="0" wp14:anchorId="0FA33D7D" wp14:editId="047AA53A">
            <wp:extent cx="4572000" cy="2743200"/>
            <wp:effectExtent l="0" t="0" r="0" b="0"/>
            <wp:docPr id="1233448798" name="Chart 1">
              <a:extLst xmlns:a="http://schemas.openxmlformats.org/drawingml/2006/main">
                <a:ext uri="{FF2B5EF4-FFF2-40B4-BE49-F238E27FC236}">
                  <a16:creationId xmlns:a16="http://schemas.microsoft.com/office/drawing/2014/main" id="{C00A1F8E-81C8-029E-473D-1EC0DEA2F7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tbl>
      <w:tblPr>
        <w:tblW w:w="10579" w:type="dxa"/>
        <w:jc w:val="center"/>
        <w:tblLook w:val="04A0" w:firstRow="1" w:lastRow="0" w:firstColumn="1" w:lastColumn="0" w:noHBand="0" w:noVBand="1"/>
      </w:tblPr>
      <w:tblGrid>
        <w:gridCol w:w="1363"/>
        <w:gridCol w:w="1996"/>
        <w:gridCol w:w="1254"/>
        <w:gridCol w:w="1319"/>
        <w:gridCol w:w="1547"/>
        <w:gridCol w:w="1620"/>
        <w:gridCol w:w="1480"/>
      </w:tblGrid>
      <w:tr w:rsidR="00870A62" w:rsidRPr="00DA2477" w14:paraId="5EB49ED3" w14:textId="77777777" w:rsidTr="00CD4033">
        <w:trPr>
          <w:trHeight w:val="645"/>
          <w:jc w:val="center"/>
        </w:trPr>
        <w:tc>
          <w:tcPr>
            <w:tcW w:w="819" w:type="dxa"/>
            <w:tcBorders>
              <w:top w:val="single" w:sz="8" w:space="0" w:color="auto"/>
              <w:left w:val="single" w:sz="8" w:space="0" w:color="auto"/>
              <w:bottom w:val="single" w:sz="8" w:space="0" w:color="auto"/>
              <w:right w:val="single" w:sz="8" w:space="0" w:color="auto"/>
            </w:tcBorders>
            <w:vAlign w:val="bottom"/>
            <w:hideMark/>
          </w:tcPr>
          <w:p w14:paraId="34D76A82"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Investment Ratios</w:t>
            </w:r>
          </w:p>
        </w:tc>
        <w:tc>
          <w:tcPr>
            <w:tcW w:w="2200" w:type="dxa"/>
            <w:tcBorders>
              <w:top w:val="single" w:sz="8" w:space="0" w:color="auto"/>
              <w:left w:val="nil"/>
              <w:bottom w:val="single" w:sz="8" w:space="0" w:color="auto"/>
              <w:right w:val="single" w:sz="8" w:space="0" w:color="auto"/>
            </w:tcBorders>
            <w:vAlign w:val="bottom"/>
            <w:hideMark/>
          </w:tcPr>
          <w:p w14:paraId="471DCA7A"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Formula</w:t>
            </w:r>
          </w:p>
        </w:tc>
        <w:tc>
          <w:tcPr>
            <w:tcW w:w="1340" w:type="dxa"/>
            <w:tcBorders>
              <w:top w:val="single" w:sz="8" w:space="0" w:color="auto"/>
              <w:left w:val="nil"/>
              <w:bottom w:val="single" w:sz="8" w:space="0" w:color="auto"/>
              <w:right w:val="single" w:sz="8" w:space="0" w:color="auto"/>
            </w:tcBorders>
            <w:vAlign w:val="bottom"/>
            <w:hideMark/>
          </w:tcPr>
          <w:p w14:paraId="5CED8E93"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2025</w:t>
            </w:r>
          </w:p>
        </w:tc>
        <w:tc>
          <w:tcPr>
            <w:tcW w:w="1420" w:type="dxa"/>
            <w:tcBorders>
              <w:top w:val="single" w:sz="8" w:space="0" w:color="auto"/>
              <w:left w:val="nil"/>
              <w:bottom w:val="single" w:sz="8" w:space="0" w:color="auto"/>
              <w:right w:val="single" w:sz="8" w:space="0" w:color="auto"/>
            </w:tcBorders>
            <w:vAlign w:val="bottom"/>
            <w:hideMark/>
          </w:tcPr>
          <w:p w14:paraId="20837898"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2024</w:t>
            </w:r>
          </w:p>
        </w:tc>
        <w:tc>
          <w:tcPr>
            <w:tcW w:w="1700" w:type="dxa"/>
            <w:tcBorders>
              <w:top w:val="single" w:sz="8" w:space="0" w:color="auto"/>
              <w:left w:val="nil"/>
              <w:bottom w:val="single" w:sz="8" w:space="0" w:color="auto"/>
              <w:right w:val="single" w:sz="8" w:space="0" w:color="auto"/>
            </w:tcBorders>
            <w:vAlign w:val="bottom"/>
            <w:hideMark/>
          </w:tcPr>
          <w:p w14:paraId="6EB614DD"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2023</w:t>
            </w:r>
          </w:p>
        </w:tc>
        <w:tc>
          <w:tcPr>
            <w:tcW w:w="1620" w:type="dxa"/>
            <w:tcBorders>
              <w:top w:val="single" w:sz="8" w:space="0" w:color="auto"/>
              <w:left w:val="nil"/>
              <w:bottom w:val="single" w:sz="8" w:space="0" w:color="auto"/>
              <w:right w:val="single" w:sz="8" w:space="0" w:color="auto"/>
            </w:tcBorders>
            <w:noWrap/>
            <w:vAlign w:val="bottom"/>
            <w:hideMark/>
          </w:tcPr>
          <w:p w14:paraId="5A4B649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2022</w:t>
            </w:r>
          </w:p>
        </w:tc>
        <w:tc>
          <w:tcPr>
            <w:tcW w:w="1480" w:type="dxa"/>
            <w:tcBorders>
              <w:top w:val="single" w:sz="8" w:space="0" w:color="auto"/>
              <w:left w:val="nil"/>
              <w:bottom w:val="single" w:sz="8" w:space="0" w:color="auto"/>
              <w:right w:val="single" w:sz="8" w:space="0" w:color="auto"/>
            </w:tcBorders>
            <w:noWrap/>
            <w:vAlign w:val="bottom"/>
            <w:hideMark/>
          </w:tcPr>
          <w:p w14:paraId="195EA38A"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2021</w:t>
            </w:r>
          </w:p>
        </w:tc>
      </w:tr>
      <w:tr w:rsidR="00870A62" w:rsidRPr="00DA2477" w14:paraId="36BCDFC1" w14:textId="77777777" w:rsidTr="00CD4033">
        <w:trPr>
          <w:trHeight w:val="900"/>
          <w:jc w:val="center"/>
        </w:trPr>
        <w:tc>
          <w:tcPr>
            <w:tcW w:w="819" w:type="dxa"/>
            <w:tcBorders>
              <w:top w:val="nil"/>
              <w:left w:val="single" w:sz="4" w:space="0" w:color="auto"/>
              <w:bottom w:val="single" w:sz="4" w:space="0" w:color="auto"/>
              <w:right w:val="single" w:sz="4" w:space="0" w:color="auto"/>
            </w:tcBorders>
            <w:vAlign w:val="center"/>
            <w:hideMark/>
          </w:tcPr>
          <w:p w14:paraId="523DFF9C"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EPS</w:t>
            </w:r>
          </w:p>
        </w:tc>
        <w:tc>
          <w:tcPr>
            <w:tcW w:w="2200" w:type="dxa"/>
            <w:tcBorders>
              <w:top w:val="nil"/>
              <w:left w:val="nil"/>
              <w:bottom w:val="single" w:sz="4" w:space="0" w:color="auto"/>
              <w:right w:val="single" w:sz="4" w:space="0" w:color="auto"/>
            </w:tcBorders>
            <w:vAlign w:val="center"/>
            <w:hideMark/>
          </w:tcPr>
          <w:p w14:paraId="2F83E049"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Net income / Average shares</w:t>
            </w:r>
          </w:p>
        </w:tc>
        <w:tc>
          <w:tcPr>
            <w:tcW w:w="1340" w:type="dxa"/>
            <w:tcBorders>
              <w:top w:val="nil"/>
              <w:left w:val="nil"/>
              <w:bottom w:val="single" w:sz="4" w:space="0" w:color="auto"/>
              <w:right w:val="single" w:sz="4" w:space="0" w:color="auto"/>
            </w:tcBorders>
            <w:vAlign w:val="bottom"/>
            <w:hideMark/>
          </w:tcPr>
          <w:p w14:paraId="71401779"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2601 / 273 = 9.53</w:t>
            </w:r>
          </w:p>
        </w:tc>
        <w:tc>
          <w:tcPr>
            <w:tcW w:w="1420" w:type="dxa"/>
            <w:tcBorders>
              <w:top w:val="nil"/>
              <w:left w:val="nil"/>
              <w:bottom w:val="single" w:sz="4" w:space="0" w:color="auto"/>
              <w:right w:val="single" w:sz="4" w:space="0" w:color="auto"/>
            </w:tcBorders>
            <w:vAlign w:val="bottom"/>
            <w:hideMark/>
          </w:tcPr>
          <w:p w14:paraId="42D17DA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2375 / 283.9 = 8.36</w:t>
            </w:r>
          </w:p>
        </w:tc>
        <w:tc>
          <w:tcPr>
            <w:tcW w:w="1700" w:type="dxa"/>
            <w:tcBorders>
              <w:top w:val="nil"/>
              <w:left w:val="nil"/>
              <w:bottom w:val="single" w:sz="4" w:space="0" w:color="auto"/>
              <w:right w:val="single" w:sz="4" w:space="0" w:color="auto"/>
            </w:tcBorders>
            <w:vAlign w:val="bottom"/>
            <w:hideMark/>
          </w:tcPr>
          <w:p w14:paraId="79CF7EA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3083/ 301.5 = 10.23 </w:t>
            </w:r>
          </w:p>
        </w:tc>
        <w:tc>
          <w:tcPr>
            <w:tcW w:w="1620" w:type="dxa"/>
            <w:tcBorders>
              <w:top w:val="nil"/>
              <w:left w:val="nil"/>
              <w:bottom w:val="single" w:sz="4" w:space="0" w:color="auto"/>
              <w:right w:val="single" w:sz="4" w:space="0" w:color="auto"/>
            </w:tcBorders>
            <w:vAlign w:val="bottom"/>
            <w:hideMark/>
          </w:tcPr>
          <w:p w14:paraId="283AFC4D"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2358 / 324.4 = 7.27 </w:t>
            </w:r>
          </w:p>
        </w:tc>
        <w:tc>
          <w:tcPr>
            <w:tcW w:w="1480" w:type="dxa"/>
            <w:tcBorders>
              <w:top w:val="nil"/>
              <w:left w:val="nil"/>
              <w:bottom w:val="single" w:sz="4" w:space="0" w:color="auto"/>
              <w:right w:val="single" w:sz="4" w:space="0" w:color="auto"/>
            </w:tcBorders>
            <w:vAlign w:val="bottom"/>
            <w:hideMark/>
          </w:tcPr>
          <w:p w14:paraId="79EDE6D1"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1099 / 327.2 = 3.36 </w:t>
            </w:r>
          </w:p>
        </w:tc>
      </w:tr>
      <w:tr w:rsidR="00870A62" w:rsidRPr="00DA2477" w14:paraId="2F38EB8F" w14:textId="77777777" w:rsidTr="00CD4033">
        <w:trPr>
          <w:trHeight w:val="900"/>
          <w:jc w:val="center"/>
        </w:trPr>
        <w:tc>
          <w:tcPr>
            <w:tcW w:w="819" w:type="dxa"/>
            <w:tcBorders>
              <w:top w:val="nil"/>
              <w:left w:val="single" w:sz="4" w:space="0" w:color="auto"/>
              <w:bottom w:val="single" w:sz="4" w:space="0" w:color="auto"/>
              <w:right w:val="single" w:sz="4" w:space="0" w:color="auto"/>
            </w:tcBorders>
            <w:vAlign w:val="center"/>
            <w:hideMark/>
          </w:tcPr>
          <w:p w14:paraId="06E0C450"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P/E Ratio</w:t>
            </w:r>
          </w:p>
        </w:tc>
        <w:tc>
          <w:tcPr>
            <w:tcW w:w="2200" w:type="dxa"/>
            <w:tcBorders>
              <w:top w:val="nil"/>
              <w:left w:val="nil"/>
              <w:bottom w:val="single" w:sz="4" w:space="0" w:color="auto"/>
              <w:right w:val="single" w:sz="4" w:space="0" w:color="auto"/>
            </w:tcBorders>
            <w:vAlign w:val="center"/>
            <w:hideMark/>
          </w:tcPr>
          <w:p w14:paraId="77D7D25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Market Price of Share / EPS</w:t>
            </w:r>
          </w:p>
        </w:tc>
        <w:tc>
          <w:tcPr>
            <w:tcW w:w="1340" w:type="dxa"/>
            <w:tcBorders>
              <w:top w:val="nil"/>
              <w:left w:val="nil"/>
              <w:bottom w:val="single" w:sz="4" w:space="0" w:color="auto"/>
              <w:right w:val="single" w:sz="4" w:space="0" w:color="auto"/>
            </w:tcBorders>
            <w:vAlign w:val="bottom"/>
            <w:hideMark/>
          </w:tcPr>
          <w:p w14:paraId="2DACD33B"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309.03 / 9.53 = 32.44</w:t>
            </w:r>
          </w:p>
        </w:tc>
        <w:tc>
          <w:tcPr>
            <w:tcW w:w="1420" w:type="dxa"/>
            <w:tcBorders>
              <w:top w:val="nil"/>
              <w:left w:val="nil"/>
              <w:bottom w:val="single" w:sz="4" w:space="0" w:color="auto"/>
              <w:right w:val="single" w:sz="4" w:space="0" w:color="auto"/>
            </w:tcBorders>
            <w:vAlign w:val="bottom"/>
            <w:hideMark/>
          </w:tcPr>
          <w:p w14:paraId="5A305BD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275.17 / 8.36 = 32.89</w:t>
            </w:r>
          </w:p>
        </w:tc>
        <w:tc>
          <w:tcPr>
            <w:tcW w:w="1700" w:type="dxa"/>
            <w:tcBorders>
              <w:top w:val="nil"/>
              <w:left w:val="nil"/>
              <w:bottom w:val="single" w:sz="4" w:space="0" w:color="auto"/>
              <w:right w:val="single" w:sz="4" w:space="0" w:color="auto"/>
            </w:tcBorders>
            <w:vAlign w:val="bottom"/>
            <w:hideMark/>
          </w:tcPr>
          <w:p w14:paraId="0C4140E6"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220.27 / 10.23 = 21.54 </w:t>
            </w:r>
          </w:p>
        </w:tc>
        <w:tc>
          <w:tcPr>
            <w:tcW w:w="1620" w:type="dxa"/>
            <w:tcBorders>
              <w:top w:val="nil"/>
              <w:left w:val="nil"/>
              <w:bottom w:val="single" w:sz="4" w:space="0" w:color="auto"/>
              <w:right w:val="single" w:sz="4" w:space="0" w:color="auto"/>
            </w:tcBorders>
            <w:vAlign w:val="bottom"/>
            <w:hideMark/>
          </w:tcPr>
          <w:p w14:paraId="3E636496"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143.91 / 7.27 = 19.8 </w:t>
            </w:r>
          </w:p>
        </w:tc>
        <w:tc>
          <w:tcPr>
            <w:tcW w:w="1480" w:type="dxa"/>
            <w:tcBorders>
              <w:top w:val="nil"/>
              <w:left w:val="nil"/>
              <w:bottom w:val="single" w:sz="4" w:space="0" w:color="auto"/>
              <w:right w:val="single" w:sz="4" w:space="0" w:color="auto"/>
            </w:tcBorders>
            <w:vAlign w:val="bottom"/>
            <w:hideMark/>
          </w:tcPr>
          <w:p w14:paraId="0616AEB4"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 xml:space="preserve"> 158.74 / 3.36 = 47.26 </w:t>
            </w:r>
          </w:p>
        </w:tc>
      </w:tr>
    </w:tbl>
    <w:p w14:paraId="35B1A152" w14:textId="77777777" w:rsidR="00870A62" w:rsidRDefault="00870A62" w:rsidP="00870A62">
      <w:pPr>
        <w:tabs>
          <w:tab w:val="left" w:pos="2940"/>
        </w:tabs>
        <w:rPr>
          <w:rFonts w:cs="Times New Roman"/>
          <w:b/>
          <w:bCs/>
        </w:rPr>
      </w:pPr>
    </w:p>
    <w:p w14:paraId="7A868E7E" w14:textId="77777777" w:rsidR="00870A62" w:rsidRDefault="00870A62" w:rsidP="00870A62">
      <w:pPr>
        <w:tabs>
          <w:tab w:val="left" w:pos="2940"/>
        </w:tabs>
        <w:rPr>
          <w:rFonts w:cs="Times New Roman"/>
          <w:b/>
          <w:bCs/>
        </w:rPr>
      </w:pPr>
    </w:p>
    <w:p w14:paraId="17157176" w14:textId="77777777" w:rsidR="00870A62" w:rsidRPr="00DA2477" w:rsidRDefault="00870A62" w:rsidP="00870A62">
      <w:pPr>
        <w:tabs>
          <w:tab w:val="left" w:pos="2940"/>
        </w:tabs>
        <w:rPr>
          <w:rFonts w:cs="Times New Roman"/>
          <w:b/>
          <w:bCs/>
        </w:rPr>
      </w:pPr>
    </w:p>
    <w:p w14:paraId="2CAE6EBF" w14:textId="77777777" w:rsidR="00870A62" w:rsidRPr="00DA2477" w:rsidRDefault="00870A62" w:rsidP="00870A62">
      <w:pPr>
        <w:pStyle w:val="Heading2"/>
        <w:spacing w:line="360" w:lineRule="auto"/>
        <w:rPr>
          <w:rFonts w:cs="Times New Roman"/>
        </w:rPr>
      </w:pPr>
      <w:bookmarkStart w:id="29" w:name="_Toc233996416"/>
      <w:r w:rsidRPr="00DA2477">
        <w:rPr>
          <w:rFonts w:cs="Times New Roman"/>
        </w:rPr>
        <w:lastRenderedPageBreak/>
        <w:t>Section B Cash Operating Cycle</w:t>
      </w:r>
      <w:bookmarkEnd w:id="29"/>
    </w:p>
    <w:tbl>
      <w:tblPr>
        <w:tblW w:w="10721" w:type="dxa"/>
        <w:jc w:val="center"/>
        <w:tblLook w:val="04A0" w:firstRow="1" w:lastRow="0" w:firstColumn="1" w:lastColumn="0" w:noHBand="0" w:noVBand="1"/>
      </w:tblPr>
      <w:tblGrid>
        <w:gridCol w:w="1284"/>
        <w:gridCol w:w="2116"/>
        <w:gridCol w:w="1275"/>
        <w:gridCol w:w="1347"/>
        <w:gridCol w:w="1599"/>
        <w:gridCol w:w="1620"/>
        <w:gridCol w:w="1480"/>
      </w:tblGrid>
      <w:tr w:rsidR="00870A62" w:rsidRPr="00DA2477" w14:paraId="5061DC62" w14:textId="77777777" w:rsidTr="00CD4033">
        <w:trPr>
          <w:trHeight w:val="960"/>
          <w:jc w:val="center"/>
        </w:trPr>
        <w:tc>
          <w:tcPr>
            <w:tcW w:w="961" w:type="dxa"/>
            <w:tcBorders>
              <w:top w:val="single" w:sz="8" w:space="0" w:color="auto"/>
              <w:left w:val="single" w:sz="8" w:space="0" w:color="auto"/>
              <w:bottom w:val="single" w:sz="8" w:space="0" w:color="auto"/>
              <w:right w:val="single" w:sz="8" w:space="0" w:color="auto"/>
            </w:tcBorders>
            <w:vAlign w:val="bottom"/>
            <w:hideMark/>
          </w:tcPr>
          <w:p w14:paraId="3ADB55AD"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Cash Operating Cycle</w:t>
            </w:r>
          </w:p>
        </w:tc>
        <w:tc>
          <w:tcPr>
            <w:tcW w:w="2200" w:type="dxa"/>
            <w:tcBorders>
              <w:top w:val="single" w:sz="8" w:space="0" w:color="auto"/>
              <w:left w:val="nil"/>
              <w:bottom w:val="single" w:sz="8" w:space="0" w:color="auto"/>
              <w:right w:val="single" w:sz="8" w:space="0" w:color="auto"/>
            </w:tcBorders>
            <w:vAlign w:val="bottom"/>
            <w:hideMark/>
          </w:tcPr>
          <w:p w14:paraId="0B72A1D9"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Formula</w:t>
            </w:r>
          </w:p>
        </w:tc>
        <w:tc>
          <w:tcPr>
            <w:tcW w:w="1340" w:type="dxa"/>
            <w:tcBorders>
              <w:top w:val="single" w:sz="8" w:space="0" w:color="auto"/>
              <w:left w:val="nil"/>
              <w:bottom w:val="single" w:sz="8" w:space="0" w:color="auto"/>
              <w:right w:val="single" w:sz="8" w:space="0" w:color="auto"/>
            </w:tcBorders>
            <w:vAlign w:val="bottom"/>
            <w:hideMark/>
          </w:tcPr>
          <w:p w14:paraId="47B7A6B2"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2025</w:t>
            </w:r>
          </w:p>
        </w:tc>
        <w:tc>
          <w:tcPr>
            <w:tcW w:w="1420" w:type="dxa"/>
            <w:tcBorders>
              <w:top w:val="single" w:sz="8" w:space="0" w:color="auto"/>
              <w:left w:val="nil"/>
              <w:bottom w:val="single" w:sz="8" w:space="0" w:color="auto"/>
              <w:right w:val="single" w:sz="8" w:space="0" w:color="auto"/>
            </w:tcBorders>
            <w:vAlign w:val="bottom"/>
            <w:hideMark/>
          </w:tcPr>
          <w:p w14:paraId="6B82E29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2024</w:t>
            </w:r>
          </w:p>
        </w:tc>
        <w:tc>
          <w:tcPr>
            <w:tcW w:w="1700" w:type="dxa"/>
            <w:tcBorders>
              <w:top w:val="single" w:sz="8" w:space="0" w:color="auto"/>
              <w:left w:val="nil"/>
              <w:bottom w:val="single" w:sz="8" w:space="0" w:color="auto"/>
              <w:right w:val="single" w:sz="8" w:space="0" w:color="auto"/>
            </w:tcBorders>
            <w:vAlign w:val="bottom"/>
            <w:hideMark/>
          </w:tcPr>
          <w:p w14:paraId="173B923A"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2023</w:t>
            </w:r>
          </w:p>
        </w:tc>
        <w:tc>
          <w:tcPr>
            <w:tcW w:w="1620" w:type="dxa"/>
            <w:tcBorders>
              <w:top w:val="single" w:sz="8" w:space="0" w:color="auto"/>
              <w:left w:val="nil"/>
              <w:bottom w:val="single" w:sz="8" w:space="0" w:color="auto"/>
              <w:right w:val="single" w:sz="8" w:space="0" w:color="auto"/>
            </w:tcBorders>
            <w:noWrap/>
            <w:vAlign w:val="bottom"/>
            <w:hideMark/>
          </w:tcPr>
          <w:p w14:paraId="6365669A"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2022</w:t>
            </w:r>
          </w:p>
        </w:tc>
        <w:tc>
          <w:tcPr>
            <w:tcW w:w="1480" w:type="dxa"/>
            <w:tcBorders>
              <w:top w:val="single" w:sz="8" w:space="0" w:color="auto"/>
              <w:left w:val="nil"/>
              <w:bottom w:val="single" w:sz="8" w:space="0" w:color="auto"/>
              <w:right w:val="single" w:sz="8" w:space="0" w:color="auto"/>
            </w:tcBorders>
            <w:noWrap/>
            <w:vAlign w:val="bottom"/>
            <w:hideMark/>
          </w:tcPr>
          <w:p w14:paraId="441E103D"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2021</w:t>
            </w:r>
          </w:p>
        </w:tc>
      </w:tr>
      <w:tr w:rsidR="00870A62" w:rsidRPr="00DA2477" w14:paraId="650C8B7A" w14:textId="77777777" w:rsidTr="00CD4033">
        <w:trPr>
          <w:trHeight w:val="900"/>
          <w:jc w:val="center"/>
        </w:trPr>
        <w:tc>
          <w:tcPr>
            <w:tcW w:w="961" w:type="dxa"/>
            <w:tcBorders>
              <w:top w:val="nil"/>
              <w:left w:val="single" w:sz="4" w:space="0" w:color="auto"/>
              <w:bottom w:val="single" w:sz="4" w:space="0" w:color="auto"/>
              <w:right w:val="single" w:sz="4" w:space="0" w:color="auto"/>
            </w:tcBorders>
            <w:vAlign w:val="center"/>
            <w:hideMark/>
          </w:tcPr>
          <w:p w14:paraId="55508ED7"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Receivable turnover (Days)</w:t>
            </w:r>
          </w:p>
        </w:tc>
        <w:tc>
          <w:tcPr>
            <w:tcW w:w="2200" w:type="dxa"/>
            <w:tcBorders>
              <w:top w:val="nil"/>
              <w:left w:val="nil"/>
              <w:bottom w:val="single" w:sz="4" w:space="0" w:color="auto"/>
              <w:right w:val="single" w:sz="4" w:space="0" w:color="auto"/>
            </w:tcBorders>
            <w:vAlign w:val="center"/>
            <w:hideMark/>
          </w:tcPr>
          <w:p w14:paraId="0E84B5E2"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(Receivable / Sales )*365</w:t>
            </w:r>
          </w:p>
        </w:tc>
        <w:tc>
          <w:tcPr>
            <w:tcW w:w="1340" w:type="dxa"/>
            <w:tcBorders>
              <w:top w:val="nil"/>
              <w:left w:val="nil"/>
              <w:bottom w:val="single" w:sz="4" w:space="0" w:color="auto"/>
              <w:right w:val="single" w:sz="4" w:space="0" w:color="auto"/>
            </w:tcBorders>
            <w:vAlign w:val="center"/>
            <w:hideMark/>
          </w:tcPr>
          <w:p w14:paraId="14426889"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41</w:t>
            </w:r>
          </w:p>
        </w:tc>
        <w:tc>
          <w:tcPr>
            <w:tcW w:w="1420" w:type="dxa"/>
            <w:tcBorders>
              <w:top w:val="nil"/>
              <w:left w:val="nil"/>
              <w:bottom w:val="single" w:sz="4" w:space="0" w:color="auto"/>
              <w:right w:val="single" w:sz="4" w:space="0" w:color="auto"/>
            </w:tcBorders>
            <w:vAlign w:val="center"/>
            <w:hideMark/>
          </w:tcPr>
          <w:p w14:paraId="52B1038B"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41</w:t>
            </w:r>
          </w:p>
        </w:tc>
        <w:tc>
          <w:tcPr>
            <w:tcW w:w="1700" w:type="dxa"/>
            <w:tcBorders>
              <w:top w:val="nil"/>
              <w:left w:val="nil"/>
              <w:bottom w:val="single" w:sz="4" w:space="0" w:color="auto"/>
              <w:right w:val="single" w:sz="4" w:space="0" w:color="auto"/>
            </w:tcBorders>
            <w:vAlign w:val="center"/>
            <w:hideMark/>
          </w:tcPr>
          <w:p w14:paraId="6BE1D90A"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48</w:t>
            </w:r>
          </w:p>
        </w:tc>
        <w:tc>
          <w:tcPr>
            <w:tcW w:w="1620" w:type="dxa"/>
            <w:tcBorders>
              <w:top w:val="nil"/>
              <w:left w:val="nil"/>
              <w:bottom w:val="single" w:sz="4" w:space="0" w:color="auto"/>
              <w:right w:val="single" w:sz="4" w:space="0" w:color="auto"/>
            </w:tcBorders>
            <w:vAlign w:val="center"/>
            <w:hideMark/>
          </w:tcPr>
          <w:p w14:paraId="525043E7"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68</w:t>
            </w:r>
          </w:p>
        </w:tc>
        <w:tc>
          <w:tcPr>
            <w:tcW w:w="1480" w:type="dxa"/>
            <w:tcBorders>
              <w:top w:val="nil"/>
              <w:left w:val="nil"/>
              <w:bottom w:val="single" w:sz="4" w:space="0" w:color="auto"/>
              <w:right w:val="single" w:sz="4" w:space="0" w:color="auto"/>
            </w:tcBorders>
            <w:vAlign w:val="center"/>
            <w:hideMark/>
          </w:tcPr>
          <w:p w14:paraId="6C49C4B7"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68</w:t>
            </w:r>
          </w:p>
        </w:tc>
      </w:tr>
      <w:tr w:rsidR="00870A62" w:rsidRPr="00DA2477" w14:paraId="41B471B3" w14:textId="77777777" w:rsidTr="00CD4033">
        <w:trPr>
          <w:trHeight w:val="900"/>
          <w:jc w:val="center"/>
        </w:trPr>
        <w:tc>
          <w:tcPr>
            <w:tcW w:w="961" w:type="dxa"/>
            <w:tcBorders>
              <w:top w:val="nil"/>
              <w:left w:val="single" w:sz="4" w:space="0" w:color="auto"/>
              <w:bottom w:val="single" w:sz="4" w:space="0" w:color="auto"/>
              <w:right w:val="single" w:sz="4" w:space="0" w:color="auto"/>
            </w:tcBorders>
            <w:vAlign w:val="center"/>
            <w:hideMark/>
          </w:tcPr>
          <w:p w14:paraId="2D4FAFD9"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Payable Turnover (in days)</w:t>
            </w:r>
          </w:p>
        </w:tc>
        <w:tc>
          <w:tcPr>
            <w:tcW w:w="2200" w:type="dxa"/>
            <w:tcBorders>
              <w:top w:val="nil"/>
              <w:left w:val="nil"/>
              <w:bottom w:val="single" w:sz="4" w:space="0" w:color="auto"/>
              <w:right w:val="single" w:sz="4" w:space="0" w:color="auto"/>
            </w:tcBorders>
            <w:vAlign w:val="center"/>
            <w:hideMark/>
          </w:tcPr>
          <w:p w14:paraId="6519DA37"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(Trade Payable / COGS ) 365</w:t>
            </w:r>
          </w:p>
        </w:tc>
        <w:tc>
          <w:tcPr>
            <w:tcW w:w="1340" w:type="dxa"/>
            <w:tcBorders>
              <w:top w:val="nil"/>
              <w:left w:val="nil"/>
              <w:bottom w:val="single" w:sz="4" w:space="0" w:color="auto"/>
              <w:right w:val="single" w:sz="4" w:space="0" w:color="auto"/>
            </w:tcBorders>
            <w:vAlign w:val="center"/>
            <w:hideMark/>
          </w:tcPr>
          <w:p w14:paraId="2BD56DA3"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14</w:t>
            </w:r>
          </w:p>
        </w:tc>
        <w:tc>
          <w:tcPr>
            <w:tcW w:w="1420" w:type="dxa"/>
            <w:tcBorders>
              <w:top w:val="nil"/>
              <w:left w:val="nil"/>
              <w:bottom w:val="single" w:sz="4" w:space="0" w:color="auto"/>
              <w:right w:val="single" w:sz="4" w:space="0" w:color="auto"/>
            </w:tcBorders>
            <w:vAlign w:val="center"/>
            <w:hideMark/>
          </w:tcPr>
          <w:p w14:paraId="35DBD12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14</w:t>
            </w:r>
          </w:p>
        </w:tc>
        <w:tc>
          <w:tcPr>
            <w:tcW w:w="1700" w:type="dxa"/>
            <w:tcBorders>
              <w:top w:val="nil"/>
              <w:left w:val="nil"/>
              <w:bottom w:val="single" w:sz="4" w:space="0" w:color="auto"/>
              <w:right w:val="single" w:sz="4" w:space="0" w:color="auto"/>
            </w:tcBorders>
            <w:vAlign w:val="center"/>
            <w:hideMark/>
          </w:tcPr>
          <w:p w14:paraId="4CF3447E"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14</w:t>
            </w:r>
          </w:p>
        </w:tc>
        <w:tc>
          <w:tcPr>
            <w:tcW w:w="1620" w:type="dxa"/>
            <w:tcBorders>
              <w:top w:val="nil"/>
              <w:left w:val="nil"/>
              <w:bottom w:val="single" w:sz="4" w:space="0" w:color="auto"/>
              <w:right w:val="single" w:sz="4" w:space="0" w:color="auto"/>
            </w:tcBorders>
            <w:vAlign w:val="center"/>
            <w:hideMark/>
          </w:tcPr>
          <w:p w14:paraId="2B977DA0"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17</w:t>
            </w:r>
          </w:p>
        </w:tc>
        <w:tc>
          <w:tcPr>
            <w:tcW w:w="1480" w:type="dxa"/>
            <w:tcBorders>
              <w:top w:val="nil"/>
              <w:left w:val="nil"/>
              <w:bottom w:val="single" w:sz="4" w:space="0" w:color="auto"/>
              <w:right w:val="single" w:sz="4" w:space="0" w:color="auto"/>
            </w:tcBorders>
            <w:vAlign w:val="center"/>
            <w:hideMark/>
          </w:tcPr>
          <w:p w14:paraId="6DBB338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24</w:t>
            </w:r>
          </w:p>
        </w:tc>
      </w:tr>
      <w:tr w:rsidR="00870A62" w:rsidRPr="00DA2477" w14:paraId="260FD49F" w14:textId="77777777" w:rsidTr="00CD4033">
        <w:trPr>
          <w:trHeight w:val="900"/>
          <w:jc w:val="center"/>
        </w:trPr>
        <w:tc>
          <w:tcPr>
            <w:tcW w:w="961" w:type="dxa"/>
            <w:tcBorders>
              <w:top w:val="nil"/>
              <w:left w:val="single" w:sz="4" w:space="0" w:color="auto"/>
              <w:bottom w:val="single" w:sz="4" w:space="0" w:color="auto"/>
              <w:right w:val="single" w:sz="4" w:space="0" w:color="auto"/>
            </w:tcBorders>
            <w:vAlign w:val="center"/>
            <w:hideMark/>
          </w:tcPr>
          <w:p w14:paraId="427AA796"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Cash Operating Cycle</w:t>
            </w:r>
          </w:p>
        </w:tc>
        <w:tc>
          <w:tcPr>
            <w:tcW w:w="2200" w:type="dxa"/>
            <w:tcBorders>
              <w:top w:val="nil"/>
              <w:left w:val="nil"/>
              <w:bottom w:val="single" w:sz="4" w:space="0" w:color="auto"/>
              <w:right w:val="single" w:sz="4" w:space="0" w:color="auto"/>
            </w:tcBorders>
            <w:vAlign w:val="center"/>
            <w:hideMark/>
          </w:tcPr>
          <w:p w14:paraId="767BEADF"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Receivable days  - Payable days</w:t>
            </w:r>
          </w:p>
        </w:tc>
        <w:tc>
          <w:tcPr>
            <w:tcW w:w="1340" w:type="dxa"/>
            <w:tcBorders>
              <w:top w:val="nil"/>
              <w:left w:val="nil"/>
              <w:bottom w:val="single" w:sz="4" w:space="0" w:color="auto"/>
              <w:right w:val="single" w:sz="4" w:space="0" w:color="auto"/>
            </w:tcBorders>
            <w:vAlign w:val="center"/>
            <w:hideMark/>
          </w:tcPr>
          <w:p w14:paraId="0AEE74DC"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27</w:t>
            </w:r>
          </w:p>
        </w:tc>
        <w:tc>
          <w:tcPr>
            <w:tcW w:w="1420" w:type="dxa"/>
            <w:tcBorders>
              <w:top w:val="nil"/>
              <w:left w:val="nil"/>
              <w:bottom w:val="single" w:sz="4" w:space="0" w:color="auto"/>
              <w:right w:val="single" w:sz="4" w:space="0" w:color="auto"/>
            </w:tcBorders>
            <w:vAlign w:val="center"/>
            <w:hideMark/>
          </w:tcPr>
          <w:p w14:paraId="7905DB88"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27</w:t>
            </w:r>
          </w:p>
        </w:tc>
        <w:tc>
          <w:tcPr>
            <w:tcW w:w="1700" w:type="dxa"/>
            <w:tcBorders>
              <w:top w:val="nil"/>
              <w:left w:val="nil"/>
              <w:bottom w:val="single" w:sz="4" w:space="0" w:color="auto"/>
              <w:right w:val="single" w:sz="4" w:space="0" w:color="auto"/>
            </w:tcBorders>
            <w:vAlign w:val="center"/>
            <w:hideMark/>
          </w:tcPr>
          <w:p w14:paraId="70C3F8C6"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34</w:t>
            </w:r>
          </w:p>
        </w:tc>
        <w:tc>
          <w:tcPr>
            <w:tcW w:w="1620" w:type="dxa"/>
            <w:tcBorders>
              <w:top w:val="nil"/>
              <w:left w:val="nil"/>
              <w:bottom w:val="single" w:sz="4" w:space="0" w:color="auto"/>
              <w:right w:val="single" w:sz="4" w:space="0" w:color="auto"/>
            </w:tcBorders>
            <w:vAlign w:val="center"/>
            <w:hideMark/>
          </w:tcPr>
          <w:p w14:paraId="292BB440"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51</w:t>
            </w:r>
          </w:p>
        </w:tc>
        <w:tc>
          <w:tcPr>
            <w:tcW w:w="1480" w:type="dxa"/>
            <w:tcBorders>
              <w:top w:val="nil"/>
              <w:left w:val="nil"/>
              <w:bottom w:val="single" w:sz="4" w:space="0" w:color="auto"/>
              <w:right w:val="single" w:sz="4" w:space="0" w:color="auto"/>
            </w:tcBorders>
            <w:vAlign w:val="center"/>
            <w:hideMark/>
          </w:tcPr>
          <w:p w14:paraId="0CAEB985" w14:textId="77777777" w:rsidR="00870A62" w:rsidRPr="00DA2477" w:rsidRDefault="00870A62" w:rsidP="00CD4033">
            <w:pPr>
              <w:spacing w:after="0" w:line="240" w:lineRule="auto"/>
              <w:jc w:val="center"/>
              <w:rPr>
                <w:rFonts w:eastAsia="Times New Roman" w:cs="Times New Roman"/>
                <w:color w:val="000000"/>
                <w:szCs w:val="24"/>
                <w:lang w:val="" w:eastAsia=""/>
              </w:rPr>
            </w:pPr>
            <w:r w:rsidRPr="00DA2477">
              <w:rPr>
                <w:rFonts w:eastAsia="Times New Roman" w:cs="Times New Roman"/>
                <w:color w:val="000000"/>
                <w:szCs w:val="24"/>
                <w:lang w:val="" w:eastAsia=""/>
              </w:rPr>
              <w:t>44</w:t>
            </w:r>
          </w:p>
        </w:tc>
      </w:tr>
    </w:tbl>
    <w:p w14:paraId="485C9F2B" w14:textId="77777777" w:rsidR="00870A62" w:rsidRPr="00DA2477" w:rsidRDefault="00870A62" w:rsidP="00870A62">
      <w:pPr>
        <w:tabs>
          <w:tab w:val="left" w:pos="2940"/>
        </w:tabs>
        <w:ind w:left="360"/>
        <w:rPr>
          <w:rFonts w:cs="Times New Roman"/>
          <w:b/>
          <w:bCs/>
        </w:rPr>
      </w:pPr>
    </w:p>
    <w:p w14:paraId="2453126F" w14:textId="77777777" w:rsidR="00870A62" w:rsidRPr="00DA2477" w:rsidRDefault="00870A62" w:rsidP="00870A62">
      <w:pPr>
        <w:pStyle w:val="Heading2"/>
        <w:spacing w:line="360" w:lineRule="auto"/>
        <w:rPr>
          <w:rFonts w:cs="Times New Roman"/>
        </w:rPr>
      </w:pPr>
      <w:bookmarkStart w:id="30" w:name="_Toc233996417"/>
      <w:r w:rsidRPr="00DA2477">
        <w:rPr>
          <w:rFonts w:cs="Times New Roman"/>
        </w:rPr>
        <w:t>Section C: Investment appraisal calculations</w:t>
      </w:r>
      <w:bookmarkEnd w:id="30"/>
      <w:r w:rsidRPr="00DA2477">
        <w:rPr>
          <w:rFonts w:cs="Times New Roman"/>
        </w:rPr>
        <w:t xml:space="preserve"> </w:t>
      </w:r>
    </w:p>
    <w:p w14:paraId="21F6EFB0" w14:textId="77777777" w:rsidR="00870A62" w:rsidRPr="00DA2477" w:rsidRDefault="00870A62" w:rsidP="00870A62">
      <w:pPr>
        <w:rPr>
          <w:rFonts w:cs="Times New Roman"/>
          <w:szCs w:val="24"/>
        </w:rPr>
      </w:pPr>
    </w:p>
    <w:p w14:paraId="1955F1BB" w14:textId="77777777" w:rsidR="00870A62" w:rsidRPr="00DA2477" w:rsidRDefault="00870A62" w:rsidP="00870A62">
      <w:pPr>
        <w:rPr>
          <w:rFonts w:cs="Times New Roman"/>
          <w:b/>
          <w:bCs/>
        </w:rPr>
      </w:pPr>
      <w:r w:rsidRPr="00DA2477">
        <w:rPr>
          <w:rFonts w:cs="Times New Roman"/>
          <w:b/>
          <w:bCs/>
          <w:szCs w:val="24"/>
        </w:rPr>
        <w:t xml:space="preserve">Payback Period </w:t>
      </w:r>
    </w:p>
    <w:tbl>
      <w:tblPr>
        <w:tblW w:w="7720" w:type="dxa"/>
        <w:tblLook w:val="04A0" w:firstRow="1" w:lastRow="0" w:firstColumn="1" w:lastColumn="0" w:noHBand="0" w:noVBand="1"/>
      </w:tblPr>
      <w:tblGrid>
        <w:gridCol w:w="902"/>
        <w:gridCol w:w="1638"/>
        <w:gridCol w:w="1980"/>
        <w:gridCol w:w="1760"/>
        <w:gridCol w:w="1440"/>
      </w:tblGrid>
      <w:tr w:rsidR="00870A62" w:rsidRPr="00DA2477" w14:paraId="21759403" w14:textId="77777777" w:rsidTr="00CD4033">
        <w:trPr>
          <w:trHeight w:val="300"/>
        </w:trPr>
        <w:tc>
          <w:tcPr>
            <w:tcW w:w="2540" w:type="dxa"/>
            <w:gridSpan w:val="2"/>
            <w:tcBorders>
              <w:top w:val="nil"/>
              <w:left w:val="nil"/>
              <w:bottom w:val="nil"/>
              <w:right w:val="nil"/>
            </w:tcBorders>
            <w:noWrap/>
            <w:vAlign w:val="bottom"/>
            <w:hideMark/>
          </w:tcPr>
          <w:p w14:paraId="11274EA8"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A</w:t>
            </w:r>
          </w:p>
        </w:tc>
        <w:tc>
          <w:tcPr>
            <w:tcW w:w="1980" w:type="dxa"/>
            <w:tcBorders>
              <w:top w:val="nil"/>
              <w:left w:val="nil"/>
              <w:bottom w:val="nil"/>
              <w:right w:val="nil"/>
            </w:tcBorders>
            <w:noWrap/>
            <w:vAlign w:val="bottom"/>
            <w:hideMark/>
          </w:tcPr>
          <w:p w14:paraId="2C012D98"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c>
          <w:tcPr>
            <w:tcW w:w="1760" w:type="dxa"/>
            <w:tcBorders>
              <w:top w:val="nil"/>
              <w:left w:val="nil"/>
              <w:bottom w:val="nil"/>
              <w:right w:val="nil"/>
            </w:tcBorders>
            <w:noWrap/>
            <w:vAlign w:val="bottom"/>
            <w:hideMark/>
          </w:tcPr>
          <w:p w14:paraId="443EDA4A"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3A4919F5" w14:textId="77777777" w:rsidR="00870A62" w:rsidRPr="00DA2477" w:rsidRDefault="00870A62" w:rsidP="00CD4033">
            <w:pPr>
              <w:spacing w:after="0" w:line="240" w:lineRule="auto"/>
              <w:jc w:val="center"/>
              <w:rPr>
                <w:rFonts w:eastAsia="Times New Roman" w:cs="Times New Roman"/>
                <w:sz w:val="20"/>
                <w:szCs w:val="20"/>
                <w:lang w:val="" w:eastAsia=""/>
              </w:rPr>
            </w:pPr>
          </w:p>
        </w:tc>
      </w:tr>
      <w:tr w:rsidR="00870A62" w:rsidRPr="00DA2477" w14:paraId="7ECEEA3D" w14:textId="77777777" w:rsidTr="00CD4033">
        <w:trPr>
          <w:trHeight w:val="315"/>
        </w:trPr>
        <w:tc>
          <w:tcPr>
            <w:tcW w:w="2540" w:type="dxa"/>
            <w:gridSpan w:val="2"/>
            <w:tcBorders>
              <w:top w:val="nil"/>
              <w:left w:val="nil"/>
              <w:bottom w:val="nil"/>
              <w:right w:val="nil"/>
            </w:tcBorders>
            <w:noWrap/>
            <w:vAlign w:val="bottom"/>
            <w:hideMark/>
          </w:tcPr>
          <w:p w14:paraId="36BBFFEC"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Payback Period</w:t>
            </w:r>
          </w:p>
        </w:tc>
        <w:tc>
          <w:tcPr>
            <w:tcW w:w="1980" w:type="dxa"/>
            <w:tcBorders>
              <w:top w:val="nil"/>
              <w:left w:val="nil"/>
              <w:bottom w:val="nil"/>
              <w:right w:val="nil"/>
            </w:tcBorders>
            <w:noWrap/>
            <w:vAlign w:val="bottom"/>
            <w:hideMark/>
          </w:tcPr>
          <w:p w14:paraId="6555C97D"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c>
          <w:tcPr>
            <w:tcW w:w="1760" w:type="dxa"/>
            <w:tcBorders>
              <w:top w:val="nil"/>
              <w:left w:val="nil"/>
              <w:bottom w:val="nil"/>
              <w:right w:val="nil"/>
            </w:tcBorders>
            <w:noWrap/>
            <w:vAlign w:val="bottom"/>
            <w:hideMark/>
          </w:tcPr>
          <w:p w14:paraId="271FA890"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04926239" w14:textId="77777777" w:rsidR="00870A62" w:rsidRPr="00DA2477" w:rsidRDefault="00870A62" w:rsidP="00CD4033">
            <w:pPr>
              <w:spacing w:after="0" w:line="240" w:lineRule="auto"/>
              <w:jc w:val="center"/>
              <w:rPr>
                <w:rFonts w:eastAsia="Times New Roman" w:cs="Times New Roman"/>
                <w:sz w:val="20"/>
                <w:szCs w:val="20"/>
                <w:lang w:val="" w:eastAsia=""/>
              </w:rPr>
            </w:pPr>
          </w:p>
        </w:tc>
      </w:tr>
      <w:tr w:rsidR="00870A62" w:rsidRPr="00DA2477" w14:paraId="341FE92C" w14:textId="77777777" w:rsidTr="00CD4033">
        <w:trPr>
          <w:trHeight w:val="315"/>
        </w:trPr>
        <w:tc>
          <w:tcPr>
            <w:tcW w:w="902" w:type="dxa"/>
            <w:vMerge w:val="restart"/>
            <w:tcBorders>
              <w:top w:val="single" w:sz="8" w:space="0" w:color="auto"/>
              <w:left w:val="single" w:sz="8" w:space="0" w:color="auto"/>
              <w:bottom w:val="single" w:sz="8" w:space="0" w:color="000000"/>
              <w:right w:val="single" w:sz="8" w:space="0" w:color="auto"/>
            </w:tcBorders>
            <w:noWrap/>
            <w:vAlign w:val="center"/>
            <w:hideMark/>
          </w:tcPr>
          <w:p w14:paraId="62FD1594"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Year</w:t>
            </w:r>
          </w:p>
        </w:tc>
        <w:tc>
          <w:tcPr>
            <w:tcW w:w="1638" w:type="dxa"/>
            <w:vMerge w:val="restart"/>
            <w:tcBorders>
              <w:top w:val="single" w:sz="8" w:space="0" w:color="auto"/>
              <w:left w:val="single" w:sz="8" w:space="0" w:color="auto"/>
              <w:bottom w:val="single" w:sz="8" w:space="0" w:color="000000"/>
              <w:right w:val="single" w:sz="8" w:space="0" w:color="auto"/>
            </w:tcBorders>
            <w:noWrap/>
            <w:vAlign w:val="center"/>
            <w:hideMark/>
          </w:tcPr>
          <w:p w14:paraId="2231AC81"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Cash Inflow</w:t>
            </w:r>
          </w:p>
        </w:tc>
        <w:tc>
          <w:tcPr>
            <w:tcW w:w="3740" w:type="dxa"/>
            <w:gridSpan w:val="2"/>
            <w:tcBorders>
              <w:top w:val="single" w:sz="8" w:space="0" w:color="auto"/>
              <w:left w:val="nil"/>
              <w:bottom w:val="single" w:sz="8" w:space="0" w:color="auto"/>
              <w:right w:val="single" w:sz="8" w:space="0" w:color="000000"/>
            </w:tcBorders>
            <w:noWrap/>
            <w:vAlign w:val="center"/>
            <w:hideMark/>
          </w:tcPr>
          <w:p w14:paraId="66B38D41"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Amount</w:t>
            </w:r>
          </w:p>
        </w:tc>
        <w:tc>
          <w:tcPr>
            <w:tcW w:w="1440" w:type="dxa"/>
            <w:tcBorders>
              <w:top w:val="single" w:sz="8" w:space="0" w:color="auto"/>
              <w:left w:val="nil"/>
              <w:bottom w:val="nil"/>
              <w:right w:val="single" w:sz="8" w:space="0" w:color="auto"/>
            </w:tcBorders>
            <w:noWrap/>
            <w:vAlign w:val="center"/>
            <w:hideMark/>
          </w:tcPr>
          <w:p w14:paraId="113EDFE4"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PayBack</w:t>
            </w:r>
          </w:p>
        </w:tc>
      </w:tr>
      <w:tr w:rsidR="00870A62" w:rsidRPr="00DA2477" w14:paraId="5B083914" w14:textId="77777777" w:rsidTr="00CD4033">
        <w:trPr>
          <w:trHeight w:val="315"/>
        </w:trPr>
        <w:tc>
          <w:tcPr>
            <w:tcW w:w="902" w:type="dxa"/>
            <w:vMerge/>
            <w:tcBorders>
              <w:top w:val="single" w:sz="8" w:space="0" w:color="auto"/>
              <w:left w:val="single" w:sz="8" w:space="0" w:color="auto"/>
              <w:bottom w:val="single" w:sz="8" w:space="0" w:color="000000"/>
              <w:right w:val="single" w:sz="8" w:space="0" w:color="auto"/>
            </w:tcBorders>
            <w:vAlign w:val="center"/>
            <w:hideMark/>
          </w:tcPr>
          <w:p w14:paraId="4741116E"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638" w:type="dxa"/>
            <w:vMerge/>
            <w:tcBorders>
              <w:top w:val="single" w:sz="8" w:space="0" w:color="auto"/>
              <w:left w:val="single" w:sz="8" w:space="0" w:color="auto"/>
              <w:bottom w:val="single" w:sz="8" w:space="0" w:color="000000"/>
              <w:right w:val="single" w:sz="8" w:space="0" w:color="auto"/>
            </w:tcBorders>
            <w:vAlign w:val="center"/>
            <w:hideMark/>
          </w:tcPr>
          <w:p w14:paraId="264677A3"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980" w:type="dxa"/>
            <w:tcBorders>
              <w:top w:val="nil"/>
              <w:left w:val="nil"/>
              <w:bottom w:val="single" w:sz="8" w:space="0" w:color="auto"/>
              <w:right w:val="single" w:sz="8" w:space="0" w:color="auto"/>
            </w:tcBorders>
            <w:noWrap/>
            <w:vAlign w:val="center"/>
            <w:hideMark/>
          </w:tcPr>
          <w:p w14:paraId="78687769"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Needed</w:t>
            </w:r>
          </w:p>
        </w:tc>
        <w:tc>
          <w:tcPr>
            <w:tcW w:w="1760" w:type="dxa"/>
            <w:tcBorders>
              <w:top w:val="nil"/>
              <w:left w:val="nil"/>
              <w:bottom w:val="single" w:sz="8" w:space="0" w:color="auto"/>
              <w:right w:val="single" w:sz="8" w:space="0" w:color="auto"/>
            </w:tcBorders>
            <w:noWrap/>
            <w:vAlign w:val="center"/>
            <w:hideMark/>
          </w:tcPr>
          <w:p w14:paraId="5AB9F71F"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Balance</w:t>
            </w:r>
          </w:p>
        </w:tc>
        <w:tc>
          <w:tcPr>
            <w:tcW w:w="1440" w:type="dxa"/>
            <w:tcBorders>
              <w:top w:val="single" w:sz="8" w:space="0" w:color="auto"/>
              <w:left w:val="nil"/>
              <w:bottom w:val="single" w:sz="8" w:space="0" w:color="auto"/>
              <w:right w:val="single" w:sz="8" w:space="0" w:color="auto"/>
            </w:tcBorders>
            <w:noWrap/>
            <w:vAlign w:val="center"/>
            <w:hideMark/>
          </w:tcPr>
          <w:p w14:paraId="2B4A4365"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Period</w:t>
            </w:r>
          </w:p>
        </w:tc>
      </w:tr>
      <w:tr w:rsidR="00870A62" w:rsidRPr="00DA2477" w14:paraId="618CBA00"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6582A7B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c>
          <w:tcPr>
            <w:tcW w:w="1638" w:type="dxa"/>
            <w:tcBorders>
              <w:top w:val="nil"/>
              <w:left w:val="nil"/>
              <w:bottom w:val="single" w:sz="4" w:space="0" w:color="auto"/>
              <w:right w:val="single" w:sz="4" w:space="0" w:color="auto"/>
            </w:tcBorders>
            <w:noWrap/>
            <w:vAlign w:val="bottom"/>
            <w:hideMark/>
          </w:tcPr>
          <w:p w14:paraId="6069874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10,000,000</w:t>
            </w:r>
          </w:p>
        </w:tc>
        <w:tc>
          <w:tcPr>
            <w:tcW w:w="1980" w:type="dxa"/>
            <w:tcBorders>
              <w:top w:val="nil"/>
              <w:left w:val="nil"/>
              <w:bottom w:val="single" w:sz="4" w:space="0" w:color="auto"/>
              <w:right w:val="single" w:sz="4" w:space="0" w:color="auto"/>
            </w:tcBorders>
            <w:noWrap/>
            <w:vAlign w:val="bottom"/>
            <w:hideMark/>
          </w:tcPr>
          <w:p w14:paraId="4B7685A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c>
          <w:tcPr>
            <w:tcW w:w="1760" w:type="dxa"/>
            <w:tcBorders>
              <w:top w:val="nil"/>
              <w:left w:val="nil"/>
              <w:bottom w:val="single" w:sz="4" w:space="0" w:color="auto"/>
              <w:right w:val="single" w:sz="4" w:space="0" w:color="auto"/>
            </w:tcBorders>
            <w:noWrap/>
            <w:vAlign w:val="bottom"/>
            <w:hideMark/>
          </w:tcPr>
          <w:p w14:paraId="1CF33F7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(40,000,000)</w:t>
            </w:r>
          </w:p>
        </w:tc>
        <w:tc>
          <w:tcPr>
            <w:tcW w:w="1440" w:type="dxa"/>
            <w:tcBorders>
              <w:top w:val="nil"/>
              <w:left w:val="nil"/>
              <w:bottom w:val="single" w:sz="4" w:space="0" w:color="auto"/>
              <w:right w:val="single" w:sz="4" w:space="0" w:color="auto"/>
            </w:tcBorders>
            <w:noWrap/>
            <w:vAlign w:val="bottom"/>
            <w:hideMark/>
          </w:tcPr>
          <w:p w14:paraId="3AD6E7F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r>
      <w:tr w:rsidR="00870A62" w:rsidRPr="00DA2477" w14:paraId="53C9D0C2"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6EC88DB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c>
          <w:tcPr>
            <w:tcW w:w="1638" w:type="dxa"/>
            <w:tcBorders>
              <w:top w:val="nil"/>
              <w:left w:val="nil"/>
              <w:bottom w:val="single" w:sz="4" w:space="0" w:color="auto"/>
              <w:right w:val="single" w:sz="4" w:space="0" w:color="auto"/>
            </w:tcBorders>
            <w:noWrap/>
            <w:vAlign w:val="bottom"/>
            <w:hideMark/>
          </w:tcPr>
          <w:p w14:paraId="1EF12E5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12,000,000</w:t>
            </w:r>
          </w:p>
        </w:tc>
        <w:tc>
          <w:tcPr>
            <w:tcW w:w="1980" w:type="dxa"/>
            <w:tcBorders>
              <w:top w:val="nil"/>
              <w:left w:val="nil"/>
              <w:bottom w:val="single" w:sz="4" w:space="0" w:color="auto"/>
              <w:right w:val="single" w:sz="4" w:space="0" w:color="auto"/>
            </w:tcBorders>
            <w:noWrap/>
            <w:vAlign w:val="bottom"/>
            <w:hideMark/>
          </w:tcPr>
          <w:p w14:paraId="258AEA4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(40,000,000)</w:t>
            </w:r>
          </w:p>
        </w:tc>
        <w:tc>
          <w:tcPr>
            <w:tcW w:w="1760" w:type="dxa"/>
            <w:tcBorders>
              <w:top w:val="nil"/>
              <w:left w:val="nil"/>
              <w:bottom w:val="single" w:sz="4" w:space="0" w:color="auto"/>
              <w:right w:val="single" w:sz="4" w:space="0" w:color="auto"/>
            </w:tcBorders>
            <w:noWrap/>
            <w:vAlign w:val="bottom"/>
            <w:hideMark/>
          </w:tcPr>
          <w:p w14:paraId="5D49EA7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(28,000,000)</w:t>
            </w:r>
          </w:p>
        </w:tc>
        <w:tc>
          <w:tcPr>
            <w:tcW w:w="1440" w:type="dxa"/>
            <w:tcBorders>
              <w:top w:val="nil"/>
              <w:left w:val="nil"/>
              <w:bottom w:val="single" w:sz="4" w:space="0" w:color="auto"/>
              <w:right w:val="single" w:sz="4" w:space="0" w:color="auto"/>
            </w:tcBorders>
            <w:noWrap/>
            <w:vAlign w:val="bottom"/>
            <w:hideMark/>
          </w:tcPr>
          <w:p w14:paraId="77B41D0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r>
      <w:tr w:rsidR="00870A62" w:rsidRPr="00DA2477" w14:paraId="2D37ECEA"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005A860F"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c>
          <w:tcPr>
            <w:tcW w:w="1638" w:type="dxa"/>
            <w:tcBorders>
              <w:top w:val="nil"/>
              <w:left w:val="nil"/>
              <w:bottom w:val="single" w:sz="4" w:space="0" w:color="auto"/>
              <w:right w:val="single" w:sz="4" w:space="0" w:color="auto"/>
            </w:tcBorders>
            <w:noWrap/>
            <w:vAlign w:val="bottom"/>
            <w:hideMark/>
          </w:tcPr>
          <w:p w14:paraId="2BD5B04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14,000,000</w:t>
            </w:r>
          </w:p>
        </w:tc>
        <w:tc>
          <w:tcPr>
            <w:tcW w:w="1980" w:type="dxa"/>
            <w:tcBorders>
              <w:top w:val="nil"/>
              <w:left w:val="nil"/>
              <w:bottom w:val="single" w:sz="4" w:space="0" w:color="auto"/>
              <w:right w:val="single" w:sz="4" w:space="0" w:color="auto"/>
            </w:tcBorders>
            <w:noWrap/>
            <w:vAlign w:val="bottom"/>
            <w:hideMark/>
          </w:tcPr>
          <w:p w14:paraId="3FD8BB4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(28,000,000)</w:t>
            </w:r>
          </w:p>
        </w:tc>
        <w:tc>
          <w:tcPr>
            <w:tcW w:w="1760" w:type="dxa"/>
            <w:tcBorders>
              <w:top w:val="nil"/>
              <w:left w:val="nil"/>
              <w:bottom w:val="single" w:sz="4" w:space="0" w:color="auto"/>
              <w:right w:val="single" w:sz="4" w:space="0" w:color="auto"/>
            </w:tcBorders>
            <w:noWrap/>
            <w:vAlign w:val="bottom"/>
            <w:hideMark/>
          </w:tcPr>
          <w:p w14:paraId="7894B9ED"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(14,000,000)</w:t>
            </w:r>
          </w:p>
        </w:tc>
        <w:tc>
          <w:tcPr>
            <w:tcW w:w="1440" w:type="dxa"/>
            <w:tcBorders>
              <w:top w:val="nil"/>
              <w:left w:val="nil"/>
              <w:bottom w:val="single" w:sz="4" w:space="0" w:color="auto"/>
              <w:right w:val="single" w:sz="4" w:space="0" w:color="auto"/>
            </w:tcBorders>
            <w:noWrap/>
            <w:vAlign w:val="bottom"/>
            <w:hideMark/>
          </w:tcPr>
          <w:p w14:paraId="7CADA8F6"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r>
      <w:tr w:rsidR="00870A62" w:rsidRPr="00DA2477" w14:paraId="72474F6F"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5588971C"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w:t>
            </w:r>
          </w:p>
        </w:tc>
        <w:tc>
          <w:tcPr>
            <w:tcW w:w="1638" w:type="dxa"/>
            <w:tcBorders>
              <w:top w:val="nil"/>
              <w:left w:val="nil"/>
              <w:bottom w:val="single" w:sz="4" w:space="0" w:color="auto"/>
              <w:right w:val="single" w:sz="4" w:space="0" w:color="auto"/>
            </w:tcBorders>
            <w:noWrap/>
            <w:vAlign w:val="bottom"/>
            <w:hideMark/>
          </w:tcPr>
          <w:p w14:paraId="7419FFA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10,000,000</w:t>
            </w:r>
          </w:p>
        </w:tc>
        <w:tc>
          <w:tcPr>
            <w:tcW w:w="1980" w:type="dxa"/>
            <w:tcBorders>
              <w:top w:val="nil"/>
              <w:left w:val="nil"/>
              <w:bottom w:val="single" w:sz="4" w:space="0" w:color="auto"/>
              <w:right w:val="single" w:sz="4" w:space="0" w:color="auto"/>
            </w:tcBorders>
            <w:noWrap/>
            <w:vAlign w:val="bottom"/>
            <w:hideMark/>
          </w:tcPr>
          <w:p w14:paraId="2471E537"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(14,000,000)</w:t>
            </w:r>
          </w:p>
        </w:tc>
        <w:tc>
          <w:tcPr>
            <w:tcW w:w="1760" w:type="dxa"/>
            <w:tcBorders>
              <w:top w:val="nil"/>
              <w:left w:val="nil"/>
              <w:bottom w:val="single" w:sz="4" w:space="0" w:color="auto"/>
              <w:right w:val="single" w:sz="4" w:space="0" w:color="auto"/>
            </w:tcBorders>
            <w:noWrap/>
            <w:vAlign w:val="bottom"/>
            <w:hideMark/>
          </w:tcPr>
          <w:p w14:paraId="40733B55"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(4,000,000)</w:t>
            </w:r>
          </w:p>
        </w:tc>
        <w:tc>
          <w:tcPr>
            <w:tcW w:w="1440" w:type="dxa"/>
            <w:tcBorders>
              <w:top w:val="nil"/>
              <w:left w:val="nil"/>
              <w:bottom w:val="single" w:sz="4" w:space="0" w:color="auto"/>
              <w:right w:val="single" w:sz="4" w:space="0" w:color="auto"/>
            </w:tcBorders>
            <w:noWrap/>
            <w:vAlign w:val="bottom"/>
            <w:hideMark/>
          </w:tcPr>
          <w:p w14:paraId="1FB8093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w:t>
            </w:r>
          </w:p>
        </w:tc>
      </w:tr>
      <w:tr w:rsidR="00870A62" w:rsidRPr="00DA2477" w14:paraId="59AD2CE2"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34BF533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w:t>
            </w:r>
          </w:p>
        </w:tc>
        <w:tc>
          <w:tcPr>
            <w:tcW w:w="1638" w:type="dxa"/>
            <w:tcBorders>
              <w:top w:val="nil"/>
              <w:left w:val="nil"/>
              <w:bottom w:val="single" w:sz="4" w:space="0" w:color="auto"/>
              <w:right w:val="single" w:sz="4" w:space="0" w:color="auto"/>
            </w:tcBorders>
            <w:noWrap/>
            <w:vAlign w:val="bottom"/>
            <w:hideMark/>
          </w:tcPr>
          <w:p w14:paraId="2AE7D1B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8,000,000</w:t>
            </w:r>
          </w:p>
        </w:tc>
        <w:tc>
          <w:tcPr>
            <w:tcW w:w="1980" w:type="dxa"/>
            <w:tcBorders>
              <w:top w:val="nil"/>
              <w:left w:val="nil"/>
              <w:bottom w:val="single" w:sz="4" w:space="0" w:color="auto"/>
              <w:right w:val="single" w:sz="4" w:space="0" w:color="auto"/>
            </w:tcBorders>
            <w:noWrap/>
            <w:vAlign w:val="bottom"/>
            <w:hideMark/>
          </w:tcPr>
          <w:p w14:paraId="1A658C4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(4,000,000)</w:t>
            </w:r>
          </w:p>
        </w:tc>
        <w:tc>
          <w:tcPr>
            <w:tcW w:w="1760" w:type="dxa"/>
            <w:tcBorders>
              <w:top w:val="nil"/>
              <w:left w:val="nil"/>
              <w:bottom w:val="single" w:sz="4" w:space="0" w:color="auto"/>
              <w:right w:val="single" w:sz="4" w:space="0" w:color="auto"/>
            </w:tcBorders>
            <w:noWrap/>
            <w:vAlign w:val="bottom"/>
            <w:hideMark/>
          </w:tcPr>
          <w:p w14:paraId="44C2A8F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4,000,000</w:t>
            </w:r>
          </w:p>
        </w:tc>
        <w:tc>
          <w:tcPr>
            <w:tcW w:w="1440" w:type="dxa"/>
            <w:tcBorders>
              <w:top w:val="nil"/>
              <w:left w:val="nil"/>
              <w:bottom w:val="single" w:sz="4" w:space="0" w:color="auto"/>
              <w:right w:val="single" w:sz="4" w:space="0" w:color="auto"/>
            </w:tcBorders>
            <w:noWrap/>
            <w:vAlign w:val="bottom"/>
            <w:hideMark/>
          </w:tcPr>
          <w:p w14:paraId="7AD85E78" w14:textId="77777777" w:rsidR="00870A62" w:rsidRPr="00DA2477" w:rsidRDefault="00870A62" w:rsidP="00CD4033">
            <w:pPr>
              <w:spacing w:after="0" w:line="240" w:lineRule="auto"/>
              <w:jc w:val="center"/>
              <w:rPr>
                <w:rFonts w:eastAsia="Times New Roman" w:cs="Times New Roman"/>
                <w:szCs w:val="24"/>
                <w:lang w:val="" w:eastAsia=""/>
              </w:rPr>
            </w:pPr>
          </w:p>
        </w:tc>
      </w:tr>
    </w:tbl>
    <w:p w14:paraId="639FCDB7" w14:textId="77777777" w:rsidR="00870A62" w:rsidRPr="00DA2477" w:rsidRDefault="00870A62" w:rsidP="00870A62">
      <w:pPr>
        <w:tabs>
          <w:tab w:val="left" w:pos="2940"/>
        </w:tabs>
        <w:ind w:left="360"/>
        <w:rPr>
          <w:rFonts w:cs="Times New Roman"/>
          <w:b/>
          <w:bCs/>
        </w:rPr>
      </w:pPr>
    </w:p>
    <w:p w14:paraId="04A3C9BD" w14:textId="77777777" w:rsidR="00870A62" w:rsidRPr="00DA2477" w:rsidRDefault="00870A62" w:rsidP="00870A62">
      <w:pPr>
        <w:tabs>
          <w:tab w:val="left" w:pos="2940"/>
        </w:tabs>
        <w:ind w:left="360"/>
        <w:rPr>
          <w:rFonts w:cs="Times New Roman"/>
          <w:b/>
          <w:bCs/>
        </w:rPr>
      </w:pPr>
      <w:r w:rsidRPr="00DA2477">
        <w:rPr>
          <w:rFonts w:cs="Times New Roman"/>
          <w:b/>
          <w:bCs/>
        </w:rPr>
        <w:t xml:space="preserve">Working = 4,000,000 / 8,000,000 = 0.5 </w:t>
      </w:r>
    </w:p>
    <w:p w14:paraId="1A7F0C7D" w14:textId="77777777" w:rsidR="00870A62" w:rsidRDefault="00870A62" w:rsidP="00870A62">
      <w:pPr>
        <w:tabs>
          <w:tab w:val="left" w:pos="2940"/>
        </w:tabs>
        <w:ind w:left="360"/>
        <w:rPr>
          <w:rFonts w:cs="Times New Roman"/>
        </w:rPr>
      </w:pPr>
      <w:r w:rsidRPr="00DA2477">
        <w:rPr>
          <w:rFonts w:cs="Times New Roman"/>
        </w:rPr>
        <w:t>Payback period for Project A = 4.5 years.</w:t>
      </w:r>
    </w:p>
    <w:p w14:paraId="170ECD10" w14:textId="77777777" w:rsidR="00870A62" w:rsidRDefault="00870A62" w:rsidP="00870A62">
      <w:pPr>
        <w:tabs>
          <w:tab w:val="left" w:pos="2940"/>
        </w:tabs>
        <w:ind w:left="360"/>
        <w:rPr>
          <w:rFonts w:cs="Times New Roman"/>
        </w:rPr>
      </w:pPr>
    </w:p>
    <w:p w14:paraId="2DDD9463" w14:textId="77777777" w:rsidR="00870A62" w:rsidRDefault="00870A62" w:rsidP="00870A62">
      <w:pPr>
        <w:tabs>
          <w:tab w:val="left" w:pos="2940"/>
        </w:tabs>
        <w:ind w:left="360"/>
        <w:rPr>
          <w:rFonts w:cs="Times New Roman"/>
        </w:rPr>
      </w:pPr>
    </w:p>
    <w:p w14:paraId="28926EEF" w14:textId="77777777" w:rsidR="00870A62" w:rsidRPr="00DA2477" w:rsidRDefault="00870A62" w:rsidP="00870A62">
      <w:pPr>
        <w:tabs>
          <w:tab w:val="left" w:pos="2940"/>
        </w:tabs>
        <w:ind w:left="360"/>
        <w:rPr>
          <w:rFonts w:cs="Times New Roman"/>
        </w:rPr>
      </w:pPr>
    </w:p>
    <w:tbl>
      <w:tblPr>
        <w:tblW w:w="7720" w:type="dxa"/>
        <w:tblLook w:val="04A0" w:firstRow="1" w:lastRow="0" w:firstColumn="1" w:lastColumn="0" w:noHBand="0" w:noVBand="1"/>
      </w:tblPr>
      <w:tblGrid>
        <w:gridCol w:w="902"/>
        <w:gridCol w:w="1638"/>
        <w:gridCol w:w="1980"/>
        <w:gridCol w:w="1760"/>
        <w:gridCol w:w="1440"/>
      </w:tblGrid>
      <w:tr w:rsidR="00870A62" w:rsidRPr="00DA2477" w14:paraId="1C0975CD" w14:textId="77777777" w:rsidTr="00CD4033">
        <w:trPr>
          <w:trHeight w:val="300"/>
        </w:trPr>
        <w:tc>
          <w:tcPr>
            <w:tcW w:w="2540" w:type="dxa"/>
            <w:gridSpan w:val="2"/>
            <w:tcBorders>
              <w:top w:val="nil"/>
              <w:left w:val="nil"/>
              <w:bottom w:val="nil"/>
              <w:right w:val="nil"/>
            </w:tcBorders>
            <w:noWrap/>
            <w:vAlign w:val="bottom"/>
            <w:hideMark/>
          </w:tcPr>
          <w:p w14:paraId="14B69FEB"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lastRenderedPageBreak/>
              <w:t>Project B</w:t>
            </w:r>
          </w:p>
        </w:tc>
        <w:tc>
          <w:tcPr>
            <w:tcW w:w="1980" w:type="dxa"/>
            <w:tcBorders>
              <w:top w:val="nil"/>
              <w:left w:val="nil"/>
              <w:bottom w:val="nil"/>
              <w:right w:val="nil"/>
            </w:tcBorders>
            <w:noWrap/>
            <w:vAlign w:val="bottom"/>
            <w:hideMark/>
          </w:tcPr>
          <w:p w14:paraId="3D21ACB9"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c>
          <w:tcPr>
            <w:tcW w:w="1760" w:type="dxa"/>
            <w:tcBorders>
              <w:top w:val="nil"/>
              <w:left w:val="nil"/>
              <w:bottom w:val="nil"/>
              <w:right w:val="nil"/>
            </w:tcBorders>
            <w:noWrap/>
            <w:vAlign w:val="bottom"/>
            <w:hideMark/>
          </w:tcPr>
          <w:p w14:paraId="4FEC1171"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2E660CE5" w14:textId="77777777" w:rsidR="00870A62" w:rsidRPr="00DA2477" w:rsidRDefault="00870A62" w:rsidP="00CD4033">
            <w:pPr>
              <w:spacing w:after="0" w:line="240" w:lineRule="auto"/>
              <w:jc w:val="center"/>
              <w:rPr>
                <w:rFonts w:eastAsia="Times New Roman" w:cs="Times New Roman"/>
                <w:sz w:val="20"/>
                <w:szCs w:val="20"/>
                <w:lang w:val="" w:eastAsia=""/>
              </w:rPr>
            </w:pPr>
          </w:p>
        </w:tc>
      </w:tr>
      <w:tr w:rsidR="00870A62" w:rsidRPr="00DA2477" w14:paraId="14E7BAEF" w14:textId="77777777" w:rsidTr="00CD4033">
        <w:trPr>
          <w:trHeight w:val="315"/>
        </w:trPr>
        <w:tc>
          <w:tcPr>
            <w:tcW w:w="2540" w:type="dxa"/>
            <w:gridSpan w:val="2"/>
            <w:tcBorders>
              <w:top w:val="nil"/>
              <w:left w:val="nil"/>
              <w:bottom w:val="nil"/>
              <w:right w:val="nil"/>
            </w:tcBorders>
            <w:noWrap/>
            <w:vAlign w:val="bottom"/>
            <w:hideMark/>
          </w:tcPr>
          <w:p w14:paraId="31F8ED53"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Payback Period</w:t>
            </w:r>
          </w:p>
        </w:tc>
        <w:tc>
          <w:tcPr>
            <w:tcW w:w="1980" w:type="dxa"/>
            <w:tcBorders>
              <w:top w:val="nil"/>
              <w:left w:val="nil"/>
              <w:bottom w:val="nil"/>
              <w:right w:val="nil"/>
            </w:tcBorders>
            <w:noWrap/>
            <w:vAlign w:val="bottom"/>
            <w:hideMark/>
          </w:tcPr>
          <w:p w14:paraId="35B5574E"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c>
          <w:tcPr>
            <w:tcW w:w="1760" w:type="dxa"/>
            <w:tcBorders>
              <w:top w:val="nil"/>
              <w:left w:val="nil"/>
              <w:bottom w:val="nil"/>
              <w:right w:val="nil"/>
            </w:tcBorders>
            <w:noWrap/>
            <w:vAlign w:val="bottom"/>
            <w:hideMark/>
          </w:tcPr>
          <w:p w14:paraId="08E31020"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09EE455D" w14:textId="77777777" w:rsidR="00870A62" w:rsidRPr="00DA2477" w:rsidRDefault="00870A62" w:rsidP="00CD4033">
            <w:pPr>
              <w:spacing w:after="0" w:line="240" w:lineRule="auto"/>
              <w:jc w:val="center"/>
              <w:rPr>
                <w:rFonts w:eastAsia="Times New Roman" w:cs="Times New Roman"/>
                <w:sz w:val="20"/>
                <w:szCs w:val="20"/>
                <w:lang w:val="" w:eastAsia=""/>
              </w:rPr>
            </w:pPr>
          </w:p>
        </w:tc>
      </w:tr>
      <w:tr w:rsidR="00870A62" w:rsidRPr="00DA2477" w14:paraId="14592D94" w14:textId="77777777" w:rsidTr="00CD4033">
        <w:trPr>
          <w:trHeight w:val="315"/>
        </w:trPr>
        <w:tc>
          <w:tcPr>
            <w:tcW w:w="902" w:type="dxa"/>
            <w:vMerge w:val="restart"/>
            <w:tcBorders>
              <w:top w:val="single" w:sz="8" w:space="0" w:color="auto"/>
              <w:left w:val="single" w:sz="8" w:space="0" w:color="auto"/>
              <w:bottom w:val="single" w:sz="8" w:space="0" w:color="000000"/>
              <w:right w:val="single" w:sz="8" w:space="0" w:color="auto"/>
            </w:tcBorders>
            <w:noWrap/>
            <w:vAlign w:val="center"/>
            <w:hideMark/>
          </w:tcPr>
          <w:p w14:paraId="18FB1481"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Year</w:t>
            </w:r>
          </w:p>
        </w:tc>
        <w:tc>
          <w:tcPr>
            <w:tcW w:w="1638" w:type="dxa"/>
            <w:vMerge w:val="restart"/>
            <w:tcBorders>
              <w:top w:val="single" w:sz="8" w:space="0" w:color="auto"/>
              <w:left w:val="single" w:sz="8" w:space="0" w:color="auto"/>
              <w:bottom w:val="single" w:sz="8" w:space="0" w:color="000000"/>
              <w:right w:val="single" w:sz="8" w:space="0" w:color="auto"/>
            </w:tcBorders>
            <w:noWrap/>
            <w:vAlign w:val="center"/>
            <w:hideMark/>
          </w:tcPr>
          <w:p w14:paraId="734E5CBF"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Cash Inflow</w:t>
            </w:r>
          </w:p>
        </w:tc>
        <w:tc>
          <w:tcPr>
            <w:tcW w:w="3740" w:type="dxa"/>
            <w:gridSpan w:val="2"/>
            <w:tcBorders>
              <w:top w:val="single" w:sz="8" w:space="0" w:color="auto"/>
              <w:left w:val="nil"/>
              <w:bottom w:val="single" w:sz="8" w:space="0" w:color="auto"/>
              <w:right w:val="single" w:sz="8" w:space="0" w:color="000000"/>
            </w:tcBorders>
            <w:noWrap/>
            <w:vAlign w:val="center"/>
            <w:hideMark/>
          </w:tcPr>
          <w:p w14:paraId="2048FAF5"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Amount</w:t>
            </w:r>
          </w:p>
        </w:tc>
        <w:tc>
          <w:tcPr>
            <w:tcW w:w="1440" w:type="dxa"/>
            <w:tcBorders>
              <w:top w:val="single" w:sz="8" w:space="0" w:color="auto"/>
              <w:left w:val="nil"/>
              <w:bottom w:val="nil"/>
              <w:right w:val="single" w:sz="8" w:space="0" w:color="auto"/>
            </w:tcBorders>
            <w:noWrap/>
            <w:vAlign w:val="center"/>
            <w:hideMark/>
          </w:tcPr>
          <w:p w14:paraId="2AD04E50"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PayBack</w:t>
            </w:r>
          </w:p>
        </w:tc>
      </w:tr>
      <w:tr w:rsidR="00870A62" w:rsidRPr="00DA2477" w14:paraId="58C1DC31" w14:textId="77777777" w:rsidTr="00CD4033">
        <w:trPr>
          <w:trHeight w:val="315"/>
        </w:trPr>
        <w:tc>
          <w:tcPr>
            <w:tcW w:w="902" w:type="dxa"/>
            <w:vMerge/>
            <w:tcBorders>
              <w:top w:val="single" w:sz="8" w:space="0" w:color="auto"/>
              <w:left w:val="single" w:sz="8" w:space="0" w:color="auto"/>
              <w:bottom w:val="single" w:sz="8" w:space="0" w:color="000000"/>
              <w:right w:val="single" w:sz="8" w:space="0" w:color="auto"/>
            </w:tcBorders>
            <w:vAlign w:val="center"/>
            <w:hideMark/>
          </w:tcPr>
          <w:p w14:paraId="3C364A6D"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638" w:type="dxa"/>
            <w:vMerge/>
            <w:tcBorders>
              <w:top w:val="single" w:sz="8" w:space="0" w:color="auto"/>
              <w:left w:val="single" w:sz="8" w:space="0" w:color="auto"/>
              <w:bottom w:val="single" w:sz="8" w:space="0" w:color="000000"/>
              <w:right w:val="single" w:sz="8" w:space="0" w:color="auto"/>
            </w:tcBorders>
            <w:vAlign w:val="center"/>
            <w:hideMark/>
          </w:tcPr>
          <w:p w14:paraId="09D21244"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980" w:type="dxa"/>
            <w:tcBorders>
              <w:top w:val="nil"/>
              <w:left w:val="nil"/>
              <w:bottom w:val="single" w:sz="8" w:space="0" w:color="auto"/>
              <w:right w:val="single" w:sz="8" w:space="0" w:color="auto"/>
            </w:tcBorders>
            <w:noWrap/>
            <w:vAlign w:val="center"/>
            <w:hideMark/>
          </w:tcPr>
          <w:p w14:paraId="5B1365EF"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Needed</w:t>
            </w:r>
          </w:p>
        </w:tc>
        <w:tc>
          <w:tcPr>
            <w:tcW w:w="1760" w:type="dxa"/>
            <w:tcBorders>
              <w:top w:val="nil"/>
              <w:left w:val="nil"/>
              <w:bottom w:val="single" w:sz="8" w:space="0" w:color="auto"/>
              <w:right w:val="single" w:sz="8" w:space="0" w:color="auto"/>
            </w:tcBorders>
            <w:noWrap/>
            <w:vAlign w:val="center"/>
            <w:hideMark/>
          </w:tcPr>
          <w:p w14:paraId="123A7A9D"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Balance</w:t>
            </w:r>
          </w:p>
        </w:tc>
        <w:tc>
          <w:tcPr>
            <w:tcW w:w="1440" w:type="dxa"/>
            <w:tcBorders>
              <w:top w:val="single" w:sz="8" w:space="0" w:color="auto"/>
              <w:left w:val="nil"/>
              <w:bottom w:val="single" w:sz="8" w:space="0" w:color="auto"/>
              <w:right w:val="single" w:sz="8" w:space="0" w:color="auto"/>
            </w:tcBorders>
            <w:noWrap/>
            <w:vAlign w:val="center"/>
            <w:hideMark/>
          </w:tcPr>
          <w:p w14:paraId="687E8504"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Period</w:t>
            </w:r>
          </w:p>
        </w:tc>
      </w:tr>
      <w:tr w:rsidR="00870A62" w:rsidRPr="00DA2477" w14:paraId="640E94D7"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202939A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c>
          <w:tcPr>
            <w:tcW w:w="1638" w:type="dxa"/>
            <w:tcBorders>
              <w:top w:val="nil"/>
              <w:left w:val="nil"/>
              <w:bottom w:val="single" w:sz="4" w:space="0" w:color="auto"/>
              <w:right w:val="single" w:sz="4" w:space="0" w:color="auto"/>
            </w:tcBorders>
            <w:noWrap/>
            <w:vAlign w:val="bottom"/>
            <w:hideMark/>
          </w:tcPr>
          <w:p w14:paraId="6895FDE1"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5D3999BF"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c>
          <w:tcPr>
            <w:tcW w:w="1760" w:type="dxa"/>
            <w:tcBorders>
              <w:top w:val="nil"/>
              <w:left w:val="nil"/>
              <w:bottom w:val="single" w:sz="4" w:space="0" w:color="auto"/>
              <w:right w:val="single" w:sz="4" w:space="0" w:color="auto"/>
            </w:tcBorders>
            <w:noWrap/>
            <w:vAlign w:val="bottom"/>
            <w:hideMark/>
          </w:tcPr>
          <w:p w14:paraId="05CC1BA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(39,000,000)</w:t>
            </w:r>
          </w:p>
        </w:tc>
        <w:tc>
          <w:tcPr>
            <w:tcW w:w="1440" w:type="dxa"/>
            <w:tcBorders>
              <w:top w:val="nil"/>
              <w:left w:val="nil"/>
              <w:bottom w:val="single" w:sz="4" w:space="0" w:color="auto"/>
              <w:right w:val="single" w:sz="4" w:space="0" w:color="auto"/>
            </w:tcBorders>
            <w:noWrap/>
            <w:vAlign w:val="bottom"/>
            <w:hideMark/>
          </w:tcPr>
          <w:p w14:paraId="024D219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r>
      <w:tr w:rsidR="00870A62" w:rsidRPr="00DA2477" w14:paraId="33619AFF"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1E70E70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c>
          <w:tcPr>
            <w:tcW w:w="1638" w:type="dxa"/>
            <w:tcBorders>
              <w:top w:val="nil"/>
              <w:left w:val="nil"/>
              <w:bottom w:val="single" w:sz="4" w:space="0" w:color="auto"/>
              <w:right w:val="single" w:sz="4" w:space="0" w:color="auto"/>
            </w:tcBorders>
            <w:noWrap/>
            <w:vAlign w:val="bottom"/>
            <w:hideMark/>
          </w:tcPr>
          <w:p w14:paraId="6C5BF01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1E16F941"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(39,000,000)</w:t>
            </w:r>
          </w:p>
        </w:tc>
        <w:tc>
          <w:tcPr>
            <w:tcW w:w="1760" w:type="dxa"/>
            <w:tcBorders>
              <w:top w:val="nil"/>
              <w:left w:val="nil"/>
              <w:bottom w:val="single" w:sz="4" w:space="0" w:color="auto"/>
              <w:right w:val="single" w:sz="4" w:space="0" w:color="auto"/>
            </w:tcBorders>
            <w:noWrap/>
            <w:vAlign w:val="bottom"/>
            <w:hideMark/>
          </w:tcPr>
          <w:p w14:paraId="7264E3FD"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(28,000,000)</w:t>
            </w:r>
          </w:p>
        </w:tc>
        <w:tc>
          <w:tcPr>
            <w:tcW w:w="1440" w:type="dxa"/>
            <w:tcBorders>
              <w:top w:val="nil"/>
              <w:left w:val="nil"/>
              <w:bottom w:val="single" w:sz="4" w:space="0" w:color="auto"/>
              <w:right w:val="single" w:sz="4" w:space="0" w:color="auto"/>
            </w:tcBorders>
            <w:noWrap/>
            <w:vAlign w:val="bottom"/>
            <w:hideMark/>
          </w:tcPr>
          <w:p w14:paraId="238B55A7"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r>
      <w:tr w:rsidR="00870A62" w:rsidRPr="00DA2477" w14:paraId="1E78BE8D"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4283EC5F"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c>
          <w:tcPr>
            <w:tcW w:w="1638" w:type="dxa"/>
            <w:tcBorders>
              <w:top w:val="nil"/>
              <w:left w:val="nil"/>
              <w:bottom w:val="single" w:sz="4" w:space="0" w:color="auto"/>
              <w:right w:val="single" w:sz="4" w:space="0" w:color="auto"/>
            </w:tcBorders>
            <w:noWrap/>
            <w:vAlign w:val="bottom"/>
            <w:hideMark/>
          </w:tcPr>
          <w:p w14:paraId="5A0FDA2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2D308AE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(28,000,000)</w:t>
            </w:r>
          </w:p>
        </w:tc>
        <w:tc>
          <w:tcPr>
            <w:tcW w:w="1760" w:type="dxa"/>
            <w:tcBorders>
              <w:top w:val="nil"/>
              <w:left w:val="nil"/>
              <w:bottom w:val="single" w:sz="4" w:space="0" w:color="auto"/>
              <w:right w:val="single" w:sz="4" w:space="0" w:color="auto"/>
            </w:tcBorders>
            <w:noWrap/>
            <w:vAlign w:val="bottom"/>
            <w:hideMark/>
          </w:tcPr>
          <w:p w14:paraId="3A4E2C2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(17,000,000)</w:t>
            </w:r>
          </w:p>
        </w:tc>
        <w:tc>
          <w:tcPr>
            <w:tcW w:w="1440" w:type="dxa"/>
            <w:tcBorders>
              <w:top w:val="nil"/>
              <w:left w:val="nil"/>
              <w:bottom w:val="single" w:sz="4" w:space="0" w:color="auto"/>
              <w:right w:val="single" w:sz="4" w:space="0" w:color="auto"/>
            </w:tcBorders>
            <w:noWrap/>
            <w:vAlign w:val="bottom"/>
            <w:hideMark/>
          </w:tcPr>
          <w:p w14:paraId="64013C7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r>
      <w:tr w:rsidR="00870A62" w:rsidRPr="00DA2477" w14:paraId="7A182863"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1932F89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w:t>
            </w:r>
          </w:p>
        </w:tc>
        <w:tc>
          <w:tcPr>
            <w:tcW w:w="1638" w:type="dxa"/>
            <w:tcBorders>
              <w:top w:val="nil"/>
              <w:left w:val="nil"/>
              <w:bottom w:val="single" w:sz="4" w:space="0" w:color="auto"/>
              <w:right w:val="single" w:sz="4" w:space="0" w:color="auto"/>
            </w:tcBorders>
            <w:noWrap/>
            <w:vAlign w:val="bottom"/>
            <w:hideMark/>
          </w:tcPr>
          <w:p w14:paraId="5377C31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348474C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(17,000,000)</w:t>
            </w:r>
          </w:p>
        </w:tc>
        <w:tc>
          <w:tcPr>
            <w:tcW w:w="1760" w:type="dxa"/>
            <w:tcBorders>
              <w:top w:val="nil"/>
              <w:left w:val="nil"/>
              <w:bottom w:val="single" w:sz="4" w:space="0" w:color="auto"/>
              <w:right w:val="single" w:sz="4" w:space="0" w:color="auto"/>
            </w:tcBorders>
            <w:noWrap/>
            <w:vAlign w:val="bottom"/>
            <w:hideMark/>
          </w:tcPr>
          <w:p w14:paraId="58815A0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(6,000,000)</w:t>
            </w:r>
          </w:p>
        </w:tc>
        <w:tc>
          <w:tcPr>
            <w:tcW w:w="1440" w:type="dxa"/>
            <w:tcBorders>
              <w:top w:val="nil"/>
              <w:left w:val="nil"/>
              <w:bottom w:val="single" w:sz="4" w:space="0" w:color="auto"/>
              <w:right w:val="single" w:sz="4" w:space="0" w:color="auto"/>
            </w:tcBorders>
            <w:noWrap/>
            <w:vAlign w:val="bottom"/>
            <w:hideMark/>
          </w:tcPr>
          <w:p w14:paraId="75668C1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w:t>
            </w:r>
          </w:p>
        </w:tc>
      </w:tr>
      <w:tr w:rsidR="00870A62" w:rsidRPr="00DA2477" w14:paraId="2B372017"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0BD2516F"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w:t>
            </w:r>
          </w:p>
        </w:tc>
        <w:tc>
          <w:tcPr>
            <w:tcW w:w="1638" w:type="dxa"/>
            <w:tcBorders>
              <w:top w:val="nil"/>
              <w:left w:val="nil"/>
              <w:bottom w:val="single" w:sz="4" w:space="0" w:color="auto"/>
              <w:right w:val="single" w:sz="4" w:space="0" w:color="auto"/>
            </w:tcBorders>
            <w:noWrap/>
            <w:vAlign w:val="bottom"/>
            <w:hideMark/>
          </w:tcPr>
          <w:p w14:paraId="1E8ABF5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4BDBCA1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(6,000,000)</w:t>
            </w:r>
          </w:p>
        </w:tc>
        <w:tc>
          <w:tcPr>
            <w:tcW w:w="1760" w:type="dxa"/>
            <w:tcBorders>
              <w:top w:val="nil"/>
              <w:left w:val="nil"/>
              <w:bottom w:val="single" w:sz="4" w:space="0" w:color="auto"/>
              <w:right w:val="single" w:sz="4" w:space="0" w:color="auto"/>
            </w:tcBorders>
            <w:noWrap/>
            <w:vAlign w:val="bottom"/>
            <w:hideMark/>
          </w:tcPr>
          <w:p w14:paraId="49E4D1DC"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w:t>
            </w:r>
          </w:p>
        </w:tc>
        <w:tc>
          <w:tcPr>
            <w:tcW w:w="1440" w:type="dxa"/>
            <w:tcBorders>
              <w:top w:val="nil"/>
              <w:left w:val="nil"/>
              <w:bottom w:val="single" w:sz="4" w:space="0" w:color="auto"/>
              <w:right w:val="single" w:sz="4" w:space="0" w:color="auto"/>
            </w:tcBorders>
            <w:noWrap/>
            <w:vAlign w:val="bottom"/>
            <w:hideMark/>
          </w:tcPr>
          <w:p w14:paraId="6A53C846" w14:textId="77777777" w:rsidR="00870A62" w:rsidRPr="00DA2477" w:rsidRDefault="00870A62" w:rsidP="00CD4033">
            <w:pPr>
              <w:spacing w:after="0" w:line="240" w:lineRule="auto"/>
              <w:jc w:val="center"/>
              <w:rPr>
                <w:rFonts w:eastAsia="Times New Roman" w:cs="Times New Roman"/>
                <w:szCs w:val="24"/>
                <w:lang w:val="" w:eastAsia=""/>
              </w:rPr>
            </w:pPr>
          </w:p>
        </w:tc>
      </w:tr>
    </w:tbl>
    <w:p w14:paraId="7CD6D317" w14:textId="77777777" w:rsidR="00870A62" w:rsidRPr="00DA2477" w:rsidRDefault="00870A62" w:rsidP="00870A62">
      <w:pPr>
        <w:tabs>
          <w:tab w:val="left" w:pos="2940"/>
        </w:tabs>
        <w:ind w:left="360"/>
        <w:rPr>
          <w:rFonts w:cs="Times New Roman"/>
          <w:b/>
          <w:bCs/>
        </w:rPr>
      </w:pPr>
    </w:p>
    <w:p w14:paraId="586D1729" w14:textId="77777777" w:rsidR="00870A62" w:rsidRPr="00DA2477" w:rsidRDefault="00870A62" w:rsidP="00870A62">
      <w:pPr>
        <w:tabs>
          <w:tab w:val="left" w:pos="2940"/>
        </w:tabs>
        <w:ind w:left="360"/>
        <w:rPr>
          <w:rFonts w:cs="Times New Roman"/>
          <w:b/>
          <w:bCs/>
        </w:rPr>
      </w:pPr>
      <w:r w:rsidRPr="00DA2477">
        <w:rPr>
          <w:rFonts w:cs="Times New Roman"/>
          <w:b/>
          <w:bCs/>
        </w:rPr>
        <w:t xml:space="preserve">Working = 6,000,000 / 11,000,000 = 0.5455 </w:t>
      </w:r>
    </w:p>
    <w:p w14:paraId="6C1E58D5" w14:textId="77777777" w:rsidR="00870A62" w:rsidRPr="00DA2477" w:rsidRDefault="00870A62" w:rsidP="00870A62">
      <w:pPr>
        <w:tabs>
          <w:tab w:val="left" w:pos="2940"/>
        </w:tabs>
        <w:ind w:left="360"/>
        <w:rPr>
          <w:rFonts w:cs="Times New Roman"/>
        </w:rPr>
      </w:pPr>
      <w:r w:rsidRPr="00DA2477">
        <w:rPr>
          <w:rFonts w:cs="Times New Roman"/>
        </w:rPr>
        <w:t>Payback period for Project A = 4.5455 years</w:t>
      </w:r>
    </w:p>
    <w:tbl>
      <w:tblPr>
        <w:tblW w:w="7720" w:type="dxa"/>
        <w:tblLook w:val="04A0" w:firstRow="1" w:lastRow="0" w:firstColumn="1" w:lastColumn="0" w:noHBand="0" w:noVBand="1"/>
      </w:tblPr>
      <w:tblGrid>
        <w:gridCol w:w="902"/>
        <w:gridCol w:w="1638"/>
        <w:gridCol w:w="1980"/>
        <w:gridCol w:w="1760"/>
        <w:gridCol w:w="1440"/>
      </w:tblGrid>
      <w:tr w:rsidR="00870A62" w:rsidRPr="00DA2477" w14:paraId="1457F52D" w14:textId="77777777" w:rsidTr="00CD4033">
        <w:trPr>
          <w:trHeight w:val="300"/>
        </w:trPr>
        <w:tc>
          <w:tcPr>
            <w:tcW w:w="2540" w:type="dxa"/>
            <w:gridSpan w:val="2"/>
            <w:tcBorders>
              <w:top w:val="nil"/>
              <w:left w:val="nil"/>
              <w:bottom w:val="nil"/>
              <w:right w:val="nil"/>
            </w:tcBorders>
            <w:noWrap/>
            <w:vAlign w:val="bottom"/>
            <w:hideMark/>
          </w:tcPr>
          <w:p w14:paraId="6342D485"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C</w:t>
            </w:r>
          </w:p>
        </w:tc>
        <w:tc>
          <w:tcPr>
            <w:tcW w:w="1980" w:type="dxa"/>
            <w:tcBorders>
              <w:top w:val="nil"/>
              <w:left w:val="nil"/>
              <w:bottom w:val="nil"/>
              <w:right w:val="nil"/>
            </w:tcBorders>
            <w:noWrap/>
            <w:vAlign w:val="bottom"/>
            <w:hideMark/>
          </w:tcPr>
          <w:p w14:paraId="15DFD6CC"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c>
          <w:tcPr>
            <w:tcW w:w="1760" w:type="dxa"/>
            <w:tcBorders>
              <w:top w:val="nil"/>
              <w:left w:val="nil"/>
              <w:bottom w:val="nil"/>
              <w:right w:val="nil"/>
            </w:tcBorders>
            <w:noWrap/>
            <w:vAlign w:val="bottom"/>
            <w:hideMark/>
          </w:tcPr>
          <w:p w14:paraId="474019D7"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012C1CC2" w14:textId="77777777" w:rsidR="00870A62" w:rsidRPr="00DA2477" w:rsidRDefault="00870A62" w:rsidP="00CD4033">
            <w:pPr>
              <w:spacing w:after="0" w:line="240" w:lineRule="auto"/>
              <w:jc w:val="center"/>
              <w:rPr>
                <w:rFonts w:eastAsia="Times New Roman" w:cs="Times New Roman"/>
                <w:sz w:val="20"/>
                <w:szCs w:val="20"/>
                <w:lang w:val="" w:eastAsia=""/>
              </w:rPr>
            </w:pPr>
          </w:p>
        </w:tc>
      </w:tr>
      <w:tr w:rsidR="00870A62" w:rsidRPr="00DA2477" w14:paraId="13BD780A" w14:textId="77777777" w:rsidTr="00CD4033">
        <w:trPr>
          <w:trHeight w:val="315"/>
        </w:trPr>
        <w:tc>
          <w:tcPr>
            <w:tcW w:w="2540" w:type="dxa"/>
            <w:gridSpan w:val="2"/>
            <w:tcBorders>
              <w:top w:val="nil"/>
              <w:left w:val="nil"/>
              <w:bottom w:val="nil"/>
              <w:right w:val="nil"/>
            </w:tcBorders>
            <w:noWrap/>
            <w:vAlign w:val="bottom"/>
            <w:hideMark/>
          </w:tcPr>
          <w:p w14:paraId="0D6589C2"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Payback Period</w:t>
            </w:r>
          </w:p>
        </w:tc>
        <w:tc>
          <w:tcPr>
            <w:tcW w:w="1980" w:type="dxa"/>
            <w:tcBorders>
              <w:top w:val="nil"/>
              <w:left w:val="nil"/>
              <w:bottom w:val="nil"/>
              <w:right w:val="nil"/>
            </w:tcBorders>
            <w:noWrap/>
            <w:vAlign w:val="bottom"/>
            <w:hideMark/>
          </w:tcPr>
          <w:p w14:paraId="0B627E41"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c>
          <w:tcPr>
            <w:tcW w:w="1760" w:type="dxa"/>
            <w:tcBorders>
              <w:top w:val="nil"/>
              <w:left w:val="nil"/>
              <w:bottom w:val="nil"/>
              <w:right w:val="nil"/>
            </w:tcBorders>
            <w:noWrap/>
            <w:vAlign w:val="bottom"/>
            <w:hideMark/>
          </w:tcPr>
          <w:p w14:paraId="5C924A3B"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7336ADFB" w14:textId="77777777" w:rsidR="00870A62" w:rsidRPr="00DA2477" w:rsidRDefault="00870A62" w:rsidP="00CD4033">
            <w:pPr>
              <w:spacing w:after="0" w:line="240" w:lineRule="auto"/>
              <w:jc w:val="center"/>
              <w:rPr>
                <w:rFonts w:eastAsia="Times New Roman" w:cs="Times New Roman"/>
                <w:sz w:val="20"/>
                <w:szCs w:val="20"/>
                <w:lang w:val="" w:eastAsia=""/>
              </w:rPr>
            </w:pPr>
          </w:p>
        </w:tc>
      </w:tr>
      <w:tr w:rsidR="00870A62" w:rsidRPr="00DA2477" w14:paraId="206AB9D7" w14:textId="77777777" w:rsidTr="00CD4033">
        <w:trPr>
          <w:trHeight w:val="315"/>
        </w:trPr>
        <w:tc>
          <w:tcPr>
            <w:tcW w:w="902" w:type="dxa"/>
            <w:vMerge w:val="restart"/>
            <w:tcBorders>
              <w:top w:val="single" w:sz="8" w:space="0" w:color="auto"/>
              <w:left w:val="single" w:sz="8" w:space="0" w:color="auto"/>
              <w:bottom w:val="single" w:sz="8" w:space="0" w:color="000000"/>
              <w:right w:val="single" w:sz="8" w:space="0" w:color="auto"/>
            </w:tcBorders>
            <w:noWrap/>
            <w:vAlign w:val="center"/>
            <w:hideMark/>
          </w:tcPr>
          <w:p w14:paraId="66B2C2DD"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Year</w:t>
            </w:r>
          </w:p>
        </w:tc>
        <w:tc>
          <w:tcPr>
            <w:tcW w:w="1638" w:type="dxa"/>
            <w:vMerge w:val="restart"/>
            <w:tcBorders>
              <w:top w:val="single" w:sz="8" w:space="0" w:color="auto"/>
              <w:left w:val="single" w:sz="8" w:space="0" w:color="auto"/>
              <w:bottom w:val="single" w:sz="8" w:space="0" w:color="000000"/>
              <w:right w:val="single" w:sz="8" w:space="0" w:color="auto"/>
            </w:tcBorders>
            <w:noWrap/>
            <w:vAlign w:val="center"/>
            <w:hideMark/>
          </w:tcPr>
          <w:p w14:paraId="72EA9111"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Cash Inflow</w:t>
            </w:r>
          </w:p>
        </w:tc>
        <w:tc>
          <w:tcPr>
            <w:tcW w:w="3740" w:type="dxa"/>
            <w:gridSpan w:val="2"/>
            <w:tcBorders>
              <w:top w:val="single" w:sz="8" w:space="0" w:color="auto"/>
              <w:left w:val="nil"/>
              <w:bottom w:val="single" w:sz="8" w:space="0" w:color="auto"/>
              <w:right w:val="single" w:sz="8" w:space="0" w:color="000000"/>
            </w:tcBorders>
            <w:noWrap/>
            <w:vAlign w:val="center"/>
            <w:hideMark/>
          </w:tcPr>
          <w:p w14:paraId="2BCC31E3"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Amount</w:t>
            </w:r>
          </w:p>
        </w:tc>
        <w:tc>
          <w:tcPr>
            <w:tcW w:w="1440" w:type="dxa"/>
            <w:tcBorders>
              <w:top w:val="single" w:sz="8" w:space="0" w:color="auto"/>
              <w:left w:val="nil"/>
              <w:bottom w:val="nil"/>
              <w:right w:val="single" w:sz="8" w:space="0" w:color="auto"/>
            </w:tcBorders>
            <w:noWrap/>
            <w:vAlign w:val="center"/>
            <w:hideMark/>
          </w:tcPr>
          <w:p w14:paraId="53A29CEB"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PayBack</w:t>
            </w:r>
          </w:p>
        </w:tc>
      </w:tr>
      <w:tr w:rsidR="00870A62" w:rsidRPr="00DA2477" w14:paraId="30AA0576" w14:textId="77777777" w:rsidTr="00CD4033">
        <w:trPr>
          <w:trHeight w:val="315"/>
        </w:trPr>
        <w:tc>
          <w:tcPr>
            <w:tcW w:w="902" w:type="dxa"/>
            <w:vMerge/>
            <w:tcBorders>
              <w:top w:val="single" w:sz="8" w:space="0" w:color="auto"/>
              <w:left w:val="single" w:sz="8" w:space="0" w:color="auto"/>
              <w:bottom w:val="single" w:sz="8" w:space="0" w:color="000000"/>
              <w:right w:val="single" w:sz="8" w:space="0" w:color="auto"/>
            </w:tcBorders>
            <w:vAlign w:val="center"/>
            <w:hideMark/>
          </w:tcPr>
          <w:p w14:paraId="3968381C"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638" w:type="dxa"/>
            <w:vMerge/>
            <w:tcBorders>
              <w:top w:val="single" w:sz="8" w:space="0" w:color="auto"/>
              <w:left w:val="single" w:sz="8" w:space="0" w:color="auto"/>
              <w:bottom w:val="single" w:sz="8" w:space="0" w:color="000000"/>
              <w:right w:val="single" w:sz="8" w:space="0" w:color="auto"/>
            </w:tcBorders>
            <w:vAlign w:val="center"/>
            <w:hideMark/>
          </w:tcPr>
          <w:p w14:paraId="6E3D5D31"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980" w:type="dxa"/>
            <w:tcBorders>
              <w:top w:val="nil"/>
              <w:left w:val="nil"/>
              <w:bottom w:val="single" w:sz="8" w:space="0" w:color="auto"/>
              <w:right w:val="single" w:sz="8" w:space="0" w:color="auto"/>
            </w:tcBorders>
            <w:noWrap/>
            <w:vAlign w:val="center"/>
            <w:hideMark/>
          </w:tcPr>
          <w:p w14:paraId="432D0488"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Needed</w:t>
            </w:r>
          </w:p>
        </w:tc>
        <w:tc>
          <w:tcPr>
            <w:tcW w:w="1760" w:type="dxa"/>
            <w:tcBorders>
              <w:top w:val="nil"/>
              <w:left w:val="nil"/>
              <w:bottom w:val="single" w:sz="8" w:space="0" w:color="auto"/>
              <w:right w:val="single" w:sz="8" w:space="0" w:color="auto"/>
            </w:tcBorders>
            <w:noWrap/>
            <w:vAlign w:val="center"/>
            <w:hideMark/>
          </w:tcPr>
          <w:p w14:paraId="3113A641"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Balance</w:t>
            </w:r>
          </w:p>
        </w:tc>
        <w:tc>
          <w:tcPr>
            <w:tcW w:w="1440" w:type="dxa"/>
            <w:tcBorders>
              <w:top w:val="single" w:sz="8" w:space="0" w:color="auto"/>
              <w:left w:val="nil"/>
              <w:bottom w:val="single" w:sz="8" w:space="0" w:color="auto"/>
              <w:right w:val="single" w:sz="8" w:space="0" w:color="auto"/>
            </w:tcBorders>
            <w:noWrap/>
            <w:vAlign w:val="center"/>
            <w:hideMark/>
          </w:tcPr>
          <w:p w14:paraId="59DDE514"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Period</w:t>
            </w:r>
          </w:p>
        </w:tc>
      </w:tr>
      <w:tr w:rsidR="00870A62" w:rsidRPr="00DA2477" w14:paraId="09A74B2F"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05A04781"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c>
          <w:tcPr>
            <w:tcW w:w="1638" w:type="dxa"/>
            <w:tcBorders>
              <w:top w:val="nil"/>
              <w:left w:val="nil"/>
              <w:bottom w:val="single" w:sz="4" w:space="0" w:color="auto"/>
              <w:right w:val="single" w:sz="4" w:space="0" w:color="auto"/>
            </w:tcBorders>
            <w:noWrap/>
            <w:vAlign w:val="bottom"/>
            <w:hideMark/>
          </w:tcPr>
          <w:p w14:paraId="70E3C5D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w:t>
            </w:r>
          </w:p>
        </w:tc>
        <w:tc>
          <w:tcPr>
            <w:tcW w:w="1980" w:type="dxa"/>
            <w:tcBorders>
              <w:top w:val="nil"/>
              <w:left w:val="nil"/>
              <w:bottom w:val="single" w:sz="4" w:space="0" w:color="auto"/>
              <w:right w:val="single" w:sz="4" w:space="0" w:color="auto"/>
            </w:tcBorders>
            <w:noWrap/>
            <w:vAlign w:val="bottom"/>
            <w:hideMark/>
          </w:tcPr>
          <w:p w14:paraId="6D2A198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c>
          <w:tcPr>
            <w:tcW w:w="1760" w:type="dxa"/>
            <w:tcBorders>
              <w:top w:val="nil"/>
              <w:left w:val="nil"/>
              <w:bottom w:val="single" w:sz="4" w:space="0" w:color="auto"/>
              <w:right w:val="single" w:sz="4" w:space="0" w:color="auto"/>
            </w:tcBorders>
            <w:noWrap/>
            <w:vAlign w:val="bottom"/>
            <w:hideMark/>
          </w:tcPr>
          <w:p w14:paraId="032342D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(45,000,000)</w:t>
            </w:r>
          </w:p>
        </w:tc>
        <w:tc>
          <w:tcPr>
            <w:tcW w:w="1440" w:type="dxa"/>
            <w:tcBorders>
              <w:top w:val="nil"/>
              <w:left w:val="nil"/>
              <w:bottom w:val="single" w:sz="4" w:space="0" w:color="auto"/>
              <w:right w:val="single" w:sz="4" w:space="0" w:color="auto"/>
            </w:tcBorders>
            <w:noWrap/>
            <w:vAlign w:val="bottom"/>
            <w:hideMark/>
          </w:tcPr>
          <w:p w14:paraId="7AC8EFE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r>
      <w:tr w:rsidR="00870A62" w:rsidRPr="00DA2477" w14:paraId="5D899FB5"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71FBF63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c>
          <w:tcPr>
            <w:tcW w:w="1638" w:type="dxa"/>
            <w:tcBorders>
              <w:top w:val="nil"/>
              <w:left w:val="nil"/>
              <w:bottom w:val="single" w:sz="4" w:space="0" w:color="auto"/>
              <w:right w:val="single" w:sz="4" w:space="0" w:color="auto"/>
            </w:tcBorders>
            <w:noWrap/>
            <w:vAlign w:val="bottom"/>
            <w:hideMark/>
          </w:tcPr>
          <w:p w14:paraId="6A212891"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10,000,000</w:t>
            </w:r>
          </w:p>
        </w:tc>
        <w:tc>
          <w:tcPr>
            <w:tcW w:w="1980" w:type="dxa"/>
            <w:tcBorders>
              <w:top w:val="nil"/>
              <w:left w:val="nil"/>
              <w:bottom w:val="single" w:sz="4" w:space="0" w:color="auto"/>
              <w:right w:val="single" w:sz="4" w:space="0" w:color="auto"/>
            </w:tcBorders>
            <w:noWrap/>
            <w:vAlign w:val="bottom"/>
            <w:hideMark/>
          </w:tcPr>
          <w:p w14:paraId="151E304C"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(45,000,000)</w:t>
            </w:r>
          </w:p>
        </w:tc>
        <w:tc>
          <w:tcPr>
            <w:tcW w:w="1760" w:type="dxa"/>
            <w:tcBorders>
              <w:top w:val="nil"/>
              <w:left w:val="nil"/>
              <w:bottom w:val="single" w:sz="4" w:space="0" w:color="auto"/>
              <w:right w:val="single" w:sz="4" w:space="0" w:color="auto"/>
            </w:tcBorders>
            <w:noWrap/>
            <w:vAlign w:val="bottom"/>
            <w:hideMark/>
          </w:tcPr>
          <w:p w14:paraId="422FA37C"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(35,000,000)</w:t>
            </w:r>
          </w:p>
        </w:tc>
        <w:tc>
          <w:tcPr>
            <w:tcW w:w="1440" w:type="dxa"/>
            <w:tcBorders>
              <w:top w:val="nil"/>
              <w:left w:val="nil"/>
              <w:bottom w:val="single" w:sz="4" w:space="0" w:color="auto"/>
              <w:right w:val="single" w:sz="4" w:space="0" w:color="auto"/>
            </w:tcBorders>
            <w:noWrap/>
            <w:vAlign w:val="bottom"/>
            <w:hideMark/>
          </w:tcPr>
          <w:p w14:paraId="389F97A6"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r>
      <w:tr w:rsidR="00870A62" w:rsidRPr="00DA2477" w14:paraId="5A177EA3"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03C0CBE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c>
          <w:tcPr>
            <w:tcW w:w="1638" w:type="dxa"/>
            <w:tcBorders>
              <w:top w:val="nil"/>
              <w:left w:val="nil"/>
              <w:bottom w:val="single" w:sz="4" w:space="0" w:color="auto"/>
              <w:right w:val="single" w:sz="4" w:space="0" w:color="auto"/>
            </w:tcBorders>
            <w:noWrap/>
            <w:vAlign w:val="bottom"/>
            <w:hideMark/>
          </w:tcPr>
          <w:p w14:paraId="165A4A8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20,000,000</w:t>
            </w:r>
          </w:p>
        </w:tc>
        <w:tc>
          <w:tcPr>
            <w:tcW w:w="1980" w:type="dxa"/>
            <w:tcBorders>
              <w:top w:val="nil"/>
              <w:left w:val="nil"/>
              <w:bottom w:val="single" w:sz="4" w:space="0" w:color="auto"/>
              <w:right w:val="single" w:sz="4" w:space="0" w:color="auto"/>
            </w:tcBorders>
            <w:noWrap/>
            <w:vAlign w:val="bottom"/>
            <w:hideMark/>
          </w:tcPr>
          <w:p w14:paraId="20E939E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(35,000,000)</w:t>
            </w:r>
          </w:p>
        </w:tc>
        <w:tc>
          <w:tcPr>
            <w:tcW w:w="1760" w:type="dxa"/>
            <w:tcBorders>
              <w:top w:val="nil"/>
              <w:left w:val="nil"/>
              <w:bottom w:val="single" w:sz="4" w:space="0" w:color="auto"/>
              <w:right w:val="single" w:sz="4" w:space="0" w:color="auto"/>
            </w:tcBorders>
            <w:noWrap/>
            <w:vAlign w:val="bottom"/>
            <w:hideMark/>
          </w:tcPr>
          <w:p w14:paraId="2E5F93EF"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(15,000,000)</w:t>
            </w:r>
          </w:p>
        </w:tc>
        <w:tc>
          <w:tcPr>
            <w:tcW w:w="1440" w:type="dxa"/>
            <w:tcBorders>
              <w:top w:val="nil"/>
              <w:left w:val="nil"/>
              <w:bottom w:val="single" w:sz="4" w:space="0" w:color="auto"/>
              <w:right w:val="single" w:sz="4" w:space="0" w:color="auto"/>
            </w:tcBorders>
            <w:noWrap/>
            <w:vAlign w:val="bottom"/>
            <w:hideMark/>
          </w:tcPr>
          <w:p w14:paraId="23BB0E1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r>
      <w:tr w:rsidR="00870A62" w:rsidRPr="00DA2477" w14:paraId="7ECBAA1D"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5262129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w:t>
            </w:r>
          </w:p>
        </w:tc>
        <w:tc>
          <w:tcPr>
            <w:tcW w:w="1638" w:type="dxa"/>
            <w:tcBorders>
              <w:top w:val="nil"/>
              <w:left w:val="nil"/>
              <w:bottom w:val="single" w:sz="4" w:space="0" w:color="auto"/>
              <w:right w:val="single" w:sz="4" w:space="0" w:color="auto"/>
            </w:tcBorders>
            <w:noWrap/>
            <w:vAlign w:val="bottom"/>
            <w:hideMark/>
          </w:tcPr>
          <w:p w14:paraId="17705A31"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25,000,000</w:t>
            </w:r>
          </w:p>
        </w:tc>
        <w:tc>
          <w:tcPr>
            <w:tcW w:w="1980" w:type="dxa"/>
            <w:tcBorders>
              <w:top w:val="nil"/>
              <w:left w:val="nil"/>
              <w:bottom w:val="single" w:sz="4" w:space="0" w:color="auto"/>
              <w:right w:val="single" w:sz="4" w:space="0" w:color="auto"/>
            </w:tcBorders>
            <w:noWrap/>
            <w:vAlign w:val="bottom"/>
            <w:hideMark/>
          </w:tcPr>
          <w:p w14:paraId="4C40BEC6"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(15,000,000)</w:t>
            </w:r>
          </w:p>
        </w:tc>
        <w:tc>
          <w:tcPr>
            <w:tcW w:w="1760" w:type="dxa"/>
            <w:tcBorders>
              <w:top w:val="nil"/>
              <w:left w:val="nil"/>
              <w:bottom w:val="single" w:sz="4" w:space="0" w:color="auto"/>
              <w:right w:val="single" w:sz="4" w:space="0" w:color="auto"/>
            </w:tcBorders>
            <w:noWrap/>
            <w:vAlign w:val="bottom"/>
            <w:hideMark/>
          </w:tcPr>
          <w:p w14:paraId="6AE39BE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10,000,000</w:t>
            </w:r>
          </w:p>
        </w:tc>
        <w:tc>
          <w:tcPr>
            <w:tcW w:w="1440" w:type="dxa"/>
            <w:tcBorders>
              <w:top w:val="nil"/>
              <w:left w:val="nil"/>
              <w:bottom w:val="single" w:sz="4" w:space="0" w:color="auto"/>
              <w:right w:val="single" w:sz="4" w:space="0" w:color="auto"/>
            </w:tcBorders>
            <w:noWrap/>
            <w:vAlign w:val="bottom"/>
            <w:hideMark/>
          </w:tcPr>
          <w:p w14:paraId="38DFDA6F" w14:textId="77777777" w:rsidR="00870A62" w:rsidRPr="00DA2477" w:rsidRDefault="00870A62" w:rsidP="00CD4033">
            <w:pPr>
              <w:spacing w:after="0" w:line="240" w:lineRule="auto"/>
              <w:jc w:val="center"/>
              <w:rPr>
                <w:rFonts w:eastAsia="Times New Roman" w:cs="Times New Roman"/>
                <w:szCs w:val="24"/>
                <w:lang w:val="" w:eastAsia=""/>
              </w:rPr>
            </w:pPr>
          </w:p>
        </w:tc>
      </w:tr>
      <w:tr w:rsidR="00870A62" w:rsidRPr="00DA2477" w14:paraId="08AAA203" w14:textId="77777777" w:rsidTr="00CD4033">
        <w:trPr>
          <w:trHeight w:val="300"/>
        </w:trPr>
        <w:tc>
          <w:tcPr>
            <w:tcW w:w="902" w:type="dxa"/>
            <w:tcBorders>
              <w:top w:val="nil"/>
              <w:left w:val="single" w:sz="4" w:space="0" w:color="auto"/>
              <w:bottom w:val="single" w:sz="4" w:space="0" w:color="auto"/>
              <w:right w:val="single" w:sz="4" w:space="0" w:color="auto"/>
            </w:tcBorders>
            <w:noWrap/>
            <w:vAlign w:val="bottom"/>
            <w:hideMark/>
          </w:tcPr>
          <w:p w14:paraId="664A19E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w:t>
            </w:r>
          </w:p>
        </w:tc>
        <w:tc>
          <w:tcPr>
            <w:tcW w:w="1638" w:type="dxa"/>
            <w:tcBorders>
              <w:top w:val="nil"/>
              <w:left w:val="nil"/>
              <w:bottom w:val="single" w:sz="4" w:space="0" w:color="auto"/>
              <w:right w:val="single" w:sz="4" w:space="0" w:color="auto"/>
            </w:tcBorders>
            <w:noWrap/>
            <w:vAlign w:val="bottom"/>
            <w:hideMark/>
          </w:tcPr>
          <w:p w14:paraId="43D0F7C1"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w:t>
            </w:r>
          </w:p>
        </w:tc>
        <w:tc>
          <w:tcPr>
            <w:tcW w:w="1980" w:type="dxa"/>
            <w:tcBorders>
              <w:top w:val="nil"/>
              <w:left w:val="nil"/>
              <w:bottom w:val="single" w:sz="4" w:space="0" w:color="auto"/>
              <w:right w:val="single" w:sz="4" w:space="0" w:color="auto"/>
            </w:tcBorders>
            <w:noWrap/>
            <w:vAlign w:val="bottom"/>
            <w:hideMark/>
          </w:tcPr>
          <w:p w14:paraId="42BD8779" w14:textId="77777777" w:rsidR="00870A62" w:rsidRPr="00DA2477" w:rsidRDefault="00870A62" w:rsidP="00CD4033">
            <w:pPr>
              <w:spacing w:after="0" w:line="240" w:lineRule="auto"/>
              <w:jc w:val="center"/>
              <w:rPr>
                <w:rFonts w:eastAsia="Times New Roman" w:cs="Times New Roman"/>
                <w:szCs w:val="24"/>
                <w:lang w:val="" w:eastAsia=""/>
              </w:rPr>
            </w:pPr>
          </w:p>
        </w:tc>
        <w:tc>
          <w:tcPr>
            <w:tcW w:w="1760" w:type="dxa"/>
            <w:tcBorders>
              <w:top w:val="nil"/>
              <w:left w:val="nil"/>
              <w:bottom w:val="single" w:sz="4" w:space="0" w:color="auto"/>
              <w:right w:val="single" w:sz="4" w:space="0" w:color="auto"/>
            </w:tcBorders>
            <w:noWrap/>
            <w:vAlign w:val="bottom"/>
            <w:hideMark/>
          </w:tcPr>
          <w:p w14:paraId="7C02F70F" w14:textId="77777777" w:rsidR="00870A62" w:rsidRPr="00DA2477" w:rsidRDefault="00870A62" w:rsidP="00CD4033">
            <w:pPr>
              <w:spacing w:after="0" w:line="240" w:lineRule="auto"/>
              <w:jc w:val="center"/>
              <w:rPr>
                <w:rFonts w:eastAsia="Times New Roman" w:cs="Times New Roman"/>
                <w:szCs w:val="24"/>
                <w:lang w:val="" w:eastAsia=""/>
              </w:rPr>
            </w:pPr>
          </w:p>
        </w:tc>
        <w:tc>
          <w:tcPr>
            <w:tcW w:w="1440" w:type="dxa"/>
            <w:tcBorders>
              <w:top w:val="nil"/>
              <w:left w:val="nil"/>
              <w:bottom w:val="single" w:sz="4" w:space="0" w:color="auto"/>
              <w:right w:val="single" w:sz="4" w:space="0" w:color="auto"/>
            </w:tcBorders>
            <w:noWrap/>
            <w:vAlign w:val="bottom"/>
            <w:hideMark/>
          </w:tcPr>
          <w:p w14:paraId="18CCECF1" w14:textId="77777777" w:rsidR="00870A62" w:rsidRPr="00DA2477" w:rsidRDefault="00870A62" w:rsidP="00CD4033">
            <w:pPr>
              <w:spacing w:after="0" w:line="240" w:lineRule="auto"/>
              <w:jc w:val="center"/>
              <w:rPr>
                <w:rFonts w:eastAsia="Times New Roman" w:cs="Times New Roman"/>
                <w:szCs w:val="24"/>
                <w:lang w:val="" w:eastAsia=""/>
              </w:rPr>
            </w:pPr>
          </w:p>
        </w:tc>
      </w:tr>
    </w:tbl>
    <w:p w14:paraId="1515F302" w14:textId="77777777" w:rsidR="00870A62" w:rsidRPr="00DA2477" w:rsidRDefault="00870A62" w:rsidP="00870A62">
      <w:pPr>
        <w:tabs>
          <w:tab w:val="left" w:pos="2940"/>
        </w:tabs>
        <w:ind w:left="360"/>
        <w:rPr>
          <w:rFonts w:cs="Times New Roman"/>
          <w:b/>
          <w:bCs/>
        </w:rPr>
      </w:pPr>
    </w:p>
    <w:p w14:paraId="061843C2" w14:textId="77777777" w:rsidR="00870A62" w:rsidRPr="00DA2477" w:rsidRDefault="00870A62" w:rsidP="00870A62">
      <w:pPr>
        <w:tabs>
          <w:tab w:val="left" w:pos="2940"/>
        </w:tabs>
        <w:ind w:left="360"/>
        <w:rPr>
          <w:rFonts w:cs="Times New Roman"/>
          <w:b/>
          <w:bCs/>
        </w:rPr>
      </w:pPr>
      <w:r w:rsidRPr="00DA2477">
        <w:rPr>
          <w:rFonts w:cs="Times New Roman"/>
          <w:b/>
          <w:bCs/>
        </w:rPr>
        <w:t xml:space="preserve">Working = 15,000,000 / 25,000,000 = 0.6 </w:t>
      </w:r>
    </w:p>
    <w:p w14:paraId="6BEC2D82" w14:textId="77777777" w:rsidR="00870A62" w:rsidRPr="00DA2477" w:rsidRDefault="00870A62" w:rsidP="00870A62">
      <w:pPr>
        <w:tabs>
          <w:tab w:val="left" w:pos="2940"/>
        </w:tabs>
        <w:ind w:left="360"/>
        <w:rPr>
          <w:rFonts w:cs="Times New Roman"/>
        </w:rPr>
      </w:pPr>
      <w:r w:rsidRPr="00DA2477">
        <w:rPr>
          <w:rFonts w:cs="Times New Roman"/>
        </w:rPr>
        <w:t>Payback period for Project A = 4.6 years</w:t>
      </w:r>
    </w:p>
    <w:p w14:paraId="5E9AD1BB" w14:textId="77777777" w:rsidR="00870A62" w:rsidRPr="00DA2477" w:rsidRDefault="00870A62" w:rsidP="00870A62">
      <w:pPr>
        <w:rPr>
          <w:rFonts w:cs="Times New Roman"/>
          <w:b/>
          <w:bCs/>
          <w:szCs w:val="24"/>
        </w:rPr>
      </w:pPr>
      <w:r w:rsidRPr="00DA2477">
        <w:rPr>
          <w:rFonts w:cs="Times New Roman"/>
          <w:b/>
          <w:bCs/>
          <w:szCs w:val="24"/>
        </w:rPr>
        <w:t xml:space="preserve">Accounting Rate of Return </w:t>
      </w:r>
    </w:p>
    <w:p w14:paraId="746CD65C" w14:textId="77777777" w:rsidR="00870A62" w:rsidRPr="00DA2477" w:rsidRDefault="00870A62" w:rsidP="00870A62">
      <w:pPr>
        <w:rPr>
          <w:rFonts w:cs="Times New Roman"/>
        </w:rPr>
      </w:pPr>
      <w:r w:rsidRPr="00DA2477">
        <w:rPr>
          <w:rFonts w:cs="Times New Roman"/>
        </w:rPr>
        <w:t>Formula = (Average Profit / Average Investment) * 100</w:t>
      </w:r>
    </w:p>
    <w:p w14:paraId="0E68890D" w14:textId="77777777" w:rsidR="00870A62" w:rsidRPr="00DA2477" w:rsidRDefault="00870A62" w:rsidP="00870A62">
      <w:pPr>
        <w:tabs>
          <w:tab w:val="left" w:pos="2940"/>
        </w:tabs>
        <w:rPr>
          <w:rFonts w:cs="Times New Roman"/>
          <w:b/>
          <w:bCs/>
        </w:rPr>
      </w:pPr>
      <w:r w:rsidRPr="00DA2477">
        <w:rPr>
          <w:rFonts w:cs="Times New Roman"/>
          <w:b/>
          <w:bCs/>
        </w:rPr>
        <w:t>Project A</w:t>
      </w:r>
    </w:p>
    <w:p w14:paraId="5B5E7457" w14:textId="77777777" w:rsidR="00870A62" w:rsidRPr="00DA2477" w:rsidRDefault="00870A62" w:rsidP="00870A62">
      <w:pPr>
        <w:tabs>
          <w:tab w:val="left" w:pos="2940"/>
        </w:tabs>
        <w:spacing w:line="360" w:lineRule="auto"/>
        <w:rPr>
          <w:rFonts w:cs="Times New Roman"/>
        </w:rPr>
      </w:pPr>
      <w:r w:rsidRPr="00DA2477">
        <w:rPr>
          <w:rFonts w:cs="Times New Roman"/>
        </w:rPr>
        <w:t xml:space="preserve">Working for Depreciation = 50 million / 5 = 10 million Per Annum </w:t>
      </w:r>
    </w:p>
    <w:p w14:paraId="51A2056C" w14:textId="77777777" w:rsidR="00870A62" w:rsidRPr="00DA2477" w:rsidRDefault="00870A62" w:rsidP="00870A62">
      <w:pPr>
        <w:tabs>
          <w:tab w:val="left" w:pos="2940"/>
        </w:tabs>
        <w:spacing w:line="360" w:lineRule="auto"/>
        <w:rPr>
          <w:rFonts w:cs="Times New Roman"/>
        </w:rPr>
      </w:pPr>
      <w:r w:rsidRPr="00DA2477">
        <w:rPr>
          <w:rFonts w:cs="Times New Roman"/>
        </w:rPr>
        <w:t>Average Cash flow = (10million + 12million +14 million +10 million +8 million)/5</w:t>
      </w:r>
    </w:p>
    <w:p w14:paraId="4FB6D594" w14:textId="77777777" w:rsidR="00870A62" w:rsidRPr="00DA2477" w:rsidRDefault="00870A62" w:rsidP="00870A62">
      <w:pPr>
        <w:tabs>
          <w:tab w:val="left" w:pos="2940"/>
        </w:tabs>
        <w:spacing w:line="360" w:lineRule="auto"/>
        <w:rPr>
          <w:rFonts w:cs="Times New Roman"/>
        </w:rPr>
      </w:pPr>
      <w:r w:rsidRPr="00DA2477">
        <w:rPr>
          <w:rFonts w:cs="Times New Roman"/>
        </w:rPr>
        <w:t xml:space="preserve">Average Cash flow = 54 million / 5 </w:t>
      </w:r>
    </w:p>
    <w:p w14:paraId="342C6456" w14:textId="77777777" w:rsidR="00870A62" w:rsidRPr="00DA2477" w:rsidRDefault="00870A62" w:rsidP="00870A62">
      <w:pPr>
        <w:tabs>
          <w:tab w:val="left" w:pos="2940"/>
        </w:tabs>
        <w:spacing w:line="360" w:lineRule="auto"/>
        <w:rPr>
          <w:rFonts w:cs="Times New Roman"/>
        </w:rPr>
      </w:pPr>
      <w:r w:rsidRPr="00DA2477">
        <w:rPr>
          <w:rFonts w:cs="Times New Roman"/>
        </w:rPr>
        <w:lastRenderedPageBreak/>
        <w:t xml:space="preserve">Average Cash flow = 10.8 million </w:t>
      </w:r>
    </w:p>
    <w:p w14:paraId="2611FB5B" w14:textId="77777777" w:rsidR="00870A62" w:rsidRPr="00DA2477" w:rsidRDefault="00870A62" w:rsidP="00870A62">
      <w:pPr>
        <w:tabs>
          <w:tab w:val="left" w:pos="2940"/>
        </w:tabs>
        <w:spacing w:line="360" w:lineRule="auto"/>
        <w:rPr>
          <w:rFonts w:cs="Times New Roman"/>
        </w:rPr>
      </w:pPr>
      <w:r w:rsidRPr="00DA2477">
        <w:rPr>
          <w:rFonts w:cs="Times New Roman"/>
        </w:rPr>
        <w:t xml:space="preserve">Profit = 10.8 million – 10 million = 0.8 million </w:t>
      </w:r>
    </w:p>
    <w:p w14:paraId="1AE489CF" w14:textId="77777777" w:rsidR="00870A62" w:rsidRPr="00DA2477" w:rsidRDefault="00870A62" w:rsidP="00870A62">
      <w:pPr>
        <w:tabs>
          <w:tab w:val="left" w:pos="2940"/>
        </w:tabs>
        <w:spacing w:line="360" w:lineRule="auto"/>
        <w:rPr>
          <w:rFonts w:cs="Times New Roman"/>
        </w:rPr>
      </w:pPr>
      <w:r w:rsidRPr="00DA2477">
        <w:rPr>
          <w:rFonts w:cs="Times New Roman"/>
        </w:rPr>
        <w:t>Accounting rate of return = 0.8 million / 50 million = 1.6%</w:t>
      </w:r>
    </w:p>
    <w:p w14:paraId="4C878312" w14:textId="77777777" w:rsidR="00870A62" w:rsidRPr="00DA2477" w:rsidRDefault="00870A62" w:rsidP="00870A62">
      <w:pPr>
        <w:tabs>
          <w:tab w:val="left" w:pos="2940"/>
        </w:tabs>
        <w:rPr>
          <w:rFonts w:cs="Times New Roman"/>
          <w:b/>
          <w:bCs/>
        </w:rPr>
      </w:pPr>
      <w:r w:rsidRPr="00DA2477">
        <w:rPr>
          <w:rFonts w:cs="Times New Roman"/>
          <w:b/>
          <w:bCs/>
        </w:rPr>
        <w:t>Project B</w:t>
      </w:r>
    </w:p>
    <w:p w14:paraId="05BC1E36" w14:textId="77777777" w:rsidR="00870A62" w:rsidRPr="00DA2477" w:rsidRDefault="00870A62" w:rsidP="00870A62">
      <w:pPr>
        <w:tabs>
          <w:tab w:val="left" w:pos="2940"/>
        </w:tabs>
        <w:spacing w:line="360" w:lineRule="auto"/>
        <w:rPr>
          <w:rFonts w:cs="Times New Roman"/>
        </w:rPr>
      </w:pPr>
      <w:r w:rsidRPr="00DA2477">
        <w:rPr>
          <w:rFonts w:cs="Times New Roman"/>
        </w:rPr>
        <w:t xml:space="preserve">Working for Depreciation = 50 million / 5 = 10 million Per Annum </w:t>
      </w:r>
    </w:p>
    <w:p w14:paraId="1CDFBAD6" w14:textId="77777777" w:rsidR="00870A62" w:rsidRPr="00DA2477" w:rsidRDefault="00870A62" w:rsidP="00870A62">
      <w:pPr>
        <w:tabs>
          <w:tab w:val="left" w:pos="2940"/>
        </w:tabs>
        <w:spacing w:line="360" w:lineRule="auto"/>
        <w:rPr>
          <w:rFonts w:cs="Times New Roman"/>
        </w:rPr>
      </w:pPr>
      <w:r w:rsidRPr="00DA2477">
        <w:rPr>
          <w:rFonts w:cs="Times New Roman"/>
        </w:rPr>
        <w:t>Average Cash flow = (11million + 11million +11 million +11 million +1 million)/5</w:t>
      </w:r>
    </w:p>
    <w:p w14:paraId="4E0F6694" w14:textId="77777777" w:rsidR="00870A62" w:rsidRPr="00DA2477" w:rsidRDefault="00870A62" w:rsidP="00870A62">
      <w:pPr>
        <w:tabs>
          <w:tab w:val="left" w:pos="2940"/>
        </w:tabs>
        <w:spacing w:line="360" w:lineRule="auto"/>
        <w:rPr>
          <w:rFonts w:cs="Times New Roman"/>
        </w:rPr>
      </w:pPr>
      <w:r w:rsidRPr="00DA2477">
        <w:rPr>
          <w:rFonts w:cs="Times New Roman"/>
        </w:rPr>
        <w:t xml:space="preserve">Average Cash flow = 55 million / 5 </w:t>
      </w:r>
    </w:p>
    <w:p w14:paraId="3FDF1681" w14:textId="77777777" w:rsidR="00870A62" w:rsidRPr="00DA2477" w:rsidRDefault="00870A62" w:rsidP="00870A62">
      <w:pPr>
        <w:tabs>
          <w:tab w:val="left" w:pos="2940"/>
        </w:tabs>
        <w:spacing w:line="360" w:lineRule="auto"/>
        <w:rPr>
          <w:rFonts w:cs="Times New Roman"/>
        </w:rPr>
      </w:pPr>
      <w:r w:rsidRPr="00DA2477">
        <w:rPr>
          <w:rFonts w:cs="Times New Roman"/>
        </w:rPr>
        <w:t xml:space="preserve">Average Cash flow = 11 million </w:t>
      </w:r>
    </w:p>
    <w:p w14:paraId="6C6F2B6D" w14:textId="77777777" w:rsidR="00870A62" w:rsidRPr="00DA2477" w:rsidRDefault="00870A62" w:rsidP="00870A62">
      <w:pPr>
        <w:tabs>
          <w:tab w:val="left" w:pos="2940"/>
        </w:tabs>
        <w:spacing w:line="360" w:lineRule="auto"/>
        <w:rPr>
          <w:rFonts w:cs="Times New Roman"/>
        </w:rPr>
      </w:pPr>
      <w:r w:rsidRPr="00DA2477">
        <w:rPr>
          <w:rFonts w:cs="Times New Roman"/>
        </w:rPr>
        <w:t xml:space="preserve">Profit = 11 million – 10 million = 01 million </w:t>
      </w:r>
    </w:p>
    <w:p w14:paraId="7FE1E942" w14:textId="77777777" w:rsidR="00870A62" w:rsidRPr="00DA2477" w:rsidRDefault="00870A62" w:rsidP="00870A62">
      <w:pPr>
        <w:tabs>
          <w:tab w:val="left" w:pos="2940"/>
        </w:tabs>
        <w:spacing w:line="360" w:lineRule="auto"/>
        <w:rPr>
          <w:rFonts w:cs="Times New Roman"/>
        </w:rPr>
      </w:pPr>
      <w:r w:rsidRPr="00DA2477">
        <w:rPr>
          <w:rFonts w:cs="Times New Roman"/>
        </w:rPr>
        <w:t>Accounting rate of return = 01 million / 50 million = 2.0%</w:t>
      </w:r>
    </w:p>
    <w:p w14:paraId="18BE8223" w14:textId="77777777" w:rsidR="00870A62" w:rsidRPr="00DA2477" w:rsidRDefault="00870A62" w:rsidP="00870A62">
      <w:pPr>
        <w:tabs>
          <w:tab w:val="left" w:pos="2940"/>
        </w:tabs>
        <w:rPr>
          <w:rFonts w:cs="Times New Roman"/>
          <w:b/>
          <w:bCs/>
        </w:rPr>
      </w:pPr>
      <w:r w:rsidRPr="00DA2477">
        <w:rPr>
          <w:rFonts w:cs="Times New Roman"/>
          <w:b/>
          <w:bCs/>
        </w:rPr>
        <w:t>Project C</w:t>
      </w:r>
    </w:p>
    <w:p w14:paraId="5F93479D" w14:textId="77777777" w:rsidR="00870A62" w:rsidRPr="00DA2477" w:rsidRDefault="00870A62" w:rsidP="00870A62">
      <w:pPr>
        <w:tabs>
          <w:tab w:val="left" w:pos="2940"/>
        </w:tabs>
        <w:spacing w:line="360" w:lineRule="auto"/>
        <w:rPr>
          <w:rFonts w:cs="Times New Roman"/>
        </w:rPr>
      </w:pPr>
      <w:r w:rsidRPr="00DA2477">
        <w:rPr>
          <w:rFonts w:cs="Times New Roman"/>
        </w:rPr>
        <w:t xml:space="preserve">Working for Depreciation = 50 million / 5 = 10 million Per Annum </w:t>
      </w:r>
    </w:p>
    <w:p w14:paraId="302F3624" w14:textId="77777777" w:rsidR="00870A62" w:rsidRPr="00DA2477" w:rsidRDefault="00870A62" w:rsidP="00870A62">
      <w:pPr>
        <w:tabs>
          <w:tab w:val="left" w:pos="2940"/>
        </w:tabs>
        <w:spacing w:line="360" w:lineRule="auto"/>
        <w:rPr>
          <w:rFonts w:cs="Times New Roman"/>
        </w:rPr>
      </w:pPr>
      <w:r w:rsidRPr="00DA2477">
        <w:rPr>
          <w:rFonts w:cs="Times New Roman"/>
        </w:rPr>
        <w:t>Average Cash flow = (0.5 million + 10 million +20 million +25 million +0.5 million)/5</w:t>
      </w:r>
    </w:p>
    <w:p w14:paraId="1E3CD055" w14:textId="77777777" w:rsidR="00870A62" w:rsidRPr="00DA2477" w:rsidRDefault="00870A62" w:rsidP="00870A62">
      <w:pPr>
        <w:tabs>
          <w:tab w:val="left" w:pos="2940"/>
        </w:tabs>
        <w:spacing w:line="360" w:lineRule="auto"/>
        <w:rPr>
          <w:rFonts w:cs="Times New Roman"/>
        </w:rPr>
      </w:pPr>
      <w:r w:rsidRPr="00DA2477">
        <w:rPr>
          <w:rFonts w:cs="Times New Roman"/>
        </w:rPr>
        <w:t xml:space="preserve">Average Cash flow = 65 million / 5 </w:t>
      </w:r>
    </w:p>
    <w:p w14:paraId="1E110AC6" w14:textId="77777777" w:rsidR="00870A62" w:rsidRPr="00DA2477" w:rsidRDefault="00870A62" w:rsidP="00870A62">
      <w:pPr>
        <w:tabs>
          <w:tab w:val="left" w:pos="2940"/>
        </w:tabs>
        <w:spacing w:line="360" w:lineRule="auto"/>
        <w:rPr>
          <w:rFonts w:cs="Times New Roman"/>
        </w:rPr>
      </w:pPr>
      <w:r w:rsidRPr="00DA2477">
        <w:rPr>
          <w:rFonts w:cs="Times New Roman"/>
        </w:rPr>
        <w:t xml:space="preserve">Average Cash flow = 13 million </w:t>
      </w:r>
    </w:p>
    <w:p w14:paraId="0ED702C2" w14:textId="77777777" w:rsidR="00870A62" w:rsidRPr="00DA2477" w:rsidRDefault="00870A62" w:rsidP="00870A62">
      <w:pPr>
        <w:tabs>
          <w:tab w:val="left" w:pos="2940"/>
        </w:tabs>
        <w:spacing w:line="360" w:lineRule="auto"/>
        <w:rPr>
          <w:rFonts w:cs="Times New Roman"/>
        </w:rPr>
      </w:pPr>
      <w:r w:rsidRPr="00DA2477">
        <w:rPr>
          <w:rFonts w:cs="Times New Roman"/>
        </w:rPr>
        <w:t xml:space="preserve">Profit = 13 million – 10 million = 03 million </w:t>
      </w:r>
    </w:p>
    <w:p w14:paraId="6991821F" w14:textId="77777777" w:rsidR="00870A62" w:rsidRDefault="00870A62" w:rsidP="00870A62">
      <w:pPr>
        <w:tabs>
          <w:tab w:val="left" w:pos="2940"/>
        </w:tabs>
        <w:spacing w:line="360" w:lineRule="auto"/>
        <w:rPr>
          <w:rFonts w:cs="Times New Roman"/>
        </w:rPr>
      </w:pPr>
      <w:r w:rsidRPr="00DA2477">
        <w:rPr>
          <w:rFonts w:cs="Times New Roman"/>
        </w:rPr>
        <w:t>Accounting rate of return = 03 million / 50 million = 6.0%</w:t>
      </w:r>
    </w:p>
    <w:p w14:paraId="0E39E191" w14:textId="77777777" w:rsidR="00870A62" w:rsidRDefault="00870A62" w:rsidP="00870A62">
      <w:pPr>
        <w:tabs>
          <w:tab w:val="left" w:pos="2940"/>
        </w:tabs>
        <w:spacing w:line="360" w:lineRule="auto"/>
        <w:rPr>
          <w:rFonts w:cs="Times New Roman"/>
        </w:rPr>
      </w:pPr>
    </w:p>
    <w:p w14:paraId="5D8F2648" w14:textId="77777777" w:rsidR="00870A62" w:rsidRDefault="00870A62" w:rsidP="00870A62">
      <w:pPr>
        <w:tabs>
          <w:tab w:val="left" w:pos="2940"/>
        </w:tabs>
        <w:spacing w:line="360" w:lineRule="auto"/>
        <w:rPr>
          <w:rFonts w:cs="Times New Roman"/>
        </w:rPr>
      </w:pPr>
    </w:p>
    <w:p w14:paraId="57BC713F" w14:textId="77777777" w:rsidR="00870A62" w:rsidRDefault="00870A62" w:rsidP="00870A62">
      <w:pPr>
        <w:tabs>
          <w:tab w:val="left" w:pos="2940"/>
        </w:tabs>
        <w:spacing w:line="360" w:lineRule="auto"/>
        <w:rPr>
          <w:rFonts w:cs="Times New Roman"/>
        </w:rPr>
      </w:pPr>
    </w:p>
    <w:p w14:paraId="73515699" w14:textId="77777777" w:rsidR="00870A62" w:rsidRDefault="00870A62" w:rsidP="00870A62">
      <w:pPr>
        <w:tabs>
          <w:tab w:val="left" w:pos="2940"/>
        </w:tabs>
        <w:spacing w:line="360" w:lineRule="auto"/>
        <w:rPr>
          <w:rFonts w:cs="Times New Roman"/>
        </w:rPr>
      </w:pPr>
    </w:p>
    <w:p w14:paraId="12742E2F" w14:textId="77777777" w:rsidR="00870A62" w:rsidRDefault="00870A62" w:rsidP="00870A62">
      <w:pPr>
        <w:tabs>
          <w:tab w:val="left" w:pos="2940"/>
        </w:tabs>
        <w:spacing w:line="360" w:lineRule="auto"/>
        <w:rPr>
          <w:rFonts w:cs="Times New Roman"/>
        </w:rPr>
      </w:pPr>
    </w:p>
    <w:p w14:paraId="0E1C8BA2" w14:textId="77777777" w:rsidR="00870A62" w:rsidRDefault="00870A62" w:rsidP="00870A62">
      <w:pPr>
        <w:tabs>
          <w:tab w:val="left" w:pos="2940"/>
        </w:tabs>
        <w:spacing w:line="360" w:lineRule="auto"/>
        <w:rPr>
          <w:rFonts w:cs="Times New Roman"/>
        </w:rPr>
      </w:pPr>
    </w:p>
    <w:p w14:paraId="78256F0F" w14:textId="77777777" w:rsidR="00870A62" w:rsidRPr="00DA2477" w:rsidRDefault="00870A62" w:rsidP="00870A62">
      <w:pPr>
        <w:tabs>
          <w:tab w:val="left" w:pos="2940"/>
        </w:tabs>
        <w:spacing w:line="360" w:lineRule="auto"/>
        <w:rPr>
          <w:rFonts w:cs="Times New Roman"/>
        </w:rPr>
      </w:pPr>
    </w:p>
    <w:p w14:paraId="4F228EE8" w14:textId="77777777" w:rsidR="00870A62" w:rsidRPr="00DA2477" w:rsidRDefault="00870A62" w:rsidP="00870A62">
      <w:pPr>
        <w:tabs>
          <w:tab w:val="left" w:pos="2940"/>
        </w:tabs>
        <w:ind w:left="360"/>
        <w:rPr>
          <w:rFonts w:cs="Times New Roman"/>
          <w:b/>
          <w:bCs/>
        </w:rPr>
      </w:pPr>
      <w:r w:rsidRPr="00DA2477">
        <w:rPr>
          <w:rFonts w:cs="Times New Roman"/>
          <w:b/>
          <w:bCs/>
        </w:rPr>
        <w:lastRenderedPageBreak/>
        <w:t>NET PRESENT VALUE</w:t>
      </w:r>
    </w:p>
    <w:tbl>
      <w:tblPr>
        <w:tblW w:w="6280" w:type="dxa"/>
        <w:tblLook w:val="04A0" w:firstRow="1" w:lastRow="0" w:firstColumn="1" w:lastColumn="0" w:noHBand="0" w:noVBand="1"/>
      </w:tblPr>
      <w:tblGrid>
        <w:gridCol w:w="882"/>
        <w:gridCol w:w="1645"/>
        <w:gridCol w:w="1993"/>
        <w:gridCol w:w="1760"/>
      </w:tblGrid>
      <w:tr w:rsidR="00870A62" w:rsidRPr="00DA2477" w14:paraId="6170509D" w14:textId="77777777" w:rsidTr="00CD4033">
        <w:trPr>
          <w:trHeight w:val="300"/>
        </w:trPr>
        <w:tc>
          <w:tcPr>
            <w:tcW w:w="4520" w:type="dxa"/>
            <w:gridSpan w:val="3"/>
            <w:tcBorders>
              <w:top w:val="nil"/>
              <w:left w:val="nil"/>
              <w:bottom w:val="nil"/>
              <w:right w:val="nil"/>
            </w:tcBorders>
            <w:noWrap/>
            <w:vAlign w:val="bottom"/>
            <w:hideMark/>
          </w:tcPr>
          <w:p w14:paraId="7BD128E1"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Net Present Value (Project A)</w:t>
            </w:r>
          </w:p>
        </w:tc>
        <w:tc>
          <w:tcPr>
            <w:tcW w:w="1760" w:type="dxa"/>
            <w:tcBorders>
              <w:top w:val="nil"/>
              <w:left w:val="nil"/>
              <w:bottom w:val="nil"/>
              <w:right w:val="nil"/>
            </w:tcBorders>
            <w:noWrap/>
            <w:vAlign w:val="bottom"/>
            <w:hideMark/>
          </w:tcPr>
          <w:p w14:paraId="221A2E56"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r>
      <w:tr w:rsidR="00870A62" w:rsidRPr="00DA2477" w14:paraId="1C7FB27D" w14:textId="77777777" w:rsidTr="00CD4033">
        <w:trPr>
          <w:trHeight w:val="300"/>
        </w:trPr>
        <w:tc>
          <w:tcPr>
            <w:tcW w:w="882" w:type="dxa"/>
            <w:tcBorders>
              <w:top w:val="single" w:sz="4" w:space="0" w:color="auto"/>
              <w:left w:val="single" w:sz="4" w:space="0" w:color="auto"/>
              <w:bottom w:val="nil"/>
              <w:right w:val="single" w:sz="8" w:space="0" w:color="auto"/>
            </w:tcBorders>
            <w:noWrap/>
            <w:vAlign w:val="bottom"/>
            <w:hideMark/>
          </w:tcPr>
          <w:p w14:paraId="2CD179CB"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Year</w:t>
            </w:r>
          </w:p>
        </w:tc>
        <w:tc>
          <w:tcPr>
            <w:tcW w:w="1645" w:type="dxa"/>
            <w:vMerge w:val="restart"/>
            <w:tcBorders>
              <w:top w:val="single" w:sz="4" w:space="0" w:color="auto"/>
              <w:left w:val="single" w:sz="8" w:space="0" w:color="auto"/>
              <w:bottom w:val="single" w:sz="8" w:space="0" w:color="000000"/>
              <w:right w:val="single" w:sz="8" w:space="0" w:color="auto"/>
            </w:tcBorders>
            <w:noWrap/>
            <w:vAlign w:val="bottom"/>
            <w:hideMark/>
          </w:tcPr>
          <w:p w14:paraId="7B3A23A7"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Cash Flow</w:t>
            </w:r>
          </w:p>
        </w:tc>
        <w:tc>
          <w:tcPr>
            <w:tcW w:w="1993" w:type="dxa"/>
            <w:tcBorders>
              <w:top w:val="single" w:sz="4" w:space="0" w:color="auto"/>
              <w:left w:val="nil"/>
              <w:bottom w:val="nil"/>
              <w:right w:val="nil"/>
            </w:tcBorders>
            <w:noWrap/>
            <w:vAlign w:val="bottom"/>
            <w:hideMark/>
          </w:tcPr>
          <w:p w14:paraId="0076C5BE"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DCF</w:t>
            </w:r>
          </w:p>
        </w:tc>
        <w:tc>
          <w:tcPr>
            <w:tcW w:w="1760" w:type="dxa"/>
            <w:vMerge w:val="restart"/>
            <w:tcBorders>
              <w:top w:val="single" w:sz="4" w:space="0" w:color="auto"/>
              <w:left w:val="single" w:sz="8" w:space="0" w:color="auto"/>
              <w:bottom w:val="single" w:sz="8" w:space="0" w:color="000000"/>
              <w:right w:val="single" w:sz="4" w:space="0" w:color="auto"/>
            </w:tcBorders>
            <w:vAlign w:val="bottom"/>
            <w:hideMark/>
          </w:tcPr>
          <w:p w14:paraId="678CB81A"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Present Value of Cash Flows</w:t>
            </w:r>
          </w:p>
        </w:tc>
      </w:tr>
      <w:tr w:rsidR="00870A62" w:rsidRPr="00DA2477" w14:paraId="6E543614" w14:textId="77777777" w:rsidTr="00CD4033">
        <w:trPr>
          <w:trHeight w:val="315"/>
        </w:trPr>
        <w:tc>
          <w:tcPr>
            <w:tcW w:w="882" w:type="dxa"/>
            <w:tcBorders>
              <w:top w:val="nil"/>
              <w:left w:val="single" w:sz="4" w:space="0" w:color="auto"/>
              <w:bottom w:val="single" w:sz="8" w:space="0" w:color="auto"/>
              <w:right w:val="single" w:sz="8" w:space="0" w:color="auto"/>
            </w:tcBorders>
            <w:noWrap/>
            <w:vAlign w:val="bottom"/>
            <w:hideMark/>
          </w:tcPr>
          <w:p w14:paraId="69EF19B5"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645" w:type="dxa"/>
            <w:vMerge/>
            <w:tcBorders>
              <w:top w:val="single" w:sz="4" w:space="0" w:color="auto"/>
              <w:left w:val="single" w:sz="8" w:space="0" w:color="auto"/>
              <w:bottom w:val="single" w:sz="8" w:space="0" w:color="000000"/>
              <w:right w:val="single" w:sz="8" w:space="0" w:color="auto"/>
            </w:tcBorders>
            <w:vAlign w:val="center"/>
            <w:hideMark/>
          </w:tcPr>
          <w:p w14:paraId="14BA2CB8"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993" w:type="dxa"/>
            <w:tcBorders>
              <w:top w:val="nil"/>
              <w:left w:val="nil"/>
              <w:bottom w:val="single" w:sz="8" w:space="0" w:color="auto"/>
              <w:right w:val="single" w:sz="8" w:space="0" w:color="auto"/>
            </w:tcBorders>
            <w:noWrap/>
            <w:vAlign w:val="bottom"/>
            <w:hideMark/>
          </w:tcPr>
          <w:p w14:paraId="45523AE7"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8%</w:t>
            </w:r>
          </w:p>
        </w:tc>
        <w:tc>
          <w:tcPr>
            <w:tcW w:w="1760" w:type="dxa"/>
            <w:vMerge/>
            <w:tcBorders>
              <w:top w:val="single" w:sz="4" w:space="0" w:color="auto"/>
              <w:left w:val="single" w:sz="8" w:space="0" w:color="auto"/>
              <w:bottom w:val="single" w:sz="8" w:space="0" w:color="000000"/>
              <w:right w:val="single" w:sz="4" w:space="0" w:color="auto"/>
            </w:tcBorders>
            <w:vAlign w:val="center"/>
            <w:hideMark/>
          </w:tcPr>
          <w:p w14:paraId="7EAA8243" w14:textId="77777777" w:rsidR="00870A62" w:rsidRPr="00DA2477" w:rsidRDefault="00870A62" w:rsidP="00CD4033">
            <w:pPr>
              <w:spacing w:after="0" w:line="240" w:lineRule="auto"/>
              <w:jc w:val="center"/>
              <w:rPr>
                <w:rFonts w:eastAsia="Times New Roman" w:cs="Times New Roman"/>
                <w:b/>
                <w:bCs/>
                <w:szCs w:val="24"/>
                <w:lang w:val="" w:eastAsia=""/>
              </w:rPr>
            </w:pPr>
          </w:p>
        </w:tc>
      </w:tr>
      <w:tr w:rsidR="00870A62" w:rsidRPr="00DA2477" w14:paraId="33635CF3" w14:textId="77777777" w:rsidTr="00CD4033">
        <w:trPr>
          <w:trHeight w:val="300"/>
        </w:trPr>
        <w:tc>
          <w:tcPr>
            <w:tcW w:w="882" w:type="dxa"/>
            <w:tcBorders>
              <w:top w:val="nil"/>
              <w:left w:val="single" w:sz="4" w:space="0" w:color="auto"/>
              <w:bottom w:val="nil"/>
              <w:right w:val="nil"/>
            </w:tcBorders>
            <w:noWrap/>
            <w:vAlign w:val="bottom"/>
            <w:hideMark/>
          </w:tcPr>
          <w:p w14:paraId="2FAB9321"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w:t>
            </w:r>
          </w:p>
        </w:tc>
        <w:tc>
          <w:tcPr>
            <w:tcW w:w="1645" w:type="dxa"/>
            <w:tcBorders>
              <w:top w:val="nil"/>
              <w:left w:val="nil"/>
              <w:bottom w:val="nil"/>
              <w:right w:val="nil"/>
            </w:tcBorders>
            <w:noWrap/>
            <w:vAlign w:val="bottom"/>
            <w:hideMark/>
          </w:tcPr>
          <w:p w14:paraId="6438283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c>
          <w:tcPr>
            <w:tcW w:w="1993" w:type="dxa"/>
            <w:tcBorders>
              <w:top w:val="nil"/>
              <w:left w:val="nil"/>
              <w:bottom w:val="nil"/>
              <w:right w:val="nil"/>
            </w:tcBorders>
            <w:noWrap/>
            <w:vAlign w:val="bottom"/>
            <w:hideMark/>
          </w:tcPr>
          <w:p w14:paraId="596A930D"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w:t>
            </w:r>
          </w:p>
        </w:tc>
        <w:tc>
          <w:tcPr>
            <w:tcW w:w="1760" w:type="dxa"/>
            <w:tcBorders>
              <w:top w:val="nil"/>
              <w:left w:val="nil"/>
              <w:bottom w:val="nil"/>
              <w:right w:val="single" w:sz="4" w:space="0" w:color="auto"/>
            </w:tcBorders>
            <w:vAlign w:val="bottom"/>
            <w:hideMark/>
          </w:tcPr>
          <w:p w14:paraId="68983CD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r>
      <w:tr w:rsidR="00870A62" w:rsidRPr="00DA2477" w14:paraId="34722476" w14:textId="77777777" w:rsidTr="00CD4033">
        <w:trPr>
          <w:trHeight w:val="315"/>
        </w:trPr>
        <w:tc>
          <w:tcPr>
            <w:tcW w:w="882" w:type="dxa"/>
            <w:tcBorders>
              <w:top w:val="nil"/>
              <w:left w:val="single" w:sz="4" w:space="0" w:color="auto"/>
              <w:bottom w:val="nil"/>
              <w:right w:val="nil"/>
            </w:tcBorders>
            <w:noWrap/>
            <w:vAlign w:val="bottom"/>
            <w:hideMark/>
          </w:tcPr>
          <w:p w14:paraId="05F1A362" w14:textId="77777777" w:rsidR="00870A62" w:rsidRPr="00DA2477" w:rsidRDefault="00870A62" w:rsidP="00CD4033">
            <w:pPr>
              <w:spacing w:after="0" w:line="240" w:lineRule="auto"/>
              <w:jc w:val="center"/>
              <w:rPr>
                <w:rFonts w:eastAsia="Times New Roman" w:cs="Times New Roman"/>
                <w:szCs w:val="24"/>
                <w:lang w:val="" w:eastAsia=""/>
              </w:rPr>
            </w:pPr>
          </w:p>
        </w:tc>
        <w:tc>
          <w:tcPr>
            <w:tcW w:w="1645" w:type="dxa"/>
            <w:tcBorders>
              <w:top w:val="nil"/>
              <w:left w:val="nil"/>
              <w:bottom w:val="nil"/>
              <w:right w:val="nil"/>
            </w:tcBorders>
            <w:noWrap/>
            <w:vAlign w:val="bottom"/>
            <w:hideMark/>
          </w:tcPr>
          <w:p w14:paraId="2215968F" w14:textId="77777777" w:rsidR="00870A62" w:rsidRPr="00DA2477" w:rsidRDefault="00870A62" w:rsidP="00CD4033">
            <w:pPr>
              <w:spacing w:after="0" w:line="240" w:lineRule="auto"/>
              <w:jc w:val="center"/>
              <w:rPr>
                <w:rFonts w:eastAsia="Times New Roman" w:cs="Times New Roman"/>
                <w:szCs w:val="24"/>
                <w:lang w:val="" w:eastAsia=""/>
              </w:rPr>
            </w:pPr>
          </w:p>
        </w:tc>
        <w:tc>
          <w:tcPr>
            <w:tcW w:w="1993" w:type="dxa"/>
            <w:tcBorders>
              <w:top w:val="nil"/>
              <w:left w:val="nil"/>
              <w:bottom w:val="nil"/>
              <w:right w:val="nil"/>
            </w:tcBorders>
            <w:noWrap/>
            <w:vAlign w:val="bottom"/>
            <w:hideMark/>
          </w:tcPr>
          <w:p w14:paraId="313DA904"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760" w:type="dxa"/>
            <w:tcBorders>
              <w:top w:val="nil"/>
              <w:left w:val="nil"/>
              <w:bottom w:val="nil"/>
              <w:right w:val="single" w:sz="4" w:space="0" w:color="auto"/>
            </w:tcBorders>
            <w:vAlign w:val="bottom"/>
            <w:hideMark/>
          </w:tcPr>
          <w:p w14:paraId="2589D9B8" w14:textId="77777777" w:rsidR="00870A62" w:rsidRPr="00DA2477" w:rsidRDefault="00870A62" w:rsidP="00CD4033">
            <w:pPr>
              <w:spacing w:after="0" w:line="240" w:lineRule="auto"/>
              <w:jc w:val="center"/>
              <w:rPr>
                <w:rFonts w:eastAsia="Times New Roman" w:cs="Times New Roman"/>
                <w:szCs w:val="24"/>
                <w:lang w:val="" w:eastAsia=""/>
              </w:rPr>
            </w:pPr>
          </w:p>
        </w:tc>
      </w:tr>
      <w:tr w:rsidR="00870A62" w:rsidRPr="00DA2477" w14:paraId="1B875A95" w14:textId="77777777" w:rsidTr="00CD4033">
        <w:trPr>
          <w:trHeight w:val="300"/>
        </w:trPr>
        <w:tc>
          <w:tcPr>
            <w:tcW w:w="882" w:type="dxa"/>
            <w:tcBorders>
              <w:top w:val="nil"/>
              <w:left w:val="single" w:sz="4" w:space="0" w:color="auto"/>
              <w:bottom w:val="nil"/>
              <w:right w:val="nil"/>
            </w:tcBorders>
            <w:noWrap/>
            <w:vAlign w:val="bottom"/>
            <w:hideMark/>
          </w:tcPr>
          <w:p w14:paraId="19ED9AB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c>
          <w:tcPr>
            <w:tcW w:w="1645" w:type="dxa"/>
            <w:tcBorders>
              <w:top w:val="nil"/>
              <w:left w:val="nil"/>
              <w:bottom w:val="nil"/>
              <w:right w:val="nil"/>
            </w:tcBorders>
            <w:noWrap/>
            <w:vAlign w:val="bottom"/>
            <w:hideMark/>
          </w:tcPr>
          <w:p w14:paraId="4B5400E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10,000,000</w:t>
            </w:r>
          </w:p>
        </w:tc>
        <w:tc>
          <w:tcPr>
            <w:tcW w:w="1993" w:type="dxa"/>
            <w:tcBorders>
              <w:top w:val="nil"/>
              <w:left w:val="nil"/>
              <w:bottom w:val="nil"/>
              <w:right w:val="nil"/>
            </w:tcBorders>
            <w:noWrap/>
            <w:vAlign w:val="bottom"/>
            <w:hideMark/>
          </w:tcPr>
          <w:p w14:paraId="70B40CF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0.9259</w:t>
            </w:r>
          </w:p>
        </w:tc>
        <w:tc>
          <w:tcPr>
            <w:tcW w:w="1760" w:type="dxa"/>
            <w:tcBorders>
              <w:top w:val="single" w:sz="8" w:space="0" w:color="auto"/>
              <w:left w:val="single" w:sz="8" w:space="0" w:color="auto"/>
              <w:bottom w:val="nil"/>
              <w:right w:val="single" w:sz="4" w:space="0" w:color="auto"/>
            </w:tcBorders>
            <w:vAlign w:val="bottom"/>
            <w:hideMark/>
          </w:tcPr>
          <w:p w14:paraId="46613DA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9,259,259</w:t>
            </w:r>
          </w:p>
        </w:tc>
      </w:tr>
      <w:tr w:rsidR="00870A62" w:rsidRPr="00DA2477" w14:paraId="7CEE031F" w14:textId="77777777" w:rsidTr="00CD4033">
        <w:trPr>
          <w:trHeight w:val="300"/>
        </w:trPr>
        <w:tc>
          <w:tcPr>
            <w:tcW w:w="882" w:type="dxa"/>
            <w:tcBorders>
              <w:top w:val="nil"/>
              <w:left w:val="single" w:sz="4" w:space="0" w:color="auto"/>
              <w:bottom w:val="nil"/>
              <w:right w:val="nil"/>
            </w:tcBorders>
            <w:noWrap/>
            <w:vAlign w:val="bottom"/>
            <w:hideMark/>
          </w:tcPr>
          <w:p w14:paraId="32AAC5F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c>
          <w:tcPr>
            <w:tcW w:w="1645" w:type="dxa"/>
            <w:tcBorders>
              <w:top w:val="nil"/>
              <w:left w:val="nil"/>
              <w:bottom w:val="nil"/>
              <w:right w:val="nil"/>
            </w:tcBorders>
            <w:noWrap/>
            <w:vAlign w:val="bottom"/>
            <w:hideMark/>
          </w:tcPr>
          <w:p w14:paraId="5C798BA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12,000,000</w:t>
            </w:r>
          </w:p>
        </w:tc>
        <w:tc>
          <w:tcPr>
            <w:tcW w:w="1993" w:type="dxa"/>
            <w:tcBorders>
              <w:top w:val="nil"/>
              <w:left w:val="nil"/>
              <w:bottom w:val="nil"/>
              <w:right w:val="nil"/>
            </w:tcBorders>
            <w:noWrap/>
            <w:vAlign w:val="bottom"/>
            <w:hideMark/>
          </w:tcPr>
          <w:p w14:paraId="3DEEF68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0.8573</w:t>
            </w:r>
          </w:p>
        </w:tc>
        <w:tc>
          <w:tcPr>
            <w:tcW w:w="1760" w:type="dxa"/>
            <w:tcBorders>
              <w:top w:val="nil"/>
              <w:left w:val="single" w:sz="8" w:space="0" w:color="auto"/>
              <w:bottom w:val="nil"/>
              <w:right w:val="single" w:sz="4" w:space="0" w:color="auto"/>
            </w:tcBorders>
            <w:vAlign w:val="bottom"/>
            <w:hideMark/>
          </w:tcPr>
          <w:p w14:paraId="1374A516"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10,288,066</w:t>
            </w:r>
          </w:p>
        </w:tc>
      </w:tr>
      <w:tr w:rsidR="00870A62" w:rsidRPr="00DA2477" w14:paraId="1A8F1802" w14:textId="77777777" w:rsidTr="00CD4033">
        <w:trPr>
          <w:trHeight w:val="300"/>
        </w:trPr>
        <w:tc>
          <w:tcPr>
            <w:tcW w:w="882" w:type="dxa"/>
            <w:tcBorders>
              <w:top w:val="nil"/>
              <w:left w:val="single" w:sz="4" w:space="0" w:color="auto"/>
              <w:bottom w:val="nil"/>
              <w:right w:val="nil"/>
            </w:tcBorders>
            <w:noWrap/>
            <w:vAlign w:val="bottom"/>
            <w:hideMark/>
          </w:tcPr>
          <w:p w14:paraId="51FABD1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c>
          <w:tcPr>
            <w:tcW w:w="1645" w:type="dxa"/>
            <w:tcBorders>
              <w:top w:val="nil"/>
              <w:left w:val="nil"/>
              <w:bottom w:val="nil"/>
              <w:right w:val="nil"/>
            </w:tcBorders>
            <w:noWrap/>
            <w:vAlign w:val="bottom"/>
            <w:hideMark/>
          </w:tcPr>
          <w:p w14:paraId="1B33F1F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14,000,000</w:t>
            </w:r>
          </w:p>
        </w:tc>
        <w:tc>
          <w:tcPr>
            <w:tcW w:w="1993" w:type="dxa"/>
            <w:tcBorders>
              <w:top w:val="nil"/>
              <w:left w:val="nil"/>
              <w:bottom w:val="nil"/>
              <w:right w:val="nil"/>
            </w:tcBorders>
            <w:noWrap/>
            <w:vAlign w:val="bottom"/>
            <w:hideMark/>
          </w:tcPr>
          <w:p w14:paraId="32D5904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0.7938</w:t>
            </w:r>
          </w:p>
        </w:tc>
        <w:tc>
          <w:tcPr>
            <w:tcW w:w="1760" w:type="dxa"/>
            <w:tcBorders>
              <w:top w:val="nil"/>
              <w:left w:val="single" w:sz="8" w:space="0" w:color="auto"/>
              <w:bottom w:val="nil"/>
              <w:right w:val="single" w:sz="4" w:space="0" w:color="auto"/>
            </w:tcBorders>
            <w:vAlign w:val="bottom"/>
            <w:hideMark/>
          </w:tcPr>
          <w:p w14:paraId="460DCD70"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11,113,651</w:t>
            </w:r>
          </w:p>
        </w:tc>
      </w:tr>
      <w:tr w:rsidR="00870A62" w:rsidRPr="00DA2477" w14:paraId="3E0B4C62" w14:textId="77777777" w:rsidTr="00CD4033">
        <w:trPr>
          <w:trHeight w:val="300"/>
        </w:trPr>
        <w:tc>
          <w:tcPr>
            <w:tcW w:w="882" w:type="dxa"/>
            <w:tcBorders>
              <w:top w:val="nil"/>
              <w:left w:val="single" w:sz="4" w:space="0" w:color="auto"/>
              <w:bottom w:val="nil"/>
              <w:right w:val="nil"/>
            </w:tcBorders>
            <w:noWrap/>
            <w:vAlign w:val="bottom"/>
            <w:hideMark/>
          </w:tcPr>
          <w:p w14:paraId="7E98C1C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w:t>
            </w:r>
          </w:p>
        </w:tc>
        <w:tc>
          <w:tcPr>
            <w:tcW w:w="1645" w:type="dxa"/>
            <w:tcBorders>
              <w:top w:val="nil"/>
              <w:left w:val="nil"/>
              <w:bottom w:val="nil"/>
              <w:right w:val="nil"/>
            </w:tcBorders>
            <w:noWrap/>
            <w:vAlign w:val="bottom"/>
            <w:hideMark/>
          </w:tcPr>
          <w:p w14:paraId="454F640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10,000,000</w:t>
            </w:r>
          </w:p>
        </w:tc>
        <w:tc>
          <w:tcPr>
            <w:tcW w:w="1993" w:type="dxa"/>
            <w:tcBorders>
              <w:top w:val="nil"/>
              <w:left w:val="nil"/>
              <w:bottom w:val="nil"/>
              <w:right w:val="nil"/>
            </w:tcBorders>
            <w:noWrap/>
            <w:vAlign w:val="bottom"/>
            <w:hideMark/>
          </w:tcPr>
          <w:p w14:paraId="11BC83B6"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0.7350</w:t>
            </w:r>
          </w:p>
        </w:tc>
        <w:tc>
          <w:tcPr>
            <w:tcW w:w="1760" w:type="dxa"/>
            <w:tcBorders>
              <w:top w:val="nil"/>
              <w:left w:val="single" w:sz="8" w:space="0" w:color="auto"/>
              <w:bottom w:val="nil"/>
              <w:right w:val="single" w:sz="4" w:space="0" w:color="auto"/>
            </w:tcBorders>
            <w:vAlign w:val="bottom"/>
            <w:hideMark/>
          </w:tcPr>
          <w:p w14:paraId="08158E9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7,350,299</w:t>
            </w:r>
          </w:p>
        </w:tc>
      </w:tr>
      <w:tr w:rsidR="00870A62" w:rsidRPr="00DA2477" w14:paraId="3F3162EB" w14:textId="77777777" w:rsidTr="00CD4033">
        <w:trPr>
          <w:trHeight w:val="315"/>
        </w:trPr>
        <w:tc>
          <w:tcPr>
            <w:tcW w:w="882" w:type="dxa"/>
            <w:tcBorders>
              <w:top w:val="nil"/>
              <w:left w:val="single" w:sz="4" w:space="0" w:color="auto"/>
              <w:bottom w:val="nil"/>
              <w:right w:val="nil"/>
            </w:tcBorders>
            <w:noWrap/>
            <w:vAlign w:val="bottom"/>
            <w:hideMark/>
          </w:tcPr>
          <w:p w14:paraId="527E212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w:t>
            </w:r>
          </w:p>
        </w:tc>
        <w:tc>
          <w:tcPr>
            <w:tcW w:w="1645" w:type="dxa"/>
            <w:tcBorders>
              <w:top w:val="nil"/>
              <w:left w:val="nil"/>
              <w:bottom w:val="nil"/>
              <w:right w:val="nil"/>
            </w:tcBorders>
            <w:noWrap/>
            <w:vAlign w:val="bottom"/>
            <w:hideMark/>
          </w:tcPr>
          <w:p w14:paraId="4BCB591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8,000,000</w:t>
            </w:r>
          </w:p>
        </w:tc>
        <w:tc>
          <w:tcPr>
            <w:tcW w:w="1993" w:type="dxa"/>
            <w:tcBorders>
              <w:top w:val="nil"/>
              <w:left w:val="nil"/>
              <w:bottom w:val="nil"/>
              <w:right w:val="nil"/>
            </w:tcBorders>
            <w:noWrap/>
            <w:vAlign w:val="bottom"/>
            <w:hideMark/>
          </w:tcPr>
          <w:p w14:paraId="5325CBD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0.6806</w:t>
            </w:r>
          </w:p>
        </w:tc>
        <w:tc>
          <w:tcPr>
            <w:tcW w:w="1760" w:type="dxa"/>
            <w:tcBorders>
              <w:top w:val="nil"/>
              <w:left w:val="single" w:sz="8" w:space="0" w:color="auto"/>
              <w:bottom w:val="nil"/>
              <w:right w:val="single" w:sz="4" w:space="0" w:color="auto"/>
            </w:tcBorders>
            <w:vAlign w:val="bottom"/>
            <w:hideMark/>
          </w:tcPr>
          <w:p w14:paraId="6C09633F"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5,444,666</w:t>
            </w:r>
          </w:p>
        </w:tc>
      </w:tr>
      <w:tr w:rsidR="00870A62" w:rsidRPr="00DA2477" w14:paraId="399C2DC1" w14:textId="77777777" w:rsidTr="00CD4033">
        <w:trPr>
          <w:trHeight w:val="315"/>
        </w:trPr>
        <w:tc>
          <w:tcPr>
            <w:tcW w:w="882" w:type="dxa"/>
            <w:tcBorders>
              <w:top w:val="nil"/>
              <w:left w:val="single" w:sz="4" w:space="0" w:color="auto"/>
              <w:bottom w:val="nil"/>
              <w:right w:val="nil"/>
            </w:tcBorders>
            <w:noWrap/>
            <w:vAlign w:val="bottom"/>
            <w:hideMark/>
          </w:tcPr>
          <w:p w14:paraId="64ACB4F3" w14:textId="77777777" w:rsidR="00870A62" w:rsidRPr="00DA2477" w:rsidRDefault="00870A62" w:rsidP="00CD4033">
            <w:pPr>
              <w:spacing w:after="0" w:line="240" w:lineRule="auto"/>
              <w:jc w:val="center"/>
              <w:rPr>
                <w:rFonts w:eastAsia="Times New Roman" w:cs="Times New Roman"/>
                <w:szCs w:val="24"/>
                <w:lang w:val="" w:eastAsia=""/>
              </w:rPr>
            </w:pPr>
          </w:p>
        </w:tc>
        <w:tc>
          <w:tcPr>
            <w:tcW w:w="1645" w:type="dxa"/>
            <w:tcBorders>
              <w:top w:val="nil"/>
              <w:left w:val="nil"/>
              <w:bottom w:val="nil"/>
              <w:right w:val="nil"/>
            </w:tcBorders>
            <w:noWrap/>
            <w:vAlign w:val="bottom"/>
            <w:hideMark/>
          </w:tcPr>
          <w:p w14:paraId="50A6B77A" w14:textId="77777777" w:rsidR="00870A62" w:rsidRPr="00DA2477" w:rsidRDefault="00870A62" w:rsidP="00CD4033">
            <w:pPr>
              <w:spacing w:after="0" w:line="240" w:lineRule="auto"/>
              <w:jc w:val="center"/>
              <w:rPr>
                <w:rFonts w:eastAsia="Times New Roman" w:cs="Times New Roman"/>
                <w:szCs w:val="24"/>
                <w:lang w:val="" w:eastAsia=""/>
              </w:rPr>
            </w:pPr>
          </w:p>
        </w:tc>
        <w:tc>
          <w:tcPr>
            <w:tcW w:w="1993" w:type="dxa"/>
            <w:tcBorders>
              <w:top w:val="nil"/>
              <w:left w:val="nil"/>
              <w:bottom w:val="nil"/>
              <w:right w:val="nil"/>
            </w:tcBorders>
            <w:noWrap/>
            <w:vAlign w:val="bottom"/>
            <w:hideMark/>
          </w:tcPr>
          <w:p w14:paraId="26D99E0F"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760" w:type="dxa"/>
            <w:tcBorders>
              <w:top w:val="single" w:sz="8" w:space="0" w:color="auto"/>
              <w:left w:val="nil"/>
              <w:bottom w:val="single" w:sz="8" w:space="0" w:color="auto"/>
              <w:right w:val="single" w:sz="4" w:space="0" w:color="auto"/>
            </w:tcBorders>
            <w:noWrap/>
            <w:vAlign w:val="bottom"/>
            <w:hideMark/>
          </w:tcPr>
          <w:p w14:paraId="05917E05"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43,455,941</w:t>
            </w:r>
          </w:p>
        </w:tc>
      </w:tr>
      <w:tr w:rsidR="00870A62" w:rsidRPr="00DA2477" w14:paraId="5E0AB31A" w14:textId="77777777" w:rsidTr="00CD4033">
        <w:trPr>
          <w:trHeight w:val="315"/>
        </w:trPr>
        <w:tc>
          <w:tcPr>
            <w:tcW w:w="882" w:type="dxa"/>
            <w:tcBorders>
              <w:top w:val="nil"/>
              <w:left w:val="single" w:sz="4" w:space="0" w:color="auto"/>
              <w:bottom w:val="nil"/>
              <w:right w:val="nil"/>
            </w:tcBorders>
            <w:noWrap/>
            <w:vAlign w:val="bottom"/>
            <w:hideMark/>
          </w:tcPr>
          <w:p w14:paraId="379417D6" w14:textId="77777777" w:rsidR="00870A62" w:rsidRPr="00DA2477" w:rsidRDefault="00870A62" w:rsidP="00CD4033">
            <w:pPr>
              <w:spacing w:after="0" w:line="240" w:lineRule="auto"/>
              <w:jc w:val="center"/>
              <w:rPr>
                <w:rFonts w:eastAsia="Times New Roman" w:cs="Times New Roman"/>
                <w:szCs w:val="24"/>
                <w:lang w:val="" w:eastAsia=""/>
              </w:rPr>
            </w:pPr>
          </w:p>
        </w:tc>
        <w:tc>
          <w:tcPr>
            <w:tcW w:w="3638" w:type="dxa"/>
            <w:gridSpan w:val="2"/>
            <w:tcBorders>
              <w:top w:val="nil"/>
              <w:left w:val="nil"/>
              <w:bottom w:val="nil"/>
              <w:right w:val="nil"/>
            </w:tcBorders>
            <w:noWrap/>
            <w:vAlign w:val="bottom"/>
            <w:hideMark/>
          </w:tcPr>
          <w:p w14:paraId="47633499"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Net Present Value</w:t>
            </w:r>
          </w:p>
        </w:tc>
        <w:tc>
          <w:tcPr>
            <w:tcW w:w="1760" w:type="dxa"/>
            <w:tcBorders>
              <w:top w:val="nil"/>
              <w:left w:val="nil"/>
              <w:bottom w:val="double" w:sz="6" w:space="0" w:color="auto"/>
              <w:right w:val="single" w:sz="4" w:space="0" w:color="auto"/>
            </w:tcBorders>
            <w:noWrap/>
            <w:vAlign w:val="bottom"/>
            <w:hideMark/>
          </w:tcPr>
          <w:p w14:paraId="43E5B2D7" w14:textId="77777777" w:rsidR="00870A62" w:rsidRPr="00DA2477" w:rsidRDefault="00870A62" w:rsidP="00CD4033">
            <w:pPr>
              <w:spacing w:after="0" w:line="240" w:lineRule="auto"/>
              <w:jc w:val="center"/>
              <w:rPr>
                <w:rFonts w:eastAsia="Times New Roman" w:cs="Times New Roman"/>
                <w:b/>
                <w:bCs/>
                <w:color w:val="FF0000"/>
                <w:szCs w:val="24"/>
                <w:lang w:val="" w:eastAsia=""/>
              </w:rPr>
            </w:pPr>
            <w:r w:rsidRPr="00DA2477">
              <w:rPr>
                <w:rFonts w:eastAsia="Times New Roman" w:cs="Times New Roman"/>
                <w:b/>
                <w:bCs/>
                <w:color w:val="FF0000"/>
                <w:szCs w:val="24"/>
                <w:lang w:val="" w:eastAsia=""/>
              </w:rPr>
              <w:t>(6,544,059)</w:t>
            </w:r>
          </w:p>
        </w:tc>
      </w:tr>
      <w:tr w:rsidR="00870A62" w:rsidRPr="00DA2477" w14:paraId="20AAD516" w14:textId="77777777" w:rsidTr="00CD4033">
        <w:trPr>
          <w:trHeight w:val="315"/>
        </w:trPr>
        <w:tc>
          <w:tcPr>
            <w:tcW w:w="882" w:type="dxa"/>
            <w:tcBorders>
              <w:top w:val="nil"/>
              <w:left w:val="single" w:sz="4" w:space="0" w:color="auto"/>
              <w:bottom w:val="single" w:sz="4" w:space="0" w:color="auto"/>
              <w:right w:val="nil"/>
            </w:tcBorders>
            <w:noWrap/>
            <w:vAlign w:val="bottom"/>
            <w:hideMark/>
          </w:tcPr>
          <w:p w14:paraId="5B85D3D8" w14:textId="77777777" w:rsidR="00870A62" w:rsidRPr="00DA2477" w:rsidRDefault="00870A62" w:rsidP="00CD4033">
            <w:pPr>
              <w:spacing w:after="0" w:line="240" w:lineRule="auto"/>
              <w:jc w:val="left"/>
              <w:rPr>
                <w:rFonts w:eastAsia="Times New Roman" w:cs="Times New Roman"/>
                <w:szCs w:val="24"/>
                <w:lang w:val="" w:eastAsia=""/>
              </w:rPr>
            </w:pPr>
            <w:r w:rsidRPr="00DA2477">
              <w:rPr>
                <w:rFonts w:eastAsia="Times New Roman" w:cs="Times New Roman"/>
                <w:szCs w:val="24"/>
                <w:lang w:val="" w:eastAsia=""/>
              </w:rPr>
              <w:t> </w:t>
            </w:r>
          </w:p>
        </w:tc>
        <w:tc>
          <w:tcPr>
            <w:tcW w:w="1645" w:type="dxa"/>
            <w:tcBorders>
              <w:top w:val="nil"/>
              <w:left w:val="nil"/>
              <w:bottom w:val="single" w:sz="4" w:space="0" w:color="auto"/>
              <w:right w:val="nil"/>
            </w:tcBorders>
            <w:noWrap/>
            <w:vAlign w:val="bottom"/>
            <w:hideMark/>
          </w:tcPr>
          <w:p w14:paraId="381CF8C9" w14:textId="77777777" w:rsidR="00870A62" w:rsidRPr="00DA2477" w:rsidRDefault="00870A62" w:rsidP="00CD4033">
            <w:pPr>
              <w:spacing w:after="0" w:line="240" w:lineRule="auto"/>
              <w:jc w:val="left"/>
              <w:rPr>
                <w:rFonts w:eastAsia="Times New Roman" w:cs="Times New Roman"/>
                <w:szCs w:val="24"/>
                <w:lang w:val="" w:eastAsia=""/>
              </w:rPr>
            </w:pPr>
            <w:r w:rsidRPr="00DA2477">
              <w:rPr>
                <w:rFonts w:eastAsia="Times New Roman" w:cs="Times New Roman"/>
                <w:szCs w:val="24"/>
                <w:lang w:val="" w:eastAsia=""/>
              </w:rPr>
              <w:t> </w:t>
            </w:r>
          </w:p>
        </w:tc>
        <w:tc>
          <w:tcPr>
            <w:tcW w:w="1993" w:type="dxa"/>
            <w:tcBorders>
              <w:top w:val="nil"/>
              <w:left w:val="nil"/>
              <w:bottom w:val="single" w:sz="4" w:space="0" w:color="auto"/>
              <w:right w:val="nil"/>
            </w:tcBorders>
            <w:noWrap/>
            <w:vAlign w:val="bottom"/>
            <w:hideMark/>
          </w:tcPr>
          <w:p w14:paraId="4A80FF66" w14:textId="77777777" w:rsidR="00870A62" w:rsidRPr="00DA2477" w:rsidRDefault="00870A62" w:rsidP="00CD4033">
            <w:pPr>
              <w:spacing w:after="0" w:line="240" w:lineRule="auto"/>
              <w:jc w:val="left"/>
              <w:rPr>
                <w:rFonts w:eastAsia="Times New Roman" w:cs="Times New Roman"/>
                <w:szCs w:val="24"/>
                <w:lang w:val="" w:eastAsia=""/>
              </w:rPr>
            </w:pPr>
            <w:r w:rsidRPr="00DA2477">
              <w:rPr>
                <w:rFonts w:eastAsia="Times New Roman" w:cs="Times New Roman"/>
                <w:szCs w:val="24"/>
                <w:lang w:val="" w:eastAsia=""/>
              </w:rPr>
              <w:t> </w:t>
            </w:r>
          </w:p>
        </w:tc>
        <w:tc>
          <w:tcPr>
            <w:tcW w:w="1760" w:type="dxa"/>
            <w:tcBorders>
              <w:top w:val="nil"/>
              <w:left w:val="nil"/>
              <w:bottom w:val="single" w:sz="4" w:space="0" w:color="auto"/>
              <w:right w:val="single" w:sz="4" w:space="0" w:color="auto"/>
            </w:tcBorders>
            <w:noWrap/>
            <w:vAlign w:val="bottom"/>
            <w:hideMark/>
          </w:tcPr>
          <w:p w14:paraId="51D2D7BA" w14:textId="77777777" w:rsidR="00870A62" w:rsidRPr="00DA2477" w:rsidRDefault="00870A62" w:rsidP="00CD4033">
            <w:pPr>
              <w:spacing w:after="0" w:line="240" w:lineRule="auto"/>
              <w:jc w:val="left"/>
              <w:rPr>
                <w:rFonts w:eastAsia="Times New Roman" w:cs="Times New Roman"/>
                <w:szCs w:val="24"/>
                <w:lang w:val="" w:eastAsia=""/>
              </w:rPr>
            </w:pPr>
            <w:r w:rsidRPr="00DA2477">
              <w:rPr>
                <w:rFonts w:eastAsia="Times New Roman" w:cs="Times New Roman"/>
                <w:szCs w:val="24"/>
                <w:lang w:val="" w:eastAsia=""/>
              </w:rPr>
              <w:t> </w:t>
            </w:r>
          </w:p>
        </w:tc>
      </w:tr>
    </w:tbl>
    <w:p w14:paraId="54BD70A7" w14:textId="77777777" w:rsidR="00870A62" w:rsidRPr="00DA2477" w:rsidRDefault="00870A62" w:rsidP="00870A62">
      <w:pPr>
        <w:tabs>
          <w:tab w:val="left" w:pos="2940"/>
        </w:tabs>
        <w:rPr>
          <w:rFonts w:cs="Times New Roman"/>
          <w:b/>
          <w:bCs/>
        </w:rPr>
      </w:pPr>
    </w:p>
    <w:tbl>
      <w:tblPr>
        <w:tblW w:w="6280" w:type="dxa"/>
        <w:tblLook w:val="04A0" w:firstRow="1" w:lastRow="0" w:firstColumn="1" w:lastColumn="0" w:noHBand="0" w:noVBand="1"/>
      </w:tblPr>
      <w:tblGrid>
        <w:gridCol w:w="882"/>
        <w:gridCol w:w="1645"/>
        <w:gridCol w:w="1993"/>
        <w:gridCol w:w="1760"/>
      </w:tblGrid>
      <w:tr w:rsidR="00870A62" w:rsidRPr="00DA2477" w14:paraId="5C8989BE" w14:textId="77777777" w:rsidTr="00CD4033">
        <w:trPr>
          <w:trHeight w:val="300"/>
        </w:trPr>
        <w:tc>
          <w:tcPr>
            <w:tcW w:w="4520" w:type="dxa"/>
            <w:gridSpan w:val="3"/>
            <w:tcBorders>
              <w:top w:val="nil"/>
              <w:left w:val="nil"/>
              <w:bottom w:val="nil"/>
              <w:right w:val="nil"/>
            </w:tcBorders>
            <w:noWrap/>
            <w:vAlign w:val="bottom"/>
            <w:hideMark/>
          </w:tcPr>
          <w:p w14:paraId="02979156"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Net Present Value (Project B)</w:t>
            </w:r>
          </w:p>
        </w:tc>
        <w:tc>
          <w:tcPr>
            <w:tcW w:w="1760" w:type="dxa"/>
            <w:tcBorders>
              <w:top w:val="nil"/>
              <w:left w:val="nil"/>
              <w:bottom w:val="nil"/>
              <w:right w:val="nil"/>
            </w:tcBorders>
            <w:noWrap/>
            <w:vAlign w:val="bottom"/>
            <w:hideMark/>
          </w:tcPr>
          <w:p w14:paraId="0BAF3B7B"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r>
      <w:tr w:rsidR="00870A62" w:rsidRPr="00DA2477" w14:paraId="43752182" w14:textId="77777777" w:rsidTr="00CD4033">
        <w:trPr>
          <w:trHeight w:val="300"/>
        </w:trPr>
        <w:tc>
          <w:tcPr>
            <w:tcW w:w="882" w:type="dxa"/>
            <w:tcBorders>
              <w:top w:val="single" w:sz="4" w:space="0" w:color="auto"/>
              <w:left w:val="single" w:sz="4" w:space="0" w:color="auto"/>
              <w:bottom w:val="nil"/>
              <w:right w:val="single" w:sz="8" w:space="0" w:color="auto"/>
            </w:tcBorders>
            <w:noWrap/>
            <w:vAlign w:val="bottom"/>
            <w:hideMark/>
          </w:tcPr>
          <w:p w14:paraId="2376275E"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Year</w:t>
            </w:r>
          </w:p>
        </w:tc>
        <w:tc>
          <w:tcPr>
            <w:tcW w:w="1645" w:type="dxa"/>
            <w:vMerge w:val="restart"/>
            <w:tcBorders>
              <w:top w:val="single" w:sz="4" w:space="0" w:color="auto"/>
              <w:left w:val="single" w:sz="8" w:space="0" w:color="auto"/>
              <w:bottom w:val="single" w:sz="8" w:space="0" w:color="000000"/>
              <w:right w:val="single" w:sz="8" w:space="0" w:color="auto"/>
            </w:tcBorders>
            <w:noWrap/>
            <w:vAlign w:val="bottom"/>
            <w:hideMark/>
          </w:tcPr>
          <w:p w14:paraId="06D0F42E"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Cash Flow</w:t>
            </w:r>
          </w:p>
        </w:tc>
        <w:tc>
          <w:tcPr>
            <w:tcW w:w="1993" w:type="dxa"/>
            <w:tcBorders>
              <w:top w:val="single" w:sz="4" w:space="0" w:color="auto"/>
              <w:left w:val="nil"/>
              <w:bottom w:val="nil"/>
              <w:right w:val="nil"/>
            </w:tcBorders>
            <w:noWrap/>
            <w:vAlign w:val="bottom"/>
            <w:hideMark/>
          </w:tcPr>
          <w:p w14:paraId="19343093"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DCF</w:t>
            </w:r>
          </w:p>
        </w:tc>
        <w:tc>
          <w:tcPr>
            <w:tcW w:w="1760" w:type="dxa"/>
            <w:vMerge w:val="restart"/>
            <w:tcBorders>
              <w:top w:val="single" w:sz="4" w:space="0" w:color="auto"/>
              <w:left w:val="single" w:sz="8" w:space="0" w:color="auto"/>
              <w:bottom w:val="single" w:sz="8" w:space="0" w:color="000000"/>
              <w:right w:val="single" w:sz="4" w:space="0" w:color="auto"/>
            </w:tcBorders>
            <w:vAlign w:val="bottom"/>
            <w:hideMark/>
          </w:tcPr>
          <w:p w14:paraId="02384329"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Present Value of Cash Flows</w:t>
            </w:r>
          </w:p>
        </w:tc>
      </w:tr>
      <w:tr w:rsidR="00870A62" w:rsidRPr="00DA2477" w14:paraId="4218D267" w14:textId="77777777" w:rsidTr="00CD4033">
        <w:trPr>
          <w:trHeight w:val="315"/>
        </w:trPr>
        <w:tc>
          <w:tcPr>
            <w:tcW w:w="882" w:type="dxa"/>
            <w:tcBorders>
              <w:top w:val="nil"/>
              <w:left w:val="single" w:sz="4" w:space="0" w:color="auto"/>
              <w:bottom w:val="single" w:sz="8" w:space="0" w:color="auto"/>
              <w:right w:val="single" w:sz="8" w:space="0" w:color="auto"/>
            </w:tcBorders>
            <w:noWrap/>
            <w:vAlign w:val="bottom"/>
            <w:hideMark/>
          </w:tcPr>
          <w:p w14:paraId="7F93591C"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645" w:type="dxa"/>
            <w:vMerge/>
            <w:tcBorders>
              <w:top w:val="single" w:sz="4" w:space="0" w:color="auto"/>
              <w:left w:val="single" w:sz="8" w:space="0" w:color="auto"/>
              <w:bottom w:val="single" w:sz="8" w:space="0" w:color="000000"/>
              <w:right w:val="single" w:sz="8" w:space="0" w:color="auto"/>
            </w:tcBorders>
            <w:vAlign w:val="center"/>
            <w:hideMark/>
          </w:tcPr>
          <w:p w14:paraId="52CE72B1"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993" w:type="dxa"/>
            <w:tcBorders>
              <w:top w:val="nil"/>
              <w:left w:val="nil"/>
              <w:bottom w:val="single" w:sz="8" w:space="0" w:color="auto"/>
              <w:right w:val="single" w:sz="8" w:space="0" w:color="auto"/>
            </w:tcBorders>
            <w:noWrap/>
            <w:vAlign w:val="bottom"/>
            <w:hideMark/>
          </w:tcPr>
          <w:p w14:paraId="5512E351"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8%</w:t>
            </w:r>
          </w:p>
        </w:tc>
        <w:tc>
          <w:tcPr>
            <w:tcW w:w="1760" w:type="dxa"/>
            <w:vMerge/>
            <w:tcBorders>
              <w:top w:val="single" w:sz="4" w:space="0" w:color="auto"/>
              <w:left w:val="single" w:sz="8" w:space="0" w:color="auto"/>
              <w:bottom w:val="single" w:sz="8" w:space="0" w:color="000000"/>
              <w:right w:val="single" w:sz="4" w:space="0" w:color="auto"/>
            </w:tcBorders>
            <w:vAlign w:val="center"/>
            <w:hideMark/>
          </w:tcPr>
          <w:p w14:paraId="50A76D4C" w14:textId="77777777" w:rsidR="00870A62" w:rsidRPr="00DA2477" w:rsidRDefault="00870A62" w:rsidP="00CD4033">
            <w:pPr>
              <w:spacing w:after="0" w:line="240" w:lineRule="auto"/>
              <w:jc w:val="center"/>
              <w:rPr>
                <w:rFonts w:eastAsia="Times New Roman" w:cs="Times New Roman"/>
                <w:b/>
                <w:bCs/>
                <w:szCs w:val="24"/>
                <w:lang w:val="" w:eastAsia=""/>
              </w:rPr>
            </w:pPr>
          </w:p>
        </w:tc>
      </w:tr>
      <w:tr w:rsidR="00870A62" w:rsidRPr="00DA2477" w14:paraId="7B6ED498" w14:textId="77777777" w:rsidTr="00CD4033">
        <w:trPr>
          <w:trHeight w:val="300"/>
        </w:trPr>
        <w:tc>
          <w:tcPr>
            <w:tcW w:w="882" w:type="dxa"/>
            <w:tcBorders>
              <w:top w:val="nil"/>
              <w:left w:val="single" w:sz="4" w:space="0" w:color="auto"/>
              <w:bottom w:val="nil"/>
              <w:right w:val="nil"/>
            </w:tcBorders>
            <w:noWrap/>
            <w:vAlign w:val="bottom"/>
            <w:hideMark/>
          </w:tcPr>
          <w:p w14:paraId="4D4C926F"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w:t>
            </w:r>
          </w:p>
        </w:tc>
        <w:tc>
          <w:tcPr>
            <w:tcW w:w="1645" w:type="dxa"/>
            <w:tcBorders>
              <w:top w:val="nil"/>
              <w:left w:val="nil"/>
              <w:bottom w:val="nil"/>
              <w:right w:val="nil"/>
            </w:tcBorders>
            <w:noWrap/>
            <w:vAlign w:val="bottom"/>
            <w:hideMark/>
          </w:tcPr>
          <w:p w14:paraId="0D9A7E1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c>
          <w:tcPr>
            <w:tcW w:w="1993" w:type="dxa"/>
            <w:tcBorders>
              <w:top w:val="nil"/>
              <w:left w:val="nil"/>
              <w:bottom w:val="nil"/>
              <w:right w:val="nil"/>
            </w:tcBorders>
            <w:noWrap/>
            <w:vAlign w:val="bottom"/>
            <w:hideMark/>
          </w:tcPr>
          <w:p w14:paraId="7AE358E5"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w:t>
            </w:r>
          </w:p>
        </w:tc>
        <w:tc>
          <w:tcPr>
            <w:tcW w:w="1760" w:type="dxa"/>
            <w:tcBorders>
              <w:top w:val="nil"/>
              <w:left w:val="nil"/>
              <w:bottom w:val="nil"/>
              <w:right w:val="single" w:sz="4" w:space="0" w:color="auto"/>
            </w:tcBorders>
            <w:vAlign w:val="bottom"/>
            <w:hideMark/>
          </w:tcPr>
          <w:p w14:paraId="7ED639A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r>
      <w:tr w:rsidR="00870A62" w:rsidRPr="00DA2477" w14:paraId="23290D27" w14:textId="77777777" w:rsidTr="00CD4033">
        <w:trPr>
          <w:trHeight w:val="315"/>
        </w:trPr>
        <w:tc>
          <w:tcPr>
            <w:tcW w:w="882" w:type="dxa"/>
            <w:tcBorders>
              <w:top w:val="nil"/>
              <w:left w:val="single" w:sz="4" w:space="0" w:color="auto"/>
              <w:bottom w:val="nil"/>
              <w:right w:val="nil"/>
            </w:tcBorders>
            <w:noWrap/>
            <w:vAlign w:val="bottom"/>
            <w:hideMark/>
          </w:tcPr>
          <w:p w14:paraId="65DEC114" w14:textId="77777777" w:rsidR="00870A62" w:rsidRPr="00DA2477" w:rsidRDefault="00870A62" w:rsidP="00CD4033">
            <w:pPr>
              <w:spacing w:after="0" w:line="240" w:lineRule="auto"/>
              <w:jc w:val="center"/>
              <w:rPr>
                <w:rFonts w:eastAsia="Times New Roman" w:cs="Times New Roman"/>
                <w:szCs w:val="24"/>
                <w:lang w:val="" w:eastAsia=""/>
              </w:rPr>
            </w:pPr>
          </w:p>
        </w:tc>
        <w:tc>
          <w:tcPr>
            <w:tcW w:w="1645" w:type="dxa"/>
            <w:tcBorders>
              <w:top w:val="nil"/>
              <w:left w:val="nil"/>
              <w:bottom w:val="nil"/>
              <w:right w:val="nil"/>
            </w:tcBorders>
            <w:noWrap/>
            <w:vAlign w:val="bottom"/>
            <w:hideMark/>
          </w:tcPr>
          <w:p w14:paraId="2DA211D4" w14:textId="77777777" w:rsidR="00870A62" w:rsidRPr="00DA2477" w:rsidRDefault="00870A62" w:rsidP="00CD4033">
            <w:pPr>
              <w:spacing w:after="0" w:line="240" w:lineRule="auto"/>
              <w:jc w:val="center"/>
              <w:rPr>
                <w:rFonts w:eastAsia="Times New Roman" w:cs="Times New Roman"/>
                <w:szCs w:val="24"/>
                <w:lang w:val="" w:eastAsia=""/>
              </w:rPr>
            </w:pPr>
          </w:p>
        </w:tc>
        <w:tc>
          <w:tcPr>
            <w:tcW w:w="1993" w:type="dxa"/>
            <w:tcBorders>
              <w:top w:val="nil"/>
              <w:left w:val="nil"/>
              <w:bottom w:val="nil"/>
              <w:right w:val="nil"/>
            </w:tcBorders>
            <w:noWrap/>
            <w:vAlign w:val="bottom"/>
            <w:hideMark/>
          </w:tcPr>
          <w:p w14:paraId="3D92CBA1"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760" w:type="dxa"/>
            <w:tcBorders>
              <w:top w:val="nil"/>
              <w:left w:val="nil"/>
              <w:bottom w:val="nil"/>
              <w:right w:val="single" w:sz="4" w:space="0" w:color="auto"/>
            </w:tcBorders>
            <w:vAlign w:val="bottom"/>
            <w:hideMark/>
          </w:tcPr>
          <w:p w14:paraId="439AC29E" w14:textId="77777777" w:rsidR="00870A62" w:rsidRPr="00DA2477" w:rsidRDefault="00870A62" w:rsidP="00CD4033">
            <w:pPr>
              <w:spacing w:after="0" w:line="240" w:lineRule="auto"/>
              <w:jc w:val="center"/>
              <w:rPr>
                <w:rFonts w:eastAsia="Times New Roman" w:cs="Times New Roman"/>
                <w:szCs w:val="24"/>
                <w:lang w:val="" w:eastAsia=""/>
              </w:rPr>
            </w:pPr>
          </w:p>
        </w:tc>
      </w:tr>
      <w:tr w:rsidR="00870A62" w:rsidRPr="00DA2477" w14:paraId="5334749A" w14:textId="77777777" w:rsidTr="00CD4033">
        <w:trPr>
          <w:trHeight w:val="300"/>
        </w:trPr>
        <w:tc>
          <w:tcPr>
            <w:tcW w:w="882" w:type="dxa"/>
            <w:tcBorders>
              <w:top w:val="nil"/>
              <w:left w:val="single" w:sz="4" w:space="0" w:color="auto"/>
              <w:bottom w:val="nil"/>
              <w:right w:val="nil"/>
            </w:tcBorders>
            <w:noWrap/>
            <w:vAlign w:val="bottom"/>
            <w:hideMark/>
          </w:tcPr>
          <w:p w14:paraId="78EA5E4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c>
          <w:tcPr>
            <w:tcW w:w="1645" w:type="dxa"/>
            <w:tcBorders>
              <w:top w:val="nil"/>
              <w:left w:val="nil"/>
              <w:bottom w:val="nil"/>
              <w:right w:val="nil"/>
            </w:tcBorders>
            <w:noWrap/>
            <w:vAlign w:val="bottom"/>
            <w:hideMark/>
          </w:tcPr>
          <w:p w14:paraId="522F536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93" w:type="dxa"/>
            <w:tcBorders>
              <w:top w:val="nil"/>
              <w:left w:val="nil"/>
              <w:bottom w:val="nil"/>
              <w:right w:val="nil"/>
            </w:tcBorders>
            <w:noWrap/>
            <w:vAlign w:val="bottom"/>
            <w:hideMark/>
          </w:tcPr>
          <w:p w14:paraId="7C9EBA07"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0.9259</w:t>
            </w:r>
          </w:p>
        </w:tc>
        <w:tc>
          <w:tcPr>
            <w:tcW w:w="1760" w:type="dxa"/>
            <w:tcBorders>
              <w:top w:val="single" w:sz="8" w:space="0" w:color="auto"/>
              <w:left w:val="single" w:sz="8" w:space="0" w:color="auto"/>
              <w:bottom w:val="nil"/>
              <w:right w:val="single" w:sz="4" w:space="0" w:color="auto"/>
            </w:tcBorders>
            <w:vAlign w:val="bottom"/>
            <w:hideMark/>
          </w:tcPr>
          <w:p w14:paraId="7053A02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10,185,185</w:t>
            </w:r>
          </w:p>
        </w:tc>
      </w:tr>
      <w:tr w:rsidR="00870A62" w:rsidRPr="00DA2477" w14:paraId="6B5ED333" w14:textId="77777777" w:rsidTr="00CD4033">
        <w:trPr>
          <w:trHeight w:val="300"/>
        </w:trPr>
        <w:tc>
          <w:tcPr>
            <w:tcW w:w="882" w:type="dxa"/>
            <w:tcBorders>
              <w:top w:val="nil"/>
              <w:left w:val="single" w:sz="4" w:space="0" w:color="auto"/>
              <w:bottom w:val="nil"/>
              <w:right w:val="nil"/>
            </w:tcBorders>
            <w:noWrap/>
            <w:vAlign w:val="bottom"/>
            <w:hideMark/>
          </w:tcPr>
          <w:p w14:paraId="1E6A0FD7"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c>
          <w:tcPr>
            <w:tcW w:w="1645" w:type="dxa"/>
            <w:tcBorders>
              <w:top w:val="nil"/>
              <w:left w:val="nil"/>
              <w:bottom w:val="nil"/>
              <w:right w:val="nil"/>
            </w:tcBorders>
            <w:noWrap/>
            <w:vAlign w:val="bottom"/>
            <w:hideMark/>
          </w:tcPr>
          <w:p w14:paraId="65EE610D"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93" w:type="dxa"/>
            <w:tcBorders>
              <w:top w:val="nil"/>
              <w:left w:val="nil"/>
              <w:bottom w:val="nil"/>
              <w:right w:val="nil"/>
            </w:tcBorders>
            <w:noWrap/>
            <w:vAlign w:val="bottom"/>
            <w:hideMark/>
          </w:tcPr>
          <w:p w14:paraId="050E278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0.8573</w:t>
            </w:r>
          </w:p>
        </w:tc>
        <w:tc>
          <w:tcPr>
            <w:tcW w:w="1760" w:type="dxa"/>
            <w:tcBorders>
              <w:top w:val="nil"/>
              <w:left w:val="single" w:sz="8" w:space="0" w:color="auto"/>
              <w:bottom w:val="nil"/>
              <w:right w:val="single" w:sz="4" w:space="0" w:color="auto"/>
            </w:tcBorders>
            <w:vAlign w:val="bottom"/>
            <w:hideMark/>
          </w:tcPr>
          <w:p w14:paraId="0B0F774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9,430,727</w:t>
            </w:r>
          </w:p>
        </w:tc>
      </w:tr>
      <w:tr w:rsidR="00870A62" w:rsidRPr="00DA2477" w14:paraId="39889776" w14:textId="77777777" w:rsidTr="00CD4033">
        <w:trPr>
          <w:trHeight w:val="300"/>
        </w:trPr>
        <w:tc>
          <w:tcPr>
            <w:tcW w:w="882" w:type="dxa"/>
            <w:tcBorders>
              <w:top w:val="nil"/>
              <w:left w:val="single" w:sz="4" w:space="0" w:color="auto"/>
              <w:bottom w:val="nil"/>
              <w:right w:val="nil"/>
            </w:tcBorders>
            <w:noWrap/>
            <w:vAlign w:val="bottom"/>
            <w:hideMark/>
          </w:tcPr>
          <w:p w14:paraId="2FD93C85"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c>
          <w:tcPr>
            <w:tcW w:w="1645" w:type="dxa"/>
            <w:tcBorders>
              <w:top w:val="nil"/>
              <w:left w:val="nil"/>
              <w:bottom w:val="nil"/>
              <w:right w:val="nil"/>
            </w:tcBorders>
            <w:noWrap/>
            <w:vAlign w:val="bottom"/>
            <w:hideMark/>
          </w:tcPr>
          <w:p w14:paraId="3BF390DC"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93" w:type="dxa"/>
            <w:tcBorders>
              <w:top w:val="nil"/>
              <w:left w:val="nil"/>
              <w:bottom w:val="nil"/>
              <w:right w:val="nil"/>
            </w:tcBorders>
            <w:noWrap/>
            <w:vAlign w:val="bottom"/>
            <w:hideMark/>
          </w:tcPr>
          <w:p w14:paraId="0A0919E6"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0.7938</w:t>
            </w:r>
          </w:p>
        </w:tc>
        <w:tc>
          <w:tcPr>
            <w:tcW w:w="1760" w:type="dxa"/>
            <w:tcBorders>
              <w:top w:val="nil"/>
              <w:left w:val="single" w:sz="8" w:space="0" w:color="auto"/>
              <w:bottom w:val="nil"/>
              <w:right w:val="single" w:sz="4" w:space="0" w:color="auto"/>
            </w:tcBorders>
            <w:vAlign w:val="bottom"/>
            <w:hideMark/>
          </w:tcPr>
          <w:p w14:paraId="1A33351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8,732,155</w:t>
            </w:r>
          </w:p>
        </w:tc>
      </w:tr>
      <w:tr w:rsidR="00870A62" w:rsidRPr="00DA2477" w14:paraId="512D327A" w14:textId="77777777" w:rsidTr="00CD4033">
        <w:trPr>
          <w:trHeight w:val="300"/>
        </w:trPr>
        <w:tc>
          <w:tcPr>
            <w:tcW w:w="882" w:type="dxa"/>
            <w:tcBorders>
              <w:top w:val="nil"/>
              <w:left w:val="single" w:sz="4" w:space="0" w:color="auto"/>
              <w:bottom w:val="nil"/>
              <w:right w:val="nil"/>
            </w:tcBorders>
            <w:noWrap/>
            <w:vAlign w:val="bottom"/>
            <w:hideMark/>
          </w:tcPr>
          <w:p w14:paraId="4827571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w:t>
            </w:r>
          </w:p>
        </w:tc>
        <w:tc>
          <w:tcPr>
            <w:tcW w:w="1645" w:type="dxa"/>
            <w:tcBorders>
              <w:top w:val="nil"/>
              <w:left w:val="nil"/>
              <w:bottom w:val="nil"/>
              <w:right w:val="nil"/>
            </w:tcBorders>
            <w:noWrap/>
            <w:vAlign w:val="bottom"/>
            <w:hideMark/>
          </w:tcPr>
          <w:p w14:paraId="2845FE27"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93" w:type="dxa"/>
            <w:tcBorders>
              <w:top w:val="nil"/>
              <w:left w:val="nil"/>
              <w:bottom w:val="nil"/>
              <w:right w:val="nil"/>
            </w:tcBorders>
            <w:noWrap/>
            <w:vAlign w:val="bottom"/>
            <w:hideMark/>
          </w:tcPr>
          <w:p w14:paraId="2033F95C"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0.7350</w:t>
            </w:r>
          </w:p>
        </w:tc>
        <w:tc>
          <w:tcPr>
            <w:tcW w:w="1760" w:type="dxa"/>
            <w:tcBorders>
              <w:top w:val="nil"/>
              <w:left w:val="single" w:sz="8" w:space="0" w:color="auto"/>
              <w:bottom w:val="nil"/>
              <w:right w:val="single" w:sz="4" w:space="0" w:color="auto"/>
            </w:tcBorders>
            <w:vAlign w:val="bottom"/>
            <w:hideMark/>
          </w:tcPr>
          <w:p w14:paraId="04F1F41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8,085,328</w:t>
            </w:r>
          </w:p>
        </w:tc>
      </w:tr>
      <w:tr w:rsidR="00870A62" w:rsidRPr="00DA2477" w14:paraId="21D64C31" w14:textId="77777777" w:rsidTr="00CD4033">
        <w:trPr>
          <w:trHeight w:val="315"/>
        </w:trPr>
        <w:tc>
          <w:tcPr>
            <w:tcW w:w="882" w:type="dxa"/>
            <w:tcBorders>
              <w:top w:val="nil"/>
              <w:left w:val="single" w:sz="4" w:space="0" w:color="auto"/>
              <w:bottom w:val="nil"/>
              <w:right w:val="nil"/>
            </w:tcBorders>
            <w:noWrap/>
            <w:vAlign w:val="bottom"/>
            <w:hideMark/>
          </w:tcPr>
          <w:p w14:paraId="4DF6474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w:t>
            </w:r>
          </w:p>
        </w:tc>
        <w:tc>
          <w:tcPr>
            <w:tcW w:w="1645" w:type="dxa"/>
            <w:tcBorders>
              <w:top w:val="nil"/>
              <w:left w:val="nil"/>
              <w:bottom w:val="nil"/>
              <w:right w:val="nil"/>
            </w:tcBorders>
            <w:noWrap/>
            <w:vAlign w:val="bottom"/>
            <w:hideMark/>
          </w:tcPr>
          <w:p w14:paraId="7C19BAF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11,000,000</w:t>
            </w:r>
          </w:p>
        </w:tc>
        <w:tc>
          <w:tcPr>
            <w:tcW w:w="1993" w:type="dxa"/>
            <w:tcBorders>
              <w:top w:val="nil"/>
              <w:left w:val="nil"/>
              <w:bottom w:val="nil"/>
              <w:right w:val="nil"/>
            </w:tcBorders>
            <w:noWrap/>
            <w:vAlign w:val="bottom"/>
            <w:hideMark/>
          </w:tcPr>
          <w:p w14:paraId="0226BB2D"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0.6806</w:t>
            </w:r>
          </w:p>
        </w:tc>
        <w:tc>
          <w:tcPr>
            <w:tcW w:w="1760" w:type="dxa"/>
            <w:tcBorders>
              <w:top w:val="nil"/>
              <w:left w:val="single" w:sz="8" w:space="0" w:color="auto"/>
              <w:bottom w:val="nil"/>
              <w:right w:val="single" w:sz="4" w:space="0" w:color="auto"/>
            </w:tcBorders>
            <w:vAlign w:val="bottom"/>
            <w:hideMark/>
          </w:tcPr>
          <w:p w14:paraId="22E7633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7,486,415</w:t>
            </w:r>
          </w:p>
        </w:tc>
      </w:tr>
      <w:tr w:rsidR="00870A62" w:rsidRPr="00DA2477" w14:paraId="5A303813" w14:textId="77777777" w:rsidTr="00CD4033">
        <w:trPr>
          <w:trHeight w:val="315"/>
        </w:trPr>
        <w:tc>
          <w:tcPr>
            <w:tcW w:w="882" w:type="dxa"/>
            <w:tcBorders>
              <w:top w:val="nil"/>
              <w:left w:val="single" w:sz="4" w:space="0" w:color="auto"/>
              <w:bottom w:val="nil"/>
              <w:right w:val="nil"/>
            </w:tcBorders>
            <w:noWrap/>
            <w:vAlign w:val="bottom"/>
            <w:hideMark/>
          </w:tcPr>
          <w:p w14:paraId="3535AD0C" w14:textId="77777777" w:rsidR="00870A62" w:rsidRPr="00DA2477" w:rsidRDefault="00870A62" w:rsidP="00CD4033">
            <w:pPr>
              <w:spacing w:after="0" w:line="240" w:lineRule="auto"/>
              <w:jc w:val="center"/>
              <w:rPr>
                <w:rFonts w:eastAsia="Times New Roman" w:cs="Times New Roman"/>
                <w:szCs w:val="24"/>
                <w:lang w:val="" w:eastAsia=""/>
              </w:rPr>
            </w:pPr>
          </w:p>
        </w:tc>
        <w:tc>
          <w:tcPr>
            <w:tcW w:w="1645" w:type="dxa"/>
            <w:tcBorders>
              <w:top w:val="nil"/>
              <w:left w:val="nil"/>
              <w:bottom w:val="nil"/>
              <w:right w:val="nil"/>
            </w:tcBorders>
            <w:noWrap/>
            <w:vAlign w:val="bottom"/>
            <w:hideMark/>
          </w:tcPr>
          <w:p w14:paraId="673C7681" w14:textId="77777777" w:rsidR="00870A62" w:rsidRPr="00DA2477" w:rsidRDefault="00870A62" w:rsidP="00CD4033">
            <w:pPr>
              <w:spacing w:after="0" w:line="240" w:lineRule="auto"/>
              <w:jc w:val="center"/>
              <w:rPr>
                <w:rFonts w:eastAsia="Times New Roman" w:cs="Times New Roman"/>
                <w:szCs w:val="24"/>
                <w:lang w:val="" w:eastAsia=""/>
              </w:rPr>
            </w:pPr>
          </w:p>
        </w:tc>
        <w:tc>
          <w:tcPr>
            <w:tcW w:w="1993" w:type="dxa"/>
            <w:tcBorders>
              <w:top w:val="nil"/>
              <w:left w:val="nil"/>
              <w:bottom w:val="nil"/>
              <w:right w:val="nil"/>
            </w:tcBorders>
            <w:noWrap/>
            <w:vAlign w:val="bottom"/>
            <w:hideMark/>
          </w:tcPr>
          <w:p w14:paraId="159B2834"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760" w:type="dxa"/>
            <w:tcBorders>
              <w:top w:val="single" w:sz="8" w:space="0" w:color="auto"/>
              <w:left w:val="nil"/>
              <w:bottom w:val="single" w:sz="8" w:space="0" w:color="auto"/>
              <w:right w:val="single" w:sz="4" w:space="0" w:color="auto"/>
            </w:tcBorders>
            <w:noWrap/>
            <w:vAlign w:val="bottom"/>
            <w:hideMark/>
          </w:tcPr>
          <w:p w14:paraId="7C621799"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43,919,810</w:t>
            </w:r>
          </w:p>
        </w:tc>
      </w:tr>
      <w:tr w:rsidR="00870A62" w:rsidRPr="00DA2477" w14:paraId="3E8CFE96" w14:textId="77777777" w:rsidTr="00CD4033">
        <w:trPr>
          <w:trHeight w:val="315"/>
        </w:trPr>
        <w:tc>
          <w:tcPr>
            <w:tcW w:w="882" w:type="dxa"/>
            <w:tcBorders>
              <w:top w:val="nil"/>
              <w:left w:val="single" w:sz="4" w:space="0" w:color="auto"/>
              <w:bottom w:val="nil"/>
              <w:right w:val="nil"/>
            </w:tcBorders>
            <w:noWrap/>
            <w:vAlign w:val="bottom"/>
            <w:hideMark/>
          </w:tcPr>
          <w:p w14:paraId="06E41589" w14:textId="77777777" w:rsidR="00870A62" w:rsidRPr="00DA2477" w:rsidRDefault="00870A62" w:rsidP="00CD4033">
            <w:pPr>
              <w:spacing w:after="0" w:line="240" w:lineRule="auto"/>
              <w:jc w:val="center"/>
              <w:rPr>
                <w:rFonts w:eastAsia="Times New Roman" w:cs="Times New Roman"/>
                <w:szCs w:val="24"/>
                <w:lang w:val="" w:eastAsia=""/>
              </w:rPr>
            </w:pPr>
          </w:p>
        </w:tc>
        <w:tc>
          <w:tcPr>
            <w:tcW w:w="3638" w:type="dxa"/>
            <w:gridSpan w:val="2"/>
            <w:tcBorders>
              <w:top w:val="nil"/>
              <w:left w:val="nil"/>
              <w:bottom w:val="nil"/>
              <w:right w:val="nil"/>
            </w:tcBorders>
            <w:noWrap/>
            <w:vAlign w:val="bottom"/>
            <w:hideMark/>
          </w:tcPr>
          <w:p w14:paraId="771ADA12"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Net Present Value</w:t>
            </w:r>
          </w:p>
        </w:tc>
        <w:tc>
          <w:tcPr>
            <w:tcW w:w="1760" w:type="dxa"/>
            <w:tcBorders>
              <w:top w:val="nil"/>
              <w:left w:val="nil"/>
              <w:bottom w:val="double" w:sz="6" w:space="0" w:color="auto"/>
              <w:right w:val="single" w:sz="4" w:space="0" w:color="auto"/>
            </w:tcBorders>
            <w:noWrap/>
            <w:vAlign w:val="bottom"/>
            <w:hideMark/>
          </w:tcPr>
          <w:p w14:paraId="5C2CD24F" w14:textId="77777777" w:rsidR="00870A62" w:rsidRPr="00DA2477" w:rsidRDefault="00870A62" w:rsidP="00CD4033">
            <w:pPr>
              <w:spacing w:after="0" w:line="240" w:lineRule="auto"/>
              <w:jc w:val="center"/>
              <w:rPr>
                <w:rFonts w:eastAsia="Times New Roman" w:cs="Times New Roman"/>
                <w:b/>
                <w:bCs/>
                <w:color w:val="FF0000"/>
                <w:szCs w:val="24"/>
                <w:lang w:val="" w:eastAsia=""/>
              </w:rPr>
            </w:pPr>
            <w:r w:rsidRPr="00DA2477">
              <w:rPr>
                <w:rFonts w:eastAsia="Times New Roman" w:cs="Times New Roman"/>
                <w:b/>
                <w:bCs/>
                <w:color w:val="FF0000"/>
                <w:szCs w:val="24"/>
                <w:lang w:val="" w:eastAsia=""/>
              </w:rPr>
              <w:t>(6,080,190)</w:t>
            </w:r>
          </w:p>
        </w:tc>
      </w:tr>
      <w:tr w:rsidR="00870A62" w:rsidRPr="00DA2477" w14:paraId="673B5BB5" w14:textId="77777777" w:rsidTr="00CD4033">
        <w:trPr>
          <w:trHeight w:val="315"/>
        </w:trPr>
        <w:tc>
          <w:tcPr>
            <w:tcW w:w="882" w:type="dxa"/>
            <w:tcBorders>
              <w:top w:val="nil"/>
              <w:left w:val="single" w:sz="4" w:space="0" w:color="auto"/>
              <w:bottom w:val="single" w:sz="4" w:space="0" w:color="auto"/>
              <w:right w:val="nil"/>
            </w:tcBorders>
            <w:noWrap/>
            <w:vAlign w:val="bottom"/>
            <w:hideMark/>
          </w:tcPr>
          <w:p w14:paraId="420F8AD2" w14:textId="77777777" w:rsidR="00870A62" w:rsidRPr="00DA2477" w:rsidRDefault="00870A62" w:rsidP="00CD4033">
            <w:pPr>
              <w:spacing w:after="0" w:line="240" w:lineRule="auto"/>
              <w:jc w:val="center"/>
              <w:rPr>
                <w:rFonts w:eastAsia="Times New Roman" w:cs="Times New Roman"/>
                <w:szCs w:val="24"/>
                <w:lang w:val="" w:eastAsia=""/>
              </w:rPr>
            </w:pPr>
          </w:p>
        </w:tc>
        <w:tc>
          <w:tcPr>
            <w:tcW w:w="1645" w:type="dxa"/>
            <w:tcBorders>
              <w:top w:val="nil"/>
              <w:left w:val="nil"/>
              <w:bottom w:val="single" w:sz="4" w:space="0" w:color="auto"/>
              <w:right w:val="nil"/>
            </w:tcBorders>
            <w:noWrap/>
            <w:vAlign w:val="bottom"/>
            <w:hideMark/>
          </w:tcPr>
          <w:p w14:paraId="694D7B52" w14:textId="77777777" w:rsidR="00870A62" w:rsidRPr="00DA2477" w:rsidRDefault="00870A62" w:rsidP="00CD4033">
            <w:pPr>
              <w:spacing w:after="0" w:line="240" w:lineRule="auto"/>
              <w:jc w:val="center"/>
              <w:rPr>
                <w:rFonts w:eastAsia="Times New Roman" w:cs="Times New Roman"/>
                <w:szCs w:val="24"/>
                <w:lang w:val="" w:eastAsia=""/>
              </w:rPr>
            </w:pPr>
          </w:p>
        </w:tc>
        <w:tc>
          <w:tcPr>
            <w:tcW w:w="1993" w:type="dxa"/>
            <w:tcBorders>
              <w:top w:val="nil"/>
              <w:left w:val="nil"/>
              <w:bottom w:val="single" w:sz="4" w:space="0" w:color="auto"/>
              <w:right w:val="nil"/>
            </w:tcBorders>
            <w:noWrap/>
            <w:vAlign w:val="bottom"/>
            <w:hideMark/>
          </w:tcPr>
          <w:p w14:paraId="5C80DB3E" w14:textId="77777777" w:rsidR="00870A62" w:rsidRPr="00DA2477" w:rsidRDefault="00870A62" w:rsidP="00CD4033">
            <w:pPr>
              <w:spacing w:after="0" w:line="240" w:lineRule="auto"/>
              <w:jc w:val="center"/>
              <w:rPr>
                <w:rFonts w:eastAsia="Times New Roman" w:cs="Times New Roman"/>
                <w:szCs w:val="24"/>
                <w:lang w:val="" w:eastAsia=""/>
              </w:rPr>
            </w:pPr>
          </w:p>
        </w:tc>
        <w:tc>
          <w:tcPr>
            <w:tcW w:w="1760" w:type="dxa"/>
            <w:tcBorders>
              <w:top w:val="nil"/>
              <w:left w:val="nil"/>
              <w:bottom w:val="single" w:sz="4" w:space="0" w:color="auto"/>
              <w:right w:val="single" w:sz="4" w:space="0" w:color="auto"/>
            </w:tcBorders>
            <w:noWrap/>
            <w:vAlign w:val="bottom"/>
            <w:hideMark/>
          </w:tcPr>
          <w:p w14:paraId="5667CD49" w14:textId="77777777" w:rsidR="00870A62" w:rsidRPr="00DA2477" w:rsidRDefault="00870A62" w:rsidP="00CD4033">
            <w:pPr>
              <w:spacing w:after="0" w:line="240" w:lineRule="auto"/>
              <w:jc w:val="center"/>
              <w:rPr>
                <w:rFonts w:eastAsia="Times New Roman" w:cs="Times New Roman"/>
                <w:szCs w:val="24"/>
                <w:lang w:val="" w:eastAsia=""/>
              </w:rPr>
            </w:pPr>
          </w:p>
        </w:tc>
      </w:tr>
    </w:tbl>
    <w:p w14:paraId="6B3A280F" w14:textId="77777777" w:rsidR="00870A62" w:rsidRPr="00DA2477" w:rsidRDefault="00870A62" w:rsidP="00870A62">
      <w:pPr>
        <w:tabs>
          <w:tab w:val="left" w:pos="2940"/>
        </w:tabs>
        <w:rPr>
          <w:rFonts w:cs="Times New Roman"/>
          <w:b/>
          <w:bCs/>
        </w:rPr>
      </w:pPr>
    </w:p>
    <w:tbl>
      <w:tblPr>
        <w:tblW w:w="6280" w:type="dxa"/>
        <w:tblLook w:val="04A0" w:firstRow="1" w:lastRow="0" w:firstColumn="1" w:lastColumn="0" w:noHBand="0" w:noVBand="1"/>
      </w:tblPr>
      <w:tblGrid>
        <w:gridCol w:w="882"/>
        <w:gridCol w:w="1645"/>
        <w:gridCol w:w="1993"/>
        <w:gridCol w:w="1760"/>
      </w:tblGrid>
      <w:tr w:rsidR="00870A62" w:rsidRPr="00DA2477" w14:paraId="6381BBBB" w14:textId="77777777" w:rsidTr="00CD4033">
        <w:trPr>
          <w:trHeight w:val="300"/>
        </w:trPr>
        <w:tc>
          <w:tcPr>
            <w:tcW w:w="4520" w:type="dxa"/>
            <w:gridSpan w:val="3"/>
            <w:tcBorders>
              <w:top w:val="nil"/>
              <w:left w:val="nil"/>
              <w:bottom w:val="nil"/>
              <w:right w:val="nil"/>
            </w:tcBorders>
            <w:noWrap/>
            <w:vAlign w:val="bottom"/>
            <w:hideMark/>
          </w:tcPr>
          <w:p w14:paraId="311FCA93"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Net Present Value (Project C)</w:t>
            </w:r>
          </w:p>
        </w:tc>
        <w:tc>
          <w:tcPr>
            <w:tcW w:w="1760" w:type="dxa"/>
            <w:tcBorders>
              <w:top w:val="nil"/>
              <w:left w:val="nil"/>
              <w:bottom w:val="nil"/>
              <w:right w:val="nil"/>
            </w:tcBorders>
            <w:noWrap/>
            <w:vAlign w:val="bottom"/>
            <w:hideMark/>
          </w:tcPr>
          <w:p w14:paraId="2BAB3E4C" w14:textId="77777777" w:rsidR="00870A62" w:rsidRPr="00DA2477" w:rsidRDefault="00870A62" w:rsidP="00CD4033">
            <w:pPr>
              <w:spacing w:after="0" w:line="240" w:lineRule="auto"/>
              <w:jc w:val="center"/>
              <w:rPr>
                <w:rFonts w:eastAsia="Times New Roman" w:cs="Times New Roman"/>
                <w:b/>
                <w:bCs/>
                <w:color w:val="000000"/>
                <w:szCs w:val="24"/>
                <w:lang w:val="" w:eastAsia=""/>
              </w:rPr>
            </w:pPr>
          </w:p>
        </w:tc>
      </w:tr>
      <w:tr w:rsidR="00870A62" w:rsidRPr="00DA2477" w14:paraId="357DE767" w14:textId="77777777" w:rsidTr="00CD4033">
        <w:trPr>
          <w:trHeight w:val="300"/>
        </w:trPr>
        <w:tc>
          <w:tcPr>
            <w:tcW w:w="882" w:type="dxa"/>
            <w:tcBorders>
              <w:top w:val="single" w:sz="4" w:space="0" w:color="auto"/>
              <w:left w:val="single" w:sz="4" w:space="0" w:color="auto"/>
              <w:bottom w:val="nil"/>
              <w:right w:val="single" w:sz="8" w:space="0" w:color="auto"/>
            </w:tcBorders>
            <w:noWrap/>
            <w:vAlign w:val="bottom"/>
            <w:hideMark/>
          </w:tcPr>
          <w:p w14:paraId="030BD1C6"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Year</w:t>
            </w:r>
          </w:p>
        </w:tc>
        <w:tc>
          <w:tcPr>
            <w:tcW w:w="1645" w:type="dxa"/>
            <w:vMerge w:val="restart"/>
            <w:tcBorders>
              <w:top w:val="single" w:sz="4" w:space="0" w:color="auto"/>
              <w:left w:val="single" w:sz="8" w:space="0" w:color="auto"/>
              <w:bottom w:val="single" w:sz="8" w:space="0" w:color="000000"/>
              <w:right w:val="single" w:sz="8" w:space="0" w:color="auto"/>
            </w:tcBorders>
            <w:noWrap/>
            <w:vAlign w:val="bottom"/>
            <w:hideMark/>
          </w:tcPr>
          <w:p w14:paraId="777B4E6D"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Cash Flow</w:t>
            </w:r>
          </w:p>
        </w:tc>
        <w:tc>
          <w:tcPr>
            <w:tcW w:w="1993" w:type="dxa"/>
            <w:tcBorders>
              <w:top w:val="single" w:sz="4" w:space="0" w:color="auto"/>
              <w:left w:val="nil"/>
              <w:bottom w:val="nil"/>
              <w:right w:val="nil"/>
            </w:tcBorders>
            <w:noWrap/>
            <w:vAlign w:val="bottom"/>
            <w:hideMark/>
          </w:tcPr>
          <w:p w14:paraId="507C9FF7"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DCF</w:t>
            </w:r>
          </w:p>
        </w:tc>
        <w:tc>
          <w:tcPr>
            <w:tcW w:w="1760" w:type="dxa"/>
            <w:vMerge w:val="restart"/>
            <w:tcBorders>
              <w:top w:val="single" w:sz="4" w:space="0" w:color="auto"/>
              <w:left w:val="single" w:sz="8" w:space="0" w:color="auto"/>
              <w:bottom w:val="single" w:sz="8" w:space="0" w:color="000000"/>
              <w:right w:val="single" w:sz="4" w:space="0" w:color="auto"/>
            </w:tcBorders>
            <w:vAlign w:val="bottom"/>
            <w:hideMark/>
          </w:tcPr>
          <w:p w14:paraId="58119494"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Present Value of Cash Flows</w:t>
            </w:r>
          </w:p>
        </w:tc>
      </w:tr>
      <w:tr w:rsidR="00870A62" w:rsidRPr="00DA2477" w14:paraId="6EE71DA9" w14:textId="77777777" w:rsidTr="00CD4033">
        <w:trPr>
          <w:trHeight w:val="315"/>
        </w:trPr>
        <w:tc>
          <w:tcPr>
            <w:tcW w:w="882" w:type="dxa"/>
            <w:tcBorders>
              <w:top w:val="nil"/>
              <w:left w:val="single" w:sz="4" w:space="0" w:color="auto"/>
              <w:bottom w:val="single" w:sz="8" w:space="0" w:color="auto"/>
              <w:right w:val="single" w:sz="8" w:space="0" w:color="auto"/>
            </w:tcBorders>
            <w:noWrap/>
            <w:vAlign w:val="bottom"/>
            <w:hideMark/>
          </w:tcPr>
          <w:p w14:paraId="3A233B00"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645" w:type="dxa"/>
            <w:vMerge/>
            <w:tcBorders>
              <w:top w:val="single" w:sz="4" w:space="0" w:color="auto"/>
              <w:left w:val="single" w:sz="8" w:space="0" w:color="auto"/>
              <w:bottom w:val="single" w:sz="8" w:space="0" w:color="000000"/>
              <w:right w:val="single" w:sz="8" w:space="0" w:color="auto"/>
            </w:tcBorders>
            <w:vAlign w:val="center"/>
            <w:hideMark/>
          </w:tcPr>
          <w:p w14:paraId="749B4E02" w14:textId="77777777" w:rsidR="00870A62" w:rsidRPr="00DA2477" w:rsidRDefault="00870A62" w:rsidP="00CD4033">
            <w:pPr>
              <w:spacing w:after="0" w:line="240" w:lineRule="auto"/>
              <w:jc w:val="center"/>
              <w:rPr>
                <w:rFonts w:eastAsia="Times New Roman" w:cs="Times New Roman"/>
                <w:b/>
                <w:bCs/>
                <w:szCs w:val="24"/>
                <w:lang w:val="" w:eastAsia=""/>
              </w:rPr>
            </w:pPr>
          </w:p>
        </w:tc>
        <w:tc>
          <w:tcPr>
            <w:tcW w:w="1993" w:type="dxa"/>
            <w:tcBorders>
              <w:top w:val="nil"/>
              <w:left w:val="nil"/>
              <w:bottom w:val="single" w:sz="8" w:space="0" w:color="auto"/>
              <w:right w:val="single" w:sz="8" w:space="0" w:color="auto"/>
            </w:tcBorders>
            <w:noWrap/>
            <w:vAlign w:val="bottom"/>
            <w:hideMark/>
          </w:tcPr>
          <w:p w14:paraId="050C88DC"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8%</w:t>
            </w:r>
          </w:p>
        </w:tc>
        <w:tc>
          <w:tcPr>
            <w:tcW w:w="1760" w:type="dxa"/>
            <w:vMerge/>
            <w:tcBorders>
              <w:top w:val="single" w:sz="4" w:space="0" w:color="auto"/>
              <w:left w:val="single" w:sz="8" w:space="0" w:color="auto"/>
              <w:bottom w:val="single" w:sz="8" w:space="0" w:color="000000"/>
              <w:right w:val="single" w:sz="4" w:space="0" w:color="auto"/>
            </w:tcBorders>
            <w:vAlign w:val="center"/>
            <w:hideMark/>
          </w:tcPr>
          <w:p w14:paraId="4CEB0336" w14:textId="77777777" w:rsidR="00870A62" w:rsidRPr="00DA2477" w:rsidRDefault="00870A62" w:rsidP="00CD4033">
            <w:pPr>
              <w:spacing w:after="0" w:line="240" w:lineRule="auto"/>
              <w:jc w:val="center"/>
              <w:rPr>
                <w:rFonts w:eastAsia="Times New Roman" w:cs="Times New Roman"/>
                <w:b/>
                <w:bCs/>
                <w:szCs w:val="24"/>
                <w:lang w:val="" w:eastAsia=""/>
              </w:rPr>
            </w:pPr>
          </w:p>
        </w:tc>
      </w:tr>
      <w:tr w:rsidR="00870A62" w:rsidRPr="00DA2477" w14:paraId="3452FC0C" w14:textId="77777777" w:rsidTr="00CD4033">
        <w:trPr>
          <w:trHeight w:val="300"/>
        </w:trPr>
        <w:tc>
          <w:tcPr>
            <w:tcW w:w="882" w:type="dxa"/>
            <w:tcBorders>
              <w:top w:val="nil"/>
              <w:left w:val="single" w:sz="4" w:space="0" w:color="auto"/>
              <w:bottom w:val="nil"/>
              <w:right w:val="nil"/>
            </w:tcBorders>
            <w:noWrap/>
            <w:vAlign w:val="bottom"/>
            <w:hideMark/>
          </w:tcPr>
          <w:p w14:paraId="3369BD9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w:t>
            </w:r>
          </w:p>
        </w:tc>
        <w:tc>
          <w:tcPr>
            <w:tcW w:w="1645" w:type="dxa"/>
            <w:tcBorders>
              <w:top w:val="nil"/>
              <w:left w:val="nil"/>
              <w:bottom w:val="nil"/>
              <w:right w:val="nil"/>
            </w:tcBorders>
            <w:noWrap/>
            <w:vAlign w:val="bottom"/>
            <w:hideMark/>
          </w:tcPr>
          <w:p w14:paraId="7A9AA0D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c>
          <w:tcPr>
            <w:tcW w:w="1993" w:type="dxa"/>
            <w:tcBorders>
              <w:top w:val="nil"/>
              <w:left w:val="nil"/>
              <w:bottom w:val="nil"/>
              <w:right w:val="nil"/>
            </w:tcBorders>
            <w:noWrap/>
            <w:vAlign w:val="bottom"/>
            <w:hideMark/>
          </w:tcPr>
          <w:p w14:paraId="191A572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w:t>
            </w:r>
          </w:p>
        </w:tc>
        <w:tc>
          <w:tcPr>
            <w:tcW w:w="1760" w:type="dxa"/>
            <w:tcBorders>
              <w:top w:val="nil"/>
              <w:left w:val="nil"/>
              <w:bottom w:val="nil"/>
              <w:right w:val="single" w:sz="4" w:space="0" w:color="auto"/>
            </w:tcBorders>
            <w:vAlign w:val="bottom"/>
            <w:hideMark/>
          </w:tcPr>
          <w:p w14:paraId="228DC88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(50,000,000)</w:t>
            </w:r>
          </w:p>
        </w:tc>
      </w:tr>
      <w:tr w:rsidR="00870A62" w:rsidRPr="00DA2477" w14:paraId="3D07FC3B" w14:textId="77777777" w:rsidTr="00CD4033">
        <w:trPr>
          <w:trHeight w:val="315"/>
        </w:trPr>
        <w:tc>
          <w:tcPr>
            <w:tcW w:w="882" w:type="dxa"/>
            <w:tcBorders>
              <w:top w:val="nil"/>
              <w:left w:val="single" w:sz="4" w:space="0" w:color="auto"/>
              <w:bottom w:val="nil"/>
              <w:right w:val="nil"/>
            </w:tcBorders>
            <w:noWrap/>
            <w:vAlign w:val="bottom"/>
            <w:hideMark/>
          </w:tcPr>
          <w:p w14:paraId="6E9C2EC0" w14:textId="77777777" w:rsidR="00870A62" w:rsidRPr="00DA2477" w:rsidRDefault="00870A62" w:rsidP="00CD4033">
            <w:pPr>
              <w:spacing w:after="0" w:line="240" w:lineRule="auto"/>
              <w:jc w:val="center"/>
              <w:rPr>
                <w:rFonts w:eastAsia="Times New Roman" w:cs="Times New Roman"/>
                <w:szCs w:val="24"/>
                <w:lang w:val="" w:eastAsia=""/>
              </w:rPr>
            </w:pPr>
          </w:p>
        </w:tc>
        <w:tc>
          <w:tcPr>
            <w:tcW w:w="1645" w:type="dxa"/>
            <w:tcBorders>
              <w:top w:val="nil"/>
              <w:left w:val="nil"/>
              <w:bottom w:val="nil"/>
              <w:right w:val="nil"/>
            </w:tcBorders>
            <w:noWrap/>
            <w:vAlign w:val="bottom"/>
            <w:hideMark/>
          </w:tcPr>
          <w:p w14:paraId="78BA6625" w14:textId="77777777" w:rsidR="00870A62" w:rsidRPr="00DA2477" w:rsidRDefault="00870A62" w:rsidP="00CD4033">
            <w:pPr>
              <w:spacing w:after="0" w:line="240" w:lineRule="auto"/>
              <w:jc w:val="center"/>
              <w:rPr>
                <w:rFonts w:eastAsia="Times New Roman" w:cs="Times New Roman"/>
                <w:szCs w:val="24"/>
                <w:lang w:val="" w:eastAsia=""/>
              </w:rPr>
            </w:pPr>
          </w:p>
        </w:tc>
        <w:tc>
          <w:tcPr>
            <w:tcW w:w="1993" w:type="dxa"/>
            <w:tcBorders>
              <w:top w:val="nil"/>
              <w:left w:val="nil"/>
              <w:bottom w:val="nil"/>
              <w:right w:val="nil"/>
            </w:tcBorders>
            <w:noWrap/>
            <w:vAlign w:val="bottom"/>
            <w:hideMark/>
          </w:tcPr>
          <w:p w14:paraId="21ED96F3"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760" w:type="dxa"/>
            <w:tcBorders>
              <w:top w:val="nil"/>
              <w:left w:val="nil"/>
              <w:bottom w:val="nil"/>
              <w:right w:val="single" w:sz="4" w:space="0" w:color="auto"/>
            </w:tcBorders>
            <w:vAlign w:val="bottom"/>
            <w:hideMark/>
          </w:tcPr>
          <w:p w14:paraId="32C4A558" w14:textId="77777777" w:rsidR="00870A62" w:rsidRPr="00DA2477" w:rsidRDefault="00870A62" w:rsidP="00CD4033">
            <w:pPr>
              <w:spacing w:after="0" w:line="240" w:lineRule="auto"/>
              <w:jc w:val="center"/>
              <w:rPr>
                <w:rFonts w:eastAsia="Times New Roman" w:cs="Times New Roman"/>
                <w:szCs w:val="24"/>
                <w:lang w:val="" w:eastAsia=""/>
              </w:rPr>
            </w:pPr>
          </w:p>
        </w:tc>
      </w:tr>
      <w:tr w:rsidR="00870A62" w:rsidRPr="00DA2477" w14:paraId="213B01D0" w14:textId="77777777" w:rsidTr="00CD4033">
        <w:trPr>
          <w:trHeight w:val="300"/>
        </w:trPr>
        <w:tc>
          <w:tcPr>
            <w:tcW w:w="882" w:type="dxa"/>
            <w:tcBorders>
              <w:top w:val="nil"/>
              <w:left w:val="single" w:sz="4" w:space="0" w:color="auto"/>
              <w:bottom w:val="nil"/>
              <w:right w:val="nil"/>
            </w:tcBorders>
            <w:noWrap/>
            <w:vAlign w:val="bottom"/>
            <w:hideMark/>
          </w:tcPr>
          <w:p w14:paraId="76644669"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w:t>
            </w:r>
          </w:p>
        </w:tc>
        <w:tc>
          <w:tcPr>
            <w:tcW w:w="1645" w:type="dxa"/>
            <w:tcBorders>
              <w:top w:val="nil"/>
              <w:left w:val="nil"/>
              <w:bottom w:val="nil"/>
              <w:right w:val="nil"/>
            </w:tcBorders>
            <w:noWrap/>
            <w:vAlign w:val="bottom"/>
            <w:hideMark/>
          </w:tcPr>
          <w:p w14:paraId="7FEE285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w:t>
            </w:r>
          </w:p>
        </w:tc>
        <w:tc>
          <w:tcPr>
            <w:tcW w:w="1993" w:type="dxa"/>
            <w:tcBorders>
              <w:top w:val="nil"/>
              <w:left w:val="nil"/>
              <w:bottom w:val="nil"/>
              <w:right w:val="nil"/>
            </w:tcBorders>
            <w:noWrap/>
            <w:vAlign w:val="bottom"/>
            <w:hideMark/>
          </w:tcPr>
          <w:p w14:paraId="6E8DCD7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0.9259</w:t>
            </w:r>
          </w:p>
        </w:tc>
        <w:tc>
          <w:tcPr>
            <w:tcW w:w="1760" w:type="dxa"/>
            <w:tcBorders>
              <w:top w:val="single" w:sz="8" w:space="0" w:color="auto"/>
              <w:left w:val="single" w:sz="8" w:space="0" w:color="auto"/>
              <w:bottom w:val="nil"/>
              <w:right w:val="single" w:sz="4" w:space="0" w:color="auto"/>
            </w:tcBorders>
            <w:vAlign w:val="bottom"/>
            <w:hideMark/>
          </w:tcPr>
          <w:p w14:paraId="511156C7"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4,629,630</w:t>
            </w:r>
          </w:p>
        </w:tc>
      </w:tr>
      <w:tr w:rsidR="00870A62" w:rsidRPr="00DA2477" w14:paraId="7674AECE" w14:textId="77777777" w:rsidTr="00CD4033">
        <w:trPr>
          <w:trHeight w:val="300"/>
        </w:trPr>
        <w:tc>
          <w:tcPr>
            <w:tcW w:w="882" w:type="dxa"/>
            <w:tcBorders>
              <w:top w:val="nil"/>
              <w:left w:val="single" w:sz="4" w:space="0" w:color="auto"/>
              <w:bottom w:val="nil"/>
              <w:right w:val="nil"/>
            </w:tcBorders>
            <w:noWrap/>
            <w:vAlign w:val="bottom"/>
            <w:hideMark/>
          </w:tcPr>
          <w:p w14:paraId="6FC14327"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w:t>
            </w:r>
          </w:p>
        </w:tc>
        <w:tc>
          <w:tcPr>
            <w:tcW w:w="1645" w:type="dxa"/>
            <w:tcBorders>
              <w:top w:val="nil"/>
              <w:left w:val="nil"/>
              <w:bottom w:val="nil"/>
              <w:right w:val="nil"/>
            </w:tcBorders>
            <w:noWrap/>
            <w:vAlign w:val="bottom"/>
            <w:hideMark/>
          </w:tcPr>
          <w:p w14:paraId="643A3104"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10,000,000</w:t>
            </w:r>
          </w:p>
        </w:tc>
        <w:tc>
          <w:tcPr>
            <w:tcW w:w="1993" w:type="dxa"/>
            <w:tcBorders>
              <w:top w:val="nil"/>
              <w:left w:val="nil"/>
              <w:bottom w:val="nil"/>
              <w:right w:val="nil"/>
            </w:tcBorders>
            <w:noWrap/>
            <w:vAlign w:val="bottom"/>
            <w:hideMark/>
          </w:tcPr>
          <w:p w14:paraId="27775E6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0.8573</w:t>
            </w:r>
          </w:p>
        </w:tc>
        <w:tc>
          <w:tcPr>
            <w:tcW w:w="1760" w:type="dxa"/>
            <w:tcBorders>
              <w:top w:val="nil"/>
              <w:left w:val="single" w:sz="8" w:space="0" w:color="auto"/>
              <w:bottom w:val="nil"/>
              <w:right w:val="single" w:sz="4" w:space="0" w:color="auto"/>
            </w:tcBorders>
            <w:vAlign w:val="bottom"/>
            <w:hideMark/>
          </w:tcPr>
          <w:p w14:paraId="296DDAE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8,573,388</w:t>
            </w:r>
          </w:p>
        </w:tc>
      </w:tr>
      <w:tr w:rsidR="00870A62" w:rsidRPr="00DA2477" w14:paraId="58F66D68" w14:textId="77777777" w:rsidTr="00CD4033">
        <w:trPr>
          <w:trHeight w:val="300"/>
        </w:trPr>
        <w:tc>
          <w:tcPr>
            <w:tcW w:w="882" w:type="dxa"/>
            <w:tcBorders>
              <w:top w:val="nil"/>
              <w:left w:val="single" w:sz="4" w:space="0" w:color="auto"/>
              <w:bottom w:val="nil"/>
              <w:right w:val="nil"/>
            </w:tcBorders>
            <w:noWrap/>
            <w:vAlign w:val="bottom"/>
            <w:hideMark/>
          </w:tcPr>
          <w:p w14:paraId="7563069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w:t>
            </w:r>
          </w:p>
        </w:tc>
        <w:tc>
          <w:tcPr>
            <w:tcW w:w="1645" w:type="dxa"/>
            <w:tcBorders>
              <w:top w:val="nil"/>
              <w:left w:val="nil"/>
              <w:bottom w:val="nil"/>
              <w:right w:val="nil"/>
            </w:tcBorders>
            <w:noWrap/>
            <w:vAlign w:val="bottom"/>
            <w:hideMark/>
          </w:tcPr>
          <w:p w14:paraId="73002B43"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20,000,000</w:t>
            </w:r>
          </w:p>
        </w:tc>
        <w:tc>
          <w:tcPr>
            <w:tcW w:w="1993" w:type="dxa"/>
            <w:tcBorders>
              <w:top w:val="nil"/>
              <w:left w:val="nil"/>
              <w:bottom w:val="nil"/>
              <w:right w:val="nil"/>
            </w:tcBorders>
            <w:noWrap/>
            <w:vAlign w:val="bottom"/>
            <w:hideMark/>
          </w:tcPr>
          <w:p w14:paraId="68889EE6"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0.7938</w:t>
            </w:r>
          </w:p>
        </w:tc>
        <w:tc>
          <w:tcPr>
            <w:tcW w:w="1760" w:type="dxa"/>
            <w:tcBorders>
              <w:top w:val="nil"/>
              <w:left w:val="single" w:sz="8" w:space="0" w:color="auto"/>
              <w:bottom w:val="nil"/>
              <w:right w:val="single" w:sz="4" w:space="0" w:color="auto"/>
            </w:tcBorders>
            <w:vAlign w:val="bottom"/>
            <w:hideMark/>
          </w:tcPr>
          <w:p w14:paraId="5C44DD9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15,876,645</w:t>
            </w:r>
          </w:p>
        </w:tc>
      </w:tr>
      <w:tr w:rsidR="00870A62" w:rsidRPr="00DA2477" w14:paraId="7C129C17" w14:textId="77777777" w:rsidTr="00CD4033">
        <w:trPr>
          <w:trHeight w:val="300"/>
        </w:trPr>
        <w:tc>
          <w:tcPr>
            <w:tcW w:w="882" w:type="dxa"/>
            <w:tcBorders>
              <w:top w:val="nil"/>
              <w:left w:val="single" w:sz="4" w:space="0" w:color="auto"/>
              <w:bottom w:val="nil"/>
              <w:right w:val="nil"/>
            </w:tcBorders>
            <w:noWrap/>
            <w:vAlign w:val="bottom"/>
            <w:hideMark/>
          </w:tcPr>
          <w:p w14:paraId="00D0106B"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4</w:t>
            </w:r>
          </w:p>
        </w:tc>
        <w:tc>
          <w:tcPr>
            <w:tcW w:w="1645" w:type="dxa"/>
            <w:tcBorders>
              <w:top w:val="nil"/>
              <w:left w:val="nil"/>
              <w:bottom w:val="nil"/>
              <w:right w:val="nil"/>
            </w:tcBorders>
            <w:noWrap/>
            <w:vAlign w:val="bottom"/>
            <w:hideMark/>
          </w:tcPr>
          <w:p w14:paraId="49127FFC"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25,000,000</w:t>
            </w:r>
          </w:p>
        </w:tc>
        <w:tc>
          <w:tcPr>
            <w:tcW w:w="1993" w:type="dxa"/>
            <w:tcBorders>
              <w:top w:val="nil"/>
              <w:left w:val="nil"/>
              <w:bottom w:val="nil"/>
              <w:right w:val="nil"/>
            </w:tcBorders>
            <w:noWrap/>
            <w:vAlign w:val="bottom"/>
            <w:hideMark/>
          </w:tcPr>
          <w:p w14:paraId="65C4B958"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0.7350</w:t>
            </w:r>
          </w:p>
        </w:tc>
        <w:tc>
          <w:tcPr>
            <w:tcW w:w="1760" w:type="dxa"/>
            <w:tcBorders>
              <w:top w:val="nil"/>
              <w:left w:val="single" w:sz="8" w:space="0" w:color="auto"/>
              <w:bottom w:val="nil"/>
              <w:right w:val="single" w:sz="4" w:space="0" w:color="auto"/>
            </w:tcBorders>
            <w:vAlign w:val="bottom"/>
            <w:hideMark/>
          </w:tcPr>
          <w:p w14:paraId="47073F42"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18,375,746</w:t>
            </w:r>
          </w:p>
        </w:tc>
      </w:tr>
      <w:tr w:rsidR="00870A62" w:rsidRPr="00DA2477" w14:paraId="682D7559" w14:textId="77777777" w:rsidTr="00CD4033">
        <w:trPr>
          <w:trHeight w:val="315"/>
        </w:trPr>
        <w:tc>
          <w:tcPr>
            <w:tcW w:w="882" w:type="dxa"/>
            <w:tcBorders>
              <w:top w:val="nil"/>
              <w:left w:val="single" w:sz="4" w:space="0" w:color="auto"/>
              <w:bottom w:val="nil"/>
              <w:right w:val="nil"/>
            </w:tcBorders>
            <w:noWrap/>
            <w:vAlign w:val="bottom"/>
            <w:hideMark/>
          </w:tcPr>
          <w:p w14:paraId="70FB2BBE"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w:t>
            </w:r>
          </w:p>
        </w:tc>
        <w:tc>
          <w:tcPr>
            <w:tcW w:w="1645" w:type="dxa"/>
            <w:tcBorders>
              <w:top w:val="nil"/>
              <w:left w:val="nil"/>
              <w:bottom w:val="nil"/>
              <w:right w:val="nil"/>
            </w:tcBorders>
            <w:noWrap/>
            <w:vAlign w:val="bottom"/>
            <w:hideMark/>
          </w:tcPr>
          <w:p w14:paraId="6ECA0EEF"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5,000,000</w:t>
            </w:r>
          </w:p>
        </w:tc>
        <w:tc>
          <w:tcPr>
            <w:tcW w:w="1993" w:type="dxa"/>
            <w:tcBorders>
              <w:top w:val="nil"/>
              <w:left w:val="nil"/>
              <w:bottom w:val="nil"/>
              <w:right w:val="nil"/>
            </w:tcBorders>
            <w:noWrap/>
            <w:vAlign w:val="bottom"/>
            <w:hideMark/>
          </w:tcPr>
          <w:p w14:paraId="58ABCAD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0.6806</w:t>
            </w:r>
          </w:p>
        </w:tc>
        <w:tc>
          <w:tcPr>
            <w:tcW w:w="1760" w:type="dxa"/>
            <w:tcBorders>
              <w:top w:val="nil"/>
              <w:left w:val="single" w:sz="8" w:space="0" w:color="auto"/>
              <w:bottom w:val="nil"/>
              <w:right w:val="single" w:sz="4" w:space="0" w:color="auto"/>
            </w:tcBorders>
            <w:vAlign w:val="bottom"/>
            <w:hideMark/>
          </w:tcPr>
          <w:p w14:paraId="5191F9EA" w14:textId="77777777" w:rsidR="00870A62" w:rsidRPr="00DA2477" w:rsidRDefault="00870A62" w:rsidP="00CD4033">
            <w:pPr>
              <w:spacing w:after="0" w:line="240" w:lineRule="auto"/>
              <w:jc w:val="center"/>
              <w:rPr>
                <w:rFonts w:eastAsia="Times New Roman" w:cs="Times New Roman"/>
                <w:szCs w:val="24"/>
                <w:lang w:val="" w:eastAsia=""/>
              </w:rPr>
            </w:pPr>
            <w:r w:rsidRPr="00DA2477">
              <w:rPr>
                <w:rFonts w:eastAsia="Times New Roman" w:cs="Times New Roman"/>
                <w:szCs w:val="24"/>
                <w:lang w:val="" w:eastAsia=""/>
              </w:rPr>
              <w:t>3,402,916</w:t>
            </w:r>
          </w:p>
        </w:tc>
      </w:tr>
      <w:tr w:rsidR="00870A62" w:rsidRPr="00DA2477" w14:paraId="0AE4260E" w14:textId="77777777" w:rsidTr="00CD4033">
        <w:trPr>
          <w:trHeight w:val="315"/>
        </w:trPr>
        <w:tc>
          <w:tcPr>
            <w:tcW w:w="882" w:type="dxa"/>
            <w:tcBorders>
              <w:top w:val="nil"/>
              <w:left w:val="single" w:sz="4" w:space="0" w:color="auto"/>
              <w:bottom w:val="nil"/>
              <w:right w:val="nil"/>
            </w:tcBorders>
            <w:noWrap/>
            <w:vAlign w:val="bottom"/>
            <w:hideMark/>
          </w:tcPr>
          <w:p w14:paraId="32FBD463" w14:textId="77777777" w:rsidR="00870A62" w:rsidRPr="00DA2477" w:rsidRDefault="00870A62" w:rsidP="00CD4033">
            <w:pPr>
              <w:spacing w:after="0" w:line="240" w:lineRule="auto"/>
              <w:jc w:val="center"/>
              <w:rPr>
                <w:rFonts w:eastAsia="Times New Roman" w:cs="Times New Roman"/>
                <w:szCs w:val="24"/>
                <w:lang w:val="" w:eastAsia=""/>
              </w:rPr>
            </w:pPr>
          </w:p>
        </w:tc>
        <w:tc>
          <w:tcPr>
            <w:tcW w:w="1645" w:type="dxa"/>
            <w:tcBorders>
              <w:top w:val="nil"/>
              <w:left w:val="nil"/>
              <w:bottom w:val="nil"/>
              <w:right w:val="nil"/>
            </w:tcBorders>
            <w:noWrap/>
            <w:vAlign w:val="bottom"/>
            <w:hideMark/>
          </w:tcPr>
          <w:p w14:paraId="020FB9E1" w14:textId="77777777" w:rsidR="00870A62" w:rsidRPr="00DA2477" w:rsidRDefault="00870A62" w:rsidP="00CD4033">
            <w:pPr>
              <w:spacing w:after="0" w:line="240" w:lineRule="auto"/>
              <w:jc w:val="center"/>
              <w:rPr>
                <w:rFonts w:eastAsia="Times New Roman" w:cs="Times New Roman"/>
                <w:szCs w:val="24"/>
                <w:lang w:val="" w:eastAsia=""/>
              </w:rPr>
            </w:pPr>
          </w:p>
        </w:tc>
        <w:tc>
          <w:tcPr>
            <w:tcW w:w="1993" w:type="dxa"/>
            <w:tcBorders>
              <w:top w:val="nil"/>
              <w:left w:val="nil"/>
              <w:bottom w:val="nil"/>
              <w:right w:val="nil"/>
            </w:tcBorders>
            <w:noWrap/>
            <w:vAlign w:val="bottom"/>
            <w:hideMark/>
          </w:tcPr>
          <w:p w14:paraId="305A8D09" w14:textId="77777777" w:rsidR="00870A62" w:rsidRPr="00DA2477" w:rsidRDefault="00870A62" w:rsidP="00CD4033">
            <w:pPr>
              <w:spacing w:after="0" w:line="240" w:lineRule="auto"/>
              <w:jc w:val="center"/>
              <w:rPr>
                <w:rFonts w:eastAsia="Times New Roman" w:cs="Times New Roman"/>
                <w:sz w:val="20"/>
                <w:szCs w:val="20"/>
                <w:lang w:val="" w:eastAsia=""/>
              </w:rPr>
            </w:pPr>
          </w:p>
        </w:tc>
        <w:tc>
          <w:tcPr>
            <w:tcW w:w="1760" w:type="dxa"/>
            <w:tcBorders>
              <w:top w:val="single" w:sz="8" w:space="0" w:color="auto"/>
              <w:left w:val="nil"/>
              <w:bottom w:val="single" w:sz="8" w:space="0" w:color="auto"/>
              <w:right w:val="single" w:sz="4" w:space="0" w:color="auto"/>
            </w:tcBorders>
            <w:noWrap/>
            <w:vAlign w:val="bottom"/>
            <w:hideMark/>
          </w:tcPr>
          <w:p w14:paraId="1CE150C4"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50,858,325</w:t>
            </w:r>
          </w:p>
        </w:tc>
      </w:tr>
      <w:tr w:rsidR="00870A62" w:rsidRPr="00DA2477" w14:paraId="758E7C6E" w14:textId="77777777" w:rsidTr="00CD4033">
        <w:trPr>
          <w:trHeight w:val="315"/>
        </w:trPr>
        <w:tc>
          <w:tcPr>
            <w:tcW w:w="882" w:type="dxa"/>
            <w:tcBorders>
              <w:top w:val="nil"/>
              <w:left w:val="single" w:sz="4" w:space="0" w:color="auto"/>
              <w:bottom w:val="nil"/>
              <w:right w:val="nil"/>
            </w:tcBorders>
            <w:noWrap/>
            <w:vAlign w:val="bottom"/>
            <w:hideMark/>
          </w:tcPr>
          <w:p w14:paraId="6D949910" w14:textId="77777777" w:rsidR="00870A62" w:rsidRPr="00DA2477" w:rsidRDefault="00870A62" w:rsidP="00CD4033">
            <w:pPr>
              <w:spacing w:after="0" w:line="240" w:lineRule="auto"/>
              <w:jc w:val="center"/>
              <w:rPr>
                <w:rFonts w:eastAsia="Times New Roman" w:cs="Times New Roman"/>
                <w:szCs w:val="24"/>
                <w:lang w:val="" w:eastAsia=""/>
              </w:rPr>
            </w:pPr>
          </w:p>
        </w:tc>
        <w:tc>
          <w:tcPr>
            <w:tcW w:w="3638" w:type="dxa"/>
            <w:gridSpan w:val="2"/>
            <w:tcBorders>
              <w:top w:val="nil"/>
              <w:left w:val="nil"/>
              <w:bottom w:val="nil"/>
              <w:right w:val="nil"/>
            </w:tcBorders>
            <w:noWrap/>
            <w:vAlign w:val="bottom"/>
            <w:hideMark/>
          </w:tcPr>
          <w:p w14:paraId="78C0DA91" w14:textId="77777777" w:rsidR="00870A62" w:rsidRPr="00DA2477" w:rsidRDefault="00870A62" w:rsidP="00CD4033">
            <w:pPr>
              <w:spacing w:after="0" w:line="240" w:lineRule="auto"/>
              <w:jc w:val="center"/>
              <w:rPr>
                <w:rFonts w:eastAsia="Times New Roman" w:cs="Times New Roman"/>
                <w:b/>
                <w:bCs/>
                <w:szCs w:val="24"/>
                <w:lang w:val="" w:eastAsia=""/>
              </w:rPr>
            </w:pPr>
            <w:r w:rsidRPr="00DA2477">
              <w:rPr>
                <w:rFonts w:eastAsia="Times New Roman" w:cs="Times New Roman"/>
                <w:b/>
                <w:bCs/>
                <w:szCs w:val="24"/>
                <w:lang w:val="" w:eastAsia=""/>
              </w:rPr>
              <w:t>Net Present Value</w:t>
            </w:r>
          </w:p>
        </w:tc>
        <w:tc>
          <w:tcPr>
            <w:tcW w:w="1760" w:type="dxa"/>
            <w:tcBorders>
              <w:top w:val="nil"/>
              <w:left w:val="nil"/>
              <w:bottom w:val="double" w:sz="6" w:space="0" w:color="auto"/>
              <w:right w:val="single" w:sz="4" w:space="0" w:color="auto"/>
            </w:tcBorders>
            <w:noWrap/>
            <w:vAlign w:val="bottom"/>
            <w:hideMark/>
          </w:tcPr>
          <w:p w14:paraId="198DF220" w14:textId="77777777" w:rsidR="00870A62" w:rsidRPr="00DA2477" w:rsidRDefault="00870A62" w:rsidP="00CD4033">
            <w:pPr>
              <w:spacing w:after="0" w:line="240" w:lineRule="auto"/>
              <w:jc w:val="center"/>
              <w:rPr>
                <w:rFonts w:eastAsia="Times New Roman" w:cs="Times New Roman"/>
                <w:b/>
                <w:bCs/>
                <w:color w:val="000000"/>
                <w:szCs w:val="24"/>
                <w:lang w:val="" w:eastAsia=""/>
              </w:rPr>
            </w:pPr>
            <w:r w:rsidRPr="00DA2477">
              <w:rPr>
                <w:rFonts w:eastAsia="Times New Roman" w:cs="Times New Roman"/>
                <w:b/>
                <w:bCs/>
                <w:color w:val="000000"/>
                <w:szCs w:val="24"/>
                <w:lang w:val="" w:eastAsia=""/>
              </w:rPr>
              <w:t>858,325</w:t>
            </w:r>
          </w:p>
        </w:tc>
      </w:tr>
      <w:tr w:rsidR="00870A62" w:rsidRPr="00DA2477" w14:paraId="366431D4" w14:textId="77777777" w:rsidTr="00CD4033">
        <w:trPr>
          <w:trHeight w:val="315"/>
        </w:trPr>
        <w:tc>
          <w:tcPr>
            <w:tcW w:w="882" w:type="dxa"/>
            <w:tcBorders>
              <w:top w:val="nil"/>
              <w:left w:val="single" w:sz="4" w:space="0" w:color="auto"/>
              <w:bottom w:val="single" w:sz="4" w:space="0" w:color="auto"/>
              <w:right w:val="nil"/>
            </w:tcBorders>
            <w:noWrap/>
            <w:vAlign w:val="bottom"/>
            <w:hideMark/>
          </w:tcPr>
          <w:p w14:paraId="76487AC0" w14:textId="77777777" w:rsidR="00870A62" w:rsidRPr="00DA2477" w:rsidRDefault="00870A62" w:rsidP="00CD4033">
            <w:pPr>
              <w:spacing w:after="0" w:line="240" w:lineRule="auto"/>
              <w:jc w:val="center"/>
              <w:rPr>
                <w:rFonts w:eastAsia="Times New Roman" w:cs="Times New Roman"/>
                <w:szCs w:val="24"/>
                <w:lang w:val="" w:eastAsia=""/>
              </w:rPr>
            </w:pPr>
          </w:p>
        </w:tc>
        <w:tc>
          <w:tcPr>
            <w:tcW w:w="1645" w:type="dxa"/>
            <w:tcBorders>
              <w:top w:val="nil"/>
              <w:left w:val="nil"/>
              <w:bottom w:val="single" w:sz="4" w:space="0" w:color="auto"/>
              <w:right w:val="nil"/>
            </w:tcBorders>
            <w:noWrap/>
            <w:vAlign w:val="bottom"/>
            <w:hideMark/>
          </w:tcPr>
          <w:p w14:paraId="5599FC14" w14:textId="77777777" w:rsidR="00870A62" w:rsidRPr="00DA2477" w:rsidRDefault="00870A62" w:rsidP="00CD4033">
            <w:pPr>
              <w:spacing w:after="0" w:line="240" w:lineRule="auto"/>
              <w:jc w:val="center"/>
              <w:rPr>
                <w:rFonts w:eastAsia="Times New Roman" w:cs="Times New Roman"/>
                <w:szCs w:val="24"/>
                <w:lang w:val="" w:eastAsia=""/>
              </w:rPr>
            </w:pPr>
          </w:p>
        </w:tc>
        <w:tc>
          <w:tcPr>
            <w:tcW w:w="1993" w:type="dxa"/>
            <w:tcBorders>
              <w:top w:val="nil"/>
              <w:left w:val="nil"/>
              <w:bottom w:val="single" w:sz="4" w:space="0" w:color="auto"/>
              <w:right w:val="nil"/>
            </w:tcBorders>
            <w:noWrap/>
            <w:vAlign w:val="bottom"/>
            <w:hideMark/>
          </w:tcPr>
          <w:p w14:paraId="0F686D80" w14:textId="77777777" w:rsidR="00870A62" w:rsidRPr="00DA2477" w:rsidRDefault="00870A62" w:rsidP="00CD4033">
            <w:pPr>
              <w:spacing w:after="0" w:line="240" w:lineRule="auto"/>
              <w:jc w:val="center"/>
              <w:rPr>
                <w:rFonts w:eastAsia="Times New Roman" w:cs="Times New Roman"/>
                <w:szCs w:val="24"/>
                <w:lang w:val="" w:eastAsia=""/>
              </w:rPr>
            </w:pPr>
          </w:p>
        </w:tc>
        <w:tc>
          <w:tcPr>
            <w:tcW w:w="1760" w:type="dxa"/>
            <w:tcBorders>
              <w:top w:val="nil"/>
              <w:left w:val="nil"/>
              <w:bottom w:val="single" w:sz="4" w:space="0" w:color="auto"/>
              <w:right w:val="single" w:sz="4" w:space="0" w:color="auto"/>
            </w:tcBorders>
            <w:noWrap/>
            <w:vAlign w:val="bottom"/>
            <w:hideMark/>
          </w:tcPr>
          <w:p w14:paraId="343D7FFF" w14:textId="77777777" w:rsidR="00870A62" w:rsidRPr="00DA2477" w:rsidRDefault="00870A62" w:rsidP="00CD4033">
            <w:pPr>
              <w:spacing w:after="0" w:line="240" w:lineRule="auto"/>
              <w:jc w:val="center"/>
              <w:rPr>
                <w:rFonts w:eastAsia="Times New Roman" w:cs="Times New Roman"/>
                <w:szCs w:val="24"/>
                <w:lang w:val="" w:eastAsia=""/>
              </w:rPr>
            </w:pPr>
          </w:p>
        </w:tc>
      </w:tr>
    </w:tbl>
    <w:p w14:paraId="3CD863D6" w14:textId="77777777" w:rsidR="00870A62" w:rsidRPr="00DA2477" w:rsidRDefault="00870A62" w:rsidP="00870A62">
      <w:pPr>
        <w:tabs>
          <w:tab w:val="left" w:pos="2940"/>
        </w:tabs>
        <w:ind w:left="360"/>
        <w:rPr>
          <w:rFonts w:cs="Times New Roman"/>
          <w:b/>
          <w:bCs/>
        </w:rPr>
      </w:pPr>
    </w:p>
    <w:p w14:paraId="547AF011" w14:textId="77777777" w:rsidR="00870A62" w:rsidRPr="00DA2477" w:rsidRDefault="00870A62" w:rsidP="00870A62">
      <w:pPr>
        <w:tabs>
          <w:tab w:val="left" w:pos="2940"/>
        </w:tabs>
        <w:ind w:left="360"/>
        <w:rPr>
          <w:rFonts w:cs="Times New Roman"/>
          <w:b/>
          <w:bCs/>
        </w:rPr>
      </w:pPr>
      <w:r w:rsidRPr="00DA2477">
        <w:rPr>
          <w:rFonts w:cs="Times New Roman"/>
          <w:b/>
          <w:bCs/>
        </w:rPr>
        <w:t>PROFITABILITY INDEX</w:t>
      </w:r>
    </w:p>
    <w:p w14:paraId="0B58A887" w14:textId="77777777" w:rsidR="00870A62" w:rsidRPr="00DA2477" w:rsidRDefault="00870A62" w:rsidP="00870A62">
      <w:pPr>
        <w:tabs>
          <w:tab w:val="left" w:pos="2940"/>
        </w:tabs>
        <w:ind w:left="360"/>
        <w:rPr>
          <w:rFonts w:cs="Times New Roman"/>
          <w:b/>
          <w:bCs/>
        </w:rPr>
      </w:pPr>
      <w:r w:rsidRPr="00DA2477">
        <w:rPr>
          <w:rFonts w:cs="Times New Roman"/>
          <w:b/>
          <w:bCs/>
        </w:rPr>
        <w:t>Formula = PV / Investments</w:t>
      </w:r>
    </w:p>
    <w:p w14:paraId="6345E92E" w14:textId="77777777" w:rsidR="00870A62" w:rsidRPr="00DA2477" w:rsidRDefault="00870A62" w:rsidP="00870A62">
      <w:pPr>
        <w:tabs>
          <w:tab w:val="left" w:pos="2940"/>
        </w:tabs>
        <w:ind w:left="360"/>
        <w:rPr>
          <w:rFonts w:cs="Times New Roman"/>
          <w:b/>
          <w:bCs/>
        </w:rPr>
      </w:pPr>
      <w:r w:rsidRPr="00DA2477">
        <w:rPr>
          <w:rFonts w:cs="Times New Roman"/>
          <w:b/>
          <w:bCs/>
        </w:rPr>
        <w:t xml:space="preserve">Project A = </w:t>
      </w:r>
    </w:p>
    <w:p w14:paraId="0C0F7503" w14:textId="77777777" w:rsidR="00870A62" w:rsidRPr="00DA2477" w:rsidRDefault="00870A62" w:rsidP="00870A62">
      <w:pPr>
        <w:spacing w:line="240" w:lineRule="auto"/>
        <w:rPr>
          <w:rFonts w:eastAsia="Times New Roman" w:cs="Times New Roman"/>
          <w:color w:val="000000"/>
          <w:szCs w:val="24"/>
          <w:lang w:val="" w:eastAsia=""/>
        </w:rPr>
      </w:pPr>
      <w:r w:rsidRPr="00DA2477">
        <w:rPr>
          <w:rFonts w:eastAsia="Times New Roman" w:cs="Times New Roman"/>
          <w:color w:val="000000"/>
          <w:szCs w:val="24"/>
          <w:lang w:val="" w:eastAsia=""/>
        </w:rPr>
        <w:t xml:space="preserve">PV = 9259259 + 10288066 + 11113651 + 7350299 + 5444666 =       43,455,941 </w:t>
      </w:r>
    </w:p>
    <w:p w14:paraId="4808ABC3" w14:textId="77777777" w:rsidR="00870A62" w:rsidRPr="00DA2477" w:rsidRDefault="00870A62" w:rsidP="00870A62">
      <w:pPr>
        <w:spacing w:line="240" w:lineRule="auto"/>
        <w:rPr>
          <w:rFonts w:eastAsia="Times New Roman" w:cs="Times New Roman"/>
          <w:color w:val="000000"/>
          <w:szCs w:val="24"/>
          <w:lang w:val="" w:eastAsia=""/>
        </w:rPr>
      </w:pPr>
      <w:r w:rsidRPr="00DA2477">
        <w:rPr>
          <w:rFonts w:eastAsia="Times New Roman" w:cs="Times New Roman"/>
          <w:color w:val="000000"/>
          <w:szCs w:val="24"/>
          <w:lang w:val="" w:eastAsia=""/>
        </w:rPr>
        <w:t>PI = 43,455,941 / 50,000,000 = 0.869</w:t>
      </w:r>
    </w:p>
    <w:p w14:paraId="0FB2301C" w14:textId="77777777" w:rsidR="00870A62" w:rsidRPr="00DA2477" w:rsidRDefault="00870A62" w:rsidP="00870A62">
      <w:pPr>
        <w:spacing w:line="240" w:lineRule="auto"/>
        <w:rPr>
          <w:rFonts w:eastAsia="Times New Roman" w:cs="Times New Roman"/>
          <w:b/>
          <w:bCs/>
          <w:color w:val="000000"/>
          <w:szCs w:val="24"/>
          <w:lang w:val="" w:eastAsia=""/>
        </w:rPr>
      </w:pPr>
      <w:r w:rsidRPr="00DA2477">
        <w:rPr>
          <w:rFonts w:eastAsia="Times New Roman" w:cs="Times New Roman"/>
          <w:b/>
          <w:bCs/>
          <w:color w:val="000000"/>
          <w:szCs w:val="24"/>
          <w:lang w:val="" w:eastAsia=""/>
        </w:rPr>
        <w:t xml:space="preserve"> Project B = </w:t>
      </w:r>
    </w:p>
    <w:p w14:paraId="41EC5499" w14:textId="77777777" w:rsidR="00870A62" w:rsidRPr="00DA2477" w:rsidRDefault="00870A62" w:rsidP="00870A62">
      <w:pPr>
        <w:spacing w:line="240" w:lineRule="auto"/>
        <w:rPr>
          <w:rFonts w:eastAsia="Times New Roman" w:cs="Times New Roman"/>
          <w:color w:val="000000"/>
          <w:szCs w:val="24"/>
          <w:lang w:val="" w:eastAsia=""/>
        </w:rPr>
      </w:pPr>
      <w:r w:rsidRPr="00DA2477">
        <w:rPr>
          <w:rFonts w:eastAsia="Times New Roman" w:cs="Times New Roman"/>
          <w:color w:val="000000"/>
          <w:szCs w:val="24"/>
          <w:lang w:val="" w:eastAsia=""/>
        </w:rPr>
        <w:t xml:space="preserve">PV = 10185185 + 9430727 + 8732155 + 8085328 + 7486415 =       43,919,810 </w:t>
      </w:r>
    </w:p>
    <w:p w14:paraId="227654CA" w14:textId="77777777" w:rsidR="00870A62" w:rsidRPr="00DA2477" w:rsidRDefault="00870A62" w:rsidP="00870A62">
      <w:pPr>
        <w:spacing w:line="240" w:lineRule="auto"/>
        <w:rPr>
          <w:rFonts w:eastAsia="Times New Roman" w:cs="Times New Roman"/>
          <w:color w:val="000000"/>
          <w:szCs w:val="24"/>
          <w:lang w:val="" w:eastAsia=""/>
        </w:rPr>
      </w:pPr>
      <w:r w:rsidRPr="00DA2477">
        <w:rPr>
          <w:rFonts w:eastAsia="Times New Roman" w:cs="Times New Roman"/>
          <w:color w:val="000000"/>
          <w:szCs w:val="24"/>
          <w:lang w:val="" w:eastAsia=""/>
        </w:rPr>
        <w:t>PI = 43,919,810 / 50,000,000 = 0.878</w:t>
      </w:r>
    </w:p>
    <w:p w14:paraId="309F8FBE" w14:textId="77777777" w:rsidR="00870A62" w:rsidRPr="00DA2477" w:rsidRDefault="00870A62" w:rsidP="00870A62">
      <w:pPr>
        <w:spacing w:line="240" w:lineRule="auto"/>
        <w:rPr>
          <w:rFonts w:eastAsia="Times New Roman" w:cs="Times New Roman"/>
          <w:b/>
          <w:bCs/>
          <w:color w:val="000000"/>
          <w:szCs w:val="24"/>
          <w:lang w:val="" w:eastAsia=""/>
        </w:rPr>
      </w:pPr>
    </w:p>
    <w:p w14:paraId="745A3500" w14:textId="77777777" w:rsidR="00870A62" w:rsidRPr="00DA2477" w:rsidRDefault="00870A62" w:rsidP="00870A62">
      <w:pPr>
        <w:spacing w:line="240" w:lineRule="auto"/>
        <w:rPr>
          <w:rFonts w:eastAsia="Times New Roman" w:cs="Times New Roman"/>
          <w:b/>
          <w:bCs/>
          <w:color w:val="000000"/>
          <w:szCs w:val="24"/>
          <w:lang w:val="" w:eastAsia=""/>
        </w:rPr>
      </w:pPr>
      <w:r w:rsidRPr="00DA2477">
        <w:rPr>
          <w:rFonts w:eastAsia="Times New Roman" w:cs="Times New Roman"/>
          <w:b/>
          <w:bCs/>
          <w:color w:val="000000"/>
          <w:szCs w:val="24"/>
          <w:lang w:val="" w:eastAsia=""/>
        </w:rPr>
        <w:t xml:space="preserve">Project C = </w:t>
      </w:r>
    </w:p>
    <w:p w14:paraId="43B03E0E" w14:textId="77777777" w:rsidR="00870A62" w:rsidRPr="00DA2477" w:rsidRDefault="00870A62" w:rsidP="00870A62">
      <w:pPr>
        <w:spacing w:line="240" w:lineRule="auto"/>
        <w:rPr>
          <w:rFonts w:eastAsia="Times New Roman" w:cs="Times New Roman"/>
          <w:color w:val="000000"/>
          <w:szCs w:val="24"/>
          <w:lang w:val="" w:eastAsia=""/>
        </w:rPr>
      </w:pPr>
      <w:r w:rsidRPr="00DA2477">
        <w:rPr>
          <w:rFonts w:eastAsia="Times New Roman" w:cs="Times New Roman"/>
          <w:color w:val="000000"/>
          <w:szCs w:val="24"/>
          <w:lang w:val="" w:eastAsia=""/>
        </w:rPr>
        <w:t xml:space="preserve">PV = 4629630 + 8573388 + 15876645 + 18375746 + 3402916 =       50,858,325 </w:t>
      </w:r>
    </w:p>
    <w:p w14:paraId="5B497F11" w14:textId="77777777" w:rsidR="00870A62" w:rsidRPr="00DA2477" w:rsidRDefault="00870A62" w:rsidP="00870A62">
      <w:pPr>
        <w:spacing w:line="240" w:lineRule="auto"/>
        <w:rPr>
          <w:rFonts w:eastAsia="Times New Roman" w:cs="Times New Roman"/>
          <w:color w:val="000000"/>
          <w:szCs w:val="24"/>
          <w:lang w:val="" w:eastAsia=""/>
        </w:rPr>
      </w:pPr>
      <w:r w:rsidRPr="00DA2477">
        <w:rPr>
          <w:rFonts w:eastAsia="Times New Roman" w:cs="Times New Roman"/>
          <w:color w:val="000000"/>
          <w:szCs w:val="24"/>
          <w:lang w:val="" w:eastAsia=""/>
        </w:rPr>
        <w:t>PI = 50,858,325 / 50,000,000 = 1.017</w:t>
      </w:r>
    </w:p>
    <w:p w14:paraId="2D9CA32B" w14:textId="77777777" w:rsidR="00870A62" w:rsidRPr="00DA2477" w:rsidRDefault="00870A62" w:rsidP="00870A62">
      <w:pPr>
        <w:spacing w:line="240" w:lineRule="auto"/>
        <w:rPr>
          <w:rFonts w:eastAsia="Times New Roman" w:cs="Times New Roman"/>
          <w:b/>
          <w:bCs/>
          <w:color w:val="000000"/>
          <w:szCs w:val="24"/>
          <w:lang w:val="" w:eastAsia=""/>
        </w:rPr>
      </w:pPr>
    </w:p>
    <w:p w14:paraId="6D2C62FD" w14:textId="77777777" w:rsidR="00870A62" w:rsidRPr="00DA2477" w:rsidRDefault="00870A62" w:rsidP="00870A62">
      <w:pPr>
        <w:spacing w:line="240" w:lineRule="auto"/>
        <w:rPr>
          <w:rFonts w:eastAsia="Times New Roman" w:cs="Times New Roman"/>
          <w:b/>
          <w:bCs/>
          <w:color w:val="000000"/>
          <w:szCs w:val="24"/>
          <w:lang w:val="" w:eastAsia=""/>
        </w:rPr>
      </w:pPr>
      <w:r w:rsidRPr="00DA2477">
        <w:rPr>
          <w:rFonts w:eastAsia="Times New Roman" w:cs="Times New Roman"/>
          <w:b/>
          <w:bCs/>
          <w:color w:val="000000"/>
          <w:szCs w:val="24"/>
          <w:lang w:val="" w:eastAsia=""/>
        </w:rPr>
        <w:t xml:space="preserve">INTERNAL RATE OF RETURN </w:t>
      </w:r>
    </w:p>
    <w:p w14:paraId="5ADE70DB" w14:textId="77777777" w:rsidR="00870A62" w:rsidRPr="00DA2477" w:rsidRDefault="00870A62" w:rsidP="00870A62">
      <w:pPr>
        <w:spacing w:line="240" w:lineRule="auto"/>
        <w:rPr>
          <w:rFonts w:eastAsia="Times New Roman" w:cs="Times New Roman"/>
          <w:color w:val="000000"/>
          <w:szCs w:val="24"/>
          <w:lang w:val="" w:eastAsia=""/>
        </w:rPr>
      </w:pPr>
      <w:r w:rsidRPr="00DA2477">
        <w:rPr>
          <w:rFonts w:eastAsia="Times New Roman" w:cs="Times New Roman"/>
          <w:color w:val="000000"/>
          <w:szCs w:val="24"/>
          <w:lang w:val="" w:eastAsia=""/>
        </w:rPr>
        <w:t>Calculated using Excel formulas (Excel sheet attached)</w:t>
      </w:r>
    </w:p>
    <w:p w14:paraId="229C5F72" w14:textId="77777777" w:rsidR="00870A62" w:rsidRPr="00DA2477" w:rsidRDefault="00870A62" w:rsidP="00870A62">
      <w:pPr>
        <w:spacing w:line="240" w:lineRule="auto"/>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A = 2.72%</w:t>
      </w:r>
    </w:p>
    <w:p w14:paraId="640662BE" w14:textId="77777777" w:rsidR="00870A62" w:rsidRPr="00DA2477" w:rsidRDefault="00870A62" w:rsidP="00870A62">
      <w:pPr>
        <w:spacing w:line="240" w:lineRule="auto"/>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B = 3.26%</w:t>
      </w:r>
    </w:p>
    <w:p w14:paraId="6406F40E" w14:textId="77777777" w:rsidR="00870A62" w:rsidRPr="00DA2477" w:rsidRDefault="00870A62" w:rsidP="00870A62">
      <w:pPr>
        <w:spacing w:line="240" w:lineRule="auto"/>
        <w:rPr>
          <w:rFonts w:eastAsia="Times New Roman" w:cs="Times New Roman"/>
          <w:b/>
          <w:bCs/>
          <w:color w:val="000000"/>
          <w:szCs w:val="24"/>
          <w:lang w:val="" w:eastAsia=""/>
        </w:rPr>
      </w:pPr>
      <w:r w:rsidRPr="00DA2477">
        <w:rPr>
          <w:rFonts w:eastAsia="Times New Roman" w:cs="Times New Roman"/>
          <w:b/>
          <w:bCs/>
          <w:color w:val="000000"/>
          <w:szCs w:val="24"/>
          <w:lang w:val="" w:eastAsia=""/>
        </w:rPr>
        <w:t>PROJECT C = 8.59%</w:t>
      </w:r>
    </w:p>
    <w:p w14:paraId="79CD9F8A" w14:textId="77777777" w:rsidR="00870A62" w:rsidRPr="00DA2477" w:rsidRDefault="00870A62" w:rsidP="00870A62">
      <w:pPr>
        <w:tabs>
          <w:tab w:val="left" w:pos="2940"/>
        </w:tabs>
        <w:ind w:left="360"/>
        <w:rPr>
          <w:rFonts w:cs="Times New Roman"/>
          <w:b/>
          <w:bCs/>
        </w:rPr>
      </w:pPr>
    </w:p>
    <w:p w14:paraId="704C5002" w14:textId="77777777" w:rsidR="00870A62" w:rsidRDefault="00870A62"/>
    <w:sectPr w:rsidR="00870A62" w:rsidSect="00870A62">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59739061"/>
      <w:docPartObj>
        <w:docPartGallery w:val="Page Numbers (Bottom of Page)"/>
        <w:docPartUnique/>
      </w:docPartObj>
    </w:sdtPr>
    <w:sdtEndPr>
      <w:rPr>
        <w:noProof/>
      </w:rPr>
    </w:sdtEndPr>
    <w:sdtContent>
      <w:p w14:paraId="70215A1D" w14:textId="77777777" w:rsidR="00870A62" w:rsidRDefault="00870A6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A8B05A4" w14:textId="77777777" w:rsidR="00870A62" w:rsidRDefault="00870A6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0F4C5D3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C8221F"/>
    <w:multiLevelType w:val="hybridMultilevel"/>
    <w:tmpl w:val="E820AB1E"/>
    <w:lvl w:ilvl="0" w:tplc="B060EDB8">
      <w:start w:val="1"/>
      <w:numFmt w:val="lowerLetter"/>
      <w:lvlText w:val="%1)"/>
      <w:lvlJc w:val="left"/>
      <w:pPr>
        <w:ind w:left="720" w:hanging="360"/>
      </w:pPr>
      <w:rPr>
        <w:rFonts w:hint="default"/>
      </w:rPr>
    </w:lvl>
    <w:lvl w:ilvl="1" w:tplc="331AEB9E" w:tentative="1">
      <w:start w:val="1"/>
      <w:numFmt w:val="lowerLetter"/>
      <w:lvlText w:val="%2."/>
      <w:lvlJc w:val="left"/>
      <w:pPr>
        <w:ind w:left="1440" w:hanging="360"/>
      </w:pPr>
    </w:lvl>
    <w:lvl w:ilvl="2" w:tplc="A886CC42" w:tentative="1">
      <w:start w:val="1"/>
      <w:numFmt w:val="lowerRoman"/>
      <w:lvlText w:val="%3."/>
      <w:lvlJc w:val="right"/>
      <w:pPr>
        <w:ind w:left="2160" w:hanging="180"/>
      </w:pPr>
    </w:lvl>
    <w:lvl w:ilvl="3" w:tplc="94A872A0" w:tentative="1">
      <w:start w:val="1"/>
      <w:numFmt w:val="decimal"/>
      <w:lvlText w:val="%4."/>
      <w:lvlJc w:val="left"/>
      <w:pPr>
        <w:ind w:left="2880" w:hanging="360"/>
      </w:pPr>
    </w:lvl>
    <w:lvl w:ilvl="4" w:tplc="CB586F1C" w:tentative="1">
      <w:start w:val="1"/>
      <w:numFmt w:val="lowerLetter"/>
      <w:lvlText w:val="%5."/>
      <w:lvlJc w:val="left"/>
      <w:pPr>
        <w:ind w:left="3600" w:hanging="360"/>
      </w:pPr>
    </w:lvl>
    <w:lvl w:ilvl="5" w:tplc="07349746" w:tentative="1">
      <w:start w:val="1"/>
      <w:numFmt w:val="lowerRoman"/>
      <w:lvlText w:val="%6."/>
      <w:lvlJc w:val="right"/>
      <w:pPr>
        <w:ind w:left="4320" w:hanging="180"/>
      </w:pPr>
    </w:lvl>
    <w:lvl w:ilvl="6" w:tplc="045483CA" w:tentative="1">
      <w:start w:val="1"/>
      <w:numFmt w:val="decimal"/>
      <w:lvlText w:val="%7."/>
      <w:lvlJc w:val="left"/>
      <w:pPr>
        <w:ind w:left="5040" w:hanging="360"/>
      </w:pPr>
    </w:lvl>
    <w:lvl w:ilvl="7" w:tplc="7F5EC03C" w:tentative="1">
      <w:start w:val="1"/>
      <w:numFmt w:val="lowerLetter"/>
      <w:lvlText w:val="%8."/>
      <w:lvlJc w:val="left"/>
      <w:pPr>
        <w:ind w:left="5760" w:hanging="360"/>
      </w:pPr>
    </w:lvl>
    <w:lvl w:ilvl="8" w:tplc="58541606" w:tentative="1">
      <w:start w:val="1"/>
      <w:numFmt w:val="lowerRoman"/>
      <w:lvlText w:val="%9."/>
      <w:lvlJc w:val="right"/>
      <w:pPr>
        <w:ind w:left="6480" w:hanging="180"/>
      </w:pPr>
    </w:lvl>
  </w:abstractNum>
  <w:abstractNum w:abstractNumId="2" w15:restartNumberingAfterBreak="0">
    <w:nsid w:val="06CE39B3"/>
    <w:multiLevelType w:val="hybridMultilevel"/>
    <w:tmpl w:val="A6104F2A"/>
    <w:lvl w:ilvl="0" w:tplc="447E0F7C">
      <w:start w:val="1"/>
      <w:numFmt w:val="lowerLetter"/>
      <w:lvlText w:val="%1)"/>
      <w:lvlJc w:val="left"/>
      <w:pPr>
        <w:ind w:left="720" w:hanging="360"/>
      </w:pPr>
      <w:rPr>
        <w:rFonts w:hint="default"/>
      </w:rPr>
    </w:lvl>
    <w:lvl w:ilvl="1" w:tplc="6608B676" w:tentative="1">
      <w:start w:val="1"/>
      <w:numFmt w:val="lowerLetter"/>
      <w:lvlText w:val="%2."/>
      <w:lvlJc w:val="left"/>
      <w:pPr>
        <w:ind w:left="1440" w:hanging="360"/>
      </w:pPr>
    </w:lvl>
    <w:lvl w:ilvl="2" w:tplc="4E187298" w:tentative="1">
      <w:start w:val="1"/>
      <w:numFmt w:val="lowerRoman"/>
      <w:lvlText w:val="%3."/>
      <w:lvlJc w:val="right"/>
      <w:pPr>
        <w:ind w:left="2160" w:hanging="180"/>
      </w:pPr>
    </w:lvl>
    <w:lvl w:ilvl="3" w:tplc="D5F6D1B6" w:tentative="1">
      <w:start w:val="1"/>
      <w:numFmt w:val="decimal"/>
      <w:lvlText w:val="%4."/>
      <w:lvlJc w:val="left"/>
      <w:pPr>
        <w:ind w:left="2880" w:hanging="360"/>
      </w:pPr>
    </w:lvl>
    <w:lvl w:ilvl="4" w:tplc="D9F40AD8" w:tentative="1">
      <w:start w:val="1"/>
      <w:numFmt w:val="lowerLetter"/>
      <w:lvlText w:val="%5."/>
      <w:lvlJc w:val="left"/>
      <w:pPr>
        <w:ind w:left="3600" w:hanging="360"/>
      </w:pPr>
    </w:lvl>
    <w:lvl w:ilvl="5" w:tplc="835E3A0C" w:tentative="1">
      <w:start w:val="1"/>
      <w:numFmt w:val="lowerRoman"/>
      <w:lvlText w:val="%6."/>
      <w:lvlJc w:val="right"/>
      <w:pPr>
        <w:ind w:left="4320" w:hanging="180"/>
      </w:pPr>
    </w:lvl>
    <w:lvl w:ilvl="6" w:tplc="4482A674" w:tentative="1">
      <w:start w:val="1"/>
      <w:numFmt w:val="decimal"/>
      <w:lvlText w:val="%7."/>
      <w:lvlJc w:val="left"/>
      <w:pPr>
        <w:ind w:left="5040" w:hanging="360"/>
      </w:pPr>
    </w:lvl>
    <w:lvl w:ilvl="7" w:tplc="5B5A0B2C" w:tentative="1">
      <w:start w:val="1"/>
      <w:numFmt w:val="lowerLetter"/>
      <w:lvlText w:val="%8."/>
      <w:lvlJc w:val="left"/>
      <w:pPr>
        <w:ind w:left="5760" w:hanging="360"/>
      </w:pPr>
    </w:lvl>
    <w:lvl w:ilvl="8" w:tplc="E384CFFA" w:tentative="1">
      <w:start w:val="1"/>
      <w:numFmt w:val="lowerRoman"/>
      <w:lvlText w:val="%9."/>
      <w:lvlJc w:val="right"/>
      <w:pPr>
        <w:ind w:left="6480" w:hanging="180"/>
      </w:pPr>
    </w:lvl>
  </w:abstractNum>
  <w:abstractNum w:abstractNumId="3" w15:restartNumberingAfterBreak="0">
    <w:nsid w:val="16462DC5"/>
    <w:multiLevelType w:val="hybridMultilevel"/>
    <w:tmpl w:val="786E9594"/>
    <w:lvl w:ilvl="0" w:tplc="C7A21A30">
      <w:start w:val="4"/>
      <w:numFmt w:val="bullet"/>
      <w:lvlText w:val="-"/>
      <w:lvlJc w:val="left"/>
      <w:pPr>
        <w:ind w:left="1080" w:hanging="360"/>
      </w:pPr>
      <w:rPr>
        <w:rFonts w:ascii="Arial" w:eastAsiaTheme="majorEastAsia" w:hAnsi="Arial" w:cs="Arial" w:hint="default"/>
      </w:rPr>
    </w:lvl>
    <w:lvl w:ilvl="1" w:tplc="E90885E0" w:tentative="1">
      <w:start w:val="1"/>
      <w:numFmt w:val="bullet"/>
      <w:lvlText w:val="o"/>
      <w:lvlJc w:val="left"/>
      <w:pPr>
        <w:ind w:left="1800" w:hanging="360"/>
      </w:pPr>
      <w:rPr>
        <w:rFonts w:ascii="Courier New" w:hAnsi="Courier New" w:cs="Courier New" w:hint="default"/>
      </w:rPr>
    </w:lvl>
    <w:lvl w:ilvl="2" w:tplc="8CE6D070" w:tentative="1">
      <w:start w:val="1"/>
      <w:numFmt w:val="bullet"/>
      <w:lvlText w:val=""/>
      <w:lvlJc w:val="left"/>
      <w:pPr>
        <w:ind w:left="2520" w:hanging="360"/>
      </w:pPr>
      <w:rPr>
        <w:rFonts w:ascii="Wingdings" w:hAnsi="Wingdings" w:hint="default"/>
      </w:rPr>
    </w:lvl>
    <w:lvl w:ilvl="3" w:tplc="EDC8C138" w:tentative="1">
      <w:start w:val="1"/>
      <w:numFmt w:val="bullet"/>
      <w:lvlText w:val=""/>
      <w:lvlJc w:val="left"/>
      <w:pPr>
        <w:ind w:left="3240" w:hanging="360"/>
      </w:pPr>
      <w:rPr>
        <w:rFonts w:ascii="Symbol" w:hAnsi="Symbol" w:hint="default"/>
      </w:rPr>
    </w:lvl>
    <w:lvl w:ilvl="4" w:tplc="179AE08A" w:tentative="1">
      <w:start w:val="1"/>
      <w:numFmt w:val="bullet"/>
      <w:lvlText w:val="o"/>
      <w:lvlJc w:val="left"/>
      <w:pPr>
        <w:ind w:left="3960" w:hanging="360"/>
      </w:pPr>
      <w:rPr>
        <w:rFonts w:ascii="Courier New" w:hAnsi="Courier New" w:cs="Courier New" w:hint="default"/>
      </w:rPr>
    </w:lvl>
    <w:lvl w:ilvl="5" w:tplc="A224CF02" w:tentative="1">
      <w:start w:val="1"/>
      <w:numFmt w:val="bullet"/>
      <w:lvlText w:val=""/>
      <w:lvlJc w:val="left"/>
      <w:pPr>
        <w:ind w:left="4680" w:hanging="360"/>
      </w:pPr>
      <w:rPr>
        <w:rFonts w:ascii="Wingdings" w:hAnsi="Wingdings" w:hint="default"/>
      </w:rPr>
    </w:lvl>
    <w:lvl w:ilvl="6" w:tplc="1F9865DE" w:tentative="1">
      <w:start w:val="1"/>
      <w:numFmt w:val="bullet"/>
      <w:lvlText w:val=""/>
      <w:lvlJc w:val="left"/>
      <w:pPr>
        <w:ind w:left="5400" w:hanging="360"/>
      </w:pPr>
      <w:rPr>
        <w:rFonts w:ascii="Symbol" w:hAnsi="Symbol" w:hint="default"/>
      </w:rPr>
    </w:lvl>
    <w:lvl w:ilvl="7" w:tplc="5B3455F2" w:tentative="1">
      <w:start w:val="1"/>
      <w:numFmt w:val="bullet"/>
      <w:lvlText w:val="o"/>
      <w:lvlJc w:val="left"/>
      <w:pPr>
        <w:ind w:left="6120" w:hanging="360"/>
      </w:pPr>
      <w:rPr>
        <w:rFonts w:ascii="Courier New" w:hAnsi="Courier New" w:cs="Courier New" w:hint="default"/>
      </w:rPr>
    </w:lvl>
    <w:lvl w:ilvl="8" w:tplc="7EF64BF0" w:tentative="1">
      <w:start w:val="1"/>
      <w:numFmt w:val="bullet"/>
      <w:lvlText w:val=""/>
      <w:lvlJc w:val="left"/>
      <w:pPr>
        <w:ind w:left="6840" w:hanging="360"/>
      </w:pPr>
      <w:rPr>
        <w:rFonts w:ascii="Wingdings" w:hAnsi="Wingdings" w:hint="default"/>
      </w:rPr>
    </w:lvl>
  </w:abstractNum>
  <w:abstractNum w:abstractNumId="4" w15:restartNumberingAfterBreak="0">
    <w:nsid w:val="170B365B"/>
    <w:multiLevelType w:val="hybridMultilevel"/>
    <w:tmpl w:val="A8D0CAEE"/>
    <w:lvl w:ilvl="0" w:tplc="9EDA771C">
      <w:start w:val="1"/>
      <w:numFmt w:val="bullet"/>
      <w:lvlText w:val=""/>
      <w:lvlJc w:val="left"/>
      <w:pPr>
        <w:ind w:left="720" w:hanging="360"/>
      </w:pPr>
      <w:rPr>
        <w:rFonts w:ascii="Symbol" w:hAnsi="Symbol" w:hint="default"/>
      </w:rPr>
    </w:lvl>
    <w:lvl w:ilvl="1" w:tplc="F3A6C414" w:tentative="1">
      <w:start w:val="1"/>
      <w:numFmt w:val="bullet"/>
      <w:lvlText w:val="o"/>
      <w:lvlJc w:val="left"/>
      <w:pPr>
        <w:ind w:left="1440" w:hanging="360"/>
      </w:pPr>
      <w:rPr>
        <w:rFonts w:ascii="Courier New" w:hAnsi="Courier New" w:cs="Courier New" w:hint="default"/>
      </w:rPr>
    </w:lvl>
    <w:lvl w:ilvl="2" w:tplc="B71AF344" w:tentative="1">
      <w:start w:val="1"/>
      <w:numFmt w:val="bullet"/>
      <w:lvlText w:val=""/>
      <w:lvlJc w:val="left"/>
      <w:pPr>
        <w:ind w:left="2160" w:hanging="360"/>
      </w:pPr>
      <w:rPr>
        <w:rFonts w:ascii="Wingdings" w:hAnsi="Wingdings" w:hint="default"/>
      </w:rPr>
    </w:lvl>
    <w:lvl w:ilvl="3" w:tplc="1730D614" w:tentative="1">
      <w:start w:val="1"/>
      <w:numFmt w:val="bullet"/>
      <w:lvlText w:val=""/>
      <w:lvlJc w:val="left"/>
      <w:pPr>
        <w:ind w:left="2880" w:hanging="360"/>
      </w:pPr>
      <w:rPr>
        <w:rFonts w:ascii="Symbol" w:hAnsi="Symbol" w:hint="default"/>
      </w:rPr>
    </w:lvl>
    <w:lvl w:ilvl="4" w:tplc="64580F00" w:tentative="1">
      <w:start w:val="1"/>
      <w:numFmt w:val="bullet"/>
      <w:lvlText w:val="o"/>
      <w:lvlJc w:val="left"/>
      <w:pPr>
        <w:ind w:left="3600" w:hanging="360"/>
      </w:pPr>
      <w:rPr>
        <w:rFonts w:ascii="Courier New" w:hAnsi="Courier New" w:cs="Courier New" w:hint="default"/>
      </w:rPr>
    </w:lvl>
    <w:lvl w:ilvl="5" w:tplc="CC509DD8" w:tentative="1">
      <w:start w:val="1"/>
      <w:numFmt w:val="bullet"/>
      <w:lvlText w:val=""/>
      <w:lvlJc w:val="left"/>
      <w:pPr>
        <w:ind w:left="4320" w:hanging="360"/>
      </w:pPr>
      <w:rPr>
        <w:rFonts w:ascii="Wingdings" w:hAnsi="Wingdings" w:hint="default"/>
      </w:rPr>
    </w:lvl>
    <w:lvl w:ilvl="6" w:tplc="E3249C2E" w:tentative="1">
      <w:start w:val="1"/>
      <w:numFmt w:val="bullet"/>
      <w:lvlText w:val=""/>
      <w:lvlJc w:val="left"/>
      <w:pPr>
        <w:ind w:left="5040" w:hanging="360"/>
      </w:pPr>
      <w:rPr>
        <w:rFonts w:ascii="Symbol" w:hAnsi="Symbol" w:hint="default"/>
      </w:rPr>
    </w:lvl>
    <w:lvl w:ilvl="7" w:tplc="31D872C4" w:tentative="1">
      <w:start w:val="1"/>
      <w:numFmt w:val="bullet"/>
      <w:lvlText w:val="o"/>
      <w:lvlJc w:val="left"/>
      <w:pPr>
        <w:ind w:left="5760" w:hanging="360"/>
      </w:pPr>
      <w:rPr>
        <w:rFonts w:ascii="Courier New" w:hAnsi="Courier New" w:cs="Courier New" w:hint="default"/>
      </w:rPr>
    </w:lvl>
    <w:lvl w:ilvl="8" w:tplc="2C949D84" w:tentative="1">
      <w:start w:val="1"/>
      <w:numFmt w:val="bullet"/>
      <w:lvlText w:val=""/>
      <w:lvlJc w:val="left"/>
      <w:pPr>
        <w:ind w:left="6480" w:hanging="360"/>
      </w:pPr>
      <w:rPr>
        <w:rFonts w:ascii="Wingdings" w:hAnsi="Wingdings" w:hint="default"/>
      </w:rPr>
    </w:lvl>
  </w:abstractNum>
  <w:abstractNum w:abstractNumId="5" w15:restartNumberingAfterBreak="0">
    <w:nsid w:val="27314C03"/>
    <w:multiLevelType w:val="hybridMultilevel"/>
    <w:tmpl w:val="71D0D934"/>
    <w:lvl w:ilvl="0" w:tplc="9EDA7E7C">
      <w:start w:val="1"/>
      <w:numFmt w:val="lowerLetter"/>
      <w:lvlText w:val="%1)"/>
      <w:lvlJc w:val="left"/>
      <w:pPr>
        <w:ind w:left="720" w:hanging="360"/>
      </w:pPr>
      <w:rPr>
        <w:rFonts w:hint="default"/>
      </w:rPr>
    </w:lvl>
    <w:lvl w:ilvl="1" w:tplc="CDD61C44" w:tentative="1">
      <w:start w:val="1"/>
      <w:numFmt w:val="lowerLetter"/>
      <w:lvlText w:val="%2."/>
      <w:lvlJc w:val="left"/>
      <w:pPr>
        <w:ind w:left="1440" w:hanging="360"/>
      </w:pPr>
    </w:lvl>
    <w:lvl w:ilvl="2" w:tplc="BB0C503A" w:tentative="1">
      <w:start w:val="1"/>
      <w:numFmt w:val="lowerRoman"/>
      <w:lvlText w:val="%3."/>
      <w:lvlJc w:val="right"/>
      <w:pPr>
        <w:ind w:left="2160" w:hanging="180"/>
      </w:pPr>
    </w:lvl>
    <w:lvl w:ilvl="3" w:tplc="4DCAD1C6" w:tentative="1">
      <w:start w:val="1"/>
      <w:numFmt w:val="decimal"/>
      <w:lvlText w:val="%4."/>
      <w:lvlJc w:val="left"/>
      <w:pPr>
        <w:ind w:left="2880" w:hanging="360"/>
      </w:pPr>
    </w:lvl>
    <w:lvl w:ilvl="4" w:tplc="3AC043E6" w:tentative="1">
      <w:start w:val="1"/>
      <w:numFmt w:val="lowerLetter"/>
      <w:lvlText w:val="%5."/>
      <w:lvlJc w:val="left"/>
      <w:pPr>
        <w:ind w:left="3600" w:hanging="360"/>
      </w:pPr>
    </w:lvl>
    <w:lvl w:ilvl="5" w:tplc="5ADAC256" w:tentative="1">
      <w:start w:val="1"/>
      <w:numFmt w:val="lowerRoman"/>
      <w:lvlText w:val="%6."/>
      <w:lvlJc w:val="right"/>
      <w:pPr>
        <w:ind w:left="4320" w:hanging="180"/>
      </w:pPr>
    </w:lvl>
    <w:lvl w:ilvl="6" w:tplc="EB6E8716" w:tentative="1">
      <w:start w:val="1"/>
      <w:numFmt w:val="decimal"/>
      <w:lvlText w:val="%7."/>
      <w:lvlJc w:val="left"/>
      <w:pPr>
        <w:ind w:left="5040" w:hanging="360"/>
      </w:pPr>
    </w:lvl>
    <w:lvl w:ilvl="7" w:tplc="BBF05B68" w:tentative="1">
      <w:start w:val="1"/>
      <w:numFmt w:val="lowerLetter"/>
      <w:lvlText w:val="%8."/>
      <w:lvlJc w:val="left"/>
      <w:pPr>
        <w:ind w:left="5760" w:hanging="360"/>
      </w:pPr>
    </w:lvl>
    <w:lvl w:ilvl="8" w:tplc="31307FBC" w:tentative="1">
      <w:start w:val="1"/>
      <w:numFmt w:val="lowerRoman"/>
      <w:lvlText w:val="%9."/>
      <w:lvlJc w:val="right"/>
      <w:pPr>
        <w:ind w:left="6480" w:hanging="180"/>
      </w:pPr>
    </w:lvl>
  </w:abstractNum>
  <w:abstractNum w:abstractNumId="6" w15:restartNumberingAfterBreak="0">
    <w:nsid w:val="43915E50"/>
    <w:multiLevelType w:val="hybridMultilevel"/>
    <w:tmpl w:val="B34ACC52"/>
    <w:lvl w:ilvl="0" w:tplc="7ED2A710">
      <w:start w:val="1"/>
      <w:numFmt w:val="decimal"/>
      <w:lvlText w:val="%1-"/>
      <w:lvlJc w:val="left"/>
      <w:pPr>
        <w:ind w:left="720" w:hanging="360"/>
      </w:pPr>
      <w:rPr>
        <w:rFonts w:hint="default"/>
      </w:rPr>
    </w:lvl>
    <w:lvl w:ilvl="1" w:tplc="C276A43C" w:tentative="1">
      <w:start w:val="1"/>
      <w:numFmt w:val="lowerLetter"/>
      <w:lvlText w:val="%2."/>
      <w:lvlJc w:val="left"/>
      <w:pPr>
        <w:ind w:left="1440" w:hanging="360"/>
      </w:pPr>
    </w:lvl>
    <w:lvl w:ilvl="2" w:tplc="2140F4CC" w:tentative="1">
      <w:start w:val="1"/>
      <w:numFmt w:val="lowerRoman"/>
      <w:lvlText w:val="%3."/>
      <w:lvlJc w:val="right"/>
      <w:pPr>
        <w:ind w:left="2160" w:hanging="180"/>
      </w:pPr>
    </w:lvl>
    <w:lvl w:ilvl="3" w:tplc="C83A08CA" w:tentative="1">
      <w:start w:val="1"/>
      <w:numFmt w:val="decimal"/>
      <w:lvlText w:val="%4."/>
      <w:lvlJc w:val="left"/>
      <w:pPr>
        <w:ind w:left="2880" w:hanging="360"/>
      </w:pPr>
    </w:lvl>
    <w:lvl w:ilvl="4" w:tplc="91DADB0E" w:tentative="1">
      <w:start w:val="1"/>
      <w:numFmt w:val="lowerLetter"/>
      <w:lvlText w:val="%5."/>
      <w:lvlJc w:val="left"/>
      <w:pPr>
        <w:ind w:left="3600" w:hanging="360"/>
      </w:pPr>
    </w:lvl>
    <w:lvl w:ilvl="5" w:tplc="62D26CD8" w:tentative="1">
      <w:start w:val="1"/>
      <w:numFmt w:val="lowerRoman"/>
      <w:lvlText w:val="%6."/>
      <w:lvlJc w:val="right"/>
      <w:pPr>
        <w:ind w:left="4320" w:hanging="180"/>
      </w:pPr>
    </w:lvl>
    <w:lvl w:ilvl="6" w:tplc="1916E2D6" w:tentative="1">
      <w:start w:val="1"/>
      <w:numFmt w:val="decimal"/>
      <w:lvlText w:val="%7."/>
      <w:lvlJc w:val="left"/>
      <w:pPr>
        <w:ind w:left="5040" w:hanging="360"/>
      </w:pPr>
    </w:lvl>
    <w:lvl w:ilvl="7" w:tplc="C90EA228" w:tentative="1">
      <w:start w:val="1"/>
      <w:numFmt w:val="lowerLetter"/>
      <w:lvlText w:val="%8."/>
      <w:lvlJc w:val="left"/>
      <w:pPr>
        <w:ind w:left="5760" w:hanging="360"/>
      </w:pPr>
    </w:lvl>
    <w:lvl w:ilvl="8" w:tplc="8A1E4288" w:tentative="1">
      <w:start w:val="1"/>
      <w:numFmt w:val="lowerRoman"/>
      <w:lvlText w:val="%9."/>
      <w:lvlJc w:val="right"/>
      <w:pPr>
        <w:ind w:left="6480" w:hanging="180"/>
      </w:pPr>
    </w:lvl>
  </w:abstractNum>
  <w:abstractNum w:abstractNumId="7" w15:restartNumberingAfterBreak="0">
    <w:nsid w:val="518C2B7B"/>
    <w:multiLevelType w:val="hybridMultilevel"/>
    <w:tmpl w:val="A5FE6C48"/>
    <w:lvl w:ilvl="0" w:tplc="1D68A190">
      <w:start w:val="1"/>
      <w:numFmt w:val="lowerLetter"/>
      <w:lvlText w:val="%1)"/>
      <w:lvlJc w:val="left"/>
      <w:pPr>
        <w:ind w:left="720" w:hanging="360"/>
      </w:pPr>
      <w:rPr>
        <w:rFonts w:hint="default"/>
      </w:rPr>
    </w:lvl>
    <w:lvl w:ilvl="1" w:tplc="8BC0B8B8" w:tentative="1">
      <w:start w:val="1"/>
      <w:numFmt w:val="lowerLetter"/>
      <w:lvlText w:val="%2."/>
      <w:lvlJc w:val="left"/>
      <w:pPr>
        <w:ind w:left="1440" w:hanging="360"/>
      </w:pPr>
    </w:lvl>
    <w:lvl w:ilvl="2" w:tplc="0F6CDFAC" w:tentative="1">
      <w:start w:val="1"/>
      <w:numFmt w:val="lowerRoman"/>
      <w:lvlText w:val="%3."/>
      <w:lvlJc w:val="right"/>
      <w:pPr>
        <w:ind w:left="2160" w:hanging="180"/>
      </w:pPr>
    </w:lvl>
    <w:lvl w:ilvl="3" w:tplc="6AD4E5E2" w:tentative="1">
      <w:start w:val="1"/>
      <w:numFmt w:val="decimal"/>
      <w:lvlText w:val="%4."/>
      <w:lvlJc w:val="left"/>
      <w:pPr>
        <w:ind w:left="2880" w:hanging="360"/>
      </w:pPr>
    </w:lvl>
    <w:lvl w:ilvl="4" w:tplc="B9B4A924" w:tentative="1">
      <w:start w:val="1"/>
      <w:numFmt w:val="lowerLetter"/>
      <w:lvlText w:val="%5."/>
      <w:lvlJc w:val="left"/>
      <w:pPr>
        <w:ind w:left="3600" w:hanging="360"/>
      </w:pPr>
    </w:lvl>
    <w:lvl w:ilvl="5" w:tplc="588C8D00" w:tentative="1">
      <w:start w:val="1"/>
      <w:numFmt w:val="lowerRoman"/>
      <w:lvlText w:val="%6."/>
      <w:lvlJc w:val="right"/>
      <w:pPr>
        <w:ind w:left="4320" w:hanging="180"/>
      </w:pPr>
    </w:lvl>
    <w:lvl w:ilvl="6" w:tplc="CF543F26" w:tentative="1">
      <w:start w:val="1"/>
      <w:numFmt w:val="decimal"/>
      <w:lvlText w:val="%7."/>
      <w:lvlJc w:val="left"/>
      <w:pPr>
        <w:ind w:left="5040" w:hanging="360"/>
      </w:pPr>
    </w:lvl>
    <w:lvl w:ilvl="7" w:tplc="EF4A9316" w:tentative="1">
      <w:start w:val="1"/>
      <w:numFmt w:val="lowerLetter"/>
      <w:lvlText w:val="%8."/>
      <w:lvlJc w:val="left"/>
      <w:pPr>
        <w:ind w:left="5760" w:hanging="360"/>
      </w:pPr>
    </w:lvl>
    <w:lvl w:ilvl="8" w:tplc="44420592" w:tentative="1">
      <w:start w:val="1"/>
      <w:numFmt w:val="lowerRoman"/>
      <w:lvlText w:val="%9."/>
      <w:lvlJc w:val="right"/>
      <w:pPr>
        <w:ind w:left="6480" w:hanging="180"/>
      </w:pPr>
    </w:lvl>
  </w:abstractNum>
  <w:num w:numId="1" w16cid:durableId="525101273">
    <w:abstractNumId w:val="0"/>
  </w:num>
  <w:num w:numId="2" w16cid:durableId="326248671">
    <w:abstractNumId w:val="4"/>
  </w:num>
  <w:num w:numId="3" w16cid:durableId="1984190860">
    <w:abstractNumId w:val="6"/>
  </w:num>
  <w:num w:numId="4" w16cid:durableId="1789397209">
    <w:abstractNumId w:val="7"/>
  </w:num>
  <w:num w:numId="5" w16cid:durableId="1136030166">
    <w:abstractNumId w:val="2"/>
  </w:num>
  <w:num w:numId="6" w16cid:durableId="163280890">
    <w:abstractNumId w:val="1"/>
  </w:num>
  <w:num w:numId="7" w16cid:durableId="1767770044">
    <w:abstractNumId w:val="3"/>
  </w:num>
  <w:num w:numId="8" w16cid:durableId="201615100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A62"/>
    <w:rsid w:val="00846F68"/>
    <w:rsid w:val="00870A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ED452DE"/>
  <w15:chartTrackingRefBased/>
  <w15:docId w15:val="{3CF86D99-4776-0945-9443-B113CF009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A62"/>
    <w:pPr>
      <w:spacing w:line="48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870A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0A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0A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A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A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A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A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A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A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A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0A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0A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A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A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A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A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A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A62"/>
    <w:rPr>
      <w:rFonts w:eastAsiaTheme="majorEastAsia" w:cstheme="majorBidi"/>
      <w:color w:val="272727" w:themeColor="text1" w:themeTint="D8"/>
    </w:rPr>
  </w:style>
  <w:style w:type="paragraph" w:styleId="Title">
    <w:name w:val="Title"/>
    <w:basedOn w:val="Normal"/>
    <w:next w:val="Normal"/>
    <w:link w:val="TitleChar"/>
    <w:uiPriority w:val="10"/>
    <w:qFormat/>
    <w:rsid w:val="00870A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A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A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A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A62"/>
    <w:pPr>
      <w:spacing w:before="160"/>
      <w:jc w:val="center"/>
    </w:pPr>
    <w:rPr>
      <w:i/>
      <w:iCs/>
      <w:color w:val="404040" w:themeColor="text1" w:themeTint="BF"/>
    </w:rPr>
  </w:style>
  <w:style w:type="character" w:customStyle="1" w:styleId="QuoteChar">
    <w:name w:val="Quote Char"/>
    <w:basedOn w:val="DefaultParagraphFont"/>
    <w:link w:val="Quote"/>
    <w:uiPriority w:val="29"/>
    <w:rsid w:val="00870A62"/>
    <w:rPr>
      <w:i/>
      <w:iCs/>
      <w:color w:val="404040" w:themeColor="text1" w:themeTint="BF"/>
    </w:rPr>
  </w:style>
  <w:style w:type="paragraph" w:styleId="ListParagraph">
    <w:name w:val="List Paragraph"/>
    <w:basedOn w:val="Normal"/>
    <w:uiPriority w:val="34"/>
    <w:qFormat/>
    <w:rsid w:val="00870A62"/>
    <w:pPr>
      <w:ind w:left="720"/>
      <w:contextualSpacing/>
    </w:pPr>
  </w:style>
  <w:style w:type="character" w:styleId="IntenseEmphasis">
    <w:name w:val="Intense Emphasis"/>
    <w:basedOn w:val="DefaultParagraphFont"/>
    <w:uiPriority w:val="21"/>
    <w:qFormat/>
    <w:rsid w:val="00870A62"/>
    <w:rPr>
      <w:i/>
      <w:iCs/>
      <w:color w:val="0F4761" w:themeColor="accent1" w:themeShade="BF"/>
    </w:rPr>
  </w:style>
  <w:style w:type="paragraph" w:styleId="IntenseQuote">
    <w:name w:val="Intense Quote"/>
    <w:basedOn w:val="Normal"/>
    <w:next w:val="Normal"/>
    <w:link w:val="IntenseQuoteChar"/>
    <w:uiPriority w:val="30"/>
    <w:qFormat/>
    <w:rsid w:val="00870A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A62"/>
    <w:rPr>
      <w:i/>
      <w:iCs/>
      <w:color w:val="0F4761" w:themeColor="accent1" w:themeShade="BF"/>
    </w:rPr>
  </w:style>
  <w:style w:type="character" w:styleId="IntenseReference">
    <w:name w:val="Intense Reference"/>
    <w:basedOn w:val="DefaultParagraphFont"/>
    <w:uiPriority w:val="32"/>
    <w:qFormat/>
    <w:rsid w:val="00870A62"/>
    <w:rPr>
      <w:b/>
      <w:bCs/>
      <w:smallCaps/>
      <w:color w:val="0F4761" w:themeColor="accent1" w:themeShade="BF"/>
      <w:spacing w:val="5"/>
    </w:rPr>
  </w:style>
  <w:style w:type="character" w:styleId="Hyperlink">
    <w:name w:val="Hyperlink"/>
    <w:basedOn w:val="DefaultParagraphFont"/>
    <w:uiPriority w:val="99"/>
    <w:unhideWhenUsed/>
    <w:rsid w:val="00870A62"/>
    <w:rPr>
      <w:color w:val="467886" w:themeColor="hyperlink"/>
      <w:u w:val="single"/>
    </w:rPr>
  </w:style>
  <w:style w:type="table" w:styleId="GridTable4-Accent5">
    <w:name w:val="Grid Table 4 Accent 5"/>
    <w:basedOn w:val="TableNormal"/>
    <w:uiPriority w:val="49"/>
    <w:rsid w:val="00870A62"/>
    <w:pPr>
      <w:spacing w:after="0" w:line="240" w:lineRule="auto"/>
    </w:pPr>
    <w:rPr>
      <w:kern w:val="0"/>
      <w:sz w:val="22"/>
      <w:szCs w:val="22"/>
      <w:lang w:val="en-US"/>
      <w14:ligatures w14:val="none"/>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870A62"/>
    <w:pPr>
      <w:spacing w:after="0" w:line="240" w:lineRule="auto"/>
    </w:pPr>
    <w:rPr>
      <w:kern w:val="0"/>
      <w:sz w:val="22"/>
      <w:szCs w:val="22"/>
      <w:lang w:val="en-US"/>
      <w14:ligatures w14:val="none"/>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3">
    <w:name w:val="Grid Table 4 Accent 3"/>
    <w:basedOn w:val="TableNormal"/>
    <w:uiPriority w:val="49"/>
    <w:rsid w:val="00870A62"/>
    <w:pPr>
      <w:spacing w:after="0" w:line="240" w:lineRule="auto"/>
    </w:pPr>
    <w:rPr>
      <w:kern w:val="0"/>
      <w:sz w:val="22"/>
      <w:szCs w:val="22"/>
      <w:lang w:val="en-US"/>
      <w14:ligatures w14:val="none"/>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2">
    <w:name w:val="Grid Table 4 Accent 2"/>
    <w:basedOn w:val="TableNormal"/>
    <w:uiPriority w:val="49"/>
    <w:rsid w:val="00870A62"/>
    <w:pPr>
      <w:spacing w:after="0" w:line="240" w:lineRule="auto"/>
    </w:pPr>
    <w:rPr>
      <w:kern w:val="0"/>
      <w:sz w:val="22"/>
      <w:szCs w:val="22"/>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870A62"/>
    <w:pPr>
      <w:spacing w:before="240" w:after="0" w:line="259" w:lineRule="auto"/>
      <w:outlineLvl w:val="9"/>
    </w:pPr>
    <w:rPr>
      <w:sz w:val="32"/>
      <w:szCs w:val="32"/>
    </w:rPr>
  </w:style>
  <w:style w:type="paragraph" w:styleId="TOC1">
    <w:name w:val="toc 1"/>
    <w:basedOn w:val="Normal"/>
    <w:next w:val="Normal"/>
    <w:autoRedefine/>
    <w:uiPriority w:val="39"/>
    <w:unhideWhenUsed/>
    <w:rsid w:val="00870A62"/>
    <w:pPr>
      <w:spacing w:after="100"/>
    </w:pPr>
  </w:style>
  <w:style w:type="paragraph" w:styleId="TOC2">
    <w:name w:val="toc 2"/>
    <w:basedOn w:val="Normal"/>
    <w:next w:val="Normal"/>
    <w:autoRedefine/>
    <w:uiPriority w:val="39"/>
    <w:unhideWhenUsed/>
    <w:rsid w:val="00870A62"/>
    <w:pPr>
      <w:spacing w:after="100"/>
      <w:ind w:left="240"/>
    </w:pPr>
  </w:style>
  <w:style w:type="paragraph" w:styleId="TOC3">
    <w:name w:val="toc 3"/>
    <w:basedOn w:val="Normal"/>
    <w:next w:val="Normal"/>
    <w:autoRedefine/>
    <w:uiPriority w:val="39"/>
    <w:unhideWhenUsed/>
    <w:rsid w:val="00870A62"/>
    <w:pPr>
      <w:spacing w:after="100"/>
      <w:ind w:left="480"/>
    </w:pPr>
  </w:style>
  <w:style w:type="paragraph" w:styleId="NoSpacing">
    <w:name w:val="No Spacing"/>
    <w:link w:val="NoSpacingChar"/>
    <w:uiPriority w:val="1"/>
    <w:qFormat/>
    <w:rsid w:val="00870A6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0A62"/>
    <w:rPr>
      <w:rFonts w:eastAsiaTheme="minorEastAsia"/>
      <w:kern w:val="0"/>
      <w:sz w:val="22"/>
      <w:szCs w:val="22"/>
      <w:lang w:val="en-US"/>
      <w14:ligatures w14:val="none"/>
    </w:rPr>
  </w:style>
  <w:style w:type="paragraph" w:styleId="ListBullet">
    <w:name w:val="List Bullet"/>
    <w:basedOn w:val="Normal"/>
    <w:uiPriority w:val="99"/>
    <w:unhideWhenUsed/>
    <w:rsid w:val="00870A62"/>
    <w:pPr>
      <w:numPr>
        <w:numId w:val="1"/>
      </w:numPr>
      <w:tabs>
        <w:tab w:val="clear" w:pos="360"/>
      </w:tabs>
      <w:ind w:left="0" w:firstLine="0"/>
      <w:contextualSpacing/>
    </w:pPr>
  </w:style>
  <w:style w:type="character" w:customStyle="1" w:styleId="UnresolvedMention1">
    <w:name w:val="Unresolved Mention1"/>
    <w:basedOn w:val="DefaultParagraphFont"/>
    <w:uiPriority w:val="99"/>
    <w:semiHidden/>
    <w:unhideWhenUsed/>
    <w:rsid w:val="00870A62"/>
    <w:rPr>
      <w:color w:val="605E5C"/>
      <w:shd w:val="clear" w:color="auto" w:fill="E1DFDD"/>
    </w:rPr>
  </w:style>
  <w:style w:type="character" w:customStyle="1" w:styleId="UnresolvedMention2">
    <w:name w:val="Unresolved Mention2"/>
    <w:basedOn w:val="DefaultParagraphFont"/>
    <w:uiPriority w:val="99"/>
    <w:semiHidden/>
    <w:unhideWhenUsed/>
    <w:rsid w:val="00870A62"/>
    <w:rPr>
      <w:color w:val="605E5C"/>
      <w:shd w:val="clear" w:color="auto" w:fill="E1DFDD"/>
    </w:rPr>
  </w:style>
  <w:style w:type="paragraph" w:styleId="Revision">
    <w:name w:val="Revision"/>
    <w:hidden/>
    <w:uiPriority w:val="99"/>
    <w:semiHidden/>
    <w:rsid w:val="00870A62"/>
    <w:pPr>
      <w:spacing w:after="0" w:line="240" w:lineRule="auto"/>
    </w:pPr>
    <w:rPr>
      <w:rFonts w:ascii="Times New Roman" w:hAnsi="Times New Roman"/>
      <w:kern w:val="0"/>
      <w:szCs w:val="22"/>
      <w:lang w:val="en-US"/>
      <w14:ligatures w14:val="none"/>
    </w:rPr>
  </w:style>
  <w:style w:type="paragraph" w:styleId="Header">
    <w:name w:val="header"/>
    <w:basedOn w:val="Normal"/>
    <w:link w:val="HeaderChar"/>
    <w:uiPriority w:val="99"/>
    <w:unhideWhenUsed/>
    <w:rsid w:val="00870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A62"/>
    <w:rPr>
      <w:rFonts w:ascii="Times New Roman" w:hAnsi="Times New Roman"/>
      <w:kern w:val="0"/>
      <w:szCs w:val="22"/>
      <w:lang w:val="en-US"/>
      <w14:ligatures w14:val="none"/>
    </w:rPr>
  </w:style>
  <w:style w:type="paragraph" w:styleId="Footer">
    <w:name w:val="footer"/>
    <w:basedOn w:val="Normal"/>
    <w:link w:val="FooterChar"/>
    <w:uiPriority w:val="99"/>
    <w:unhideWhenUsed/>
    <w:rsid w:val="00870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A62"/>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chart" Target="charts/chart4.xml"/><Relationship Id="rId18" Type="http://schemas.openxmlformats.org/officeDocument/2006/relationships/chart" Target="charts/chart7.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hart" Target="charts/chart10.xml"/><Relationship Id="rId7" Type="http://schemas.openxmlformats.org/officeDocument/2006/relationships/chart" Target="charts/chart1.xml"/><Relationship Id="rId12" Type="http://schemas.openxmlformats.org/officeDocument/2006/relationships/image" Target="media/image5.emf"/><Relationship Id="rId17" Type="http://schemas.openxmlformats.org/officeDocument/2006/relationships/chart" Target="charts/chart6.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chart" Target="charts/chart9.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chart" Target="charts/chart3.xml"/><Relationship Id="rId24" Type="http://schemas.openxmlformats.org/officeDocument/2006/relationships/footer" Target="footer1.xml"/><Relationship Id="rId5" Type="http://schemas.openxmlformats.org/officeDocument/2006/relationships/image" Target="media/image1.png"/><Relationship Id="rId15" Type="http://schemas.openxmlformats.org/officeDocument/2006/relationships/chart" Target="charts/chart5.xml"/><Relationship Id="rId23" Type="http://schemas.openxmlformats.org/officeDocument/2006/relationships/chart" Target="charts/chart12.xml"/><Relationship Id="rId10" Type="http://schemas.openxmlformats.org/officeDocument/2006/relationships/image" Target="media/image4.emf"/><Relationship Id="rId19" Type="http://schemas.openxmlformats.org/officeDocument/2006/relationships/chart" Target="charts/chart8.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6.emf"/><Relationship Id="rId22" Type="http://schemas.openxmlformats.org/officeDocument/2006/relationships/chart" Target="charts/chart1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bilal.ahmed\Downloads\Downloads1\Bilal\2026\June%202026\Task%201\Working.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Graph!$B$3</c:f>
              <c:strCache>
                <c:ptCount val="1"/>
                <c:pt idx="0">
                  <c:v>Revenue</c:v>
                </c:pt>
              </c:strCache>
            </c:strRef>
          </c:tx>
          <c:dPt>
            <c:idx val="0"/>
            <c:bubble3D val="0"/>
            <c:spPr>
              <a:solidFill>
                <a:schemeClr val="accent1"/>
              </a:solidFill>
              <a:ln>
                <a:noFill/>
              </a:ln>
              <a:effectLst/>
            </c:spPr>
            <c:extLst>
              <c:ext xmlns:c16="http://schemas.microsoft.com/office/drawing/2014/chart" uri="{C3380CC4-5D6E-409C-BE32-E72D297353CC}">
                <c16:uniqueId val="{00000001-4EC4-DB4E-AD52-520389F7A819}"/>
              </c:ext>
            </c:extLst>
          </c:dPt>
          <c:dPt>
            <c:idx val="1"/>
            <c:bubble3D val="0"/>
            <c:spPr>
              <a:solidFill>
                <a:schemeClr val="accent2"/>
              </a:solidFill>
              <a:ln>
                <a:noFill/>
              </a:ln>
              <a:effectLst/>
            </c:spPr>
            <c:extLst>
              <c:ext xmlns:c16="http://schemas.microsoft.com/office/drawing/2014/chart" uri="{C3380CC4-5D6E-409C-BE32-E72D297353CC}">
                <c16:uniqueId val="{00000003-4EC4-DB4E-AD52-520389F7A819}"/>
              </c:ext>
            </c:extLst>
          </c:dPt>
          <c:dPt>
            <c:idx val="2"/>
            <c:bubble3D val="0"/>
            <c:spPr>
              <a:solidFill>
                <a:schemeClr val="accent3"/>
              </a:solidFill>
              <a:ln>
                <a:noFill/>
              </a:ln>
              <a:effectLst/>
            </c:spPr>
            <c:extLst>
              <c:ext xmlns:c16="http://schemas.microsoft.com/office/drawing/2014/chart" uri="{C3380CC4-5D6E-409C-BE32-E72D297353CC}">
                <c16:uniqueId val="{00000005-4EC4-DB4E-AD52-520389F7A819}"/>
              </c:ext>
            </c:extLst>
          </c:dPt>
          <c:dPt>
            <c:idx val="3"/>
            <c:bubble3D val="0"/>
            <c:spPr>
              <a:solidFill>
                <a:schemeClr val="accent4"/>
              </a:solidFill>
              <a:ln>
                <a:noFill/>
              </a:ln>
              <a:effectLst/>
            </c:spPr>
            <c:extLst>
              <c:ext xmlns:c16="http://schemas.microsoft.com/office/drawing/2014/chart" uri="{C3380CC4-5D6E-409C-BE32-E72D297353CC}">
                <c16:uniqueId val="{00000007-4EC4-DB4E-AD52-520389F7A819}"/>
              </c:ext>
            </c:extLst>
          </c:dPt>
          <c:dPt>
            <c:idx val="4"/>
            <c:bubble3D val="0"/>
            <c:spPr>
              <a:solidFill>
                <a:schemeClr val="accent5"/>
              </a:solidFill>
              <a:ln>
                <a:noFill/>
              </a:ln>
              <a:effectLst/>
            </c:spPr>
            <c:extLst>
              <c:ext xmlns:c16="http://schemas.microsoft.com/office/drawing/2014/chart" uri="{C3380CC4-5D6E-409C-BE32-E72D297353CC}">
                <c16:uniqueId val="{00000009-4EC4-DB4E-AD52-520389F7A81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numRef>
              <c:f>Graph!$C$2:$G$2</c:f>
              <c:numCache>
                <c:formatCode>General</c:formatCode>
                <c:ptCount val="5"/>
                <c:pt idx="0">
                  <c:v>2025</c:v>
                </c:pt>
                <c:pt idx="1">
                  <c:v>2024</c:v>
                </c:pt>
                <c:pt idx="2">
                  <c:v>2023</c:v>
                </c:pt>
                <c:pt idx="3">
                  <c:v>2022</c:v>
                </c:pt>
                <c:pt idx="4">
                  <c:v>2021</c:v>
                </c:pt>
              </c:numCache>
            </c:numRef>
          </c:cat>
          <c:val>
            <c:numRef>
              <c:f>Graph!$C$3:$G$3</c:f>
              <c:numCache>
                <c:formatCode>_(* #,##0_);_(* \(#,##0\);_(* "-"??_);_(@_)</c:formatCode>
                <c:ptCount val="5"/>
                <c:pt idx="0">
                  <c:v>26186</c:v>
                </c:pt>
                <c:pt idx="1">
                  <c:v>25100</c:v>
                </c:pt>
                <c:pt idx="2">
                  <c:v>20773</c:v>
                </c:pt>
                <c:pt idx="3">
                  <c:v>13857</c:v>
                </c:pt>
                <c:pt idx="4">
                  <c:v>10571</c:v>
                </c:pt>
              </c:numCache>
            </c:numRef>
          </c:val>
          <c:extLst>
            <c:ext xmlns:c16="http://schemas.microsoft.com/office/drawing/2014/chart" uri="{C3380CC4-5D6E-409C-BE32-E72D297353CC}">
              <c16:uniqueId val="{0000000A-4EC4-DB4E-AD52-520389F7A819}"/>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Graph!$B$6</c:f>
              <c:strCache>
                <c:ptCount val="1"/>
                <c:pt idx="0">
                  <c:v>Cost of Sales</c:v>
                </c:pt>
              </c:strCache>
            </c:strRef>
          </c:tx>
          <c:dPt>
            <c:idx val="0"/>
            <c:bubble3D val="0"/>
            <c:spPr>
              <a:solidFill>
                <a:schemeClr val="accent1"/>
              </a:solidFill>
              <a:ln>
                <a:noFill/>
              </a:ln>
              <a:effectLst/>
            </c:spPr>
            <c:extLst>
              <c:ext xmlns:c16="http://schemas.microsoft.com/office/drawing/2014/chart" uri="{C3380CC4-5D6E-409C-BE32-E72D297353CC}">
                <c16:uniqueId val="{00000001-3F4B-C144-8494-011297BF79BE}"/>
              </c:ext>
            </c:extLst>
          </c:dPt>
          <c:dPt>
            <c:idx val="1"/>
            <c:bubble3D val="0"/>
            <c:spPr>
              <a:solidFill>
                <a:schemeClr val="accent2"/>
              </a:solidFill>
              <a:ln>
                <a:noFill/>
              </a:ln>
              <a:effectLst/>
            </c:spPr>
            <c:extLst>
              <c:ext xmlns:c16="http://schemas.microsoft.com/office/drawing/2014/chart" uri="{C3380CC4-5D6E-409C-BE32-E72D297353CC}">
                <c16:uniqueId val="{00000003-3F4B-C144-8494-011297BF79BE}"/>
              </c:ext>
            </c:extLst>
          </c:dPt>
          <c:dPt>
            <c:idx val="2"/>
            <c:bubble3D val="0"/>
            <c:spPr>
              <a:solidFill>
                <a:schemeClr val="accent3"/>
              </a:solidFill>
              <a:ln>
                <a:noFill/>
              </a:ln>
              <a:effectLst/>
            </c:spPr>
            <c:extLst>
              <c:ext xmlns:c16="http://schemas.microsoft.com/office/drawing/2014/chart" uri="{C3380CC4-5D6E-409C-BE32-E72D297353CC}">
                <c16:uniqueId val="{00000005-3F4B-C144-8494-011297BF79BE}"/>
              </c:ext>
            </c:extLst>
          </c:dPt>
          <c:dPt>
            <c:idx val="3"/>
            <c:bubble3D val="0"/>
            <c:spPr>
              <a:solidFill>
                <a:schemeClr val="accent4"/>
              </a:solidFill>
              <a:ln>
                <a:noFill/>
              </a:ln>
              <a:effectLst/>
            </c:spPr>
            <c:extLst>
              <c:ext xmlns:c16="http://schemas.microsoft.com/office/drawing/2014/chart" uri="{C3380CC4-5D6E-409C-BE32-E72D297353CC}">
                <c16:uniqueId val="{00000007-3F4B-C144-8494-011297BF79BE}"/>
              </c:ext>
            </c:extLst>
          </c:dPt>
          <c:dPt>
            <c:idx val="4"/>
            <c:bubble3D val="0"/>
            <c:spPr>
              <a:solidFill>
                <a:schemeClr val="accent5"/>
              </a:solidFill>
              <a:ln>
                <a:noFill/>
              </a:ln>
              <a:effectLst/>
            </c:spPr>
            <c:extLst>
              <c:ext xmlns:c16="http://schemas.microsoft.com/office/drawing/2014/chart" uri="{C3380CC4-5D6E-409C-BE32-E72D297353CC}">
                <c16:uniqueId val="{00000009-3F4B-C144-8494-011297BF79B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numRef>
              <c:f>Graph!$C$5:$G$5</c:f>
              <c:numCache>
                <c:formatCode>General</c:formatCode>
                <c:ptCount val="5"/>
                <c:pt idx="0">
                  <c:v>2025</c:v>
                </c:pt>
                <c:pt idx="1">
                  <c:v>2024</c:v>
                </c:pt>
                <c:pt idx="2">
                  <c:v>2023</c:v>
                </c:pt>
                <c:pt idx="3">
                  <c:v>2022</c:v>
                </c:pt>
                <c:pt idx="4">
                  <c:v>2021</c:v>
                </c:pt>
              </c:numCache>
            </c:numRef>
          </c:cat>
          <c:val>
            <c:numRef>
              <c:f>Graph!$C$6:$G$6</c:f>
              <c:numCache>
                <c:formatCode>_(* #,##0_);_(* \(#,##0\);_(* "-"??_);_(@_)</c:formatCode>
                <c:ptCount val="5"/>
                <c:pt idx="0">
                  <c:v>20964</c:v>
                </c:pt>
                <c:pt idx="1">
                  <c:v>20128</c:v>
                </c:pt>
                <c:pt idx="2">
                  <c:v>18733</c:v>
                </c:pt>
                <c:pt idx="3">
                  <c:v>16215</c:v>
                </c:pt>
                <c:pt idx="4">
                  <c:v>11056</c:v>
                </c:pt>
              </c:numCache>
            </c:numRef>
          </c:val>
          <c:extLst>
            <c:ext xmlns:c16="http://schemas.microsoft.com/office/drawing/2014/chart" uri="{C3380CC4-5D6E-409C-BE32-E72D297353CC}">
              <c16:uniqueId val="{0000000A-3F4B-C144-8494-011297BF79BE}"/>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Graph!$B$9</c:f>
              <c:strCache>
                <c:ptCount val="1"/>
                <c:pt idx="0">
                  <c:v>Net Profit </c:v>
                </c:pt>
              </c:strCache>
            </c:strRef>
          </c:tx>
          <c:dPt>
            <c:idx val="0"/>
            <c:bubble3D val="0"/>
            <c:spPr>
              <a:solidFill>
                <a:schemeClr val="accent1"/>
              </a:solidFill>
              <a:ln>
                <a:noFill/>
              </a:ln>
              <a:effectLst/>
            </c:spPr>
            <c:extLst>
              <c:ext xmlns:c16="http://schemas.microsoft.com/office/drawing/2014/chart" uri="{C3380CC4-5D6E-409C-BE32-E72D297353CC}">
                <c16:uniqueId val="{00000001-5D3C-4D49-8B96-00337B9A395D}"/>
              </c:ext>
            </c:extLst>
          </c:dPt>
          <c:dPt>
            <c:idx val="1"/>
            <c:bubble3D val="0"/>
            <c:spPr>
              <a:solidFill>
                <a:schemeClr val="accent2"/>
              </a:solidFill>
              <a:ln>
                <a:noFill/>
              </a:ln>
              <a:effectLst/>
            </c:spPr>
            <c:extLst>
              <c:ext xmlns:c16="http://schemas.microsoft.com/office/drawing/2014/chart" uri="{C3380CC4-5D6E-409C-BE32-E72D297353CC}">
                <c16:uniqueId val="{00000003-5D3C-4D49-8B96-00337B9A395D}"/>
              </c:ext>
            </c:extLst>
          </c:dPt>
          <c:dPt>
            <c:idx val="2"/>
            <c:bubble3D val="0"/>
            <c:spPr>
              <a:solidFill>
                <a:schemeClr val="accent3"/>
              </a:solidFill>
              <a:ln>
                <a:noFill/>
              </a:ln>
              <a:effectLst/>
            </c:spPr>
            <c:extLst>
              <c:ext xmlns:c16="http://schemas.microsoft.com/office/drawing/2014/chart" uri="{C3380CC4-5D6E-409C-BE32-E72D297353CC}">
                <c16:uniqueId val="{00000005-5D3C-4D49-8B96-00337B9A395D}"/>
              </c:ext>
            </c:extLst>
          </c:dPt>
          <c:dPt>
            <c:idx val="3"/>
            <c:bubble3D val="0"/>
            <c:spPr>
              <a:solidFill>
                <a:schemeClr val="accent4"/>
              </a:solidFill>
              <a:ln>
                <a:noFill/>
              </a:ln>
              <a:effectLst/>
            </c:spPr>
            <c:extLst>
              <c:ext xmlns:c16="http://schemas.microsoft.com/office/drawing/2014/chart" uri="{C3380CC4-5D6E-409C-BE32-E72D297353CC}">
                <c16:uniqueId val="{00000007-5D3C-4D49-8B96-00337B9A395D}"/>
              </c:ext>
            </c:extLst>
          </c:dPt>
          <c:dPt>
            <c:idx val="4"/>
            <c:bubble3D val="0"/>
            <c:spPr>
              <a:solidFill>
                <a:schemeClr val="accent5"/>
              </a:solidFill>
              <a:ln>
                <a:noFill/>
              </a:ln>
              <a:effectLst/>
            </c:spPr>
            <c:extLst>
              <c:ext xmlns:c16="http://schemas.microsoft.com/office/drawing/2014/chart" uri="{C3380CC4-5D6E-409C-BE32-E72D297353CC}">
                <c16:uniqueId val="{00000009-5D3C-4D49-8B96-00337B9A395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numRef>
              <c:f>Graph!$C$8:$G$8</c:f>
              <c:numCache>
                <c:formatCode>General</c:formatCode>
                <c:ptCount val="5"/>
                <c:pt idx="0">
                  <c:v>2025</c:v>
                </c:pt>
                <c:pt idx="1">
                  <c:v>2024</c:v>
                </c:pt>
                <c:pt idx="2">
                  <c:v>2023</c:v>
                </c:pt>
                <c:pt idx="3">
                  <c:v>2022</c:v>
                </c:pt>
                <c:pt idx="4">
                  <c:v>2021</c:v>
                </c:pt>
              </c:numCache>
            </c:numRef>
          </c:cat>
          <c:val>
            <c:numRef>
              <c:f>Graph!$C$9:$G$9</c:f>
              <c:numCache>
                <c:formatCode>_(* #,##0_);_(* \(#,##0\);_(* "-"??_);_(@_)</c:formatCode>
                <c:ptCount val="5"/>
                <c:pt idx="0">
                  <c:v>2601</c:v>
                </c:pt>
                <c:pt idx="1">
                  <c:v>2375</c:v>
                </c:pt>
                <c:pt idx="2">
                  <c:v>3083</c:v>
                </c:pt>
                <c:pt idx="3">
                  <c:v>2358</c:v>
                </c:pt>
                <c:pt idx="4">
                  <c:v>1099</c:v>
                </c:pt>
              </c:numCache>
            </c:numRef>
          </c:val>
          <c:extLst>
            <c:ext xmlns:c16="http://schemas.microsoft.com/office/drawing/2014/chart" uri="{C3380CC4-5D6E-409C-BE32-E72D297353CC}">
              <c16:uniqueId val="{0000000A-5D3C-4D49-8B96-00337B9A395D}"/>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Graph!$B$12</c:f>
              <c:strCache>
                <c:ptCount val="1"/>
                <c:pt idx="0">
                  <c:v>Total Asset</c:v>
                </c:pt>
              </c:strCache>
            </c:strRef>
          </c:tx>
          <c:dPt>
            <c:idx val="0"/>
            <c:bubble3D val="0"/>
            <c:spPr>
              <a:solidFill>
                <a:schemeClr val="accent1"/>
              </a:solidFill>
              <a:ln>
                <a:noFill/>
              </a:ln>
              <a:effectLst/>
            </c:spPr>
            <c:extLst>
              <c:ext xmlns:c16="http://schemas.microsoft.com/office/drawing/2014/chart" uri="{C3380CC4-5D6E-409C-BE32-E72D297353CC}">
                <c16:uniqueId val="{00000001-A4A2-C245-ADBD-5231AA06B07B}"/>
              </c:ext>
            </c:extLst>
          </c:dPt>
          <c:dPt>
            <c:idx val="1"/>
            <c:bubble3D val="0"/>
            <c:spPr>
              <a:solidFill>
                <a:schemeClr val="accent2"/>
              </a:solidFill>
              <a:ln>
                <a:noFill/>
              </a:ln>
              <a:effectLst/>
            </c:spPr>
            <c:extLst>
              <c:ext xmlns:c16="http://schemas.microsoft.com/office/drawing/2014/chart" uri="{C3380CC4-5D6E-409C-BE32-E72D297353CC}">
                <c16:uniqueId val="{00000003-A4A2-C245-ADBD-5231AA06B07B}"/>
              </c:ext>
            </c:extLst>
          </c:dPt>
          <c:dPt>
            <c:idx val="2"/>
            <c:bubble3D val="0"/>
            <c:spPr>
              <a:solidFill>
                <a:schemeClr val="accent3"/>
              </a:solidFill>
              <a:ln>
                <a:noFill/>
              </a:ln>
              <a:effectLst/>
            </c:spPr>
            <c:extLst>
              <c:ext xmlns:c16="http://schemas.microsoft.com/office/drawing/2014/chart" uri="{C3380CC4-5D6E-409C-BE32-E72D297353CC}">
                <c16:uniqueId val="{00000005-A4A2-C245-ADBD-5231AA06B07B}"/>
              </c:ext>
            </c:extLst>
          </c:dPt>
          <c:dPt>
            <c:idx val="3"/>
            <c:bubble3D val="0"/>
            <c:spPr>
              <a:solidFill>
                <a:schemeClr val="accent4"/>
              </a:solidFill>
              <a:ln>
                <a:noFill/>
              </a:ln>
              <a:effectLst/>
            </c:spPr>
            <c:extLst>
              <c:ext xmlns:c16="http://schemas.microsoft.com/office/drawing/2014/chart" uri="{C3380CC4-5D6E-409C-BE32-E72D297353CC}">
                <c16:uniqueId val="{00000007-A4A2-C245-ADBD-5231AA06B07B}"/>
              </c:ext>
            </c:extLst>
          </c:dPt>
          <c:dPt>
            <c:idx val="4"/>
            <c:bubble3D val="0"/>
            <c:spPr>
              <a:solidFill>
                <a:schemeClr val="accent5"/>
              </a:solidFill>
              <a:ln>
                <a:noFill/>
              </a:ln>
              <a:effectLst/>
            </c:spPr>
            <c:extLst>
              <c:ext xmlns:c16="http://schemas.microsoft.com/office/drawing/2014/chart" uri="{C3380CC4-5D6E-409C-BE32-E72D297353CC}">
                <c16:uniqueId val="{00000009-A4A2-C245-ADBD-5231AA06B07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numRef>
              <c:f>Graph!$C$11:$G$11</c:f>
              <c:numCache>
                <c:formatCode>General</c:formatCode>
                <c:ptCount val="5"/>
                <c:pt idx="0">
                  <c:v>2025</c:v>
                </c:pt>
                <c:pt idx="1">
                  <c:v>2024</c:v>
                </c:pt>
                <c:pt idx="2">
                  <c:v>2023</c:v>
                </c:pt>
                <c:pt idx="3">
                  <c:v>2022</c:v>
                </c:pt>
                <c:pt idx="4">
                  <c:v>2021</c:v>
                </c:pt>
              </c:numCache>
            </c:numRef>
          </c:cat>
          <c:val>
            <c:numRef>
              <c:f>Graph!$C$12:$G$12</c:f>
              <c:numCache>
                <c:formatCode>_(* #,##0_);_(* \(#,##0\);_(* "-"??_);_(@_)</c:formatCode>
                <c:ptCount val="5"/>
                <c:pt idx="0">
                  <c:v>27540</c:v>
                </c:pt>
                <c:pt idx="1">
                  <c:v>26182</c:v>
                </c:pt>
                <c:pt idx="2">
                  <c:v>25674</c:v>
                </c:pt>
                <c:pt idx="3">
                  <c:v>24815</c:v>
                </c:pt>
                <c:pt idx="4">
                  <c:v>25553</c:v>
                </c:pt>
              </c:numCache>
            </c:numRef>
          </c:val>
          <c:extLst>
            <c:ext xmlns:c16="http://schemas.microsoft.com/office/drawing/2014/chart" uri="{C3380CC4-5D6E-409C-BE32-E72D297353CC}">
              <c16:uniqueId val="{0000000A-A4A2-C245-ADBD-5231AA06B07B}"/>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Graph!$B$15</c:f>
              <c:strCache>
                <c:ptCount val="1"/>
                <c:pt idx="0">
                  <c:v>Total Liabilities</c:v>
                </c:pt>
              </c:strCache>
            </c:strRef>
          </c:tx>
          <c:dPt>
            <c:idx val="0"/>
            <c:bubble3D val="0"/>
            <c:spPr>
              <a:solidFill>
                <a:schemeClr val="accent1"/>
              </a:solidFill>
              <a:ln>
                <a:noFill/>
              </a:ln>
              <a:effectLst/>
            </c:spPr>
            <c:extLst>
              <c:ext xmlns:c16="http://schemas.microsoft.com/office/drawing/2014/chart" uri="{C3380CC4-5D6E-409C-BE32-E72D297353CC}">
                <c16:uniqueId val="{00000001-E63D-2E47-8B56-40731B9A0136}"/>
              </c:ext>
            </c:extLst>
          </c:dPt>
          <c:dPt>
            <c:idx val="1"/>
            <c:bubble3D val="0"/>
            <c:spPr>
              <a:solidFill>
                <a:schemeClr val="accent2"/>
              </a:solidFill>
              <a:ln>
                <a:noFill/>
              </a:ln>
              <a:effectLst/>
            </c:spPr>
            <c:extLst>
              <c:ext xmlns:c16="http://schemas.microsoft.com/office/drawing/2014/chart" uri="{C3380CC4-5D6E-409C-BE32-E72D297353CC}">
                <c16:uniqueId val="{00000003-E63D-2E47-8B56-40731B9A0136}"/>
              </c:ext>
            </c:extLst>
          </c:dPt>
          <c:dPt>
            <c:idx val="2"/>
            <c:bubble3D val="0"/>
            <c:spPr>
              <a:solidFill>
                <a:schemeClr val="accent3"/>
              </a:solidFill>
              <a:ln>
                <a:noFill/>
              </a:ln>
              <a:effectLst/>
            </c:spPr>
            <c:extLst>
              <c:ext xmlns:c16="http://schemas.microsoft.com/office/drawing/2014/chart" uri="{C3380CC4-5D6E-409C-BE32-E72D297353CC}">
                <c16:uniqueId val="{00000005-E63D-2E47-8B56-40731B9A0136}"/>
              </c:ext>
            </c:extLst>
          </c:dPt>
          <c:dPt>
            <c:idx val="3"/>
            <c:bubble3D val="0"/>
            <c:spPr>
              <a:solidFill>
                <a:schemeClr val="accent4"/>
              </a:solidFill>
              <a:ln>
                <a:noFill/>
              </a:ln>
              <a:effectLst/>
            </c:spPr>
            <c:extLst>
              <c:ext xmlns:c16="http://schemas.microsoft.com/office/drawing/2014/chart" uri="{C3380CC4-5D6E-409C-BE32-E72D297353CC}">
                <c16:uniqueId val="{00000007-E63D-2E47-8B56-40731B9A0136}"/>
              </c:ext>
            </c:extLst>
          </c:dPt>
          <c:dPt>
            <c:idx val="4"/>
            <c:bubble3D val="0"/>
            <c:spPr>
              <a:solidFill>
                <a:schemeClr val="accent5"/>
              </a:solidFill>
              <a:ln>
                <a:noFill/>
              </a:ln>
              <a:effectLst/>
            </c:spPr>
            <c:extLst>
              <c:ext xmlns:c16="http://schemas.microsoft.com/office/drawing/2014/chart" uri="{C3380CC4-5D6E-409C-BE32-E72D297353CC}">
                <c16:uniqueId val="{00000009-E63D-2E47-8B56-40731B9A013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numRef>
              <c:f>Graph!$C$14:$G$14</c:f>
              <c:numCache>
                <c:formatCode>General</c:formatCode>
                <c:ptCount val="5"/>
                <c:pt idx="0">
                  <c:v>2025</c:v>
                </c:pt>
                <c:pt idx="1">
                  <c:v>2024</c:v>
                </c:pt>
                <c:pt idx="2">
                  <c:v>2023</c:v>
                </c:pt>
                <c:pt idx="3">
                  <c:v>2022</c:v>
                </c:pt>
                <c:pt idx="4">
                  <c:v>2021</c:v>
                </c:pt>
              </c:numCache>
            </c:numRef>
          </c:cat>
          <c:val>
            <c:numRef>
              <c:f>Graph!$C$15:$G$15</c:f>
              <c:numCache>
                <c:formatCode>_(* #,##0_);_(* \(#,##0\);_(* "-"??_);_(@_)</c:formatCode>
                <c:ptCount val="5"/>
                <c:pt idx="0">
                  <c:v>31311</c:v>
                </c:pt>
                <c:pt idx="1">
                  <c:v>29174</c:v>
                </c:pt>
                <c:pt idx="2">
                  <c:v>26356</c:v>
                </c:pt>
                <c:pt idx="3">
                  <c:v>24247</c:v>
                </c:pt>
                <c:pt idx="4">
                  <c:v>24139</c:v>
                </c:pt>
              </c:numCache>
            </c:numRef>
          </c:val>
          <c:extLst>
            <c:ext xmlns:c16="http://schemas.microsoft.com/office/drawing/2014/chart" uri="{C3380CC4-5D6E-409C-BE32-E72D297353CC}">
              <c16:uniqueId val="{0000000A-E63D-2E47-8B56-40731B9A0136}"/>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Graph!$B$18</c:f>
              <c:strCache>
                <c:ptCount val="1"/>
                <c:pt idx="0">
                  <c:v>Total Equities</c:v>
                </c:pt>
              </c:strCache>
            </c:strRef>
          </c:tx>
          <c:dPt>
            <c:idx val="0"/>
            <c:bubble3D val="0"/>
            <c:spPr>
              <a:solidFill>
                <a:schemeClr val="accent1"/>
              </a:solidFill>
              <a:ln>
                <a:noFill/>
              </a:ln>
              <a:effectLst/>
            </c:spPr>
            <c:extLst>
              <c:ext xmlns:c16="http://schemas.microsoft.com/office/drawing/2014/chart" uri="{C3380CC4-5D6E-409C-BE32-E72D297353CC}">
                <c16:uniqueId val="{00000001-F926-F244-8C4C-E18F8944A776}"/>
              </c:ext>
            </c:extLst>
          </c:dPt>
          <c:dPt>
            <c:idx val="1"/>
            <c:bubble3D val="0"/>
            <c:spPr>
              <a:solidFill>
                <a:schemeClr val="accent2"/>
              </a:solidFill>
              <a:ln>
                <a:noFill/>
              </a:ln>
              <a:effectLst/>
            </c:spPr>
            <c:extLst>
              <c:ext xmlns:c16="http://schemas.microsoft.com/office/drawing/2014/chart" uri="{C3380CC4-5D6E-409C-BE32-E72D297353CC}">
                <c16:uniqueId val="{00000003-F926-F244-8C4C-E18F8944A776}"/>
              </c:ext>
            </c:extLst>
          </c:dPt>
          <c:dPt>
            <c:idx val="2"/>
            <c:bubble3D val="0"/>
            <c:spPr>
              <a:solidFill>
                <a:schemeClr val="accent3"/>
              </a:solidFill>
              <a:ln>
                <a:noFill/>
              </a:ln>
              <a:effectLst/>
            </c:spPr>
            <c:extLst>
              <c:ext xmlns:c16="http://schemas.microsoft.com/office/drawing/2014/chart" uri="{C3380CC4-5D6E-409C-BE32-E72D297353CC}">
                <c16:uniqueId val="{00000005-F926-F244-8C4C-E18F8944A776}"/>
              </c:ext>
            </c:extLst>
          </c:dPt>
          <c:dPt>
            <c:idx val="3"/>
            <c:bubble3D val="0"/>
            <c:spPr>
              <a:solidFill>
                <a:schemeClr val="accent4"/>
              </a:solidFill>
              <a:ln>
                <a:noFill/>
              </a:ln>
              <a:effectLst/>
            </c:spPr>
            <c:extLst>
              <c:ext xmlns:c16="http://schemas.microsoft.com/office/drawing/2014/chart" uri="{C3380CC4-5D6E-409C-BE32-E72D297353CC}">
                <c16:uniqueId val="{00000007-F926-F244-8C4C-E18F8944A776}"/>
              </c:ext>
            </c:extLst>
          </c:dPt>
          <c:dPt>
            <c:idx val="4"/>
            <c:bubble3D val="0"/>
            <c:spPr>
              <a:solidFill>
                <a:schemeClr val="accent5"/>
              </a:solidFill>
              <a:ln>
                <a:noFill/>
              </a:ln>
              <a:effectLst/>
            </c:spPr>
            <c:extLst>
              <c:ext xmlns:c16="http://schemas.microsoft.com/office/drawing/2014/chart" uri="{C3380CC4-5D6E-409C-BE32-E72D297353CC}">
                <c16:uniqueId val="{00000009-F926-F244-8C4C-E18F8944A77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numRef>
              <c:f>Graph!$C$17:$G$17</c:f>
              <c:numCache>
                <c:formatCode>General</c:formatCode>
                <c:ptCount val="5"/>
                <c:pt idx="0">
                  <c:v>2025</c:v>
                </c:pt>
                <c:pt idx="1">
                  <c:v>2024</c:v>
                </c:pt>
                <c:pt idx="2">
                  <c:v>2023</c:v>
                </c:pt>
                <c:pt idx="3">
                  <c:v>2022</c:v>
                </c:pt>
                <c:pt idx="4">
                  <c:v>2021</c:v>
                </c:pt>
              </c:numCache>
            </c:numRef>
          </c:cat>
          <c:val>
            <c:numRef>
              <c:f>Graph!$C$18:$G$18</c:f>
              <c:numCache>
                <c:formatCode>_(* #,##0_);_(* \(#,##0\);_(* "-"??_);_(@_)</c:formatCode>
                <c:ptCount val="5"/>
                <c:pt idx="0">
                  <c:v>-3771</c:v>
                </c:pt>
                <c:pt idx="1">
                  <c:v>-2992</c:v>
                </c:pt>
                <c:pt idx="2">
                  <c:v>-682</c:v>
                </c:pt>
                <c:pt idx="3">
                  <c:v>568</c:v>
                </c:pt>
                <c:pt idx="4">
                  <c:v>1414</c:v>
                </c:pt>
              </c:numCache>
            </c:numRef>
          </c:val>
          <c:extLst>
            <c:ext xmlns:c16="http://schemas.microsoft.com/office/drawing/2014/chart" uri="{C3380CC4-5D6E-409C-BE32-E72D297353CC}">
              <c16:uniqueId val="{0000000A-F926-F244-8C4C-E18F8944A776}"/>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Graph!$B$54</c:f>
              <c:strCache>
                <c:ptCount val="1"/>
                <c:pt idx="0">
                  <c:v>Current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Graph!$C$53:$G$53</c:f>
              <c:numCache>
                <c:formatCode>General</c:formatCode>
                <c:ptCount val="5"/>
                <c:pt idx="0">
                  <c:v>2025</c:v>
                </c:pt>
                <c:pt idx="1">
                  <c:v>2024</c:v>
                </c:pt>
                <c:pt idx="2">
                  <c:v>2023</c:v>
                </c:pt>
                <c:pt idx="3">
                  <c:v>2022</c:v>
                </c:pt>
                <c:pt idx="4">
                  <c:v>2021</c:v>
                </c:pt>
              </c:numCache>
            </c:numRef>
          </c:cat>
          <c:val>
            <c:numRef>
              <c:f>Graph!$C$54:$G$54</c:f>
              <c:numCache>
                <c:formatCode>_(* #,##0.00_);_(* \(#,##0.00\);_(* "-"??_);_(@_)</c:formatCode>
                <c:ptCount val="5"/>
                <c:pt idx="0">
                  <c:v>0.43</c:v>
                </c:pt>
                <c:pt idx="1">
                  <c:v>0.4</c:v>
                </c:pt>
                <c:pt idx="2">
                  <c:v>0.43</c:v>
                </c:pt>
                <c:pt idx="3">
                  <c:v>0.45</c:v>
                </c:pt>
                <c:pt idx="4">
                  <c:v>0.56999999999999995</c:v>
                </c:pt>
              </c:numCache>
            </c:numRef>
          </c:val>
          <c:extLst>
            <c:ext xmlns:c16="http://schemas.microsoft.com/office/drawing/2014/chart" uri="{C3380CC4-5D6E-409C-BE32-E72D297353CC}">
              <c16:uniqueId val="{00000000-FE39-FF45-AC13-3A7BB3AD014C}"/>
            </c:ext>
          </c:extLst>
        </c:ser>
        <c:dLbls>
          <c:showLegendKey val="0"/>
          <c:showVal val="0"/>
          <c:showCatName val="0"/>
          <c:showSerName val="0"/>
          <c:showPercent val="0"/>
          <c:showBubbleSize val="0"/>
        </c:dLbls>
        <c:gapWidth val="219"/>
        <c:overlap val="-27"/>
        <c:axId val="2009478784"/>
        <c:axId val="2009454784"/>
      </c:barChart>
      <c:catAx>
        <c:axId val="200947878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9454784"/>
        <c:crosses val="autoZero"/>
        <c:auto val="1"/>
        <c:lblAlgn val="ctr"/>
        <c:lblOffset val="100"/>
        <c:noMultiLvlLbl val="0"/>
      </c:catAx>
      <c:valAx>
        <c:axId val="2009454784"/>
        <c:scaling>
          <c:orientation val="minMax"/>
        </c:scaling>
        <c:delete val="0"/>
        <c:axPos val="l"/>
        <c:majorGridlines>
          <c:spPr>
            <a:ln w="9525">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94787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Graph!$B$63</c:f>
              <c:strCache>
                <c:ptCount val="1"/>
                <c:pt idx="0">
                  <c:v>Debt to equity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Graph!$C$62:$G$62</c:f>
              <c:numCache>
                <c:formatCode>General</c:formatCode>
                <c:ptCount val="5"/>
                <c:pt idx="0">
                  <c:v>2025</c:v>
                </c:pt>
                <c:pt idx="1">
                  <c:v>2024</c:v>
                </c:pt>
                <c:pt idx="2">
                  <c:v>2023</c:v>
                </c:pt>
                <c:pt idx="3">
                  <c:v>2022</c:v>
                </c:pt>
                <c:pt idx="4">
                  <c:v>2021</c:v>
                </c:pt>
              </c:numCache>
            </c:numRef>
          </c:cat>
          <c:val>
            <c:numRef>
              <c:f>Graph!$C$63:$G$63</c:f>
              <c:numCache>
                <c:formatCode>0%</c:formatCode>
                <c:ptCount val="5"/>
                <c:pt idx="0">
                  <c:v>-8.3000000000000007</c:v>
                </c:pt>
                <c:pt idx="1">
                  <c:v>-9.7509999999999994</c:v>
                </c:pt>
                <c:pt idx="2">
                  <c:v>-38.645000000000003</c:v>
                </c:pt>
                <c:pt idx="3">
                  <c:v>42.688000000000002</c:v>
                </c:pt>
                <c:pt idx="4">
                  <c:v>17.071000000000002</c:v>
                </c:pt>
              </c:numCache>
            </c:numRef>
          </c:val>
          <c:extLst>
            <c:ext xmlns:c16="http://schemas.microsoft.com/office/drawing/2014/chart" uri="{C3380CC4-5D6E-409C-BE32-E72D297353CC}">
              <c16:uniqueId val="{00000000-5453-4540-AB90-E19BA7DA7DC9}"/>
            </c:ext>
          </c:extLst>
        </c:ser>
        <c:dLbls>
          <c:showLegendKey val="0"/>
          <c:showVal val="0"/>
          <c:showCatName val="0"/>
          <c:showSerName val="0"/>
          <c:showPercent val="0"/>
          <c:showBubbleSize val="0"/>
        </c:dLbls>
        <c:gapWidth val="219"/>
        <c:overlap val="-27"/>
        <c:axId val="1870193456"/>
        <c:axId val="1870166576"/>
      </c:barChart>
      <c:catAx>
        <c:axId val="187019345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166576"/>
        <c:crosses val="autoZero"/>
        <c:auto val="1"/>
        <c:lblAlgn val="ctr"/>
        <c:lblOffset val="100"/>
        <c:noMultiLvlLbl val="0"/>
      </c:catAx>
      <c:valAx>
        <c:axId val="1870166576"/>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1934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Graph!$B$64</c:f>
              <c:strCache>
                <c:ptCount val="1"/>
                <c:pt idx="0">
                  <c:v>Interest Coverage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Graph!$C$62:$G$62</c:f>
              <c:numCache>
                <c:formatCode>General</c:formatCode>
                <c:ptCount val="5"/>
                <c:pt idx="0">
                  <c:v>2025</c:v>
                </c:pt>
                <c:pt idx="1">
                  <c:v>2024</c:v>
                </c:pt>
                <c:pt idx="2">
                  <c:v>2023</c:v>
                </c:pt>
                <c:pt idx="3">
                  <c:v>2022</c:v>
                </c:pt>
                <c:pt idx="4">
                  <c:v>2021</c:v>
                </c:pt>
              </c:numCache>
            </c:numRef>
          </c:cat>
          <c:val>
            <c:numRef>
              <c:f>Graph!$C$64:$G$64</c:f>
              <c:numCache>
                <c:formatCode>_(* #,##0.00_);_(* \(#,##0.00\);_(* "-"??_);_(@_)</c:formatCode>
                <c:ptCount val="5"/>
                <c:pt idx="0">
                  <c:v>5.12</c:v>
                </c:pt>
                <c:pt idx="1">
                  <c:v>5.42</c:v>
                </c:pt>
                <c:pt idx="2">
                  <c:v>6.84</c:v>
                </c:pt>
                <c:pt idx="3">
                  <c:v>8.59</c:v>
                </c:pt>
                <c:pt idx="4">
                  <c:v>4.17</c:v>
                </c:pt>
              </c:numCache>
            </c:numRef>
          </c:val>
          <c:extLst>
            <c:ext xmlns:c16="http://schemas.microsoft.com/office/drawing/2014/chart" uri="{C3380CC4-5D6E-409C-BE32-E72D297353CC}">
              <c16:uniqueId val="{00000000-BC42-8C40-ADB9-845FF6999236}"/>
            </c:ext>
          </c:extLst>
        </c:ser>
        <c:dLbls>
          <c:showLegendKey val="0"/>
          <c:showVal val="0"/>
          <c:showCatName val="0"/>
          <c:showSerName val="0"/>
          <c:showPercent val="0"/>
          <c:showBubbleSize val="0"/>
        </c:dLbls>
        <c:gapWidth val="219"/>
        <c:overlap val="-27"/>
        <c:axId val="2043353648"/>
        <c:axId val="2043357488"/>
      </c:barChart>
      <c:catAx>
        <c:axId val="204335364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57488"/>
        <c:crosses val="autoZero"/>
        <c:auto val="1"/>
        <c:lblAlgn val="ctr"/>
        <c:lblOffset val="100"/>
        <c:noMultiLvlLbl val="0"/>
      </c:catAx>
      <c:valAx>
        <c:axId val="2043357488"/>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536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Graph!$B$48</c:f>
              <c:strCache>
                <c:ptCount val="1"/>
                <c:pt idx="0">
                  <c:v>Net 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Graph!$C$47:$G$47</c:f>
              <c:numCache>
                <c:formatCode>General</c:formatCode>
                <c:ptCount val="5"/>
                <c:pt idx="0">
                  <c:v>2025</c:v>
                </c:pt>
                <c:pt idx="1">
                  <c:v>2024</c:v>
                </c:pt>
                <c:pt idx="2">
                  <c:v>2023</c:v>
                </c:pt>
                <c:pt idx="3">
                  <c:v>2022</c:v>
                </c:pt>
                <c:pt idx="4">
                  <c:v>2021</c:v>
                </c:pt>
              </c:numCache>
            </c:numRef>
          </c:cat>
          <c:val>
            <c:numRef>
              <c:f>Graph!$C$48:$G$48</c:f>
              <c:numCache>
                <c:formatCode>0.0%</c:formatCode>
                <c:ptCount val="5"/>
                <c:pt idx="0">
                  <c:v>9.9000000000000005E-2</c:v>
                </c:pt>
                <c:pt idx="1">
                  <c:v>9.5000000000000001E-2</c:v>
                </c:pt>
                <c:pt idx="2" formatCode="0.00%">
                  <c:v>0.14799999999999999</c:v>
                </c:pt>
                <c:pt idx="3" formatCode="0.00%">
                  <c:v>0.17</c:v>
                </c:pt>
                <c:pt idx="4" formatCode="0.00%">
                  <c:v>0.104</c:v>
                </c:pt>
              </c:numCache>
            </c:numRef>
          </c:val>
          <c:extLst>
            <c:ext xmlns:c16="http://schemas.microsoft.com/office/drawing/2014/chart" uri="{C3380CC4-5D6E-409C-BE32-E72D297353CC}">
              <c16:uniqueId val="{00000000-AE2B-6E4D-9AC0-6F4C16BD3AA5}"/>
            </c:ext>
          </c:extLst>
        </c:ser>
        <c:ser>
          <c:idx val="1"/>
          <c:order val="1"/>
          <c:tx>
            <c:strRef>
              <c:f>Graph!$B$49</c:f>
              <c:strCache>
                <c:ptCount val="1"/>
                <c:pt idx="0">
                  <c:v>Operating Profit Margin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Graph!$C$47:$G$47</c:f>
              <c:numCache>
                <c:formatCode>General</c:formatCode>
                <c:ptCount val="5"/>
                <c:pt idx="0">
                  <c:v>2025</c:v>
                </c:pt>
                <c:pt idx="1">
                  <c:v>2024</c:v>
                </c:pt>
                <c:pt idx="2">
                  <c:v>2023</c:v>
                </c:pt>
                <c:pt idx="3">
                  <c:v>2022</c:v>
                </c:pt>
                <c:pt idx="4">
                  <c:v>2021</c:v>
                </c:pt>
              </c:numCache>
            </c:numRef>
          </c:cat>
          <c:val>
            <c:numRef>
              <c:f>Graph!$C$49:$G$49</c:f>
              <c:numCache>
                <c:formatCode>0.0%</c:formatCode>
                <c:ptCount val="5"/>
                <c:pt idx="0">
                  <c:v>0.15</c:v>
                </c:pt>
                <c:pt idx="1">
                  <c:v>0.15</c:v>
                </c:pt>
                <c:pt idx="2" formatCode="0.00%">
                  <c:v>0.186</c:v>
                </c:pt>
                <c:pt idx="3" formatCode="0.00%">
                  <c:v>0.25</c:v>
                </c:pt>
                <c:pt idx="4" formatCode="0.00%">
                  <c:v>0.16600000000000001</c:v>
                </c:pt>
              </c:numCache>
            </c:numRef>
          </c:val>
          <c:extLst>
            <c:ext xmlns:c16="http://schemas.microsoft.com/office/drawing/2014/chart" uri="{C3380CC4-5D6E-409C-BE32-E72D297353CC}">
              <c16:uniqueId val="{00000001-AE2B-6E4D-9AC0-6F4C16BD3AA5}"/>
            </c:ext>
          </c:extLst>
        </c:ser>
        <c:ser>
          <c:idx val="2"/>
          <c:order val="2"/>
          <c:tx>
            <c:strRef>
              <c:f>Graph!$B$50</c:f>
              <c:strCache>
                <c:ptCount val="1"/>
                <c:pt idx="0">
                  <c:v>ROA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Graph!$C$47:$G$47</c:f>
              <c:numCache>
                <c:formatCode>General</c:formatCode>
                <c:ptCount val="5"/>
                <c:pt idx="0">
                  <c:v>2025</c:v>
                </c:pt>
                <c:pt idx="1">
                  <c:v>2024</c:v>
                </c:pt>
                <c:pt idx="2">
                  <c:v>2023</c:v>
                </c:pt>
                <c:pt idx="3">
                  <c:v>2022</c:v>
                </c:pt>
                <c:pt idx="4">
                  <c:v>2021</c:v>
                </c:pt>
              </c:numCache>
            </c:numRef>
          </c:cat>
          <c:val>
            <c:numRef>
              <c:f>Graph!$C$50:$G$50</c:f>
              <c:numCache>
                <c:formatCode>0.0%</c:formatCode>
                <c:ptCount val="5"/>
                <c:pt idx="0">
                  <c:v>9.4E-2</c:v>
                </c:pt>
                <c:pt idx="1">
                  <c:v>9.0999999999999998E-2</c:v>
                </c:pt>
                <c:pt idx="2" formatCode="0.00%">
                  <c:v>0.12</c:v>
                </c:pt>
                <c:pt idx="3" formatCode="0.00%">
                  <c:v>9.5000000000000001E-2</c:v>
                </c:pt>
                <c:pt idx="4" formatCode="0.00%">
                  <c:v>4.2999999999999997E-2</c:v>
                </c:pt>
              </c:numCache>
            </c:numRef>
          </c:val>
          <c:extLst>
            <c:ext xmlns:c16="http://schemas.microsoft.com/office/drawing/2014/chart" uri="{C3380CC4-5D6E-409C-BE32-E72D297353CC}">
              <c16:uniqueId val="{00000002-AE2B-6E4D-9AC0-6F4C16BD3AA5}"/>
            </c:ext>
          </c:extLst>
        </c:ser>
        <c:ser>
          <c:idx val="3"/>
          <c:order val="3"/>
          <c:tx>
            <c:strRef>
              <c:f>Graph!$B$51</c:f>
              <c:strCache>
                <c:ptCount val="1"/>
                <c:pt idx="0">
                  <c:v>ROE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Graph!$C$47:$G$47</c:f>
              <c:numCache>
                <c:formatCode>General</c:formatCode>
                <c:ptCount val="5"/>
                <c:pt idx="0">
                  <c:v>2025</c:v>
                </c:pt>
                <c:pt idx="1">
                  <c:v>2024</c:v>
                </c:pt>
                <c:pt idx="2">
                  <c:v>2023</c:v>
                </c:pt>
                <c:pt idx="3">
                  <c:v>2022</c:v>
                </c:pt>
                <c:pt idx="4">
                  <c:v>2021</c:v>
                </c:pt>
              </c:numCache>
            </c:numRef>
          </c:cat>
          <c:val>
            <c:numRef>
              <c:f>Graph!$C$51:$G$51</c:f>
              <c:numCache>
                <c:formatCode>0.0%</c:formatCode>
                <c:ptCount val="5"/>
                <c:pt idx="0">
                  <c:v>-0.69</c:v>
                </c:pt>
                <c:pt idx="1">
                  <c:v>-0.79400000000000004</c:v>
                </c:pt>
                <c:pt idx="2" formatCode="0.00%">
                  <c:v>-4.5209999999999999</c:v>
                </c:pt>
                <c:pt idx="3" formatCode="0.00%">
                  <c:v>4.1509999999999998</c:v>
                </c:pt>
                <c:pt idx="4" formatCode="0.00%">
                  <c:v>0.77700000000000002</c:v>
                </c:pt>
              </c:numCache>
            </c:numRef>
          </c:val>
          <c:extLst>
            <c:ext xmlns:c16="http://schemas.microsoft.com/office/drawing/2014/chart" uri="{C3380CC4-5D6E-409C-BE32-E72D297353CC}">
              <c16:uniqueId val="{00000003-AE2B-6E4D-9AC0-6F4C16BD3AA5}"/>
            </c:ext>
          </c:extLst>
        </c:ser>
        <c:dLbls>
          <c:showLegendKey val="0"/>
          <c:showVal val="0"/>
          <c:showCatName val="0"/>
          <c:showSerName val="0"/>
          <c:showPercent val="0"/>
          <c:showBubbleSize val="0"/>
        </c:dLbls>
        <c:gapWidth val="219"/>
        <c:overlap val="-27"/>
        <c:axId val="2043343088"/>
        <c:axId val="2043347888"/>
      </c:barChart>
      <c:catAx>
        <c:axId val="20433430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47888"/>
        <c:crosses val="autoZero"/>
        <c:auto val="1"/>
        <c:lblAlgn val="ctr"/>
        <c:lblOffset val="100"/>
        <c:noMultiLvlLbl val="0"/>
      </c:catAx>
      <c:valAx>
        <c:axId val="2043347888"/>
        <c:scaling>
          <c:orientation val="minMax"/>
        </c:scaling>
        <c:delete val="0"/>
        <c:axPos val="l"/>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43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Graph!$B$58</c:f>
              <c:strCache>
                <c:ptCount val="1"/>
                <c:pt idx="0">
                  <c:v>Receivable turnover (Days)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Graph!$C$57:$G$57</c:f>
              <c:numCache>
                <c:formatCode>General</c:formatCode>
                <c:ptCount val="5"/>
                <c:pt idx="0">
                  <c:v>2025</c:v>
                </c:pt>
                <c:pt idx="1">
                  <c:v>2024</c:v>
                </c:pt>
                <c:pt idx="2">
                  <c:v>2023</c:v>
                </c:pt>
                <c:pt idx="3">
                  <c:v>2022</c:v>
                </c:pt>
                <c:pt idx="4">
                  <c:v>2021</c:v>
                </c:pt>
              </c:numCache>
            </c:numRef>
          </c:cat>
          <c:val>
            <c:numRef>
              <c:f>Graph!$C$58:$G$58</c:f>
              <c:numCache>
                <c:formatCode>_(* #,##0.00_);_(* \(#,##0.00\);_(* "-"??_);_(@_)</c:formatCode>
                <c:ptCount val="5"/>
                <c:pt idx="0">
                  <c:v>41</c:v>
                </c:pt>
                <c:pt idx="1">
                  <c:v>41</c:v>
                </c:pt>
                <c:pt idx="2">
                  <c:v>48</c:v>
                </c:pt>
                <c:pt idx="3">
                  <c:v>68</c:v>
                </c:pt>
                <c:pt idx="4">
                  <c:v>68</c:v>
                </c:pt>
              </c:numCache>
            </c:numRef>
          </c:val>
          <c:extLst>
            <c:ext xmlns:c16="http://schemas.microsoft.com/office/drawing/2014/chart" uri="{C3380CC4-5D6E-409C-BE32-E72D297353CC}">
              <c16:uniqueId val="{00000000-8A48-324D-AE95-368250E96244}"/>
            </c:ext>
          </c:extLst>
        </c:ser>
        <c:ser>
          <c:idx val="1"/>
          <c:order val="1"/>
          <c:tx>
            <c:strRef>
              <c:f>Graph!$B$59</c:f>
              <c:strCache>
                <c:ptCount val="1"/>
                <c:pt idx="0">
                  <c:v>Payable Turnover (in days)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Graph!$C$57:$G$57</c:f>
              <c:numCache>
                <c:formatCode>General</c:formatCode>
                <c:ptCount val="5"/>
                <c:pt idx="0">
                  <c:v>2025</c:v>
                </c:pt>
                <c:pt idx="1">
                  <c:v>2024</c:v>
                </c:pt>
                <c:pt idx="2">
                  <c:v>2023</c:v>
                </c:pt>
                <c:pt idx="3">
                  <c:v>2022</c:v>
                </c:pt>
                <c:pt idx="4">
                  <c:v>2021</c:v>
                </c:pt>
              </c:numCache>
            </c:numRef>
          </c:cat>
          <c:val>
            <c:numRef>
              <c:f>Graph!$C$59:$G$59</c:f>
              <c:numCache>
                <c:formatCode>_(* #,##0.00_);_(* \(#,##0.00\);_(* "-"??_);_(@_)</c:formatCode>
                <c:ptCount val="5"/>
                <c:pt idx="0">
                  <c:v>14</c:v>
                </c:pt>
                <c:pt idx="1">
                  <c:v>14</c:v>
                </c:pt>
                <c:pt idx="2">
                  <c:v>14</c:v>
                </c:pt>
                <c:pt idx="3">
                  <c:v>17</c:v>
                </c:pt>
                <c:pt idx="4">
                  <c:v>24</c:v>
                </c:pt>
              </c:numCache>
            </c:numRef>
          </c:val>
          <c:extLst>
            <c:ext xmlns:c16="http://schemas.microsoft.com/office/drawing/2014/chart" uri="{C3380CC4-5D6E-409C-BE32-E72D297353CC}">
              <c16:uniqueId val="{00000001-8A48-324D-AE95-368250E96244}"/>
            </c:ext>
          </c:extLst>
        </c:ser>
        <c:dLbls>
          <c:showLegendKey val="0"/>
          <c:showVal val="0"/>
          <c:showCatName val="0"/>
          <c:showSerName val="0"/>
          <c:showPercent val="0"/>
          <c:showBubbleSize val="0"/>
        </c:dLbls>
        <c:gapWidth val="219"/>
        <c:overlap val="-27"/>
        <c:axId val="2043310448"/>
        <c:axId val="2043310928"/>
      </c:barChart>
      <c:catAx>
        <c:axId val="204331044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10928"/>
        <c:crosses val="autoZero"/>
        <c:auto val="1"/>
        <c:lblAlgn val="ctr"/>
        <c:lblOffset val="100"/>
        <c:noMultiLvlLbl val="0"/>
      </c:catAx>
      <c:valAx>
        <c:axId val="2043310928"/>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10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a:t>
            </a:r>
            <a:r>
              <a:rPr lang="en-US" baseline="0"/>
              <a:t> FLOW</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Graph!$B$68</c:f>
              <c:strCache>
                <c:ptCount val="1"/>
                <c:pt idx="0">
                  <c:v>Operating cash flow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Graph!$C$67:$G$67</c:f>
              <c:numCache>
                <c:formatCode>General</c:formatCode>
                <c:ptCount val="5"/>
                <c:pt idx="0">
                  <c:v>2025</c:v>
                </c:pt>
                <c:pt idx="1">
                  <c:v>2024</c:v>
                </c:pt>
                <c:pt idx="2">
                  <c:v>2023</c:v>
                </c:pt>
                <c:pt idx="3">
                  <c:v>2022</c:v>
                </c:pt>
                <c:pt idx="4">
                  <c:v>2021</c:v>
                </c:pt>
              </c:numCache>
            </c:numRef>
          </c:cat>
          <c:val>
            <c:numRef>
              <c:f>Graph!$C$68:$G$68</c:f>
              <c:numCache>
                <c:formatCode>0%</c:formatCode>
                <c:ptCount val="5"/>
                <c:pt idx="0">
                  <c:v>0.38</c:v>
                </c:pt>
                <c:pt idx="1">
                  <c:v>0.32</c:v>
                </c:pt>
                <c:pt idx="2">
                  <c:v>0.41</c:v>
                </c:pt>
                <c:pt idx="3">
                  <c:v>0.32</c:v>
                </c:pt>
                <c:pt idx="4">
                  <c:v>0.18</c:v>
                </c:pt>
              </c:numCache>
            </c:numRef>
          </c:val>
          <c:extLst>
            <c:ext xmlns:c16="http://schemas.microsoft.com/office/drawing/2014/chart" uri="{C3380CC4-5D6E-409C-BE32-E72D297353CC}">
              <c16:uniqueId val="{00000000-08B0-4245-AE52-DB770A452D80}"/>
            </c:ext>
          </c:extLst>
        </c:ser>
        <c:ser>
          <c:idx val="1"/>
          <c:order val="1"/>
          <c:tx>
            <c:strRef>
              <c:f>Graph!$B$69</c:f>
              <c:strCache>
                <c:ptCount val="1"/>
                <c:pt idx="0">
                  <c:v>Cash flow margin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Graph!$C$67:$G$67</c:f>
              <c:numCache>
                <c:formatCode>General</c:formatCode>
                <c:ptCount val="5"/>
                <c:pt idx="0">
                  <c:v>2025</c:v>
                </c:pt>
                <c:pt idx="1">
                  <c:v>2024</c:v>
                </c:pt>
                <c:pt idx="2">
                  <c:v>2023</c:v>
                </c:pt>
                <c:pt idx="3">
                  <c:v>2022</c:v>
                </c:pt>
                <c:pt idx="4">
                  <c:v>2021</c:v>
                </c:pt>
              </c:numCache>
            </c:numRef>
          </c:cat>
          <c:val>
            <c:numRef>
              <c:f>Graph!$C$69:$G$69</c:f>
              <c:numCache>
                <c:formatCode>0%</c:formatCode>
                <c:ptCount val="5"/>
                <c:pt idx="0">
                  <c:v>0.123</c:v>
                </c:pt>
                <c:pt idx="1">
                  <c:v>0.11</c:v>
                </c:pt>
                <c:pt idx="2">
                  <c:v>0.153</c:v>
                </c:pt>
                <c:pt idx="3">
                  <c:v>0.17100000000000001</c:v>
                </c:pt>
                <c:pt idx="4">
                  <c:v>0.111</c:v>
                </c:pt>
              </c:numCache>
            </c:numRef>
          </c:val>
          <c:extLst>
            <c:ext xmlns:c16="http://schemas.microsoft.com/office/drawing/2014/chart" uri="{C3380CC4-5D6E-409C-BE32-E72D297353CC}">
              <c16:uniqueId val="{00000001-08B0-4245-AE52-DB770A452D80}"/>
            </c:ext>
          </c:extLst>
        </c:ser>
        <c:dLbls>
          <c:showLegendKey val="0"/>
          <c:showVal val="0"/>
          <c:showCatName val="0"/>
          <c:showSerName val="0"/>
          <c:showPercent val="0"/>
          <c:showBubbleSize val="0"/>
        </c:dLbls>
        <c:gapWidth val="219"/>
        <c:overlap val="-27"/>
        <c:axId val="1870185776"/>
        <c:axId val="1870171856"/>
      </c:barChart>
      <c:catAx>
        <c:axId val="187018577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171856"/>
        <c:crosses val="autoZero"/>
        <c:auto val="1"/>
        <c:lblAlgn val="ctr"/>
        <c:lblOffset val="100"/>
        <c:noMultiLvlLbl val="0"/>
      </c:catAx>
      <c:valAx>
        <c:axId val="1870171856"/>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185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34</Pages>
  <Words>8335</Words>
  <Characters>44015</Characters>
  <Application>Microsoft Office Word</Application>
  <DocSecurity>0</DocSecurity>
  <Lines>1467</Lines>
  <Paragraphs>817</Paragraphs>
  <ScaleCrop>false</ScaleCrop>
  <Company/>
  <LinksUpToDate>false</LinksUpToDate>
  <CharactersWithSpaces>51533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Ishan kevadiya</dc:creator>
  <cp:keywords/>
  <dc:description/>
  <cp:lastModifiedBy>Ishan kevadiya</cp:lastModifiedBy>
  <cp:revision>1</cp:revision>
  <dcterms:created xsi:type="dcterms:W3CDTF">2026-07-20T09:46:00Z</dcterms:created>
  <dcterms:modified xsi:type="dcterms:W3CDTF">2026-07-20T09:48:00Z</dcterms:modified>
</cp:coreProperties>
</file>