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4" w14:textId="77777777" w:rsidR="00826D40" w:rsidRDefault="00826D40">
      <w:pPr>
        <w:jc w:val="center"/>
        <w:rPr>
          <w:b/>
          <w:sz w:val="32"/>
          <w:szCs w:val="32"/>
        </w:rPr>
      </w:pPr>
    </w:p>
    <w:p w14:paraId="2886DE9E" w14:textId="77777777" w:rsidR="007009E8" w:rsidRDefault="007009E8">
      <w:pPr>
        <w:jc w:val="center"/>
        <w:rPr>
          <w:b/>
          <w:sz w:val="32"/>
          <w:szCs w:val="32"/>
        </w:rPr>
      </w:pPr>
    </w:p>
    <w:p w14:paraId="640DA9EF" w14:textId="77777777" w:rsidR="007009E8" w:rsidRDefault="007009E8">
      <w:pPr>
        <w:jc w:val="center"/>
        <w:rPr>
          <w:b/>
          <w:sz w:val="32"/>
          <w:szCs w:val="32"/>
        </w:rPr>
      </w:pPr>
    </w:p>
    <w:p w14:paraId="0000000C" w14:textId="59170AFE" w:rsidR="00826D40" w:rsidRPr="007009E8" w:rsidRDefault="000B0676" w:rsidP="007009E8">
      <w:pPr>
        <w:jc w:val="center"/>
        <w:rPr>
          <w:b/>
          <w:sz w:val="40"/>
          <w:szCs w:val="40"/>
        </w:rPr>
      </w:pPr>
      <w:r w:rsidRPr="007009E8">
        <w:rPr>
          <w:b/>
          <w:sz w:val="40"/>
          <w:szCs w:val="40"/>
        </w:rPr>
        <w:t>INTERCULTURAL COMPETENCE REPORT</w:t>
      </w:r>
    </w:p>
    <w:p w14:paraId="00000011" w14:textId="01B71918" w:rsidR="00826D40" w:rsidRPr="007009E8" w:rsidRDefault="000B0676" w:rsidP="007009E8">
      <w:pPr>
        <w:jc w:val="center"/>
        <w:rPr>
          <w:b/>
          <w:sz w:val="36"/>
          <w:szCs w:val="36"/>
        </w:rPr>
      </w:pPr>
      <w:r w:rsidRPr="007009E8">
        <w:rPr>
          <w:b/>
          <w:sz w:val="36"/>
          <w:szCs w:val="36"/>
        </w:rPr>
        <w:t>COUNTRY CHOSEN: JAPONIA (TOKYO)</w:t>
      </w:r>
    </w:p>
    <w:p w14:paraId="575A126D" w14:textId="77777777" w:rsidR="007009E8" w:rsidRPr="007009E8" w:rsidRDefault="007009E8">
      <w:pPr>
        <w:jc w:val="center"/>
        <w:rPr>
          <w:b/>
          <w:sz w:val="40"/>
          <w:szCs w:val="40"/>
        </w:rPr>
      </w:pPr>
    </w:p>
    <w:p w14:paraId="4E9C7960" w14:textId="77777777" w:rsidR="007009E8" w:rsidRPr="007009E8" w:rsidRDefault="007009E8">
      <w:pPr>
        <w:jc w:val="center"/>
        <w:rPr>
          <w:b/>
          <w:sz w:val="40"/>
          <w:szCs w:val="40"/>
        </w:rPr>
      </w:pPr>
    </w:p>
    <w:p w14:paraId="02929D43" w14:textId="77777777" w:rsidR="007009E8" w:rsidRDefault="007009E8">
      <w:pPr>
        <w:jc w:val="center"/>
        <w:rPr>
          <w:b/>
          <w:sz w:val="32"/>
          <w:szCs w:val="32"/>
        </w:rPr>
      </w:pPr>
    </w:p>
    <w:p w14:paraId="71049920" w14:textId="77777777" w:rsidR="007009E8" w:rsidRDefault="007009E8" w:rsidP="007009E8">
      <w:pPr>
        <w:rPr>
          <w:b/>
          <w:sz w:val="32"/>
          <w:szCs w:val="32"/>
        </w:rPr>
      </w:pPr>
    </w:p>
    <w:p w14:paraId="5AF5122E" w14:textId="77777777" w:rsidR="007009E8" w:rsidRDefault="007009E8" w:rsidP="007009E8">
      <w:pPr>
        <w:rPr>
          <w:b/>
          <w:sz w:val="32"/>
          <w:szCs w:val="32"/>
        </w:rPr>
      </w:pPr>
    </w:p>
    <w:p w14:paraId="25E3BEA6" w14:textId="77777777" w:rsidR="007009E8" w:rsidRDefault="007009E8" w:rsidP="007009E8">
      <w:pPr>
        <w:rPr>
          <w:b/>
          <w:sz w:val="32"/>
          <w:szCs w:val="32"/>
        </w:rPr>
      </w:pPr>
    </w:p>
    <w:p w14:paraId="3151B87A" w14:textId="77777777" w:rsidR="007009E8" w:rsidRDefault="007009E8" w:rsidP="007009E8">
      <w:pPr>
        <w:rPr>
          <w:b/>
          <w:sz w:val="32"/>
          <w:szCs w:val="32"/>
        </w:rPr>
      </w:pPr>
    </w:p>
    <w:p w14:paraId="699B9855" w14:textId="2D159DC1" w:rsidR="007009E8" w:rsidRDefault="007009E8" w:rsidP="007009E8">
      <w:pPr>
        <w:rPr>
          <w:b/>
          <w:sz w:val="32"/>
          <w:szCs w:val="32"/>
        </w:rPr>
      </w:pPr>
      <w:r>
        <w:rPr>
          <w:b/>
          <w:sz w:val="32"/>
          <w:szCs w:val="32"/>
        </w:rPr>
        <w:t>STUDENT NAME:  Iftimoae Laurentiu Gelu</w:t>
      </w:r>
    </w:p>
    <w:p w14:paraId="112FD1CB" w14:textId="77777777" w:rsidR="007009E8" w:rsidRDefault="007009E8" w:rsidP="007009E8">
      <w:pPr>
        <w:rPr>
          <w:b/>
          <w:sz w:val="32"/>
          <w:szCs w:val="32"/>
        </w:rPr>
      </w:pPr>
      <w:r>
        <w:rPr>
          <w:b/>
          <w:sz w:val="32"/>
          <w:szCs w:val="32"/>
        </w:rPr>
        <w:t>STUDENT NUMBER: 2206170</w:t>
      </w:r>
    </w:p>
    <w:p w14:paraId="72901536" w14:textId="77777777" w:rsidR="007009E8" w:rsidRDefault="007009E8" w:rsidP="007009E8">
      <w:pPr>
        <w:rPr>
          <w:b/>
          <w:sz w:val="32"/>
          <w:szCs w:val="32"/>
        </w:rPr>
      </w:pPr>
      <w:r>
        <w:rPr>
          <w:b/>
          <w:sz w:val="32"/>
          <w:szCs w:val="32"/>
        </w:rPr>
        <w:t>MODULE NAME: Foreign Languages &amp; Cultural Awareness</w:t>
      </w:r>
    </w:p>
    <w:p w14:paraId="1C8AA8DD" w14:textId="77777777" w:rsidR="007009E8" w:rsidRDefault="007009E8" w:rsidP="007009E8">
      <w:pPr>
        <w:rPr>
          <w:b/>
          <w:sz w:val="32"/>
          <w:szCs w:val="32"/>
        </w:rPr>
      </w:pPr>
      <w:r>
        <w:rPr>
          <w:b/>
          <w:sz w:val="32"/>
          <w:szCs w:val="32"/>
        </w:rPr>
        <w:t>MODULE CODE:  BMIH5003</w:t>
      </w:r>
    </w:p>
    <w:p w14:paraId="0E7CDDA9" w14:textId="77777777" w:rsidR="007009E8" w:rsidRDefault="007009E8" w:rsidP="007009E8">
      <w:pPr>
        <w:rPr>
          <w:b/>
          <w:sz w:val="32"/>
          <w:szCs w:val="32"/>
        </w:rPr>
      </w:pPr>
      <w:r>
        <w:rPr>
          <w:b/>
          <w:sz w:val="32"/>
          <w:szCs w:val="32"/>
        </w:rPr>
        <w:t>LECTURER NAME: Heidi Prosser</w:t>
      </w:r>
    </w:p>
    <w:p w14:paraId="675058C9" w14:textId="0B7D7574" w:rsidR="007009E8" w:rsidRDefault="007009E8" w:rsidP="007009E8">
      <w:pPr>
        <w:rPr>
          <w:b/>
          <w:sz w:val="32"/>
          <w:szCs w:val="32"/>
        </w:rPr>
      </w:pPr>
      <w:r>
        <w:rPr>
          <w:b/>
          <w:sz w:val="32"/>
          <w:szCs w:val="32"/>
        </w:rPr>
        <w:t>WORD COUNT: 11</w:t>
      </w:r>
      <w:r w:rsidR="006A3546">
        <w:rPr>
          <w:b/>
          <w:sz w:val="32"/>
          <w:szCs w:val="32"/>
        </w:rPr>
        <w:t>91</w:t>
      </w:r>
    </w:p>
    <w:p w14:paraId="38AB4FCA" w14:textId="77777777" w:rsidR="007009E8" w:rsidRDefault="007009E8">
      <w:pPr>
        <w:jc w:val="center"/>
        <w:rPr>
          <w:b/>
          <w:sz w:val="32"/>
          <w:szCs w:val="32"/>
        </w:rPr>
      </w:pPr>
    </w:p>
    <w:p w14:paraId="00000014" w14:textId="07BC15A3" w:rsidR="00826D40" w:rsidRPr="007009E8" w:rsidRDefault="000B0676" w:rsidP="007009E8">
      <w:r>
        <w:rPr>
          <w:b/>
          <w:sz w:val="28"/>
          <w:szCs w:val="28"/>
        </w:rPr>
        <w:t>Executive Summary</w:t>
      </w:r>
    </w:p>
    <w:p w14:paraId="00000015" w14:textId="77777777" w:rsidR="00826D40" w:rsidRDefault="000B0676">
      <w:r>
        <w:t>The report has offered a thorough summary of the important cultural factors and difficulties related to the Diversity Hotel &amp; Spa chain's growth into Tokyo, Japan. This paper has continually emphasised the subtle cultural nuances of Tokyo, highlighting the importance of intercultural competency and leadership adaptability for the General Manager. It did this by drawing on Hofstede's Cultural Dimension model and the cultural analysis conducted by the GLOBE Project. In order to ensure a successful and long-lasting presence in Tokyo, Japan, the study has strived to build a culture of cultural intelligence and sensitivity by clarifying potential hazards and providing customised advice that will make it easier for the hotel to integrate its operations.</w:t>
      </w:r>
    </w:p>
    <w:p w14:paraId="00000016" w14:textId="77777777" w:rsidR="00826D40" w:rsidRDefault="000B0676">
      <w:pPr>
        <w:spacing w:line="276" w:lineRule="auto"/>
        <w:jc w:val="left"/>
      </w:pPr>
      <w:r>
        <w:br w:type="page"/>
      </w:r>
    </w:p>
    <w:p w14:paraId="00000017" w14:textId="77777777" w:rsidR="00826D40" w:rsidRDefault="000B0676">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lastRenderedPageBreak/>
        <w:t>Table of Contents</w:t>
      </w:r>
    </w:p>
    <w:sdt>
      <w:sdtPr>
        <w:id w:val="-284582747"/>
        <w:docPartObj>
          <w:docPartGallery w:val="Table of Contents"/>
          <w:docPartUnique/>
        </w:docPartObj>
      </w:sdtPr>
      <w:sdtContent>
        <w:p w14:paraId="00000018" w14:textId="77777777" w:rsidR="00826D40" w:rsidRDefault="000B0676">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4</w:t>
            </w:r>
          </w:hyperlink>
        </w:p>
        <w:p w14:paraId="00000019" w14:textId="77777777" w:rsidR="00826D40" w:rsidRDefault="00000000">
          <w:pPr>
            <w:pBdr>
              <w:top w:val="nil"/>
              <w:left w:val="nil"/>
              <w:bottom w:val="nil"/>
              <w:right w:val="nil"/>
              <w:between w:val="nil"/>
            </w:pBdr>
            <w:tabs>
              <w:tab w:val="right" w:leader="dot" w:pos="9019"/>
            </w:tabs>
            <w:spacing w:after="100"/>
            <w:rPr>
              <w:color w:val="000000"/>
            </w:rPr>
          </w:pPr>
          <w:hyperlink w:anchor="_heading=h.30j0zll">
            <w:r w:rsidR="000B0676">
              <w:rPr>
                <w:color w:val="000000"/>
              </w:rPr>
              <w:t>Main Body</w:t>
            </w:r>
            <w:r w:rsidR="000B0676">
              <w:rPr>
                <w:color w:val="000000"/>
              </w:rPr>
              <w:tab/>
              <w:t>4</w:t>
            </w:r>
          </w:hyperlink>
        </w:p>
        <w:p w14:paraId="0000001A" w14:textId="77777777" w:rsidR="00826D40" w:rsidRDefault="00000000">
          <w:pPr>
            <w:pBdr>
              <w:top w:val="nil"/>
              <w:left w:val="nil"/>
              <w:bottom w:val="nil"/>
              <w:right w:val="nil"/>
              <w:between w:val="nil"/>
            </w:pBdr>
            <w:tabs>
              <w:tab w:val="right" w:leader="dot" w:pos="9019"/>
            </w:tabs>
            <w:spacing w:after="100"/>
            <w:ind w:left="240"/>
            <w:rPr>
              <w:color w:val="000000"/>
            </w:rPr>
          </w:pPr>
          <w:hyperlink w:anchor="_heading=h.1fob9te">
            <w:r w:rsidR="000B0676">
              <w:rPr>
                <w:color w:val="000000"/>
              </w:rPr>
              <w:t>Culture overview</w:t>
            </w:r>
            <w:r w:rsidR="000B0676">
              <w:rPr>
                <w:color w:val="000000"/>
              </w:rPr>
              <w:tab/>
              <w:t>4</w:t>
            </w:r>
          </w:hyperlink>
        </w:p>
        <w:p w14:paraId="0000001B" w14:textId="77777777" w:rsidR="00826D40" w:rsidRDefault="00000000">
          <w:pPr>
            <w:pBdr>
              <w:top w:val="nil"/>
              <w:left w:val="nil"/>
              <w:bottom w:val="nil"/>
              <w:right w:val="nil"/>
              <w:between w:val="nil"/>
            </w:pBdr>
            <w:tabs>
              <w:tab w:val="right" w:leader="dot" w:pos="9019"/>
            </w:tabs>
            <w:spacing w:after="100"/>
            <w:ind w:left="240"/>
            <w:rPr>
              <w:color w:val="000000"/>
            </w:rPr>
          </w:pPr>
          <w:hyperlink w:anchor="_heading=h.3znysh7">
            <w:r w:rsidR="000B0676">
              <w:rPr>
                <w:color w:val="000000"/>
              </w:rPr>
              <w:t>GLOBE Project/country analysis</w:t>
            </w:r>
            <w:r w:rsidR="000B0676">
              <w:rPr>
                <w:color w:val="000000"/>
              </w:rPr>
              <w:tab/>
              <w:t>5</w:t>
            </w:r>
          </w:hyperlink>
        </w:p>
        <w:p w14:paraId="0000001C" w14:textId="77777777" w:rsidR="00826D40" w:rsidRDefault="00000000">
          <w:pPr>
            <w:pBdr>
              <w:top w:val="nil"/>
              <w:left w:val="nil"/>
              <w:bottom w:val="nil"/>
              <w:right w:val="nil"/>
              <w:between w:val="nil"/>
            </w:pBdr>
            <w:tabs>
              <w:tab w:val="right" w:leader="dot" w:pos="9019"/>
            </w:tabs>
            <w:spacing w:after="100"/>
            <w:ind w:left="240"/>
            <w:rPr>
              <w:color w:val="000000"/>
            </w:rPr>
          </w:pPr>
          <w:hyperlink w:anchor="_heading=h.2et92p0">
            <w:r w:rsidR="000B0676">
              <w:rPr>
                <w:color w:val="000000"/>
              </w:rPr>
              <w:t>Are there any potential pitfalls/challenges for the General Manager?</w:t>
            </w:r>
            <w:r w:rsidR="000B0676">
              <w:rPr>
                <w:color w:val="000000"/>
              </w:rPr>
              <w:tab/>
              <w:t>6</w:t>
            </w:r>
          </w:hyperlink>
        </w:p>
        <w:p w14:paraId="0000001D" w14:textId="77777777" w:rsidR="00826D40" w:rsidRDefault="00000000">
          <w:pPr>
            <w:pBdr>
              <w:top w:val="nil"/>
              <w:left w:val="nil"/>
              <w:bottom w:val="nil"/>
              <w:right w:val="nil"/>
              <w:between w:val="nil"/>
            </w:pBdr>
            <w:tabs>
              <w:tab w:val="right" w:leader="dot" w:pos="9019"/>
            </w:tabs>
            <w:spacing w:after="100"/>
            <w:ind w:left="240"/>
            <w:rPr>
              <w:color w:val="000000"/>
            </w:rPr>
          </w:pPr>
          <w:hyperlink w:anchor="_heading=h.tyjcwt">
            <w:r w:rsidR="000B0676">
              <w:rPr>
                <w:color w:val="000000"/>
              </w:rPr>
              <w:t>Critically discuss why cultural intelligence and sensitivity is essential for hotel personnel within the business context.</w:t>
            </w:r>
            <w:r w:rsidR="000B0676">
              <w:rPr>
                <w:color w:val="000000"/>
              </w:rPr>
              <w:tab/>
              <w:t>6</w:t>
            </w:r>
          </w:hyperlink>
        </w:p>
        <w:p w14:paraId="0000001E" w14:textId="77777777" w:rsidR="00826D40" w:rsidRDefault="00000000">
          <w:pPr>
            <w:pBdr>
              <w:top w:val="nil"/>
              <w:left w:val="nil"/>
              <w:bottom w:val="nil"/>
              <w:right w:val="nil"/>
              <w:between w:val="nil"/>
            </w:pBdr>
            <w:tabs>
              <w:tab w:val="right" w:leader="dot" w:pos="9019"/>
            </w:tabs>
            <w:spacing w:after="100"/>
            <w:rPr>
              <w:color w:val="000000"/>
            </w:rPr>
          </w:pPr>
          <w:hyperlink w:anchor="_heading=h.3dy6vkm">
            <w:r w:rsidR="000B0676">
              <w:rPr>
                <w:color w:val="000000"/>
              </w:rPr>
              <w:t>Conclusion</w:t>
            </w:r>
            <w:r w:rsidR="000B0676">
              <w:rPr>
                <w:color w:val="000000"/>
              </w:rPr>
              <w:tab/>
              <w:t>7</w:t>
            </w:r>
          </w:hyperlink>
        </w:p>
        <w:p w14:paraId="0000001F" w14:textId="77777777" w:rsidR="00826D40" w:rsidRDefault="00000000">
          <w:pPr>
            <w:pBdr>
              <w:top w:val="nil"/>
              <w:left w:val="nil"/>
              <w:bottom w:val="nil"/>
              <w:right w:val="nil"/>
              <w:between w:val="nil"/>
            </w:pBdr>
            <w:tabs>
              <w:tab w:val="right" w:leader="dot" w:pos="9019"/>
            </w:tabs>
            <w:spacing w:after="100"/>
            <w:rPr>
              <w:color w:val="000000"/>
            </w:rPr>
          </w:pPr>
          <w:hyperlink w:anchor="_heading=h.1t3h5sf">
            <w:r w:rsidR="000B0676">
              <w:rPr>
                <w:color w:val="000000"/>
              </w:rPr>
              <w:t>Recommendations</w:t>
            </w:r>
            <w:r w:rsidR="000B0676">
              <w:rPr>
                <w:color w:val="000000"/>
              </w:rPr>
              <w:tab/>
              <w:t>7</w:t>
            </w:r>
          </w:hyperlink>
        </w:p>
        <w:p w14:paraId="00000020" w14:textId="77777777" w:rsidR="00826D40" w:rsidRDefault="00000000">
          <w:pPr>
            <w:pBdr>
              <w:top w:val="nil"/>
              <w:left w:val="nil"/>
              <w:bottom w:val="nil"/>
              <w:right w:val="nil"/>
              <w:between w:val="nil"/>
            </w:pBdr>
            <w:tabs>
              <w:tab w:val="right" w:leader="dot" w:pos="9019"/>
            </w:tabs>
            <w:spacing w:after="100"/>
            <w:rPr>
              <w:color w:val="000000"/>
            </w:rPr>
          </w:pPr>
          <w:hyperlink w:anchor="_heading=h.4d34og8">
            <w:r w:rsidR="000B0676">
              <w:rPr>
                <w:color w:val="000000"/>
              </w:rPr>
              <w:t>References</w:t>
            </w:r>
            <w:r w:rsidR="000B0676">
              <w:rPr>
                <w:color w:val="000000"/>
              </w:rPr>
              <w:tab/>
              <w:t>9</w:t>
            </w:r>
          </w:hyperlink>
        </w:p>
        <w:p w14:paraId="00000021" w14:textId="77777777" w:rsidR="00826D40" w:rsidRDefault="000B0676">
          <w:r>
            <w:fldChar w:fldCharType="end"/>
          </w:r>
        </w:p>
      </w:sdtContent>
    </w:sdt>
    <w:p w14:paraId="00000022" w14:textId="77777777" w:rsidR="00826D40" w:rsidRDefault="00826D40"/>
    <w:p w14:paraId="00000023" w14:textId="77777777" w:rsidR="00826D40" w:rsidRDefault="000B0676">
      <w:r>
        <w:br w:type="page"/>
      </w:r>
    </w:p>
    <w:p w14:paraId="00000024" w14:textId="77777777" w:rsidR="00826D40" w:rsidRDefault="000B0676">
      <w:pPr>
        <w:pStyle w:val="Heading1"/>
        <w:rPr>
          <w:sz w:val="24"/>
          <w:szCs w:val="24"/>
        </w:rPr>
      </w:pPr>
      <w:bookmarkStart w:id="0" w:name="_heading=h.gjdgxs" w:colFirst="0" w:colLast="0"/>
      <w:bookmarkEnd w:id="0"/>
      <w:r>
        <w:lastRenderedPageBreak/>
        <w:t>Introduction</w:t>
      </w:r>
    </w:p>
    <w:p w14:paraId="00000025" w14:textId="77777777" w:rsidR="00826D40" w:rsidRDefault="000B0676">
      <w:r>
        <w:t>The Diversity Hotel &amp; Spa chain's entry into Tokyo, Japan, is a fascinating foray into a city known for its rich ethnic diversity. Intercultural competency and leadership acumen are becoming more and more important as globalisation drives multinational corporate operations (Mullins and McLean, 2019). This extensive research carefully assesses Tokyo, Japan's cultural nuances using a variety of cultural models and the cultural analysis of the GLOBE Project. It identifies possible obstacles and provides the general manager with solutions that are specifically designed for him or her. The objective of this paper is to enable a smooth integration of the hotel's activities into Tokyo's rich cultural tapestry by clarifying the crucial role of cultural intelligence and sensitivity.</w:t>
      </w:r>
    </w:p>
    <w:p w14:paraId="00000027" w14:textId="77777777" w:rsidR="00826D40" w:rsidRDefault="000B0676">
      <w:pPr>
        <w:pStyle w:val="Heading2"/>
        <w:rPr>
          <w:sz w:val="26"/>
          <w:szCs w:val="26"/>
        </w:rPr>
      </w:pPr>
      <w:bookmarkStart w:id="1" w:name="_heading=h.30j0zll" w:colFirst="0" w:colLast="0"/>
      <w:bookmarkStart w:id="2" w:name="_heading=h.1fob9te" w:colFirst="0" w:colLast="0"/>
      <w:bookmarkEnd w:id="1"/>
      <w:bookmarkEnd w:id="2"/>
      <w:r>
        <w:rPr>
          <w:sz w:val="26"/>
          <w:szCs w:val="26"/>
        </w:rPr>
        <w:t>Culture Overview</w:t>
      </w:r>
    </w:p>
    <w:p w14:paraId="00000028" w14:textId="77777777" w:rsidR="00826D40" w:rsidRDefault="000B0676">
      <w:r>
        <w:t>One of the most populated and economically significant cities in the world is Tokyo, the capital of Japan (Jain and Okazawa, 2019). With Tokyo City and its environs included, Tokyo Metropolis was home to more than 37 million people (EnVols, 2023). With Tokyo making a substantial economic contribution, Japan's GDP was estimated to be $5 trillion (Forbes, 2021). Tokyo's culture is a fusion of modern, fast-paced living with traditional Japanese ideals. In daily life, deference to authority figures and bowing are frequent greetings, both of which are important. There is a practice of Japanese customs like calligraphy, ikebana flower arrangement, and tea ceremonies. A fundamental aspect of culture is its cuisine, which includes foods like ramen, tempura, and sushi. In social and professional contexts, punctuality and accuracy are highly regarded. To avoid embarrassing oneself, the idea of "saving face" is essential.</w:t>
      </w:r>
    </w:p>
    <w:p w14:paraId="00000029" w14:textId="77777777" w:rsidR="00826D40" w:rsidRDefault="000B0676">
      <w:r>
        <w:t xml:space="preserve">Despite Tokyo's status as a global centre, regional variations in Japan have an impact on food, traditions, and languages. For instance, Hokkaido offers distinctive cuisine and a milder climate, while Kansai (Osaka and Kyoto) is known for its distinct dialect and sense of humour </w:t>
      </w:r>
      <w:r>
        <w:lastRenderedPageBreak/>
        <w:t>(Griffiths, 2019). Comprehending these disparities is crucial for demonstrating cultural awareness and proficient leadership in Japan.</w:t>
      </w:r>
    </w:p>
    <w:p w14:paraId="0000002A" w14:textId="77777777" w:rsidR="00826D40" w:rsidRDefault="000B0676">
      <w:pPr>
        <w:pStyle w:val="Heading2"/>
        <w:rPr>
          <w:sz w:val="26"/>
          <w:szCs w:val="26"/>
        </w:rPr>
      </w:pPr>
      <w:bookmarkStart w:id="3" w:name="_heading=h.3znysh7" w:colFirst="0" w:colLast="0"/>
      <w:bookmarkEnd w:id="3"/>
      <w:r>
        <w:rPr>
          <w:sz w:val="26"/>
          <w:szCs w:val="26"/>
        </w:rPr>
        <w:t>GLOBE Project/Country Analysis</w:t>
      </w:r>
    </w:p>
    <w:p w14:paraId="0000002B" w14:textId="77777777" w:rsidR="00826D40" w:rsidRDefault="000B0676">
      <w:r>
        <w:t xml:space="preserve">Effective leadership and intercultural competence are essential for the hotel chain's expansion (Ubeda-Garcia </w:t>
      </w:r>
      <w:r>
        <w:rPr>
          <w:i/>
        </w:rPr>
        <w:t>et al.,</w:t>
      </w:r>
      <w:r>
        <w:t xml:space="preserve"> 2021). This may be achieved by analysing Tokyo, Japan, using the framework of the GLOBE Project's cultural dimensions:</w:t>
      </w:r>
    </w:p>
    <w:p w14:paraId="0000002C" w14:textId="77777777" w:rsidR="00826D40" w:rsidRDefault="000B0676">
      <w:r>
        <w:rPr>
          <w:b/>
        </w:rPr>
        <w:t>1. Assertiveness:</w:t>
      </w:r>
      <w:r>
        <w:t xml:space="preserve"> In Tokyo and throughout Japan, assertiveness is valued in a restrained and peaceful way. It is not recommended to engage in direct confrontation; instead, assertiveness is demonstrated through negotiation and consensus-building. This strategy is in line with the hotel industry's requirement for cooperative working.</w:t>
      </w:r>
    </w:p>
    <w:p w14:paraId="0000002D" w14:textId="77777777" w:rsidR="00826D40" w:rsidRDefault="000B0676">
      <w:r>
        <w:rPr>
          <w:b/>
        </w:rPr>
        <w:t>2. Future Orientation:</w:t>
      </w:r>
      <w:r>
        <w:t xml:space="preserve"> Tokyo, a major centre for commerce and technology worldwide, has a very forward-thinking outlook. Tokyo's culture is dynamic and forward-thinking, which fits in well with the hotel industry's demand for innovation and flexibility in response to evolving client preferences (Highsmith </w:t>
      </w:r>
      <w:r>
        <w:rPr>
          <w:i/>
        </w:rPr>
        <w:t>et al.,</w:t>
      </w:r>
      <w:r>
        <w:t xml:space="preserve"> 2019).</w:t>
      </w:r>
    </w:p>
    <w:p w14:paraId="0000002E" w14:textId="77777777" w:rsidR="00826D40" w:rsidRDefault="000B0676">
      <w:r>
        <w:rPr>
          <w:b/>
        </w:rPr>
        <w:t>3. Gender Egalitarianism:</w:t>
      </w:r>
      <w:r>
        <w:t xml:space="preserve"> Although Japan has made progress in achieving gender equality, obstacles still exist. Compared to rural areas, Tokyo, being a global city, is significantly more progressive in this regard. Maintaining gender parity in hotel leadership roles is imperative in order to conform to rapidly changing international norms.</w:t>
      </w:r>
    </w:p>
    <w:p w14:paraId="0000002F" w14:textId="77777777" w:rsidR="00826D40" w:rsidRDefault="000B0676">
      <w:r>
        <w:rPr>
          <w:b/>
        </w:rPr>
        <w:t>4. Humane Orientation:</w:t>
      </w:r>
      <w:r>
        <w:t xml:space="preserve"> Tokyo and Japanese culture place a strong emphasis on kindness, compassion, and harmony within the group. The hospitality industry's fundamental principles of providing outstanding guest service and attentiveness are in line with this cultural dimension (Koc, 2020).</w:t>
      </w:r>
    </w:p>
    <w:p w14:paraId="00000030" w14:textId="77777777" w:rsidR="00826D40" w:rsidRDefault="000B0676">
      <w:r>
        <w:rPr>
          <w:b/>
        </w:rPr>
        <w:t>5. Institutional Collectivism:</w:t>
      </w:r>
      <w:r>
        <w:t xml:space="preserve"> In terms of institutional collectivism, Tokyo and all of Japan rank highly. To cultivate a committed and devoted hotel personnel, there is a strong sense of loyalty and commitment to brands.</w:t>
      </w:r>
    </w:p>
    <w:p w14:paraId="00000031" w14:textId="77777777" w:rsidR="00826D40" w:rsidRDefault="000B0676">
      <w:r>
        <w:rPr>
          <w:b/>
        </w:rPr>
        <w:lastRenderedPageBreak/>
        <w:t>6. In-Group Collectivism:</w:t>
      </w:r>
      <w:r>
        <w:t xml:space="preserve"> Tokyo and Japanese society as a whole demonstrate a strong in-group collectivist culture that values intimate relationships within workgroups. </w:t>
      </w:r>
    </w:p>
    <w:p w14:paraId="00000032" w14:textId="77777777" w:rsidR="00826D40" w:rsidRDefault="000B0676">
      <w:r>
        <w:rPr>
          <w:b/>
        </w:rPr>
        <w:t>7. Performance Orientation:</w:t>
      </w:r>
      <w:r>
        <w:t xml:space="preserve"> Tokyo's vibrant economy and multiculturalism demonstrate a performance-oriented culture that is consistent with the hotel industry's focus on guest service achievement and quality.</w:t>
      </w:r>
    </w:p>
    <w:p w14:paraId="00000033" w14:textId="77777777" w:rsidR="00826D40" w:rsidRDefault="000B0676">
      <w:r>
        <w:rPr>
          <w:b/>
        </w:rPr>
        <w:t>8. Power Distance:</w:t>
      </w:r>
      <w:r>
        <w:t xml:space="preserve"> While honouring Japanese traditions, hotel management should promote equality and keep lines of communication open (Demelius, 2020).</w:t>
      </w:r>
    </w:p>
    <w:p w14:paraId="00000034" w14:textId="77777777" w:rsidR="00826D40" w:rsidRDefault="000B0676">
      <w:pPr>
        <w:rPr>
          <w:b/>
        </w:rPr>
      </w:pPr>
      <w:r>
        <w:rPr>
          <w:b/>
        </w:rPr>
        <w:t>9. Uncertainty Avoidance:</w:t>
      </w:r>
      <w:r>
        <w:t xml:space="preserve"> The hotel sector demands consistency and high-quality service, which is why there is a focus on careful planning and attention to detail (Lombardi </w:t>
      </w:r>
      <w:r>
        <w:rPr>
          <w:i/>
        </w:rPr>
        <w:t>et al</w:t>
      </w:r>
      <w:r>
        <w:t>., 2021).</w:t>
      </w:r>
    </w:p>
    <w:p w14:paraId="00000035" w14:textId="77777777" w:rsidR="00826D40" w:rsidRDefault="000B0676">
      <w:pPr>
        <w:pStyle w:val="Heading2"/>
      </w:pPr>
      <w:bookmarkStart w:id="4" w:name="_heading=h.2et92p0" w:colFirst="0" w:colLast="0"/>
      <w:bookmarkEnd w:id="4"/>
      <w:r>
        <w:rPr>
          <w:sz w:val="26"/>
          <w:szCs w:val="26"/>
        </w:rPr>
        <w:t>Potential pitfalls/challenges for the General Manager</w:t>
      </w:r>
      <w:r>
        <w:t xml:space="preserve"> </w:t>
      </w:r>
    </w:p>
    <w:p w14:paraId="00000036" w14:textId="77777777" w:rsidR="00826D40" w:rsidRDefault="000B0676">
      <w:r>
        <w:t xml:space="preserve">The General Manager may face difficulties navigating cross-cultural nuances when visiting the new hotel in Tokyo, Japan. Critical areas of consideration are highlighted by Hofstede's Cultural Dimension model, which encompasses power distance, individuality, masculinity, uncertainty avoidance, long-term orientation, and indulgence (Hofstede </w:t>
      </w:r>
      <w:r>
        <w:rPr>
          <w:i/>
        </w:rPr>
        <w:t>et al.,</w:t>
      </w:r>
      <w:r>
        <w:t xml:space="preserve"> 2010). Japan presents particular problems for the general manager because of its unique cultural background. First and foremost, the importance of authority and hierarchical systems is highlighted by the great power distance in Japanese culture. Additionally, the individualistic leadership style that is frequently used in the UK may be in opposition to the collectivistic aspects of Japanese society, which place a strong emphasis on group cohesion and harmony. It is possible that the general manager's focus on individual accomplishments is bad for team morale (Samovar </w:t>
      </w:r>
      <w:r>
        <w:rPr>
          <w:i/>
        </w:rPr>
        <w:t>et al</w:t>
      </w:r>
      <w:r>
        <w:t xml:space="preserve">., 2013). </w:t>
      </w:r>
    </w:p>
    <w:p w14:paraId="5A9FF63D" w14:textId="4A89215A" w:rsidR="006D58BB" w:rsidRDefault="006D58BB" w:rsidP="006D58BB">
      <w:pPr>
        <w:jc w:val="center"/>
      </w:pPr>
      <w:r w:rsidRPr="006D58BB">
        <w:rPr>
          <w:noProof/>
        </w:rPr>
        <w:lastRenderedPageBreak/>
        <w:drawing>
          <wp:inline distT="0" distB="0" distL="0" distR="0" wp14:anchorId="09D143A7" wp14:editId="6D434651">
            <wp:extent cx="5733415" cy="2637790"/>
            <wp:effectExtent l="0" t="0" r="635" b="0"/>
            <wp:docPr id="1741452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52785" name=""/>
                    <pic:cNvPicPr/>
                  </pic:nvPicPr>
                  <pic:blipFill>
                    <a:blip r:embed="rId8"/>
                    <a:stretch>
                      <a:fillRect/>
                    </a:stretch>
                  </pic:blipFill>
                  <pic:spPr>
                    <a:xfrm>
                      <a:off x="0" y="0"/>
                      <a:ext cx="5733415" cy="2637790"/>
                    </a:xfrm>
                    <a:prstGeom prst="rect">
                      <a:avLst/>
                    </a:prstGeom>
                  </pic:spPr>
                </pic:pic>
              </a:graphicData>
            </a:graphic>
          </wp:inline>
        </w:drawing>
      </w:r>
    </w:p>
    <w:p w14:paraId="5A216007" w14:textId="3F7DE159" w:rsidR="006D58BB" w:rsidRPr="006D58BB" w:rsidRDefault="006D58BB" w:rsidP="006D58BB">
      <w:pPr>
        <w:jc w:val="center"/>
        <w:rPr>
          <w:b/>
          <w:bCs/>
        </w:rPr>
      </w:pPr>
      <w:r w:rsidRPr="006D58BB">
        <w:rPr>
          <w:b/>
          <w:bCs/>
        </w:rPr>
        <w:t>Figure 1: Cultural difference between UK and Japan</w:t>
      </w:r>
    </w:p>
    <w:p w14:paraId="7E3967B2" w14:textId="3E202887" w:rsidR="006D58BB" w:rsidRDefault="006D58BB" w:rsidP="006D58BB">
      <w:pPr>
        <w:jc w:val="center"/>
      </w:pPr>
      <w:r>
        <w:t xml:space="preserve">(Source: </w:t>
      </w:r>
      <w:r w:rsidR="00F65C68">
        <w:t>H</w:t>
      </w:r>
      <w:r w:rsidRPr="006D58BB">
        <w:t>ofstede-insights.com</w:t>
      </w:r>
      <w:r>
        <w:t>, 2023)</w:t>
      </w:r>
    </w:p>
    <w:p w14:paraId="00000037" w14:textId="77777777" w:rsidR="00826D40" w:rsidRDefault="000B0676">
      <w:pPr>
        <w:pStyle w:val="Heading2"/>
      </w:pPr>
      <w:bookmarkStart w:id="5" w:name="_heading=h.tyjcwt" w:colFirst="0" w:colLast="0"/>
      <w:bookmarkEnd w:id="5"/>
      <w:r>
        <w:rPr>
          <w:sz w:val="26"/>
          <w:szCs w:val="26"/>
        </w:rPr>
        <w:t>Reasons why cultural intelligence and sensitivity are essential for hotel personnel within the business context</w:t>
      </w:r>
      <w:r>
        <w:t>.</w:t>
      </w:r>
    </w:p>
    <w:p w14:paraId="00000038" w14:textId="77777777" w:rsidR="00826D40" w:rsidRDefault="000B0676">
      <w:r>
        <w:t xml:space="preserve">Hotel staff must possess both cultural sensitivity and intelligence when expanding into a city as culturally diverse and wealthy as Tokyo, Japan. Tokyo is a worldwide metropolis that personifies a special fusion of modernity and tradition. The success of the hotel depends critically on its ability to comprehend and honour its cultural values and ethics. First and foremost, cultural intelligence guarantees that staff members at hotels can create a warm, courteous environment for visitors from all backgrounds (Serra-Cantallops </w:t>
      </w:r>
      <w:r>
        <w:rPr>
          <w:i/>
        </w:rPr>
        <w:t>et al.</w:t>
      </w:r>
      <w:r>
        <w:t xml:space="preserve"> 2020). In a service-oriented industry such as hospitality, it is crucial to avoid misunderstandings and misinterpretations by being sensitive to certain communication norms. Moreover, risk avoidance and thorough planning are highly valued in Japan's culture of uncertainty avoidance. To ensure a seamless transition, hotel staff must adjust to this method when introducing innovations or adjustments (Albu, 2015). Reputable for its cultural competence, a hotel can increase its guest base, foster meaningful relationships, and earn a significant competitive edge (Kawiana, 2023).</w:t>
      </w:r>
    </w:p>
    <w:p w14:paraId="00000039" w14:textId="77777777" w:rsidR="00826D40" w:rsidRDefault="000B0676">
      <w:pPr>
        <w:pStyle w:val="Heading1"/>
        <w:rPr>
          <w:sz w:val="24"/>
          <w:szCs w:val="24"/>
        </w:rPr>
      </w:pPr>
      <w:bookmarkStart w:id="6" w:name="_heading=h.3dy6vkm" w:colFirst="0" w:colLast="0"/>
      <w:bookmarkEnd w:id="6"/>
      <w:r>
        <w:lastRenderedPageBreak/>
        <w:t>Conclusion</w:t>
      </w:r>
    </w:p>
    <w:p w14:paraId="0000003A" w14:textId="4CF43A99" w:rsidR="00826D40" w:rsidRDefault="000B0676">
      <w:r>
        <w:t xml:space="preserve">To sum up, the Diversity Hotel &amp; Spa chain's development </w:t>
      </w:r>
      <w:r w:rsidR="00F674A2">
        <w:t>in</w:t>
      </w:r>
      <w:r>
        <w:t xml:space="preserve"> Tokyo, Japan, requires a thorough grasp of cultural intelligence and sensitivity. The GLOBE Project's cultural study and Hofstede's Cultural Dimension model interact in a complicated way that highlights the need for cultural awareness and adaptability. In order to guarantee a seamless transfer and effective integration of the hotel's operations, the general manager may face difficulties that highlight the importance of developing intercultural competency. Tokyo necessitates a sophisticated approach to leadership and efficient communication among hotel staff due to its complex cultural tapestry, which is typified by a blend of history and modernity. </w:t>
      </w:r>
    </w:p>
    <w:p w14:paraId="0000003B" w14:textId="77777777" w:rsidR="00826D40" w:rsidRDefault="000B0676">
      <w:pPr>
        <w:pStyle w:val="Heading1"/>
      </w:pPr>
      <w:bookmarkStart w:id="7" w:name="_heading=h.1t3h5sf" w:colFirst="0" w:colLast="0"/>
      <w:bookmarkEnd w:id="7"/>
      <w:r>
        <w:t>Recommendations</w:t>
      </w:r>
    </w:p>
    <w:p w14:paraId="0000003C" w14:textId="77777777" w:rsidR="00826D40" w:rsidRDefault="000B0676">
      <w:pPr>
        <w:numPr>
          <w:ilvl w:val="0"/>
          <w:numId w:val="1"/>
        </w:numPr>
        <w:pBdr>
          <w:top w:val="nil"/>
          <w:left w:val="nil"/>
          <w:bottom w:val="nil"/>
          <w:right w:val="nil"/>
          <w:between w:val="nil"/>
        </w:pBdr>
      </w:pPr>
      <w:r>
        <w:rPr>
          <w:color w:val="000000"/>
        </w:rPr>
        <w:t>Cultivate a Collaborative Environment: Encourage collaboration and group accomplishment by supporting group-oriented projects and appreciating each team member's contributions (Bulińska-Stangrecka and Bagieńska, 2019).</w:t>
      </w:r>
    </w:p>
    <w:p w14:paraId="0000003D" w14:textId="77777777" w:rsidR="00826D40" w:rsidRDefault="000B0676">
      <w:pPr>
        <w:numPr>
          <w:ilvl w:val="0"/>
          <w:numId w:val="1"/>
        </w:numPr>
        <w:pBdr>
          <w:top w:val="nil"/>
          <w:left w:val="nil"/>
          <w:bottom w:val="nil"/>
          <w:right w:val="nil"/>
          <w:between w:val="nil"/>
        </w:pBdr>
      </w:pPr>
      <w:r>
        <w:rPr>
          <w:color w:val="000000"/>
        </w:rPr>
        <w:t>Flexible Leadership Approach: Leadership approaches should be modified to take into account the large power distance and collectivistic aspects of Japanese society. Prioritise inclusivity and reaching consensus while respecting hierarchical structures (Nakata, 2009).</w:t>
      </w:r>
    </w:p>
    <w:p w14:paraId="0000003E" w14:textId="77777777" w:rsidR="00826D40" w:rsidRDefault="000B0676">
      <w:pPr>
        <w:numPr>
          <w:ilvl w:val="0"/>
          <w:numId w:val="1"/>
        </w:numPr>
        <w:pBdr>
          <w:top w:val="nil"/>
          <w:left w:val="nil"/>
          <w:bottom w:val="nil"/>
          <w:right w:val="nil"/>
          <w:between w:val="nil"/>
        </w:pBdr>
      </w:pPr>
      <w:r>
        <w:rPr>
          <w:color w:val="000000"/>
        </w:rPr>
        <w:t xml:space="preserve">Cultural Sensitivity Protocols: Create a friendly and courteous environment for a broad client by putting in place guidelines for cultural sensitivity which include visitor interactions, communication norms, and adherence to traditional practices (Rogers </w:t>
      </w:r>
      <w:r>
        <w:rPr>
          <w:i/>
          <w:color w:val="000000"/>
        </w:rPr>
        <w:t>et al.,</w:t>
      </w:r>
      <w:r>
        <w:rPr>
          <w:color w:val="000000"/>
        </w:rPr>
        <w:t xml:space="preserve"> 2023).</w:t>
      </w:r>
    </w:p>
    <w:p w14:paraId="0000003F" w14:textId="77777777" w:rsidR="00826D40" w:rsidRDefault="000B0676">
      <w:r>
        <w:br w:type="page"/>
      </w:r>
    </w:p>
    <w:p w14:paraId="00000040" w14:textId="77777777" w:rsidR="00826D40" w:rsidRDefault="000B0676">
      <w:pPr>
        <w:pStyle w:val="Heading1"/>
        <w:rPr>
          <w:sz w:val="24"/>
          <w:szCs w:val="24"/>
        </w:rPr>
      </w:pPr>
      <w:bookmarkStart w:id="8" w:name="_heading=h.4d34og8" w:colFirst="0" w:colLast="0"/>
      <w:bookmarkEnd w:id="8"/>
      <w:r>
        <w:lastRenderedPageBreak/>
        <w:t>References</w:t>
      </w:r>
    </w:p>
    <w:p w14:paraId="77C26018" w14:textId="76C83578" w:rsidR="00F65C68" w:rsidRDefault="00F65C68">
      <w:r>
        <w:t xml:space="preserve">Albu, C.E., </w:t>
      </w:r>
      <w:r w:rsidR="00015F92">
        <w:t>(</w:t>
      </w:r>
      <w:r>
        <w:t>2015</w:t>
      </w:r>
      <w:r w:rsidR="00015F92">
        <w:t>)</w:t>
      </w:r>
      <w:r>
        <w:t xml:space="preserve">. </w:t>
      </w:r>
      <w:r w:rsidRPr="00015F92">
        <w:rPr>
          <w:i/>
          <w:iCs/>
        </w:rPr>
        <w:t>Intercultural communication in tourism</w:t>
      </w:r>
      <w:r>
        <w:t>. Cross-Cultural Management Journal, 17(01), pp.7-14.</w:t>
      </w:r>
    </w:p>
    <w:p w14:paraId="76ED7313" w14:textId="2A382458" w:rsidR="00F65C68" w:rsidRDefault="00F65C68">
      <w:r>
        <w:t xml:space="preserve">Bulińska-Stangrecka, H. and Bagieńska, A., </w:t>
      </w:r>
      <w:r w:rsidR="00015F92">
        <w:t>(</w:t>
      </w:r>
      <w:r>
        <w:t>2019</w:t>
      </w:r>
      <w:r w:rsidR="00015F92">
        <w:t>)</w:t>
      </w:r>
      <w:r>
        <w:t xml:space="preserve">. </w:t>
      </w:r>
      <w:r w:rsidRPr="00015F92">
        <w:rPr>
          <w:i/>
          <w:iCs/>
        </w:rPr>
        <w:t>HR practices for supporting interpersonal trust and its consequences for team collaboration and innovation</w:t>
      </w:r>
      <w:r>
        <w:t>. Sustainability, 11(16), p.4423.</w:t>
      </w:r>
    </w:p>
    <w:p w14:paraId="0E649192" w14:textId="482E2AEA" w:rsidR="00F65C68" w:rsidRDefault="00F65C68">
      <w:r>
        <w:t xml:space="preserve">Demelius, Y., </w:t>
      </w:r>
      <w:r w:rsidR="00015F92">
        <w:t>(</w:t>
      </w:r>
      <w:r>
        <w:t>2020</w:t>
      </w:r>
      <w:r w:rsidR="00015F92">
        <w:t>)</w:t>
      </w:r>
      <w:r>
        <w:t xml:space="preserve">. </w:t>
      </w:r>
      <w:r w:rsidRPr="00015F92">
        <w:rPr>
          <w:i/>
          <w:iCs/>
        </w:rPr>
        <w:t xml:space="preserve">Multiculturalism in a “homogeneous” society from the </w:t>
      </w:r>
      <w:r w:rsidR="00F674A2">
        <w:rPr>
          <w:i/>
          <w:iCs/>
        </w:rPr>
        <w:t>perspective</w:t>
      </w:r>
      <w:r w:rsidRPr="00015F92">
        <w:rPr>
          <w:i/>
          <w:iCs/>
        </w:rPr>
        <w:t xml:space="preserve"> of an intercultural event in Japan</w:t>
      </w:r>
      <w:r>
        <w:t>. Asian anthropology, 19(3), pp.161-180.</w:t>
      </w:r>
    </w:p>
    <w:p w14:paraId="28829170" w14:textId="2EC07BF2" w:rsidR="00015F92" w:rsidRDefault="00F674A2">
      <w:r>
        <w:t>The editorial board</w:t>
      </w:r>
      <w:r w:rsidR="00015F92" w:rsidRPr="00015F92">
        <w:t xml:space="preserve"> (2023). </w:t>
      </w:r>
      <w:r w:rsidR="00015F92" w:rsidRPr="00015F92">
        <w:rPr>
          <w:i/>
          <w:iCs/>
        </w:rPr>
        <w:t>Tokyo: This bustiling megapolis is the world’s largest city</w:t>
      </w:r>
      <w:r w:rsidR="00015F92" w:rsidRPr="00015F92">
        <w:t>. [online] Available at: https://www.en-vols.com/en/getaways/travel/tokyo-world-largest-city/#:~:text=Tokyo%20is%20the%20world [Accessed 10 Nov. 2023].</w:t>
      </w:r>
    </w:p>
    <w:p w14:paraId="63EC16AE" w14:textId="668B68AF" w:rsidR="00F65C68" w:rsidRDefault="00F65C68">
      <w:r>
        <w:t xml:space="preserve">Griffiths, E., </w:t>
      </w:r>
      <w:r w:rsidR="00015F92">
        <w:t>(</w:t>
      </w:r>
      <w:r>
        <w:t>2019</w:t>
      </w:r>
      <w:r w:rsidR="00015F92">
        <w:t>)</w:t>
      </w:r>
      <w:r>
        <w:t xml:space="preserve">. JapanEmoji!: </w:t>
      </w:r>
      <w:r w:rsidRPr="00015F92">
        <w:rPr>
          <w:i/>
          <w:iCs/>
        </w:rPr>
        <w:t>The Characterful Guide to Living Japanese</w:t>
      </w:r>
      <w:r>
        <w:t>. Random House.</w:t>
      </w:r>
    </w:p>
    <w:p w14:paraId="732EFC5B" w14:textId="4F87DEB6" w:rsidR="00F65C68" w:rsidRDefault="00F65C68">
      <w:r>
        <w:t xml:space="preserve">Highsmith, J., Luu, L. and Robinson, D., </w:t>
      </w:r>
      <w:r w:rsidR="00015F92">
        <w:t>(</w:t>
      </w:r>
      <w:r>
        <w:t>2019</w:t>
      </w:r>
      <w:r w:rsidR="00015F92">
        <w:t>)</w:t>
      </w:r>
      <w:r>
        <w:t xml:space="preserve">. EDGE. </w:t>
      </w:r>
      <w:r w:rsidRPr="00015F92">
        <w:rPr>
          <w:i/>
          <w:iCs/>
        </w:rPr>
        <w:t>Addison-Wesley Professional.</w:t>
      </w:r>
    </w:p>
    <w:p w14:paraId="6C942585" w14:textId="4E31ADDA" w:rsidR="00F65C68" w:rsidRPr="00015F92" w:rsidRDefault="00F65C68">
      <w:pPr>
        <w:rPr>
          <w:i/>
          <w:iCs/>
        </w:rPr>
      </w:pPr>
      <w:r>
        <w:t xml:space="preserve">Hofstede, G., Hofstede, G.J. and Minkov, M., </w:t>
      </w:r>
      <w:r w:rsidR="00015F92">
        <w:t>(</w:t>
      </w:r>
      <w:r>
        <w:t>2010</w:t>
      </w:r>
      <w:r w:rsidR="00015F92">
        <w:t>)</w:t>
      </w:r>
      <w:r>
        <w:t xml:space="preserve">. </w:t>
      </w:r>
      <w:r w:rsidRPr="00015F92">
        <w:rPr>
          <w:i/>
          <w:iCs/>
        </w:rPr>
        <w:t>Cultures and organizations: Software of the mind: Intercultural cooperation and its importance for survival.</w:t>
      </w:r>
    </w:p>
    <w:p w14:paraId="0A703FE7" w14:textId="77777777" w:rsidR="00F65C68" w:rsidRDefault="00F65C68">
      <w:r>
        <w:t>H</w:t>
      </w:r>
      <w:r w:rsidRPr="00F65C68">
        <w:t>ofstede-insights.com</w:t>
      </w:r>
      <w:r>
        <w:t>, 2023. Cultural differences. Available at &lt;</w:t>
      </w:r>
      <w:hyperlink r:id="rId9" w:history="1">
        <w:r w:rsidRPr="00902366">
          <w:rPr>
            <w:rStyle w:val="Hyperlink"/>
          </w:rPr>
          <w:t>https://www.hofstede-insights.com/country-comparison tool?countries=japan%2Cunited+kingdom</w:t>
        </w:r>
      </w:hyperlink>
      <w:r>
        <w:t>&gt; [Accessed on 8/11/2023]</w:t>
      </w:r>
    </w:p>
    <w:p w14:paraId="0F5039A4" w14:textId="5F99A1C1" w:rsidR="00F65C68" w:rsidRDefault="00F65C68">
      <w:r>
        <w:t xml:space="preserve">Jain, V. and Okazawa, Y., </w:t>
      </w:r>
      <w:r w:rsidR="00015F92">
        <w:t>(</w:t>
      </w:r>
      <w:r>
        <w:t>2019</w:t>
      </w:r>
      <w:r w:rsidR="00015F92">
        <w:t>)</w:t>
      </w:r>
      <w:r>
        <w:t>. Case study on Tokyo metropolitan region, Japan.</w:t>
      </w:r>
    </w:p>
    <w:p w14:paraId="13C00F50" w14:textId="46D35F6B" w:rsidR="00F65C68" w:rsidRDefault="00F65C68">
      <w:r>
        <w:t xml:space="preserve">Kawiana, I.G.P., </w:t>
      </w:r>
      <w:r w:rsidR="00015F92">
        <w:t>(</w:t>
      </w:r>
      <w:r>
        <w:t>2023</w:t>
      </w:r>
      <w:r w:rsidR="00015F92">
        <w:t>)</w:t>
      </w:r>
      <w:r>
        <w:t xml:space="preserve">. </w:t>
      </w:r>
      <w:r w:rsidRPr="00015F92">
        <w:rPr>
          <w:i/>
          <w:iCs/>
        </w:rPr>
        <w:t>Optimization of Knowledge Management to achieve Competitive advantage in the Hospitality Industry.</w:t>
      </w:r>
      <w:r>
        <w:t xml:space="preserve"> Journal of Economics and Business (JECOMBI), 3(03), pp.155-163.</w:t>
      </w:r>
    </w:p>
    <w:p w14:paraId="4A183585" w14:textId="45CCA580" w:rsidR="00F65C68" w:rsidRDefault="00F65C68">
      <w:r>
        <w:rPr>
          <w:highlight w:val="white"/>
        </w:rPr>
        <w:t xml:space="preserve">Koc, E., </w:t>
      </w:r>
      <w:r w:rsidR="00015F92">
        <w:rPr>
          <w:highlight w:val="white"/>
        </w:rPr>
        <w:t>(</w:t>
      </w:r>
      <w:r>
        <w:rPr>
          <w:highlight w:val="white"/>
        </w:rPr>
        <w:t>2020</w:t>
      </w:r>
      <w:r w:rsidR="00015F92">
        <w:rPr>
          <w:highlight w:val="white"/>
        </w:rPr>
        <w:t>)</w:t>
      </w:r>
      <w:r>
        <w:rPr>
          <w:highlight w:val="white"/>
        </w:rPr>
        <w:t xml:space="preserve">. </w:t>
      </w:r>
      <w:r w:rsidRPr="00015F92">
        <w:rPr>
          <w:i/>
          <w:iCs/>
          <w:highlight w:val="white"/>
        </w:rPr>
        <w:t>Cross-cultural aspects of tourism and hospitality: A services marketing and management perspective</w:t>
      </w:r>
      <w:r>
        <w:rPr>
          <w:highlight w:val="white"/>
        </w:rPr>
        <w:t>. Routledge.</w:t>
      </w:r>
    </w:p>
    <w:p w14:paraId="1DCA17C5" w14:textId="3479DB24" w:rsidR="00F65C68" w:rsidRDefault="00F65C68">
      <w:r>
        <w:lastRenderedPageBreak/>
        <w:t xml:space="preserve">Lombardi, S., e Cunha, M.P. and Giustiniano, L., </w:t>
      </w:r>
      <w:r w:rsidR="00015F92">
        <w:t>(</w:t>
      </w:r>
      <w:r>
        <w:t>2021</w:t>
      </w:r>
      <w:r w:rsidR="00015F92">
        <w:t>)</w:t>
      </w:r>
      <w:r>
        <w:t xml:space="preserve">. </w:t>
      </w:r>
      <w:r w:rsidRPr="00015F92">
        <w:rPr>
          <w:i/>
          <w:iCs/>
        </w:rPr>
        <w:t>Improvising resilience: The unfolding of resilient leadership in COVID-19 times</w:t>
      </w:r>
      <w:r>
        <w:t>. International Journal of Hospitality Management, 95, p.102904.</w:t>
      </w:r>
    </w:p>
    <w:p w14:paraId="6CFE9BFB" w14:textId="50C3BA68" w:rsidR="00F65C68" w:rsidRDefault="00F65C68">
      <w:r>
        <w:t xml:space="preserve">Mullins, L.J. and McLean, J.E., </w:t>
      </w:r>
      <w:r w:rsidR="00015F92">
        <w:t>(</w:t>
      </w:r>
      <w:r>
        <w:t>2019</w:t>
      </w:r>
      <w:r w:rsidR="00015F92">
        <w:t>)</w:t>
      </w:r>
      <w:r>
        <w:t xml:space="preserve">. </w:t>
      </w:r>
      <w:r w:rsidRPr="00015F92">
        <w:rPr>
          <w:i/>
          <w:iCs/>
        </w:rPr>
        <w:t>Organisational behaviour in the workplace</w:t>
      </w:r>
      <w:r>
        <w:t>. Harlow: Pearson.</w:t>
      </w:r>
    </w:p>
    <w:p w14:paraId="7EB2EDF5" w14:textId="53E0BF06" w:rsidR="00F65C68" w:rsidRDefault="00F65C68">
      <w:r>
        <w:t xml:space="preserve">Nakata, C. ed., </w:t>
      </w:r>
      <w:r w:rsidR="00015F92">
        <w:t>(</w:t>
      </w:r>
      <w:r>
        <w:t>2009</w:t>
      </w:r>
      <w:r w:rsidR="00015F92">
        <w:t>)</w:t>
      </w:r>
      <w:r>
        <w:t>. Beyond Hofstede. London: Palgrave Macmillan.</w:t>
      </w:r>
    </w:p>
    <w:p w14:paraId="70B29AB9" w14:textId="4AC3BFF6" w:rsidR="00015F92" w:rsidRDefault="00015F92">
      <w:r w:rsidRPr="00015F92">
        <w:t xml:space="preserve">Pesek, W. (n.d.). </w:t>
      </w:r>
      <w:r w:rsidRPr="00F674A2">
        <w:rPr>
          <w:i/>
          <w:iCs/>
        </w:rPr>
        <w:t>The $5 Trillion Monster Now Tormenting Japan’s 2021</w:t>
      </w:r>
      <w:r w:rsidRPr="00015F92">
        <w:t>. [online] Forbes. Available at: https://www.forbes.com/sites/williampesek/2021/06/09/the-5-trillion-monster-now-tormenting-japans-2021/amp/ [Accessed 10 Nov. 2023].</w:t>
      </w:r>
    </w:p>
    <w:p w14:paraId="315FC0EC" w14:textId="3A7609EF" w:rsidR="00F65C68" w:rsidRDefault="00F65C68">
      <w:r>
        <w:t xml:space="preserve">Rogers, S., Lee, N.Y., White, J. and Bell, C., </w:t>
      </w:r>
      <w:r w:rsidR="00F674A2">
        <w:t>(</w:t>
      </w:r>
      <w:r>
        <w:t>2023</w:t>
      </w:r>
      <w:r w:rsidR="00F674A2">
        <w:t>)</w:t>
      </w:r>
      <w:r>
        <w:t xml:space="preserve">. </w:t>
      </w:r>
      <w:r w:rsidRPr="00F674A2">
        <w:rPr>
          <w:i/>
          <w:iCs/>
        </w:rPr>
        <w:t>Perceptions of Cross-Cultural Challenges and Successful Approaches in Facilitating the Improvement of Equine Welfare</w:t>
      </w:r>
      <w:r>
        <w:t>. Animals, 13(11), p.1724.</w:t>
      </w:r>
    </w:p>
    <w:p w14:paraId="4178ED62" w14:textId="7936A959" w:rsidR="00F65C68" w:rsidRDefault="00F65C68">
      <w:r>
        <w:t xml:space="preserve">Samovar, L.A., McDaniel, E.R., Porter, R.E. and Roy, C.S., </w:t>
      </w:r>
      <w:r w:rsidR="00F674A2">
        <w:t>(</w:t>
      </w:r>
      <w:r>
        <w:t>2013</w:t>
      </w:r>
      <w:r w:rsidR="00F674A2">
        <w:t>)</w:t>
      </w:r>
      <w:r>
        <w:t>. Communication between cultures.</w:t>
      </w:r>
    </w:p>
    <w:p w14:paraId="5737A5A9" w14:textId="7726CAF8" w:rsidR="00F65C68" w:rsidRDefault="00F65C68">
      <w:r>
        <w:t xml:space="preserve">Serra-Cantallops, A., Ramón Cardona, J. and Salvi, F., </w:t>
      </w:r>
      <w:r w:rsidR="00F674A2">
        <w:t>(</w:t>
      </w:r>
      <w:r>
        <w:t>2020</w:t>
      </w:r>
      <w:r w:rsidR="00F674A2">
        <w:t>)</w:t>
      </w:r>
      <w:r>
        <w:t xml:space="preserve">. </w:t>
      </w:r>
      <w:r w:rsidRPr="00F674A2">
        <w:rPr>
          <w:i/>
          <w:iCs/>
        </w:rPr>
        <w:t>Antecedents of positive eWOM in hotels. Exploring the relative role of satisfaction, quality and positive emotional experiences.</w:t>
      </w:r>
      <w:r>
        <w:t xml:space="preserve"> International Journal of Contemporary Hospitality Management, 32(11), pp.3457-3477.</w:t>
      </w:r>
    </w:p>
    <w:p w14:paraId="0CDB352A" w14:textId="533E4749" w:rsidR="00F65C68" w:rsidRDefault="00F65C68">
      <w:r>
        <w:t xml:space="preserve">Ubeda-Garcia, M., Rienda, L., Zaragoza-Saez, P.C. and Andreu-Guerrero, R., </w:t>
      </w:r>
      <w:r w:rsidR="00F674A2">
        <w:t>(</w:t>
      </w:r>
      <w:r>
        <w:t>2021</w:t>
      </w:r>
      <w:r w:rsidR="00F674A2">
        <w:t>)</w:t>
      </w:r>
      <w:r>
        <w:t xml:space="preserve">. </w:t>
      </w:r>
      <w:r w:rsidRPr="00F674A2">
        <w:rPr>
          <w:i/>
          <w:iCs/>
        </w:rPr>
        <w:t>The impact of knowledge management on the internationalization, organizational ambidexterity and performance of Spanish hotel chains</w:t>
      </w:r>
      <w:r>
        <w:t>. International Journal of Contemporary Hospitality Management, 33(5), pp.1507-1531.</w:t>
      </w:r>
    </w:p>
    <w:sectPr w:rsidR="00F65C68" w:rsidSect="0033267D">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39AEF" w14:textId="77777777" w:rsidR="00382951" w:rsidRDefault="00382951">
      <w:pPr>
        <w:spacing w:line="240" w:lineRule="auto"/>
      </w:pPr>
      <w:r>
        <w:separator/>
      </w:r>
    </w:p>
  </w:endnote>
  <w:endnote w:type="continuationSeparator" w:id="0">
    <w:p w14:paraId="1A88C8A7" w14:textId="77777777" w:rsidR="00382951" w:rsidRDefault="003829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623228"/>
      <w:docPartObj>
        <w:docPartGallery w:val="Page Numbers (Bottom of Page)"/>
        <w:docPartUnique/>
      </w:docPartObj>
    </w:sdtPr>
    <w:sdtEndPr>
      <w:rPr>
        <w:noProof/>
      </w:rPr>
    </w:sdtEndPr>
    <w:sdtContent>
      <w:p w14:paraId="40E4764F" w14:textId="2EED19D2" w:rsidR="0033267D" w:rsidRDefault="0033267D">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00000054" w14:textId="77777777" w:rsidR="00826D40" w:rsidRDefault="00826D4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034BC" w14:textId="77777777" w:rsidR="00382951" w:rsidRDefault="00382951">
      <w:pPr>
        <w:spacing w:line="240" w:lineRule="auto"/>
      </w:pPr>
      <w:r>
        <w:separator/>
      </w:r>
    </w:p>
  </w:footnote>
  <w:footnote w:type="continuationSeparator" w:id="0">
    <w:p w14:paraId="42C919A1" w14:textId="77777777" w:rsidR="00382951" w:rsidRDefault="003829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781E71"/>
    <w:multiLevelType w:val="multilevel"/>
    <w:tmpl w:val="3C029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8748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6D40"/>
    <w:rsid w:val="00015F92"/>
    <w:rsid w:val="00026F9F"/>
    <w:rsid w:val="000B0676"/>
    <w:rsid w:val="000B5800"/>
    <w:rsid w:val="00203222"/>
    <w:rsid w:val="0033267D"/>
    <w:rsid w:val="00382951"/>
    <w:rsid w:val="006A3546"/>
    <w:rsid w:val="006D58BB"/>
    <w:rsid w:val="007009E8"/>
    <w:rsid w:val="00765626"/>
    <w:rsid w:val="00826D40"/>
    <w:rsid w:val="0086102E"/>
    <w:rsid w:val="009E5025"/>
    <w:rsid w:val="00AD623C"/>
    <w:rsid w:val="00BD0E9F"/>
    <w:rsid w:val="00E81E78"/>
    <w:rsid w:val="00F65C68"/>
    <w:rsid w:val="00F674A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27F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hi-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outlineLvl w:val="0"/>
    </w:pPr>
    <w:rPr>
      <w:b/>
      <w:sz w:val="28"/>
      <w:szCs w:val="28"/>
    </w:rPr>
  </w:style>
  <w:style w:type="paragraph" w:styleId="Heading2">
    <w:name w:val="heading 2"/>
    <w:basedOn w:val="Normal"/>
    <w:next w:val="Normal"/>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3267D"/>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33267D"/>
    <w:rPr>
      <w:rFonts w:cs="Mangal"/>
      <w:szCs w:val="21"/>
    </w:rPr>
  </w:style>
  <w:style w:type="paragraph" w:styleId="Footer">
    <w:name w:val="footer"/>
    <w:basedOn w:val="Normal"/>
    <w:link w:val="FooterChar"/>
    <w:uiPriority w:val="99"/>
    <w:unhideWhenUsed/>
    <w:rsid w:val="0033267D"/>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33267D"/>
    <w:rPr>
      <w:rFonts w:cs="Mangal"/>
      <w:szCs w:val="21"/>
    </w:rPr>
  </w:style>
  <w:style w:type="character" w:styleId="Hyperlink">
    <w:name w:val="Hyperlink"/>
    <w:basedOn w:val="DefaultParagraphFont"/>
    <w:uiPriority w:val="99"/>
    <w:unhideWhenUsed/>
    <w:rsid w:val="00F65C68"/>
    <w:rPr>
      <w:color w:val="0000FF" w:themeColor="hyperlink"/>
      <w:u w:val="single"/>
    </w:rPr>
  </w:style>
  <w:style w:type="character" w:styleId="UnresolvedMention">
    <w:name w:val="Unresolved Mention"/>
    <w:basedOn w:val="DefaultParagraphFont"/>
    <w:uiPriority w:val="99"/>
    <w:semiHidden/>
    <w:unhideWhenUsed/>
    <w:rsid w:val="00F65C68"/>
    <w:rPr>
      <w:color w:val="605E5C"/>
      <w:shd w:val="clear" w:color="auto" w:fill="E1DFDD"/>
    </w:rPr>
  </w:style>
  <w:style w:type="paragraph" w:styleId="ListParagraph">
    <w:name w:val="List Paragraph"/>
    <w:basedOn w:val="Normal"/>
    <w:uiPriority w:val="34"/>
    <w:qFormat/>
    <w:rsid w:val="00026F9F"/>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9931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ofstede-insights.com/country-comparison%20tool?countries=japan%2C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vUhQJU7bkXRBsS2RONlSnNzoAjg==">AMUW2mWRNUGbTfXTAkNiSgYT8bypRRCkxK7zecRboaOrhgopSeL6iKerPJeqpomiL/RCs1sLMSWgjxTtPfPlBARZo541xNBZGETi1Y7EWDYAumO2TZPsE2cJb+cn22jvGkftecLkcqay9hTEPHiwLMlgQOBTuAAqL0qmzaj7qLkq5EFBCTHRk0Pt/MxkwMaL8cb/goaoWH/Eu8w+KA+h9WQsqsgVGQBrdu7dvypD1T6ukoZRflsq7os=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1825</Words>
  <Characters>11664</Characters>
  <Application>Microsoft Office Word</Application>
  <DocSecurity>0</DocSecurity>
  <Lines>212</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2023-11-10T23:20:00Z</dcterms:created>
  <dcterms:modified xsi:type="dcterms:W3CDTF">2023-11-10T23:20:00Z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5efb357fc0092910b8615fd3cc49b589f84009b1dfe55385f502e48483283e3f</vt:lpwstr>
  </property>
</Properties>
</file>