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23866619"/>
        <w:docPartObj>
          <w:docPartGallery w:val="Cover Pages"/>
          <w:docPartUnique/>
        </w:docPartObj>
      </w:sdtPr>
      <w:sdtContent>
        <w:p w14:paraId="1937DF01" w14:textId="0C833406" w:rsidR="00F21079" w:rsidRDefault="00F21079">
          <w:r>
            <w:rPr>
              <w:noProof/>
            </w:rPr>
            <mc:AlternateContent>
              <mc:Choice Requires="wpg">
                <w:drawing>
                  <wp:anchor distT="0" distB="0" distL="114300" distR="114300" simplePos="0" relativeHeight="251662336" behindDoc="0" locked="0" layoutInCell="1" allowOverlap="1" wp14:anchorId="0F72F2F2" wp14:editId="47DEEF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4707E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9BB26D" wp14:editId="4618EF9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C9350F" w14:textId="4E7E97E4" w:rsidR="00F21079" w:rsidRDefault="00F21079">
                                    <w:pPr>
                                      <w:pStyle w:val="NoSpacing"/>
                                      <w:jc w:val="right"/>
                                      <w:rPr>
                                        <w:color w:val="595959" w:themeColor="text1" w:themeTint="A6"/>
                                        <w:sz w:val="28"/>
                                        <w:szCs w:val="28"/>
                                      </w:rPr>
                                    </w:pPr>
                                    <w:r>
                                      <w:rPr>
                                        <w:color w:val="595959" w:themeColor="text1" w:themeTint="A6"/>
                                        <w:sz w:val="28"/>
                                        <w:szCs w:val="28"/>
                                      </w:rPr>
                                      <w:t>Bethan Moyle (1707952)</w:t>
                                    </w:r>
                                  </w:p>
                                </w:sdtContent>
                              </w:sdt>
                              <w:p w14:paraId="12052C36" w14:textId="5801C5A6" w:rsidR="00F2107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21079">
                                      <w:rPr>
                                        <w:color w:val="595959" w:themeColor="text1" w:themeTint="A6"/>
                                        <w:sz w:val="18"/>
                                        <w:szCs w:val="18"/>
                                      </w:rPr>
                                      <w:t>1707952@student.uwtsd.ac.uk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9BB26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C9350F" w14:textId="4E7E97E4" w:rsidR="00F21079" w:rsidRDefault="00F21079">
                              <w:pPr>
                                <w:pStyle w:val="NoSpacing"/>
                                <w:jc w:val="right"/>
                                <w:rPr>
                                  <w:color w:val="595959" w:themeColor="text1" w:themeTint="A6"/>
                                  <w:sz w:val="28"/>
                                  <w:szCs w:val="28"/>
                                </w:rPr>
                              </w:pPr>
                              <w:r>
                                <w:rPr>
                                  <w:color w:val="595959" w:themeColor="text1" w:themeTint="A6"/>
                                  <w:sz w:val="28"/>
                                  <w:szCs w:val="28"/>
                                </w:rPr>
                                <w:t>Bethan Moyle (1707952)</w:t>
                              </w:r>
                            </w:p>
                          </w:sdtContent>
                        </w:sdt>
                        <w:p w14:paraId="12052C36" w14:textId="5801C5A6" w:rsidR="00F2107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21079">
                                <w:rPr>
                                  <w:color w:val="595959" w:themeColor="text1" w:themeTint="A6"/>
                                  <w:sz w:val="18"/>
                                  <w:szCs w:val="18"/>
                                </w:rPr>
                                <w:t>1707952@student.uwtsd.ac.uk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615B6CE" wp14:editId="206F759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CCFBD6" w14:textId="6F74E086" w:rsidR="00F21079" w:rsidRDefault="00000000" w:rsidP="00F21079">
                                <w:pPr>
                                  <w:jc w:val="right"/>
                                  <w:rPr>
                                    <w:color w:val="156082" w:themeColor="accent1"/>
                                    <w:sz w:val="64"/>
                                    <w:szCs w:val="64"/>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54D5A">
                                      <w:rPr>
                                        <w:caps/>
                                        <w:color w:val="156082" w:themeColor="accent1"/>
                                        <w:sz w:val="56"/>
                                        <w:szCs w:val="56"/>
                                      </w:rPr>
                                      <w:t xml:space="preserve">Synthesize a solution to a </w:t>
                                    </w:r>
                                    <w:r w:rsidR="00D54D5A">
                                      <w:rPr>
                                        <w:caps/>
                                        <w:color w:val="156082" w:themeColor="accent1"/>
                                        <w:sz w:val="56"/>
                                        <w:szCs w:val="56"/>
                                      </w:rPr>
                                      <w:br/>
                                      <w:t>potential real-life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E5FAF5" w14:textId="73714BC3" w:rsidR="00F21079" w:rsidRDefault="00F21079">
                                    <w:pPr>
                                      <w:jc w:val="right"/>
                                      <w:rPr>
                                        <w:smallCaps/>
                                        <w:color w:val="404040" w:themeColor="text1" w:themeTint="BF"/>
                                        <w:sz w:val="36"/>
                                        <w:szCs w:val="36"/>
                                      </w:rPr>
                                    </w:pPr>
                                    <w:r>
                                      <w:rPr>
                                        <w:color w:val="404040" w:themeColor="text1" w:themeTint="BF"/>
                                        <w:sz w:val="36"/>
                                        <w:szCs w:val="36"/>
                                      </w:rPr>
                                      <w:t>Networks and Cyber Security Essentials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615B6C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1CCFBD6" w14:textId="6F74E086" w:rsidR="00F21079" w:rsidRDefault="00000000" w:rsidP="00F21079">
                          <w:pPr>
                            <w:jc w:val="right"/>
                            <w:rPr>
                              <w:color w:val="156082" w:themeColor="accent1"/>
                              <w:sz w:val="64"/>
                              <w:szCs w:val="64"/>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54D5A">
                                <w:rPr>
                                  <w:caps/>
                                  <w:color w:val="156082" w:themeColor="accent1"/>
                                  <w:sz w:val="56"/>
                                  <w:szCs w:val="56"/>
                                </w:rPr>
                                <w:t xml:space="preserve">Synthesize a solution to a </w:t>
                              </w:r>
                              <w:r w:rsidR="00D54D5A">
                                <w:rPr>
                                  <w:caps/>
                                  <w:color w:val="156082" w:themeColor="accent1"/>
                                  <w:sz w:val="56"/>
                                  <w:szCs w:val="56"/>
                                </w:rPr>
                                <w:br/>
                                <w:t>potential real-life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E5FAF5" w14:textId="73714BC3" w:rsidR="00F21079" w:rsidRDefault="00F21079">
                              <w:pPr>
                                <w:jc w:val="right"/>
                                <w:rPr>
                                  <w:smallCaps/>
                                  <w:color w:val="404040" w:themeColor="text1" w:themeTint="BF"/>
                                  <w:sz w:val="36"/>
                                  <w:szCs w:val="36"/>
                                </w:rPr>
                              </w:pPr>
                              <w:r>
                                <w:rPr>
                                  <w:color w:val="404040" w:themeColor="text1" w:themeTint="BF"/>
                                  <w:sz w:val="36"/>
                                  <w:szCs w:val="36"/>
                                </w:rPr>
                                <w:t>Networks and Cyber Security Essentials</w:t>
                              </w:r>
                            </w:p>
                          </w:sdtContent>
                        </w:sdt>
                      </w:txbxContent>
                    </v:textbox>
                    <w10:wrap type="square" anchorx="page" anchory="page"/>
                  </v:shape>
                </w:pict>
              </mc:Fallback>
            </mc:AlternateContent>
          </w:r>
        </w:p>
        <w:p w14:paraId="10FFAFC5" w14:textId="73A0BE2D" w:rsidR="00F21079" w:rsidRDefault="00F21079">
          <w:r>
            <w:br w:type="page"/>
          </w:r>
        </w:p>
      </w:sdtContent>
    </w:sdt>
    <w:sdt>
      <w:sdtPr>
        <w:rPr>
          <w:rFonts w:asciiTheme="minorHAnsi" w:eastAsiaTheme="minorHAnsi" w:hAnsiTheme="minorHAnsi" w:cstheme="minorBidi"/>
          <w:color w:val="auto"/>
          <w:kern w:val="2"/>
          <w:sz w:val="24"/>
          <w:szCs w:val="24"/>
          <w:lang w:val="en-GB"/>
          <w14:ligatures w14:val="standardContextual"/>
        </w:rPr>
        <w:id w:val="1728417587"/>
        <w:docPartObj>
          <w:docPartGallery w:val="Table of Contents"/>
          <w:docPartUnique/>
        </w:docPartObj>
      </w:sdtPr>
      <w:sdtEndPr>
        <w:rPr>
          <w:b/>
          <w:bCs/>
          <w:noProof/>
        </w:rPr>
      </w:sdtEndPr>
      <w:sdtContent>
        <w:p w14:paraId="189DFE5A" w14:textId="3B868AAE" w:rsidR="00F21079" w:rsidRDefault="00F21079" w:rsidP="00F21079">
          <w:pPr>
            <w:pStyle w:val="TOCHeading"/>
            <w:numPr>
              <w:ilvl w:val="0"/>
              <w:numId w:val="0"/>
            </w:numPr>
            <w:ind w:left="432" w:hanging="432"/>
          </w:pPr>
          <w:r>
            <w:t>Table of Contents</w:t>
          </w:r>
        </w:p>
        <w:p w14:paraId="65F6B220" w14:textId="31E7134E" w:rsidR="006A6DFB" w:rsidRDefault="00F21079">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0303055" w:history="1">
            <w:r w:rsidR="006A6DFB" w:rsidRPr="00F3756C">
              <w:rPr>
                <w:rStyle w:val="Hyperlink"/>
                <w:rFonts w:ascii="Arial" w:hAnsi="Arial" w:cs="Arial"/>
                <w:noProof/>
              </w:rPr>
              <w:t>1</w:t>
            </w:r>
            <w:r w:rsidR="006A6DFB">
              <w:rPr>
                <w:rFonts w:eastAsiaTheme="minorEastAsia"/>
                <w:noProof/>
                <w:lang w:eastAsia="en-GB"/>
              </w:rPr>
              <w:tab/>
            </w:r>
            <w:r w:rsidR="006A6DFB" w:rsidRPr="00F3756C">
              <w:rPr>
                <w:rStyle w:val="Hyperlink"/>
                <w:rFonts w:ascii="Arial" w:hAnsi="Arial" w:cs="Arial"/>
                <w:noProof/>
              </w:rPr>
              <w:t>Introduction</w:t>
            </w:r>
            <w:r w:rsidR="006A6DFB">
              <w:rPr>
                <w:noProof/>
                <w:webHidden/>
              </w:rPr>
              <w:tab/>
            </w:r>
            <w:r w:rsidR="006A6DFB">
              <w:rPr>
                <w:noProof/>
                <w:webHidden/>
              </w:rPr>
              <w:fldChar w:fldCharType="begin"/>
            </w:r>
            <w:r w:rsidR="006A6DFB">
              <w:rPr>
                <w:noProof/>
                <w:webHidden/>
              </w:rPr>
              <w:instrText xml:space="preserve"> PAGEREF _Toc230303055 \h </w:instrText>
            </w:r>
            <w:r w:rsidR="006A6DFB">
              <w:rPr>
                <w:noProof/>
                <w:webHidden/>
              </w:rPr>
            </w:r>
            <w:r w:rsidR="006A6DFB">
              <w:rPr>
                <w:noProof/>
                <w:webHidden/>
              </w:rPr>
              <w:fldChar w:fldCharType="separate"/>
            </w:r>
            <w:r w:rsidR="006A6DFB">
              <w:rPr>
                <w:noProof/>
                <w:webHidden/>
              </w:rPr>
              <w:t>2</w:t>
            </w:r>
            <w:r w:rsidR="006A6DFB">
              <w:rPr>
                <w:noProof/>
                <w:webHidden/>
              </w:rPr>
              <w:fldChar w:fldCharType="end"/>
            </w:r>
          </w:hyperlink>
        </w:p>
        <w:p w14:paraId="441C5BE7" w14:textId="089043D2" w:rsidR="006A6DFB" w:rsidRDefault="006A6DFB">
          <w:pPr>
            <w:pStyle w:val="TOC1"/>
            <w:tabs>
              <w:tab w:val="left" w:pos="480"/>
              <w:tab w:val="right" w:leader="dot" w:pos="9016"/>
            </w:tabs>
            <w:rPr>
              <w:rFonts w:eastAsiaTheme="minorEastAsia"/>
              <w:noProof/>
              <w:lang w:eastAsia="en-GB"/>
            </w:rPr>
          </w:pPr>
          <w:hyperlink w:anchor="_Toc230303056" w:history="1">
            <w:r w:rsidRPr="00F3756C">
              <w:rPr>
                <w:rStyle w:val="Hyperlink"/>
                <w:rFonts w:ascii="Arial" w:hAnsi="Arial" w:cs="Arial"/>
                <w:noProof/>
              </w:rPr>
              <w:t>2</w:t>
            </w:r>
            <w:r>
              <w:rPr>
                <w:rFonts w:eastAsiaTheme="minorEastAsia"/>
                <w:noProof/>
                <w:lang w:eastAsia="en-GB"/>
              </w:rPr>
              <w:tab/>
            </w:r>
            <w:r w:rsidRPr="00F3756C">
              <w:rPr>
                <w:rStyle w:val="Hyperlink"/>
                <w:rFonts w:ascii="Arial" w:hAnsi="Arial" w:cs="Arial"/>
                <w:noProof/>
              </w:rPr>
              <w:t>Modern Threat Landscape</w:t>
            </w:r>
            <w:r>
              <w:rPr>
                <w:noProof/>
                <w:webHidden/>
              </w:rPr>
              <w:tab/>
            </w:r>
            <w:r>
              <w:rPr>
                <w:noProof/>
                <w:webHidden/>
              </w:rPr>
              <w:fldChar w:fldCharType="begin"/>
            </w:r>
            <w:r>
              <w:rPr>
                <w:noProof/>
                <w:webHidden/>
              </w:rPr>
              <w:instrText xml:space="preserve"> PAGEREF _Toc230303056 \h </w:instrText>
            </w:r>
            <w:r>
              <w:rPr>
                <w:noProof/>
                <w:webHidden/>
              </w:rPr>
            </w:r>
            <w:r>
              <w:rPr>
                <w:noProof/>
                <w:webHidden/>
              </w:rPr>
              <w:fldChar w:fldCharType="separate"/>
            </w:r>
            <w:r>
              <w:rPr>
                <w:noProof/>
                <w:webHidden/>
              </w:rPr>
              <w:t>2</w:t>
            </w:r>
            <w:r>
              <w:rPr>
                <w:noProof/>
                <w:webHidden/>
              </w:rPr>
              <w:fldChar w:fldCharType="end"/>
            </w:r>
          </w:hyperlink>
        </w:p>
        <w:p w14:paraId="0EFE8470" w14:textId="418F9CA6" w:rsidR="006A6DFB" w:rsidRDefault="006A6DFB">
          <w:pPr>
            <w:pStyle w:val="TOC2"/>
            <w:tabs>
              <w:tab w:val="left" w:pos="960"/>
              <w:tab w:val="right" w:leader="dot" w:pos="9016"/>
            </w:tabs>
            <w:rPr>
              <w:rFonts w:eastAsiaTheme="minorEastAsia"/>
              <w:noProof/>
              <w:lang w:eastAsia="en-GB"/>
            </w:rPr>
          </w:pPr>
          <w:hyperlink w:anchor="_Toc230303057" w:history="1">
            <w:r w:rsidRPr="00F3756C">
              <w:rPr>
                <w:rStyle w:val="Hyperlink"/>
                <w:rFonts w:ascii="Arial" w:hAnsi="Arial" w:cs="Arial"/>
                <w:noProof/>
              </w:rPr>
              <w:t>2.1</w:t>
            </w:r>
            <w:r>
              <w:rPr>
                <w:rFonts w:eastAsiaTheme="minorEastAsia"/>
                <w:noProof/>
                <w:lang w:eastAsia="en-GB"/>
              </w:rPr>
              <w:tab/>
            </w:r>
            <w:r w:rsidRPr="00F3756C">
              <w:rPr>
                <w:rStyle w:val="Hyperlink"/>
                <w:rFonts w:ascii="Arial" w:hAnsi="Arial" w:cs="Arial"/>
                <w:noProof/>
              </w:rPr>
              <w:t>Insider Threat</w:t>
            </w:r>
            <w:r>
              <w:rPr>
                <w:noProof/>
                <w:webHidden/>
              </w:rPr>
              <w:tab/>
            </w:r>
            <w:r>
              <w:rPr>
                <w:noProof/>
                <w:webHidden/>
              </w:rPr>
              <w:fldChar w:fldCharType="begin"/>
            </w:r>
            <w:r>
              <w:rPr>
                <w:noProof/>
                <w:webHidden/>
              </w:rPr>
              <w:instrText xml:space="preserve"> PAGEREF _Toc230303057 \h </w:instrText>
            </w:r>
            <w:r>
              <w:rPr>
                <w:noProof/>
                <w:webHidden/>
              </w:rPr>
            </w:r>
            <w:r>
              <w:rPr>
                <w:noProof/>
                <w:webHidden/>
              </w:rPr>
              <w:fldChar w:fldCharType="separate"/>
            </w:r>
            <w:r>
              <w:rPr>
                <w:noProof/>
                <w:webHidden/>
              </w:rPr>
              <w:t>2</w:t>
            </w:r>
            <w:r>
              <w:rPr>
                <w:noProof/>
                <w:webHidden/>
              </w:rPr>
              <w:fldChar w:fldCharType="end"/>
            </w:r>
          </w:hyperlink>
        </w:p>
        <w:p w14:paraId="552B7628" w14:textId="764D5FBB" w:rsidR="006A6DFB" w:rsidRDefault="006A6DFB">
          <w:pPr>
            <w:pStyle w:val="TOC2"/>
            <w:tabs>
              <w:tab w:val="left" w:pos="960"/>
              <w:tab w:val="right" w:leader="dot" w:pos="9016"/>
            </w:tabs>
            <w:rPr>
              <w:rFonts w:eastAsiaTheme="minorEastAsia"/>
              <w:noProof/>
              <w:lang w:eastAsia="en-GB"/>
            </w:rPr>
          </w:pPr>
          <w:hyperlink w:anchor="_Toc230303058" w:history="1">
            <w:r w:rsidRPr="00F3756C">
              <w:rPr>
                <w:rStyle w:val="Hyperlink"/>
                <w:rFonts w:ascii="Arial" w:hAnsi="Arial" w:cs="Arial"/>
                <w:noProof/>
              </w:rPr>
              <w:t>2.2</w:t>
            </w:r>
            <w:r>
              <w:rPr>
                <w:rFonts w:eastAsiaTheme="minorEastAsia"/>
                <w:noProof/>
                <w:lang w:eastAsia="en-GB"/>
              </w:rPr>
              <w:tab/>
            </w:r>
            <w:r w:rsidRPr="00F3756C">
              <w:rPr>
                <w:rStyle w:val="Hyperlink"/>
                <w:rFonts w:ascii="Arial" w:hAnsi="Arial" w:cs="Arial"/>
                <w:noProof/>
              </w:rPr>
              <w:t>RaaS</w:t>
            </w:r>
            <w:r>
              <w:rPr>
                <w:noProof/>
                <w:webHidden/>
              </w:rPr>
              <w:tab/>
            </w:r>
            <w:r>
              <w:rPr>
                <w:noProof/>
                <w:webHidden/>
              </w:rPr>
              <w:fldChar w:fldCharType="begin"/>
            </w:r>
            <w:r>
              <w:rPr>
                <w:noProof/>
                <w:webHidden/>
              </w:rPr>
              <w:instrText xml:space="preserve"> PAGEREF _Toc230303058 \h </w:instrText>
            </w:r>
            <w:r>
              <w:rPr>
                <w:noProof/>
                <w:webHidden/>
              </w:rPr>
            </w:r>
            <w:r>
              <w:rPr>
                <w:noProof/>
                <w:webHidden/>
              </w:rPr>
              <w:fldChar w:fldCharType="separate"/>
            </w:r>
            <w:r>
              <w:rPr>
                <w:noProof/>
                <w:webHidden/>
              </w:rPr>
              <w:t>2</w:t>
            </w:r>
            <w:r>
              <w:rPr>
                <w:noProof/>
                <w:webHidden/>
              </w:rPr>
              <w:fldChar w:fldCharType="end"/>
            </w:r>
          </w:hyperlink>
        </w:p>
        <w:p w14:paraId="7F60C294" w14:textId="7013B43D" w:rsidR="006A6DFB" w:rsidRDefault="006A6DFB">
          <w:pPr>
            <w:pStyle w:val="TOC2"/>
            <w:tabs>
              <w:tab w:val="left" w:pos="960"/>
              <w:tab w:val="right" w:leader="dot" w:pos="9016"/>
            </w:tabs>
            <w:rPr>
              <w:rFonts w:eastAsiaTheme="minorEastAsia"/>
              <w:noProof/>
              <w:lang w:eastAsia="en-GB"/>
            </w:rPr>
          </w:pPr>
          <w:hyperlink w:anchor="_Toc230303059" w:history="1">
            <w:r w:rsidRPr="00F3756C">
              <w:rPr>
                <w:rStyle w:val="Hyperlink"/>
                <w:rFonts w:ascii="Arial" w:hAnsi="Arial" w:cs="Arial"/>
                <w:noProof/>
              </w:rPr>
              <w:t>2.3</w:t>
            </w:r>
            <w:r>
              <w:rPr>
                <w:rFonts w:eastAsiaTheme="minorEastAsia"/>
                <w:noProof/>
                <w:lang w:eastAsia="en-GB"/>
              </w:rPr>
              <w:tab/>
            </w:r>
            <w:r w:rsidRPr="00F3756C">
              <w:rPr>
                <w:rStyle w:val="Hyperlink"/>
                <w:rFonts w:ascii="Arial" w:hAnsi="Arial" w:cs="Arial"/>
                <w:noProof/>
              </w:rPr>
              <w:t>AI Vishing</w:t>
            </w:r>
            <w:r>
              <w:rPr>
                <w:noProof/>
                <w:webHidden/>
              </w:rPr>
              <w:tab/>
            </w:r>
            <w:r>
              <w:rPr>
                <w:noProof/>
                <w:webHidden/>
              </w:rPr>
              <w:fldChar w:fldCharType="begin"/>
            </w:r>
            <w:r>
              <w:rPr>
                <w:noProof/>
                <w:webHidden/>
              </w:rPr>
              <w:instrText xml:space="preserve"> PAGEREF _Toc230303059 \h </w:instrText>
            </w:r>
            <w:r>
              <w:rPr>
                <w:noProof/>
                <w:webHidden/>
              </w:rPr>
            </w:r>
            <w:r>
              <w:rPr>
                <w:noProof/>
                <w:webHidden/>
              </w:rPr>
              <w:fldChar w:fldCharType="separate"/>
            </w:r>
            <w:r>
              <w:rPr>
                <w:noProof/>
                <w:webHidden/>
              </w:rPr>
              <w:t>2</w:t>
            </w:r>
            <w:r>
              <w:rPr>
                <w:noProof/>
                <w:webHidden/>
              </w:rPr>
              <w:fldChar w:fldCharType="end"/>
            </w:r>
          </w:hyperlink>
        </w:p>
        <w:p w14:paraId="3E15B71B" w14:textId="11561AEB" w:rsidR="006A6DFB" w:rsidRDefault="006A6DFB">
          <w:pPr>
            <w:pStyle w:val="TOC2"/>
            <w:tabs>
              <w:tab w:val="left" w:pos="960"/>
              <w:tab w:val="right" w:leader="dot" w:pos="9016"/>
            </w:tabs>
            <w:rPr>
              <w:rFonts w:eastAsiaTheme="minorEastAsia"/>
              <w:noProof/>
              <w:lang w:eastAsia="en-GB"/>
            </w:rPr>
          </w:pPr>
          <w:hyperlink w:anchor="_Toc230303060" w:history="1">
            <w:r w:rsidRPr="00F3756C">
              <w:rPr>
                <w:rStyle w:val="Hyperlink"/>
                <w:rFonts w:ascii="Arial" w:hAnsi="Arial" w:cs="Arial"/>
                <w:noProof/>
              </w:rPr>
              <w:t>2.4</w:t>
            </w:r>
            <w:r>
              <w:rPr>
                <w:rFonts w:eastAsiaTheme="minorEastAsia"/>
                <w:noProof/>
                <w:lang w:eastAsia="en-GB"/>
              </w:rPr>
              <w:tab/>
            </w:r>
            <w:r w:rsidRPr="00F3756C">
              <w:rPr>
                <w:rStyle w:val="Hyperlink"/>
                <w:rFonts w:ascii="Arial" w:hAnsi="Arial" w:cs="Arial"/>
                <w:noProof/>
              </w:rPr>
              <w:t>Supply Chain</w:t>
            </w:r>
            <w:r>
              <w:rPr>
                <w:noProof/>
                <w:webHidden/>
              </w:rPr>
              <w:tab/>
            </w:r>
            <w:r>
              <w:rPr>
                <w:noProof/>
                <w:webHidden/>
              </w:rPr>
              <w:fldChar w:fldCharType="begin"/>
            </w:r>
            <w:r>
              <w:rPr>
                <w:noProof/>
                <w:webHidden/>
              </w:rPr>
              <w:instrText xml:space="preserve"> PAGEREF _Toc230303060 \h </w:instrText>
            </w:r>
            <w:r>
              <w:rPr>
                <w:noProof/>
                <w:webHidden/>
              </w:rPr>
            </w:r>
            <w:r>
              <w:rPr>
                <w:noProof/>
                <w:webHidden/>
              </w:rPr>
              <w:fldChar w:fldCharType="separate"/>
            </w:r>
            <w:r>
              <w:rPr>
                <w:noProof/>
                <w:webHidden/>
              </w:rPr>
              <w:t>2</w:t>
            </w:r>
            <w:r>
              <w:rPr>
                <w:noProof/>
                <w:webHidden/>
              </w:rPr>
              <w:fldChar w:fldCharType="end"/>
            </w:r>
          </w:hyperlink>
        </w:p>
        <w:p w14:paraId="621E4CB7" w14:textId="2EEF420B" w:rsidR="006A6DFB" w:rsidRDefault="006A6DFB">
          <w:pPr>
            <w:pStyle w:val="TOC2"/>
            <w:tabs>
              <w:tab w:val="left" w:pos="960"/>
              <w:tab w:val="right" w:leader="dot" w:pos="9016"/>
            </w:tabs>
            <w:rPr>
              <w:rFonts w:eastAsiaTheme="minorEastAsia"/>
              <w:noProof/>
              <w:lang w:eastAsia="en-GB"/>
            </w:rPr>
          </w:pPr>
          <w:hyperlink w:anchor="_Toc230303061" w:history="1">
            <w:r w:rsidRPr="00F3756C">
              <w:rPr>
                <w:rStyle w:val="Hyperlink"/>
                <w:rFonts w:ascii="Arial" w:hAnsi="Arial" w:cs="Arial"/>
                <w:noProof/>
              </w:rPr>
              <w:t>2.5</w:t>
            </w:r>
            <w:r>
              <w:rPr>
                <w:rFonts w:eastAsiaTheme="minorEastAsia"/>
                <w:noProof/>
                <w:lang w:eastAsia="en-GB"/>
              </w:rPr>
              <w:tab/>
            </w:r>
            <w:r w:rsidRPr="00F3756C">
              <w:rPr>
                <w:rStyle w:val="Hyperlink"/>
                <w:rFonts w:ascii="Arial" w:hAnsi="Arial" w:cs="Arial"/>
                <w:noProof/>
              </w:rPr>
              <w:t>Cloud Misconfiguration and Hybrid Work Surface</w:t>
            </w:r>
            <w:r>
              <w:rPr>
                <w:noProof/>
                <w:webHidden/>
              </w:rPr>
              <w:tab/>
            </w:r>
            <w:r>
              <w:rPr>
                <w:noProof/>
                <w:webHidden/>
              </w:rPr>
              <w:fldChar w:fldCharType="begin"/>
            </w:r>
            <w:r>
              <w:rPr>
                <w:noProof/>
                <w:webHidden/>
              </w:rPr>
              <w:instrText xml:space="preserve"> PAGEREF _Toc230303061 \h </w:instrText>
            </w:r>
            <w:r>
              <w:rPr>
                <w:noProof/>
                <w:webHidden/>
              </w:rPr>
            </w:r>
            <w:r>
              <w:rPr>
                <w:noProof/>
                <w:webHidden/>
              </w:rPr>
              <w:fldChar w:fldCharType="separate"/>
            </w:r>
            <w:r>
              <w:rPr>
                <w:noProof/>
                <w:webHidden/>
              </w:rPr>
              <w:t>3</w:t>
            </w:r>
            <w:r>
              <w:rPr>
                <w:noProof/>
                <w:webHidden/>
              </w:rPr>
              <w:fldChar w:fldCharType="end"/>
            </w:r>
          </w:hyperlink>
        </w:p>
        <w:p w14:paraId="3F71F461" w14:textId="520536BB" w:rsidR="006A6DFB" w:rsidRDefault="006A6DFB">
          <w:pPr>
            <w:pStyle w:val="TOC1"/>
            <w:tabs>
              <w:tab w:val="left" w:pos="480"/>
              <w:tab w:val="right" w:leader="dot" w:pos="9016"/>
            </w:tabs>
            <w:rPr>
              <w:rFonts w:eastAsiaTheme="minorEastAsia"/>
              <w:noProof/>
              <w:lang w:eastAsia="en-GB"/>
            </w:rPr>
          </w:pPr>
          <w:hyperlink w:anchor="_Toc230303062" w:history="1">
            <w:r w:rsidRPr="00F3756C">
              <w:rPr>
                <w:rStyle w:val="Hyperlink"/>
                <w:rFonts w:ascii="Arial" w:hAnsi="Arial" w:cs="Arial"/>
                <w:noProof/>
              </w:rPr>
              <w:t>3</w:t>
            </w:r>
            <w:r>
              <w:rPr>
                <w:rFonts w:eastAsiaTheme="minorEastAsia"/>
                <w:noProof/>
                <w:lang w:eastAsia="en-GB"/>
              </w:rPr>
              <w:tab/>
            </w:r>
            <w:r w:rsidRPr="00F3756C">
              <w:rPr>
                <w:rStyle w:val="Hyperlink"/>
                <w:rFonts w:ascii="Arial" w:hAnsi="Arial" w:cs="Arial"/>
                <w:noProof/>
              </w:rPr>
              <w:t>Zero-Trust Policies</w:t>
            </w:r>
            <w:r>
              <w:rPr>
                <w:noProof/>
                <w:webHidden/>
              </w:rPr>
              <w:tab/>
            </w:r>
            <w:r>
              <w:rPr>
                <w:noProof/>
                <w:webHidden/>
              </w:rPr>
              <w:fldChar w:fldCharType="begin"/>
            </w:r>
            <w:r>
              <w:rPr>
                <w:noProof/>
                <w:webHidden/>
              </w:rPr>
              <w:instrText xml:space="preserve"> PAGEREF _Toc230303062 \h </w:instrText>
            </w:r>
            <w:r>
              <w:rPr>
                <w:noProof/>
                <w:webHidden/>
              </w:rPr>
            </w:r>
            <w:r>
              <w:rPr>
                <w:noProof/>
                <w:webHidden/>
              </w:rPr>
              <w:fldChar w:fldCharType="separate"/>
            </w:r>
            <w:r>
              <w:rPr>
                <w:noProof/>
                <w:webHidden/>
              </w:rPr>
              <w:t>3</w:t>
            </w:r>
            <w:r>
              <w:rPr>
                <w:noProof/>
                <w:webHidden/>
              </w:rPr>
              <w:fldChar w:fldCharType="end"/>
            </w:r>
          </w:hyperlink>
        </w:p>
        <w:p w14:paraId="11B8F64C" w14:textId="1679DF6B" w:rsidR="006A6DFB" w:rsidRDefault="006A6DFB">
          <w:pPr>
            <w:pStyle w:val="TOC2"/>
            <w:tabs>
              <w:tab w:val="left" w:pos="960"/>
              <w:tab w:val="right" w:leader="dot" w:pos="9016"/>
            </w:tabs>
            <w:rPr>
              <w:rFonts w:eastAsiaTheme="minorEastAsia"/>
              <w:noProof/>
              <w:lang w:eastAsia="en-GB"/>
            </w:rPr>
          </w:pPr>
          <w:hyperlink w:anchor="_Toc230303063" w:history="1">
            <w:r w:rsidRPr="00F3756C">
              <w:rPr>
                <w:rStyle w:val="Hyperlink"/>
                <w:rFonts w:ascii="Arial" w:hAnsi="Arial" w:cs="Arial"/>
                <w:noProof/>
              </w:rPr>
              <w:t>3.1</w:t>
            </w:r>
            <w:r>
              <w:rPr>
                <w:rFonts w:eastAsiaTheme="minorEastAsia"/>
                <w:noProof/>
                <w:lang w:eastAsia="en-GB"/>
              </w:rPr>
              <w:tab/>
            </w:r>
            <w:r w:rsidRPr="00F3756C">
              <w:rPr>
                <w:rStyle w:val="Hyperlink"/>
                <w:rFonts w:ascii="Arial" w:hAnsi="Arial" w:cs="Arial"/>
                <w:noProof/>
              </w:rPr>
              <w:t>Multi-Factor Authentication (MFA)</w:t>
            </w:r>
            <w:r>
              <w:rPr>
                <w:noProof/>
                <w:webHidden/>
              </w:rPr>
              <w:tab/>
            </w:r>
            <w:r>
              <w:rPr>
                <w:noProof/>
                <w:webHidden/>
              </w:rPr>
              <w:fldChar w:fldCharType="begin"/>
            </w:r>
            <w:r>
              <w:rPr>
                <w:noProof/>
                <w:webHidden/>
              </w:rPr>
              <w:instrText xml:space="preserve"> PAGEREF _Toc230303063 \h </w:instrText>
            </w:r>
            <w:r>
              <w:rPr>
                <w:noProof/>
                <w:webHidden/>
              </w:rPr>
            </w:r>
            <w:r>
              <w:rPr>
                <w:noProof/>
                <w:webHidden/>
              </w:rPr>
              <w:fldChar w:fldCharType="separate"/>
            </w:r>
            <w:r>
              <w:rPr>
                <w:noProof/>
                <w:webHidden/>
              </w:rPr>
              <w:t>3</w:t>
            </w:r>
            <w:r>
              <w:rPr>
                <w:noProof/>
                <w:webHidden/>
              </w:rPr>
              <w:fldChar w:fldCharType="end"/>
            </w:r>
          </w:hyperlink>
        </w:p>
        <w:p w14:paraId="7FCD78E7" w14:textId="3B4C4DE8" w:rsidR="006A6DFB" w:rsidRDefault="006A6DFB">
          <w:pPr>
            <w:pStyle w:val="TOC2"/>
            <w:tabs>
              <w:tab w:val="left" w:pos="960"/>
              <w:tab w:val="right" w:leader="dot" w:pos="9016"/>
            </w:tabs>
            <w:rPr>
              <w:rFonts w:eastAsiaTheme="minorEastAsia"/>
              <w:noProof/>
              <w:lang w:eastAsia="en-GB"/>
            </w:rPr>
          </w:pPr>
          <w:hyperlink w:anchor="_Toc230303064" w:history="1">
            <w:r w:rsidRPr="00F3756C">
              <w:rPr>
                <w:rStyle w:val="Hyperlink"/>
                <w:rFonts w:ascii="Arial" w:hAnsi="Arial" w:cs="Arial"/>
                <w:noProof/>
              </w:rPr>
              <w:t>3.2</w:t>
            </w:r>
            <w:r>
              <w:rPr>
                <w:rFonts w:eastAsiaTheme="minorEastAsia"/>
                <w:noProof/>
                <w:lang w:eastAsia="en-GB"/>
              </w:rPr>
              <w:tab/>
            </w:r>
            <w:r w:rsidRPr="00F3756C">
              <w:rPr>
                <w:rStyle w:val="Hyperlink"/>
                <w:rFonts w:ascii="Arial" w:hAnsi="Arial" w:cs="Arial"/>
                <w:noProof/>
              </w:rPr>
              <w:t>Device Health</w:t>
            </w:r>
            <w:r>
              <w:rPr>
                <w:noProof/>
                <w:webHidden/>
              </w:rPr>
              <w:tab/>
            </w:r>
            <w:r>
              <w:rPr>
                <w:noProof/>
                <w:webHidden/>
              </w:rPr>
              <w:fldChar w:fldCharType="begin"/>
            </w:r>
            <w:r>
              <w:rPr>
                <w:noProof/>
                <w:webHidden/>
              </w:rPr>
              <w:instrText xml:space="preserve"> PAGEREF _Toc230303064 \h </w:instrText>
            </w:r>
            <w:r>
              <w:rPr>
                <w:noProof/>
                <w:webHidden/>
              </w:rPr>
            </w:r>
            <w:r>
              <w:rPr>
                <w:noProof/>
                <w:webHidden/>
              </w:rPr>
              <w:fldChar w:fldCharType="separate"/>
            </w:r>
            <w:r>
              <w:rPr>
                <w:noProof/>
                <w:webHidden/>
              </w:rPr>
              <w:t>3</w:t>
            </w:r>
            <w:r>
              <w:rPr>
                <w:noProof/>
                <w:webHidden/>
              </w:rPr>
              <w:fldChar w:fldCharType="end"/>
            </w:r>
          </w:hyperlink>
        </w:p>
        <w:p w14:paraId="08A43812" w14:textId="6287FDF6" w:rsidR="006A6DFB" w:rsidRDefault="006A6DFB">
          <w:pPr>
            <w:pStyle w:val="TOC2"/>
            <w:tabs>
              <w:tab w:val="left" w:pos="960"/>
              <w:tab w:val="right" w:leader="dot" w:pos="9016"/>
            </w:tabs>
            <w:rPr>
              <w:rFonts w:eastAsiaTheme="minorEastAsia"/>
              <w:noProof/>
              <w:lang w:eastAsia="en-GB"/>
            </w:rPr>
          </w:pPr>
          <w:hyperlink w:anchor="_Toc230303065" w:history="1">
            <w:r w:rsidRPr="00F3756C">
              <w:rPr>
                <w:rStyle w:val="Hyperlink"/>
                <w:rFonts w:ascii="Arial" w:hAnsi="Arial" w:cs="Arial"/>
                <w:noProof/>
              </w:rPr>
              <w:t>3.3</w:t>
            </w:r>
            <w:r>
              <w:rPr>
                <w:rFonts w:eastAsiaTheme="minorEastAsia"/>
                <w:noProof/>
                <w:lang w:eastAsia="en-GB"/>
              </w:rPr>
              <w:tab/>
            </w:r>
            <w:r w:rsidRPr="00F3756C">
              <w:rPr>
                <w:rStyle w:val="Hyperlink"/>
                <w:rFonts w:ascii="Arial" w:hAnsi="Arial" w:cs="Arial"/>
                <w:noProof/>
              </w:rPr>
              <w:t>Network Micro-Segmentation</w:t>
            </w:r>
            <w:r>
              <w:rPr>
                <w:noProof/>
                <w:webHidden/>
              </w:rPr>
              <w:tab/>
            </w:r>
            <w:r>
              <w:rPr>
                <w:noProof/>
                <w:webHidden/>
              </w:rPr>
              <w:fldChar w:fldCharType="begin"/>
            </w:r>
            <w:r>
              <w:rPr>
                <w:noProof/>
                <w:webHidden/>
              </w:rPr>
              <w:instrText xml:space="preserve"> PAGEREF _Toc230303065 \h </w:instrText>
            </w:r>
            <w:r>
              <w:rPr>
                <w:noProof/>
                <w:webHidden/>
              </w:rPr>
            </w:r>
            <w:r>
              <w:rPr>
                <w:noProof/>
                <w:webHidden/>
              </w:rPr>
              <w:fldChar w:fldCharType="separate"/>
            </w:r>
            <w:r>
              <w:rPr>
                <w:noProof/>
                <w:webHidden/>
              </w:rPr>
              <w:t>4</w:t>
            </w:r>
            <w:r>
              <w:rPr>
                <w:noProof/>
                <w:webHidden/>
              </w:rPr>
              <w:fldChar w:fldCharType="end"/>
            </w:r>
          </w:hyperlink>
        </w:p>
        <w:p w14:paraId="1F07D1A6" w14:textId="62C02438" w:rsidR="006A6DFB" w:rsidRDefault="006A6DFB">
          <w:pPr>
            <w:pStyle w:val="TOC2"/>
            <w:tabs>
              <w:tab w:val="left" w:pos="960"/>
              <w:tab w:val="right" w:leader="dot" w:pos="9016"/>
            </w:tabs>
            <w:rPr>
              <w:rFonts w:eastAsiaTheme="minorEastAsia"/>
              <w:noProof/>
              <w:lang w:eastAsia="en-GB"/>
            </w:rPr>
          </w:pPr>
          <w:hyperlink w:anchor="_Toc230303066" w:history="1">
            <w:r w:rsidRPr="00F3756C">
              <w:rPr>
                <w:rStyle w:val="Hyperlink"/>
                <w:rFonts w:ascii="Arial" w:hAnsi="Arial" w:cs="Arial"/>
                <w:noProof/>
              </w:rPr>
              <w:t>3.4</w:t>
            </w:r>
            <w:r>
              <w:rPr>
                <w:rFonts w:eastAsiaTheme="minorEastAsia"/>
                <w:noProof/>
                <w:lang w:eastAsia="en-GB"/>
              </w:rPr>
              <w:tab/>
            </w:r>
            <w:r w:rsidRPr="00F3756C">
              <w:rPr>
                <w:rStyle w:val="Hyperlink"/>
                <w:rFonts w:ascii="Arial" w:hAnsi="Arial" w:cs="Arial"/>
                <w:noProof/>
              </w:rPr>
              <w:t>Data Classification and Data Loss Prevention (DLP)</w:t>
            </w:r>
            <w:r>
              <w:rPr>
                <w:noProof/>
                <w:webHidden/>
              </w:rPr>
              <w:tab/>
            </w:r>
            <w:r>
              <w:rPr>
                <w:noProof/>
                <w:webHidden/>
              </w:rPr>
              <w:fldChar w:fldCharType="begin"/>
            </w:r>
            <w:r>
              <w:rPr>
                <w:noProof/>
                <w:webHidden/>
              </w:rPr>
              <w:instrText xml:space="preserve"> PAGEREF _Toc230303066 \h </w:instrText>
            </w:r>
            <w:r>
              <w:rPr>
                <w:noProof/>
                <w:webHidden/>
              </w:rPr>
            </w:r>
            <w:r>
              <w:rPr>
                <w:noProof/>
                <w:webHidden/>
              </w:rPr>
              <w:fldChar w:fldCharType="separate"/>
            </w:r>
            <w:r>
              <w:rPr>
                <w:noProof/>
                <w:webHidden/>
              </w:rPr>
              <w:t>4</w:t>
            </w:r>
            <w:r>
              <w:rPr>
                <w:noProof/>
                <w:webHidden/>
              </w:rPr>
              <w:fldChar w:fldCharType="end"/>
            </w:r>
          </w:hyperlink>
        </w:p>
        <w:p w14:paraId="0A028F3F" w14:textId="58CBA29B" w:rsidR="006A6DFB" w:rsidRDefault="006A6DFB">
          <w:pPr>
            <w:pStyle w:val="TOC2"/>
            <w:tabs>
              <w:tab w:val="left" w:pos="960"/>
              <w:tab w:val="right" w:leader="dot" w:pos="9016"/>
            </w:tabs>
            <w:rPr>
              <w:rFonts w:eastAsiaTheme="minorEastAsia"/>
              <w:noProof/>
              <w:lang w:eastAsia="en-GB"/>
            </w:rPr>
          </w:pPr>
          <w:hyperlink w:anchor="_Toc230303067" w:history="1">
            <w:r w:rsidRPr="00F3756C">
              <w:rPr>
                <w:rStyle w:val="Hyperlink"/>
                <w:rFonts w:ascii="Arial" w:hAnsi="Arial" w:cs="Arial"/>
                <w:noProof/>
              </w:rPr>
              <w:t>3.5</w:t>
            </w:r>
            <w:r>
              <w:rPr>
                <w:rFonts w:eastAsiaTheme="minorEastAsia"/>
                <w:noProof/>
                <w:lang w:eastAsia="en-GB"/>
              </w:rPr>
              <w:tab/>
            </w:r>
            <w:r w:rsidRPr="00F3756C">
              <w:rPr>
                <w:rStyle w:val="Hyperlink"/>
                <w:rFonts w:ascii="Arial" w:hAnsi="Arial" w:cs="Arial"/>
                <w:noProof/>
              </w:rPr>
              <w:t>Cloud Security Posture Management (CSPM)</w:t>
            </w:r>
            <w:r>
              <w:rPr>
                <w:noProof/>
                <w:webHidden/>
              </w:rPr>
              <w:tab/>
            </w:r>
            <w:r>
              <w:rPr>
                <w:noProof/>
                <w:webHidden/>
              </w:rPr>
              <w:fldChar w:fldCharType="begin"/>
            </w:r>
            <w:r>
              <w:rPr>
                <w:noProof/>
                <w:webHidden/>
              </w:rPr>
              <w:instrText xml:space="preserve"> PAGEREF _Toc230303067 \h </w:instrText>
            </w:r>
            <w:r>
              <w:rPr>
                <w:noProof/>
                <w:webHidden/>
              </w:rPr>
            </w:r>
            <w:r>
              <w:rPr>
                <w:noProof/>
                <w:webHidden/>
              </w:rPr>
              <w:fldChar w:fldCharType="separate"/>
            </w:r>
            <w:r>
              <w:rPr>
                <w:noProof/>
                <w:webHidden/>
              </w:rPr>
              <w:t>4</w:t>
            </w:r>
            <w:r>
              <w:rPr>
                <w:noProof/>
                <w:webHidden/>
              </w:rPr>
              <w:fldChar w:fldCharType="end"/>
            </w:r>
          </w:hyperlink>
        </w:p>
        <w:p w14:paraId="1F3E115F" w14:textId="41CCA365" w:rsidR="006A6DFB" w:rsidRDefault="006A6DFB">
          <w:pPr>
            <w:pStyle w:val="TOC2"/>
            <w:tabs>
              <w:tab w:val="left" w:pos="960"/>
              <w:tab w:val="right" w:leader="dot" w:pos="9016"/>
            </w:tabs>
            <w:rPr>
              <w:rFonts w:eastAsiaTheme="minorEastAsia"/>
              <w:noProof/>
              <w:lang w:eastAsia="en-GB"/>
            </w:rPr>
          </w:pPr>
          <w:hyperlink w:anchor="_Toc230303068" w:history="1">
            <w:r w:rsidRPr="00F3756C">
              <w:rPr>
                <w:rStyle w:val="Hyperlink"/>
                <w:rFonts w:ascii="Arial" w:hAnsi="Arial" w:cs="Arial"/>
                <w:noProof/>
              </w:rPr>
              <w:t>3.6</w:t>
            </w:r>
            <w:r>
              <w:rPr>
                <w:rFonts w:eastAsiaTheme="minorEastAsia"/>
                <w:noProof/>
                <w:lang w:eastAsia="en-GB"/>
              </w:rPr>
              <w:tab/>
            </w:r>
            <w:r w:rsidRPr="00F3756C">
              <w:rPr>
                <w:rStyle w:val="Hyperlink"/>
                <w:rFonts w:ascii="Arial" w:hAnsi="Arial" w:cs="Arial"/>
                <w:noProof/>
              </w:rPr>
              <w:t>Third-Paty and Supply Cain Vetting</w:t>
            </w:r>
            <w:r>
              <w:rPr>
                <w:noProof/>
                <w:webHidden/>
              </w:rPr>
              <w:tab/>
            </w:r>
            <w:r>
              <w:rPr>
                <w:noProof/>
                <w:webHidden/>
              </w:rPr>
              <w:fldChar w:fldCharType="begin"/>
            </w:r>
            <w:r>
              <w:rPr>
                <w:noProof/>
                <w:webHidden/>
              </w:rPr>
              <w:instrText xml:space="preserve"> PAGEREF _Toc230303068 \h </w:instrText>
            </w:r>
            <w:r>
              <w:rPr>
                <w:noProof/>
                <w:webHidden/>
              </w:rPr>
            </w:r>
            <w:r>
              <w:rPr>
                <w:noProof/>
                <w:webHidden/>
              </w:rPr>
              <w:fldChar w:fldCharType="separate"/>
            </w:r>
            <w:r>
              <w:rPr>
                <w:noProof/>
                <w:webHidden/>
              </w:rPr>
              <w:t>5</w:t>
            </w:r>
            <w:r>
              <w:rPr>
                <w:noProof/>
                <w:webHidden/>
              </w:rPr>
              <w:fldChar w:fldCharType="end"/>
            </w:r>
          </w:hyperlink>
        </w:p>
        <w:p w14:paraId="2B2D26CE" w14:textId="743E5687" w:rsidR="006A6DFB" w:rsidRDefault="006A6DFB">
          <w:pPr>
            <w:pStyle w:val="TOC1"/>
            <w:tabs>
              <w:tab w:val="left" w:pos="480"/>
              <w:tab w:val="right" w:leader="dot" w:pos="9016"/>
            </w:tabs>
            <w:rPr>
              <w:rFonts w:eastAsiaTheme="minorEastAsia"/>
              <w:noProof/>
              <w:lang w:eastAsia="en-GB"/>
            </w:rPr>
          </w:pPr>
          <w:hyperlink w:anchor="_Toc230303069" w:history="1">
            <w:r w:rsidRPr="00F3756C">
              <w:rPr>
                <w:rStyle w:val="Hyperlink"/>
                <w:rFonts w:ascii="Arial" w:hAnsi="Arial" w:cs="Arial"/>
                <w:noProof/>
              </w:rPr>
              <w:t>4</w:t>
            </w:r>
            <w:r>
              <w:rPr>
                <w:rFonts w:eastAsiaTheme="minorEastAsia"/>
                <w:noProof/>
                <w:lang w:eastAsia="en-GB"/>
              </w:rPr>
              <w:tab/>
            </w:r>
            <w:r w:rsidRPr="00F3756C">
              <w:rPr>
                <w:rStyle w:val="Hyperlink"/>
                <w:rFonts w:ascii="Arial" w:hAnsi="Arial" w:cs="Arial"/>
                <w:noProof/>
              </w:rPr>
              <w:t>Technical Mitigation Measures</w:t>
            </w:r>
            <w:r>
              <w:rPr>
                <w:noProof/>
                <w:webHidden/>
              </w:rPr>
              <w:tab/>
            </w:r>
            <w:r>
              <w:rPr>
                <w:noProof/>
                <w:webHidden/>
              </w:rPr>
              <w:fldChar w:fldCharType="begin"/>
            </w:r>
            <w:r>
              <w:rPr>
                <w:noProof/>
                <w:webHidden/>
              </w:rPr>
              <w:instrText xml:space="preserve"> PAGEREF _Toc230303069 \h </w:instrText>
            </w:r>
            <w:r>
              <w:rPr>
                <w:noProof/>
                <w:webHidden/>
              </w:rPr>
            </w:r>
            <w:r>
              <w:rPr>
                <w:noProof/>
                <w:webHidden/>
              </w:rPr>
              <w:fldChar w:fldCharType="separate"/>
            </w:r>
            <w:r>
              <w:rPr>
                <w:noProof/>
                <w:webHidden/>
              </w:rPr>
              <w:t>5</w:t>
            </w:r>
            <w:r>
              <w:rPr>
                <w:noProof/>
                <w:webHidden/>
              </w:rPr>
              <w:fldChar w:fldCharType="end"/>
            </w:r>
          </w:hyperlink>
        </w:p>
        <w:p w14:paraId="7E3676A3" w14:textId="572C90B9" w:rsidR="006A6DFB" w:rsidRDefault="006A6DFB">
          <w:pPr>
            <w:pStyle w:val="TOC1"/>
            <w:tabs>
              <w:tab w:val="left" w:pos="480"/>
              <w:tab w:val="right" w:leader="dot" w:pos="9016"/>
            </w:tabs>
            <w:rPr>
              <w:rFonts w:eastAsiaTheme="minorEastAsia"/>
              <w:noProof/>
              <w:lang w:eastAsia="en-GB"/>
            </w:rPr>
          </w:pPr>
          <w:hyperlink w:anchor="_Toc230303070" w:history="1">
            <w:r w:rsidRPr="00F3756C">
              <w:rPr>
                <w:rStyle w:val="Hyperlink"/>
                <w:rFonts w:ascii="Arial" w:hAnsi="Arial" w:cs="Arial"/>
                <w:noProof/>
              </w:rPr>
              <w:t>5</w:t>
            </w:r>
            <w:r>
              <w:rPr>
                <w:rFonts w:eastAsiaTheme="minorEastAsia"/>
                <w:noProof/>
                <w:lang w:eastAsia="en-GB"/>
              </w:rPr>
              <w:tab/>
            </w:r>
            <w:r w:rsidRPr="00F3756C">
              <w:rPr>
                <w:rStyle w:val="Hyperlink"/>
                <w:rFonts w:ascii="Arial" w:hAnsi="Arial" w:cs="Arial"/>
                <w:noProof/>
              </w:rPr>
              <w:t>Monitoring and Incident Response</w:t>
            </w:r>
            <w:r>
              <w:rPr>
                <w:noProof/>
                <w:webHidden/>
              </w:rPr>
              <w:tab/>
            </w:r>
            <w:r>
              <w:rPr>
                <w:noProof/>
                <w:webHidden/>
              </w:rPr>
              <w:fldChar w:fldCharType="begin"/>
            </w:r>
            <w:r>
              <w:rPr>
                <w:noProof/>
                <w:webHidden/>
              </w:rPr>
              <w:instrText xml:space="preserve"> PAGEREF _Toc230303070 \h </w:instrText>
            </w:r>
            <w:r>
              <w:rPr>
                <w:noProof/>
                <w:webHidden/>
              </w:rPr>
            </w:r>
            <w:r>
              <w:rPr>
                <w:noProof/>
                <w:webHidden/>
              </w:rPr>
              <w:fldChar w:fldCharType="separate"/>
            </w:r>
            <w:r>
              <w:rPr>
                <w:noProof/>
                <w:webHidden/>
              </w:rPr>
              <w:t>6</w:t>
            </w:r>
            <w:r>
              <w:rPr>
                <w:noProof/>
                <w:webHidden/>
              </w:rPr>
              <w:fldChar w:fldCharType="end"/>
            </w:r>
          </w:hyperlink>
        </w:p>
        <w:p w14:paraId="0A724833" w14:textId="46F97462" w:rsidR="006A6DFB" w:rsidRDefault="006A6DFB">
          <w:pPr>
            <w:pStyle w:val="TOC1"/>
            <w:tabs>
              <w:tab w:val="left" w:pos="480"/>
              <w:tab w:val="right" w:leader="dot" w:pos="9016"/>
            </w:tabs>
            <w:rPr>
              <w:rFonts w:eastAsiaTheme="minorEastAsia"/>
              <w:noProof/>
              <w:lang w:eastAsia="en-GB"/>
            </w:rPr>
          </w:pPr>
          <w:hyperlink w:anchor="_Toc230303071" w:history="1">
            <w:r w:rsidRPr="00F3756C">
              <w:rPr>
                <w:rStyle w:val="Hyperlink"/>
                <w:rFonts w:ascii="Arial" w:hAnsi="Arial" w:cs="Arial"/>
                <w:noProof/>
              </w:rPr>
              <w:t>6</w:t>
            </w:r>
            <w:r>
              <w:rPr>
                <w:rFonts w:eastAsiaTheme="minorEastAsia"/>
                <w:noProof/>
                <w:lang w:eastAsia="en-GB"/>
              </w:rPr>
              <w:tab/>
            </w:r>
            <w:r w:rsidRPr="00F3756C">
              <w:rPr>
                <w:rStyle w:val="Hyperlink"/>
                <w:rFonts w:ascii="Arial" w:hAnsi="Arial" w:cs="Arial"/>
                <w:noProof/>
              </w:rPr>
              <w:t>Training and Awareness</w:t>
            </w:r>
            <w:r>
              <w:rPr>
                <w:noProof/>
                <w:webHidden/>
              </w:rPr>
              <w:tab/>
            </w:r>
            <w:r>
              <w:rPr>
                <w:noProof/>
                <w:webHidden/>
              </w:rPr>
              <w:fldChar w:fldCharType="begin"/>
            </w:r>
            <w:r>
              <w:rPr>
                <w:noProof/>
                <w:webHidden/>
              </w:rPr>
              <w:instrText xml:space="preserve"> PAGEREF _Toc230303071 \h </w:instrText>
            </w:r>
            <w:r>
              <w:rPr>
                <w:noProof/>
                <w:webHidden/>
              </w:rPr>
            </w:r>
            <w:r>
              <w:rPr>
                <w:noProof/>
                <w:webHidden/>
              </w:rPr>
              <w:fldChar w:fldCharType="separate"/>
            </w:r>
            <w:r>
              <w:rPr>
                <w:noProof/>
                <w:webHidden/>
              </w:rPr>
              <w:t>7</w:t>
            </w:r>
            <w:r>
              <w:rPr>
                <w:noProof/>
                <w:webHidden/>
              </w:rPr>
              <w:fldChar w:fldCharType="end"/>
            </w:r>
          </w:hyperlink>
        </w:p>
        <w:p w14:paraId="5D487F1A" w14:textId="7D8C9BD8" w:rsidR="006A6DFB" w:rsidRDefault="006A6DFB">
          <w:pPr>
            <w:pStyle w:val="TOC1"/>
            <w:tabs>
              <w:tab w:val="left" w:pos="480"/>
              <w:tab w:val="right" w:leader="dot" w:pos="9016"/>
            </w:tabs>
            <w:rPr>
              <w:rFonts w:eastAsiaTheme="minorEastAsia"/>
              <w:noProof/>
              <w:lang w:eastAsia="en-GB"/>
            </w:rPr>
          </w:pPr>
          <w:hyperlink w:anchor="_Toc230303072" w:history="1">
            <w:r w:rsidRPr="00F3756C">
              <w:rPr>
                <w:rStyle w:val="Hyperlink"/>
                <w:rFonts w:ascii="Arial" w:hAnsi="Arial" w:cs="Arial"/>
                <w:noProof/>
              </w:rPr>
              <w:t>7</w:t>
            </w:r>
            <w:r>
              <w:rPr>
                <w:rFonts w:eastAsiaTheme="minorEastAsia"/>
                <w:noProof/>
                <w:lang w:eastAsia="en-GB"/>
              </w:rPr>
              <w:tab/>
            </w:r>
            <w:r w:rsidRPr="00F3756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_Toc230303072 \h </w:instrText>
            </w:r>
            <w:r>
              <w:rPr>
                <w:noProof/>
                <w:webHidden/>
              </w:rPr>
            </w:r>
            <w:r>
              <w:rPr>
                <w:noProof/>
                <w:webHidden/>
              </w:rPr>
              <w:fldChar w:fldCharType="separate"/>
            </w:r>
            <w:r>
              <w:rPr>
                <w:noProof/>
                <w:webHidden/>
              </w:rPr>
              <w:t>7</w:t>
            </w:r>
            <w:r>
              <w:rPr>
                <w:noProof/>
                <w:webHidden/>
              </w:rPr>
              <w:fldChar w:fldCharType="end"/>
            </w:r>
          </w:hyperlink>
        </w:p>
        <w:p w14:paraId="4140F996" w14:textId="3E6D2598" w:rsidR="006A6DFB" w:rsidRDefault="006A6DFB">
          <w:pPr>
            <w:pStyle w:val="TOC1"/>
            <w:tabs>
              <w:tab w:val="left" w:pos="480"/>
              <w:tab w:val="right" w:leader="dot" w:pos="9016"/>
            </w:tabs>
            <w:rPr>
              <w:rFonts w:eastAsiaTheme="minorEastAsia"/>
              <w:noProof/>
              <w:lang w:eastAsia="en-GB"/>
            </w:rPr>
          </w:pPr>
          <w:hyperlink w:anchor="_Toc230303073" w:history="1">
            <w:r w:rsidRPr="00F3756C">
              <w:rPr>
                <w:rStyle w:val="Hyperlink"/>
                <w:rFonts w:ascii="Arial" w:hAnsi="Arial" w:cs="Arial"/>
                <w:noProof/>
              </w:rPr>
              <w:t>8</w:t>
            </w:r>
            <w:r>
              <w:rPr>
                <w:rFonts w:eastAsiaTheme="minorEastAsia"/>
                <w:noProof/>
                <w:lang w:eastAsia="en-GB"/>
              </w:rPr>
              <w:tab/>
            </w:r>
            <w:r w:rsidRPr="00F3756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_Toc230303073 \h </w:instrText>
            </w:r>
            <w:r>
              <w:rPr>
                <w:noProof/>
                <w:webHidden/>
              </w:rPr>
            </w:r>
            <w:r>
              <w:rPr>
                <w:noProof/>
                <w:webHidden/>
              </w:rPr>
              <w:fldChar w:fldCharType="separate"/>
            </w:r>
            <w:r>
              <w:rPr>
                <w:noProof/>
                <w:webHidden/>
              </w:rPr>
              <w:t>8</w:t>
            </w:r>
            <w:r>
              <w:rPr>
                <w:noProof/>
                <w:webHidden/>
              </w:rPr>
              <w:fldChar w:fldCharType="end"/>
            </w:r>
          </w:hyperlink>
        </w:p>
        <w:p w14:paraId="74B3D3F8" w14:textId="710C9C19" w:rsidR="006A6DFB" w:rsidRDefault="006A6DFB">
          <w:pPr>
            <w:pStyle w:val="TOC1"/>
            <w:tabs>
              <w:tab w:val="left" w:pos="480"/>
              <w:tab w:val="right" w:leader="dot" w:pos="9016"/>
            </w:tabs>
            <w:rPr>
              <w:rFonts w:eastAsiaTheme="minorEastAsia"/>
              <w:noProof/>
              <w:lang w:eastAsia="en-GB"/>
            </w:rPr>
          </w:pPr>
          <w:hyperlink w:anchor="_Toc230303074" w:history="1">
            <w:r w:rsidRPr="00F3756C">
              <w:rPr>
                <w:rStyle w:val="Hyperlink"/>
                <w:rFonts w:ascii="Arial" w:hAnsi="Arial" w:cs="Arial"/>
                <w:noProof/>
              </w:rPr>
              <w:t>9</w:t>
            </w:r>
            <w:r>
              <w:rPr>
                <w:rFonts w:eastAsiaTheme="minorEastAsia"/>
                <w:noProof/>
                <w:lang w:eastAsia="en-GB"/>
              </w:rPr>
              <w:tab/>
            </w:r>
            <w:r w:rsidRPr="00F3756C">
              <w:rPr>
                <w:rStyle w:val="Hyperlink"/>
                <w:rFonts w:ascii="Arial" w:hAnsi="Arial" w:cs="Arial"/>
                <w:noProof/>
              </w:rPr>
              <w:t>Appendix</w:t>
            </w:r>
            <w:r>
              <w:rPr>
                <w:noProof/>
                <w:webHidden/>
              </w:rPr>
              <w:tab/>
            </w:r>
            <w:r>
              <w:rPr>
                <w:noProof/>
                <w:webHidden/>
              </w:rPr>
              <w:fldChar w:fldCharType="begin"/>
            </w:r>
            <w:r>
              <w:rPr>
                <w:noProof/>
                <w:webHidden/>
              </w:rPr>
              <w:instrText xml:space="preserve"> PAGEREF _Toc230303074 \h </w:instrText>
            </w:r>
            <w:r>
              <w:rPr>
                <w:noProof/>
                <w:webHidden/>
              </w:rPr>
            </w:r>
            <w:r>
              <w:rPr>
                <w:noProof/>
                <w:webHidden/>
              </w:rPr>
              <w:fldChar w:fldCharType="separate"/>
            </w:r>
            <w:r>
              <w:rPr>
                <w:noProof/>
                <w:webHidden/>
              </w:rPr>
              <w:t>9</w:t>
            </w:r>
            <w:r>
              <w:rPr>
                <w:noProof/>
                <w:webHidden/>
              </w:rPr>
              <w:fldChar w:fldCharType="end"/>
            </w:r>
          </w:hyperlink>
        </w:p>
        <w:p w14:paraId="31D7C130" w14:textId="5F0D4A22" w:rsidR="006A6DFB" w:rsidRDefault="006A6DFB">
          <w:pPr>
            <w:pStyle w:val="TOC2"/>
            <w:tabs>
              <w:tab w:val="left" w:pos="960"/>
              <w:tab w:val="right" w:leader="dot" w:pos="9016"/>
            </w:tabs>
            <w:rPr>
              <w:rFonts w:eastAsiaTheme="minorEastAsia"/>
              <w:noProof/>
              <w:lang w:eastAsia="en-GB"/>
            </w:rPr>
          </w:pPr>
          <w:hyperlink w:anchor="_Toc230303075" w:history="1">
            <w:r w:rsidRPr="00F3756C">
              <w:rPr>
                <w:rStyle w:val="Hyperlink"/>
                <w:noProof/>
              </w:rPr>
              <w:t>9.1</w:t>
            </w:r>
            <w:r>
              <w:rPr>
                <w:rFonts w:eastAsiaTheme="minorEastAsia"/>
                <w:noProof/>
                <w:lang w:eastAsia="en-GB"/>
              </w:rPr>
              <w:tab/>
            </w:r>
            <w:r w:rsidRPr="00F3756C">
              <w:rPr>
                <w:rStyle w:val="Hyperlink"/>
                <w:noProof/>
              </w:rPr>
              <w:t>Presentation</w:t>
            </w:r>
            <w:r>
              <w:rPr>
                <w:noProof/>
                <w:webHidden/>
              </w:rPr>
              <w:tab/>
            </w:r>
            <w:r>
              <w:rPr>
                <w:noProof/>
                <w:webHidden/>
              </w:rPr>
              <w:fldChar w:fldCharType="begin"/>
            </w:r>
            <w:r>
              <w:rPr>
                <w:noProof/>
                <w:webHidden/>
              </w:rPr>
              <w:instrText xml:space="preserve"> PAGEREF _Toc230303075 \h </w:instrText>
            </w:r>
            <w:r>
              <w:rPr>
                <w:noProof/>
                <w:webHidden/>
              </w:rPr>
            </w:r>
            <w:r>
              <w:rPr>
                <w:noProof/>
                <w:webHidden/>
              </w:rPr>
              <w:fldChar w:fldCharType="separate"/>
            </w:r>
            <w:r>
              <w:rPr>
                <w:noProof/>
                <w:webHidden/>
              </w:rPr>
              <w:t>9</w:t>
            </w:r>
            <w:r>
              <w:rPr>
                <w:noProof/>
                <w:webHidden/>
              </w:rPr>
              <w:fldChar w:fldCharType="end"/>
            </w:r>
          </w:hyperlink>
        </w:p>
        <w:p w14:paraId="3D1B1E16" w14:textId="423FC5D8" w:rsidR="006A6DFB" w:rsidRDefault="006A6DFB">
          <w:pPr>
            <w:pStyle w:val="TOC3"/>
            <w:tabs>
              <w:tab w:val="left" w:pos="1440"/>
              <w:tab w:val="right" w:leader="dot" w:pos="9016"/>
            </w:tabs>
            <w:rPr>
              <w:rFonts w:eastAsiaTheme="minorEastAsia"/>
              <w:noProof/>
              <w:lang w:eastAsia="en-GB"/>
            </w:rPr>
          </w:pPr>
          <w:hyperlink w:anchor="_Toc230303076" w:history="1">
            <w:r w:rsidRPr="00F3756C">
              <w:rPr>
                <w:rStyle w:val="Hyperlink"/>
                <w:noProof/>
              </w:rPr>
              <w:t>9.1.1</w:t>
            </w:r>
            <w:r>
              <w:rPr>
                <w:rFonts w:eastAsiaTheme="minorEastAsia"/>
                <w:noProof/>
                <w:lang w:eastAsia="en-GB"/>
              </w:rPr>
              <w:tab/>
            </w:r>
            <w:r w:rsidRPr="00F3756C">
              <w:rPr>
                <w:rStyle w:val="Hyperlink"/>
                <w:noProof/>
              </w:rPr>
              <w:t>Slide 1</w:t>
            </w:r>
            <w:r>
              <w:rPr>
                <w:noProof/>
                <w:webHidden/>
              </w:rPr>
              <w:tab/>
            </w:r>
            <w:r>
              <w:rPr>
                <w:noProof/>
                <w:webHidden/>
              </w:rPr>
              <w:fldChar w:fldCharType="begin"/>
            </w:r>
            <w:r>
              <w:rPr>
                <w:noProof/>
                <w:webHidden/>
              </w:rPr>
              <w:instrText xml:space="preserve"> PAGEREF _Toc230303076 \h </w:instrText>
            </w:r>
            <w:r>
              <w:rPr>
                <w:noProof/>
                <w:webHidden/>
              </w:rPr>
            </w:r>
            <w:r>
              <w:rPr>
                <w:noProof/>
                <w:webHidden/>
              </w:rPr>
              <w:fldChar w:fldCharType="separate"/>
            </w:r>
            <w:r>
              <w:rPr>
                <w:noProof/>
                <w:webHidden/>
              </w:rPr>
              <w:t>9</w:t>
            </w:r>
            <w:r>
              <w:rPr>
                <w:noProof/>
                <w:webHidden/>
              </w:rPr>
              <w:fldChar w:fldCharType="end"/>
            </w:r>
          </w:hyperlink>
        </w:p>
        <w:p w14:paraId="545E0F0D" w14:textId="42562485" w:rsidR="006A6DFB" w:rsidRDefault="006A6DFB">
          <w:pPr>
            <w:pStyle w:val="TOC3"/>
            <w:tabs>
              <w:tab w:val="left" w:pos="1440"/>
              <w:tab w:val="right" w:leader="dot" w:pos="9016"/>
            </w:tabs>
            <w:rPr>
              <w:rFonts w:eastAsiaTheme="minorEastAsia"/>
              <w:noProof/>
              <w:lang w:eastAsia="en-GB"/>
            </w:rPr>
          </w:pPr>
          <w:hyperlink w:anchor="_Toc230303077" w:history="1">
            <w:r w:rsidRPr="00F3756C">
              <w:rPr>
                <w:rStyle w:val="Hyperlink"/>
                <w:noProof/>
              </w:rPr>
              <w:t>9.1.2</w:t>
            </w:r>
            <w:r>
              <w:rPr>
                <w:rFonts w:eastAsiaTheme="minorEastAsia"/>
                <w:noProof/>
                <w:lang w:eastAsia="en-GB"/>
              </w:rPr>
              <w:tab/>
            </w:r>
            <w:r w:rsidRPr="00F3756C">
              <w:rPr>
                <w:rStyle w:val="Hyperlink"/>
                <w:noProof/>
              </w:rPr>
              <w:t>Slide 2</w:t>
            </w:r>
            <w:r>
              <w:rPr>
                <w:noProof/>
                <w:webHidden/>
              </w:rPr>
              <w:tab/>
            </w:r>
            <w:r>
              <w:rPr>
                <w:noProof/>
                <w:webHidden/>
              </w:rPr>
              <w:fldChar w:fldCharType="begin"/>
            </w:r>
            <w:r>
              <w:rPr>
                <w:noProof/>
                <w:webHidden/>
              </w:rPr>
              <w:instrText xml:space="preserve"> PAGEREF _Toc230303077 \h </w:instrText>
            </w:r>
            <w:r>
              <w:rPr>
                <w:noProof/>
                <w:webHidden/>
              </w:rPr>
            </w:r>
            <w:r>
              <w:rPr>
                <w:noProof/>
                <w:webHidden/>
              </w:rPr>
              <w:fldChar w:fldCharType="separate"/>
            </w:r>
            <w:r>
              <w:rPr>
                <w:noProof/>
                <w:webHidden/>
              </w:rPr>
              <w:t>10</w:t>
            </w:r>
            <w:r>
              <w:rPr>
                <w:noProof/>
                <w:webHidden/>
              </w:rPr>
              <w:fldChar w:fldCharType="end"/>
            </w:r>
          </w:hyperlink>
        </w:p>
        <w:p w14:paraId="3774567E" w14:textId="5F20CDD9" w:rsidR="006A6DFB" w:rsidRDefault="006A6DFB">
          <w:pPr>
            <w:pStyle w:val="TOC3"/>
            <w:tabs>
              <w:tab w:val="left" w:pos="1440"/>
              <w:tab w:val="right" w:leader="dot" w:pos="9016"/>
            </w:tabs>
            <w:rPr>
              <w:rFonts w:eastAsiaTheme="minorEastAsia"/>
              <w:noProof/>
              <w:lang w:eastAsia="en-GB"/>
            </w:rPr>
          </w:pPr>
          <w:hyperlink w:anchor="_Toc230303078" w:history="1">
            <w:r w:rsidRPr="00F3756C">
              <w:rPr>
                <w:rStyle w:val="Hyperlink"/>
                <w:noProof/>
              </w:rPr>
              <w:t>9.1.3</w:t>
            </w:r>
            <w:r>
              <w:rPr>
                <w:rFonts w:eastAsiaTheme="minorEastAsia"/>
                <w:noProof/>
                <w:lang w:eastAsia="en-GB"/>
              </w:rPr>
              <w:tab/>
            </w:r>
            <w:r w:rsidRPr="00F3756C">
              <w:rPr>
                <w:rStyle w:val="Hyperlink"/>
                <w:noProof/>
              </w:rPr>
              <w:t>Slide 3</w:t>
            </w:r>
            <w:r>
              <w:rPr>
                <w:noProof/>
                <w:webHidden/>
              </w:rPr>
              <w:tab/>
            </w:r>
            <w:r>
              <w:rPr>
                <w:noProof/>
                <w:webHidden/>
              </w:rPr>
              <w:fldChar w:fldCharType="begin"/>
            </w:r>
            <w:r>
              <w:rPr>
                <w:noProof/>
                <w:webHidden/>
              </w:rPr>
              <w:instrText xml:space="preserve"> PAGEREF _Toc230303078 \h </w:instrText>
            </w:r>
            <w:r>
              <w:rPr>
                <w:noProof/>
                <w:webHidden/>
              </w:rPr>
            </w:r>
            <w:r>
              <w:rPr>
                <w:noProof/>
                <w:webHidden/>
              </w:rPr>
              <w:fldChar w:fldCharType="separate"/>
            </w:r>
            <w:r>
              <w:rPr>
                <w:noProof/>
                <w:webHidden/>
              </w:rPr>
              <w:t>10</w:t>
            </w:r>
            <w:r>
              <w:rPr>
                <w:noProof/>
                <w:webHidden/>
              </w:rPr>
              <w:fldChar w:fldCharType="end"/>
            </w:r>
          </w:hyperlink>
        </w:p>
        <w:p w14:paraId="0526E16A" w14:textId="12116EC3" w:rsidR="006A6DFB" w:rsidRDefault="006A6DFB">
          <w:pPr>
            <w:pStyle w:val="TOC3"/>
            <w:tabs>
              <w:tab w:val="left" w:pos="1440"/>
              <w:tab w:val="right" w:leader="dot" w:pos="9016"/>
            </w:tabs>
            <w:rPr>
              <w:rFonts w:eastAsiaTheme="minorEastAsia"/>
              <w:noProof/>
              <w:lang w:eastAsia="en-GB"/>
            </w:rPr>
          </w:pPr>
          <w:hyperlink w:anchor="_Toc230303079" w:history="1">
            <w:r w:rsidRPr="00F3756C">
              <w:rPr>
                <w:rStyle w:val="Hyperlink"/>
                <w:noProof/>
              </w:rPr>
              <w:t>9.1.4</w:t>
            </w:r>
            <w:r>
              <w:rPr>
                <w:rFonts w:eastAsiaTheme="minorEastAsia"/>
                <w:noProof/>
                <w:lang w:eastAsia="en-GB"/>
              </w:rPr>
              <w:tab/>
            </w:r>
            <w:r w:rsidRPr="00F3756C">
              <w:rPr>
                <w:rStyle w:val="Hyperlink"/>
                <w:noProof/>
              </w:rPr>
              <w:t>Slide 4</w:t>
            </w:r>
            <w:r>
              <w:rPr>
                <w:noProof/>
                <w:webHidden/>
              </w:rPr>
              <w:tab/>
            </w:r>
            <w:r>
              <w:rPr>
                <w:noProof/>
                <w:webHidden/>
              </w:rPr>
              <w:fldChar w:fldCharType="begin"/>
            </w:r>
            <w:r>
              <w:rPr>
                <w:noProof/>
                <w:webHidden/>
              </w:rPr>
              <w:instrText xml:space="preserve"> PAGEREF _Toc230303079 \h </w:instrText>
            </w:r>
            <w:r>
              <w:rPr>
                <w:noProof/>
                <w:webHidden/>
              </w:rPr>
            </w:r>
            <w:r>
              <w:rPr>
                <w:noProof/>
                <w:webHidden/>
              </w:rPr>
              <w:fldChar w:fldCharType="separate"/>
            </w:r>
            <w:r>
              <w:rPr>
                <w:noProof/>
                <w:webHidden/>
              </w:rPr>
              <w:t>11</w:t>
            </w:r>
            <w:r>
              <w:rPr>
                <w:noProof/>
                <w:webHidden/>
              </w:rPr>
              <w:fldChar w:fldCharType="end"/>
            </w:r>
          </w:hyperlink>
        </w:p>
        <w:p w14:paraId="3FA2577B" w14:textId="542F78DA" w:rsidR="006A6DFB" w:rsidRDefault="006A6DFB">
          <w:pPr>
            <w:pStyle w:val="TOC3"/>
            <w:tabs>
              <w:tab w:val="left" w:pos="1440"/>
              <w:tab w:val="right" w:leader="dot" w:pos="9016"/>
            </w:tabs>
            <w:rPr>
              <w:rFonts w:eastAsiaTheme="minorEastAsia"/>
              <w:noProof/>
              <w:lang w:eastAsia="en-GB"/>
            </w:rPr>
          </w:pPr>
          <w:hyperlink w:anchor="_Toc230303080" w:history="1">
            <w:r w:rsidRPr="00F3756C">
              <w:rPr>
                <w:rStyle w:val="Hyperlink"/>
                <w:noProof/>
              </w:rPr>
              <w:t>9.1.5</w:t>
            </w:r>
            <w:r>
              <w:rPr>
                <w:rFonts w:eastAsiaTheme="minorEastAsia"/>
                <w:noProof/>
                <w:lang w:eastAsia="en-GB"/>
              </w:rPr>
              <w:tab/>
            </w:r>
            <w:r w:rsidRPr="00F3756C">
              <w:rPr>
                <w:rStyle w:val="Hyperlink"/>
                <w:noProof/>
              </w:rPr>
              <w:t>Slide 5</w:t>
            </w:r>
            <w:r>
              <w:rPr>
                <w:noProof/>
                <w:webHidden/>
              </w:rPr>
              <w:tab/>
            </w:r>
            <w:r>
              <w:rPr>
                <w:noProof/>
                <w:webHidden/>
              </w:rPr>
              <w:fldChar w:fldCharType="begin"/>
            </w:r>
            <w:r>
              <w:rPr>
                <w:noProof/>
                <w:webHidden/>
              </w:rPr>
              <w:instrText xml:space="preserve"> PAGEREF _Toc230303080 \h </w:instrText>
            </w:r>
            <w:r>
              <w:rPr>
                <w:noProof/>
                <w:webHidden/>
              </w:rPr>
            </w:r>
            <w:r>
              <w:rPr>
                <w:noProof/>
                <w:webHidden/>
              </w:rPr>
              <w:fldChar w:fldCharType="separate"/>
            </w:r>
            <w:r>
              <w:rPr>
                <w:noProof/>
                <w:webHidden/>
              </w:rPr>
              <w:t>11</w:t>
            </w:r>
            <w:r>
              <w:rPr>
                <w:noProof/>
                <w:webHidden/>
              </w:rPr>
              <w:fldChar w:fldCharType="end"/>
            </w:r>
          </w:hyperlink>
        </w:p>
        <w:p w14:paraId="5202D775" w14:textId="6C23D20E" w:rsidR="006A6DFB" w:rsidRDefault="006A6DFB">
          <w:pPr>
            <w:pStyle w:val="TOC3"/>
            <w:tabs>
              <w:tab w:val="left" w:pos="1440"/>
              <w:tab w:val="right" w:leader="dot" w:pos="9016"/>
            </w:tabs>
            <w:rPr>
              <w:rFonts w:eastAsiaTheme="minorEastAsia"/>
              <w:noProof/>
              <w:lang w:eastAsia="en-GB"/>
            </w:rPr>
          </w:pPr>
          <w:hyperlink w:anchor="_Toc230303081" w:history="1">
            <w:r w:rsidRPr="00F3756C">
              <w:rPr>
                <w:rStyle w:val="Hyperlink"/>
                <w:noProof/>
              </w:rPr>
              <w:t>9.1.6</w:t>
            </w:r>
            <w:r>
              <w:rPr>
                <w:rFonts w:eastAsiaTheme="minorEastAsia"/>
                <w:noProof/>
                <w:lang w:eastAsia="en-GB"/>
              </w:rPr>
              <w:tab/>
            </w:r>
            <w:r w:rsidRPr="00F3756C">
              <w:rPr>
                <w:rStyle w:val="Hyperlink"/>
                <w:noProof/>
              </w:rPr>
              <w:t>Slide 6</w:t>
            </w:r>
            <w:r>
              <w:rPr>
                <w:noProof/>
                <w:webHidden/>
              </w:rPr>
              <w:tab/>
            </w:r>
            <w:r>
              <w:rPr>
                <w:noProof/>
                <w:webHidden/>
              </w:rPr>
              <w:fldChar w:fldCharType="begin"/>
            </w:r>
            <w:r>
              <w:rPr>
                <w:noProof/>
                <w:webHidden/>
              </w:rPr>
              <w:instrText xml:space="preserve"> PAGEREF _Toc230303081 \h </w:instrText>
            </w:r>
            <w:r>
              <w:rPr>
                <w:noProof/>
                <w:webHidden/>
              </w:rPr>
            </w:r>
            <w:r>
              <w:rPr>
                <w:noProof/>
                <w:webHidden/>
              </w:rPr>
              <w:fldChar w:fldCharType="separate"/>
            </w:r>
            <w:r>
              <w:rPr>
                <w:noProof/>
                <w:webHidden/>
              </w:rPr>
              <w:t>12</w:t>
            </w:r>
            <w:r>
              <w:rPr>
                <w:noProof/>
                <w:webHidden/>
              </w:rPr>
              <w:fldChar w:fldCharType="end"/>
            </w:r>
          </w:hyperlink>
        </w:p>
        <w:p w14:paraId="5210922C" w14:textId="348DE9FA" w:rsidR="006A6DFB" w:rsidRDefault="006A6DFB">
          <w:pPr>
            <w:pStyle w:val="TOC3"/>
            <w:tabs>
              <w:tab w:val="left" w:pos="1440"/>
              <w:tab w:val="right" w:leader="dot" w:pos="9016"/>
            </w:tabs>
            <w:rPr>
              <w:rFonts w:eastAsiaTheme="minorEastAsia"/>
              <w:noProof/>
              <w:lang w:eastAsia="en-GB"/>
            </w:rPr>
          </w:pPr>
          <w:hyperlink w:anchor="_Toc230303082" w:history="1">
            <w:r w:rsidRPr="00F3756C">
              <w:rPr>
                <w:rStyle w:val="Hyperlink"/>
                <w:noProof/>
              </w:rPr>
              <w:t>9.1.7</w:t>
            </w:r>
            <w:r>
              <w:rPr>
                <w:rFonts w:eastAsiaTheme="minorEastAsia"/>
                <w:noProof/>
                <w:lang w:eastAsia="en-GB"/>
              </w:rPr>
              <w:tab/>
            </w:r>
            <w:r w:rsidRPr="00F3756C">
              <w:rPr>
                <w:rStyle w:val="Hyperlink"/>
                <w:noProof/>
              </w:rPr>
              <w:t>Slide 7</w:t>
            </w:r>
            <w:r>
              <w:rPr>
                <w:noProof/>
                <w:webHidden/>
              </w:rPr>
              <w:tab/>
            </w:r>
            <w:r>
              <w:rPr>
                <w:noProof/>
                <w:webHidden/>
              </w:rPr>
              <w:fldChar w:fldCharType="begin"/>
            </w:r>
            <w:r>
              <w:rPr>
                <w:noProof/>
                <w:webHidden/>
              </w:rPr>
              <w:instrText xml:space="preserve"> PAGEREF _Toc230303082 \h </w:instrText>
            </w:r>
            <w:r>
              <w:rPr>
                <w:noProof/>
                <w:webHidden/>
              </w:rPr>
            </w:r>
            <w:r>
              <w:rPr>
                <w:noProof/>
                <w:webHidden/>
              </w:rPr>
              <w:fldChar w:fldCharType="separate"/>
            </w:r>
            <w:r>
              <w:rPr>
                <w:noProof/>
                <w:webHidden/>
              </w:rPr>
              <w:t>12</w:t>
            </w:r>
            <w:r>
              <w:rPr>
                <w:noProof/>
                <w:webHidden/>
              </w:rPr>
              <w:fldChar w:fldCharType="end"/>
            </w:r>
          </w:hyperlink>
        </w:p>
        <w:p w14:paraId="60C486B0" w14:textId="526255B7" w:rsidR="006A6DFB" w:rsidRDefault="006A6DFB">
          <w:pPr>
            <w:pStyle w:val="TOC3"/>
            <w:tabs>
              <w:tab w:val="left" w:pos="1440"/>
              <w:tab w:val="right" w:leader="dot" w:pos="9016"/>
            </w:tabs>
            <w:rPr>
              <w:rFonts w:eastAsiaTheme="minorEastAsia"/>
              <w:noProof/>
              <w:lang w:eastAsia="en-GB"/>
            </w:rPr>
          </w:pPr>
          <w:hyperlink w:anchor="_Toc230303083" w:history="1">
            <w:r w:rsidRPr="00F3756C">
              <w:rPr>
                <w:rStyle w:val="Hyperlink"/>
                <w:noProof/>
              </w:rPr>
              <w:t>9.1.8</w:t>
            </w:r>
            <w:r>
              <w:rPr>
                <w:rFonts w:eastAsiaTheme="minorEastAsia"/>
                <w:noProof/>
                <w:lang w:eastAsia="en-GB"/>
              </w:rPr>
              <w:tab/>
            </w:r>
            <w:r w:rsidRPr="00F3756C">
              <w:rPr>
                <w:rStyle w:val="Hyperlink"/>
                <w:noProof/>
              </w:rPr>
              <w:t>Slide 8</w:t>
            </w:r>
            <w:r>
              <w:rPr>
                <w:noProof/>
                <w:webHidden/>
              </w:rPr>
              <w:tab/>
            </w:r>
            <w:r>
              <w:rPr>
                <w:noProof/>
                <w:webHidden/>
              </w:rPr>
              <w:fldChar w:fldCharType="begin"/>
            </w:r>
            <w:r>
              <w:rPr>
                <w:noProof/>
                <w:webHidden/>
              </w:rPr>
              <w:instrText xml:space="preserve"> PAGEREF _Toc230303083 \h </w:instrText>
            </w:r>
            <w:r>
              <w:rPr>
                <w:noProof/>
                <w:webHidden/>
              </w:rPr>
            </w:r>
            <w:r>
              <w:rPr>
                <w:noProof/>
                <w:webHidden/>
              </w:rPr>
              <w:fldChar w:fldCharType="separate"/>
            </w:r>
            <w:r>
              <w:rPr>
                <w:noProof/>
                <w:webHidden/>
              </w:rPr>
              <w:t>13</w:t>
            </w:r>
            <w:r>
              <w:rPr>
                <w:noProof/>
                <w:webHidden/>
              </w:rPr>
              <w:fldChar w:fldCharType="end"/>
            </w:r>
          </w:hyperlink>
        </w:p>
        <w:p w14:paraId="6E6FEC92" w14:textId="2600275E" w:rsidR="006A6DFB" w:rsidRDefault="006A6DFB">
          <w:pPr>
            <w:pStyle w:val="TOC3"/>
            <w:tabs>
              <w:tab w:val="left" w:pos="1440"/>
              <w:tab w:val="right" w:leader="dot" w:pos="9016"/>
            </w:tabs>
            <w:rPr>
              <w:rFonts w:eastAsiaTheme="minorEastAsia"/>
              <w:noProof/>
              <w:lang w:eastAsia="en-GB"/>
            </w:rPr>
          </w:pPr>
          <w:hyperlink w:anchor="_Toc230303084" w:history="1">
            <w:r w:rsidRPr="00F3756C">
              <w:rPr>
                <w:rStyle w:val="Hyperlink"/>
                <w:noProof/>
              </w:rPr>
              <w:t>9.1.9</w:t>
            </w:r>
            <w:r>
              <w:rPr>
                <w:rFonts w:eastAsiaTheme="minorEastAsia"/>
                <w:noProof/>
                <w:lang w:eastAsia="en-GB"/>
              </w:rPr>
              <w:tab/>
            </w:r>
            <w:r w:rsidRPr="00F3756C">
              <w:rPr>
                <w:rStyle w:val="Hyperlink"/>
                <w:noProof/>
              </w:rPr>
              <w:t>Slide 9</w:t>
            </w:r>
            <w:r>
              <w:rPr>
                <w:noProof/>
                <w:webHidden/>
              </w:rPr>
              <w:tab/>
            </w:r>
            <w:r>
              <w:rPr>
                <w:noProof/>
                <w:webHidden/>
              </w:rPr>
              <w:fldChar w:fldCharType="begin"/>
            </w:r>
            <w:r>
              <w:rPr>
                <w:noProof/>
                <w:webHidden/>
              </w:rPr>
              <w:instrText xml:space="preserve"> PAGEREF _Toc230303084 \h </w:instrText>
            </w:r>
            <w:r>
              <w:rPr>
                <w:noProof/>
                <w:webHidden/>
              </w:rPr>
            </w:r>
            <w:r>
              <w:rPr>
                <w:noProof/>
                <w:webHidden/>
              </w:rPr>
              <w:fldChar w:fldCharType="separate"/>
            </w:r>
            <w:r>
              <w:rPr>
                <w:noProof/>
                <w:webHidden/>
              </w:rPr>
              <w:t>13</w:t>
            </w:r>
            <w:r>
              <w:rPr>
                <w:noProof/>
                <w:webHidden/>
              </w:rPr>
              <w:fldChar w:fldCharType="end"/>
            </w:r>
          </w:hyperlink>
        </w:p>
        <w:p w14:paraId="56D386B0" w14:textId="7DE0DEC7" w:rsidR="006A6DFB" w:rsidRDefault="006A6DFB">
          <w:pPr>
            <w:pStyle w:val="TOC3"/>
            <w:tabs>
              <w:tab w:val="left" w:pos="1440"/>
              <w:tab w:val="right" w:leader="dot" w:pos="9016"/>
            </w:tabs>
            <w:rPr>
              <w:rFonts w:eastAsiaTheme="minorEastAsia"/>
              <w:noProof/>
              <w:lang w:eastAsia="en-GB"/>
            </w:rPr>
          </w:pPr>
          <w:hyperlink w:anchor="_Toc230303085" w:history="1">
            <w:r w:rsidRPr="00F3756C">
              <w:rPr>
                <w:rStyle w:val="Hyperlink"/>
                <w:noProof/>
              </w:rPr>
              <w:t>9.1.10</w:t>
            </w:r>
            <w:r>
              <w:rPr>
                <w:rFonts w:eastAsiaTheme="minorEastAsia"/>
                <w:noProof/>
                <w:lang w:eastAsia="en-GB"/>
              </w:rPr>
              <w:tab/>
            </w:r>
            <w:r w:rsidRPr="00F3756C">
              <w:rPr>
                <w:rStyle w:val="Hyperlink"/>
                <w:noProof/>
              </w:rPr>
              <w:t>Slide 10</w:t>
            </w:r>
            <w:r>
              <w:rPr>
                <w:noProof/>
                <w:webHidden/>
              </w:rPr>
              <w:tab/>
            </w:r>
            <w:r>
              <w:rPr>
                <w:noProof/>
                <w:webHidden/>
              </w:rPr>
              <w:fldChar w:fldCharType="begin"/>
            </w:r>
            <w:r>
              <w:rPr>
                <w:noProof/>
                <w:webHidden/>
              </w:rPr>
              <w:instrText xml:space="preserve"> PAGEREF _Toc230303085 \h </w:instrText>
            </w:r>
            <w:r>
              <w:rPr>
                <w:noProof/>
                <w:webHidden/>
              </w:rPr>
            </w:r>
            <w:r>
              <w:rPr>
                <w:noProof/>
                <w:webHidden/>
              </w:rPr>
              <w:fldChar w:fldCharType="separate"/>
            </w:r>
            <w:r>
              <w:rPr>
                <w:noProof/>
                <w:webHidden/>
              </w:rPr>
              <w:t>14</w:t>
            </w:r>
            <w:r>
              <w:rPr>
                <w:noProof/>
                <w:webHidden/>
              </w:rPr>
              <w:fldChar w:fldCharType="end"/>
            </w:r>
          </w:hyperlink>
        </w:p>
        <w:p w14:paraId="59C7FF68" w14:textId="0BE2EC47" w:rsidR="006E5C22" w:rsidRDefault="00F21079" w:rsidP="006E5C22">
          <w:pPr>
            <w:rPr>
              <w:b/>
              <w:bCs/>
              <w:noProof/>
            </w:rPr>
          </w:pPr>
          <w:r>
            <w:rPr>
              <w:b/>
              <w:bCs/>
              <w:noProof/>
            </w:rPr>
            <w:lastRenderedPageBreak/>
            <w:fldChar w:fldCharType="end"/>
          </w:r>
        </w:p>
      </w:sdtContent>
    </w:sdt>
    <w:p w14:paraId="5FD0711C" w14:textId="6E414A30" w:rsidR="00F21079" w:rsidRDefault="00F21079" w:rsidP="00F21079">
      <w:pPr>
        <w:pStyle w:val="Heading1"/>
        <w:rPr>
          <w:rFonts w:ascii="Arial" w:hAnsi="Arial" w:cs="Arial"/>
          <w:sz w:val="32"/>
          <w:szCs w:val="32"/>
        </w:rPr>
      </w:pPr>
      <w:bookmarkStart w:id="0" w:name="_Toc230303055"/>
      <w:r w:rsidRPr="00F21079">
        <w:rPr>
          <w:rFonts w:ascii="Arial" w:hAnsi="Arial" w:cs="Arial"/>
          <w:sz w:val="32"/>
          <w:szCs w:val="32"/>
        </w:rPr>
        <w:t>Introduction</w:t>
      </w:r>
      <w:bookmarkEnd w:id="0"/>
    </w:p>
    <w:p w14:paraId="3314BE4E" w14:textId="442CECC2" w:rsidR="00F21079" w:rsidRPr="00F21079" w:rsidRDefault="00D54F64" w:rsidP="00D54F64">
      <w:pPr>
        <w:jc w:val="both"/>
      </w:pPr>
      <w:r>
        <w:rPr>
          <w:rFonts w:ascii="Arial" w:hAnsi="Arial" w:cs="Arial"/>
          <w:color w:val="000000" w:themeColor="text1"/>
        </w:rPr>
        <w:t xml:space="preserve">The rapid evolution of cyber threats presents serious challenges to organisations across all industries, with financial services remaining a primary target. Vigilant Trust and Asset Management (VTAM) recently encountered a sophisticated phishing campaign that bypassed traditional email filters, as well as an attempted ransomware infection, revealing vulnerabilities in its current security. This report explores modern internal and external threats, evaluates risks linked to hybrid working and cloud adoption, and proposes a Zero Trust security framework aligned with NIST CSF and ISO 27001 standards. </w:t>
      </w:r>
    </w:p>
    <w:p w14:paraId="1A2D2708" w14:textId="69339766" w:rsidR="00F21079" w:rsidRDefault="00F21079" w:rsidP="00F21079">
      <w:pPr>
        <w:pStyle w:val="Heading1"/>
        <w:rPr>
          <w:rFonts w:ascii="Arial" w:hAnsi="Arial" w:cs="Arial"/>
          <w:sz w:val="32"/>
          <w:szCs w:val="32"/>
        </w:rPr>
      </w:pPr>
      <w:bookmarkStart w:id="1" w:name="_Toc230303056"/>
      <w:r w:rsidRPr="00F21079">
        <w:rPr>
          <w:rFonts w:ascii="Arial" w:hAnsi="Arial" w:cs="Arial"/>
          <w:sz w:val="32"/>
          <w:szCs w:val="32"/>
        </w:rPr>
        <w:t>Modern Threat Landscape</w:t>
      </w:r>
      <w:bookmarkEnd w:id="1"/>
    </w:p>
    <w:p w14:paraId="71798DD5" w14:textId="336F90C2" w:rsidR="00F21079" w:rsidRDefault="00F21079" w:rsidP="00F21079">
      <w:pPr>
        <w:pStyle w:val="Heading2"/>
        <w:rPr>
          <w:rFonts w:ascii="Arial" w:hAnsi="Arial" w:cs="Arial"/>
          <w:sz w:val="28"/>
          <w:szCs w:val="28"/>
        </w:rPr>
      </w:pPr>
      <w:bookmarkStart w:id="2" w:name="_Toc230303057"/>
      <w:r w:rsidRPr="00F21079">
        <w:rPr>
          <w:rFonts w:ascii="Arial" w:hAnsi="Arial" w:cs="Arial"/>
          <w:sz w:val="28"/>
          <w:szCs w:val="28"/>
        </w:rPr>
        <w:t>Insider Threat</w:t>
      </w:r>
      <w:bookmarkEnd w:id="2"/>
    </w:p>
    <w:p w14:paraId="6DB5980B" w14:textId="40AC8675" w:rsidR="00F21079" w:rsidRPr="003E7DE6" w:rsidRDefault="00F21079" w:rsidP="00F21079">
      <w:pPr>
        <w:jc w:val="both"/>
        <w:rPr>
          <w:rFonts w:ascii="Arial" w:hAnsi="Arial" w:cs="Arial"/>
          <w:color w:val="000000" w:themeColor="text1"/>
        </w:rPr>
      </w:pPr>
      <w:r w:rsidRPr="003E7DE6">
        <w:rPr>
          <w:rFonts w:ascii="Arial" w:hAnsi="Arial" w:cs="Arial"/>
          <w:color w:val="000000" w:themeColor="text1"/>
        </w:rPr>
        <w:t xml:space="preserve">An insider threat is a security risk that comes from someone within an organisation (e.g. </w:t>
      </w:r>
      <w:r w:rsidR="00660FCC">
        <w:rPr>
          <w:rFonts w:ascii="Arial" w:hAnsi="Arial" w:cs="Arial"/>
          <w:color w:val="000000" w:themeColor="text1"/>
        </w:rPr>
        <w:t>e</w:t>
      </w:r>
      <w:r w:rsidRPr="003E7DE6">
        <w:rPr>
          <w:rFonts w:ascii="Arial" w:hAnsi="Arial" w:cs="Arial"/>
          <w:color w:val="000000" w:themeColor="text1"/>
        </w:rPr>
        <w:t>mployee, contractor or partner) who has authorised access to systems or data</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isa.gov/topics/physical-security/insider-threat-mitigation/defining-insider-threats","author":[{"dropping-particle":"","family":"CISA","given":"","non-dropping-particle":"","parse-names":false,"suffix":""}],"container-title":"CISA","id":"ITEM-1","issued":{"date-parts":[["0"]]},"title":"Defining Insider Threats","type":"webpage"},"uris":["http://www.mendeley.com/documents/?uuid=1edbef1d-a171-3bdc-bf98-70e719765c17"]}],"mendeley":{"formattedCitation":"[1]","plainTextFormattedCitation":"[1]","previouslyFormattedCitation":"[1]"},"properties":{"noteIndex":0},"schema":"https://github.com/citation-style-language/schema/raw/master/csl-citation.json"}</w:instrText>
      </w:r>
      <w:r>
        <w:rPr>
          <w:rFonts w:ascii="Arial" w:hAnsi="Arial" w:cs="Arial"/>
          <w:color w:val="000000" w:themeColor="text1"/>
        </w:rPr>
        <w:fldChar w:fldCharType="separate"/>
      </w:r>
      <w:r w:rsidRPr="00A039BC">
        <w:rPr>
          <w:rFonts w:ascii="Arial" w:hAnsi="Arial" w:cs="Arial"/>
          <w:noProof/>
          <w:color w:val="000000" w:themeColor="text1"/>
        </w:rPr>
        <w:t>[1]</w:t>
      </w:r>
      <w:r>
        <w:rPr>
          <w:rFonts w:ascii="Arial" w:hAnsi="Arial" w:cs="Arial"/>
          <w:color w:val="000000" w:themeColor="text1"/>
        </w:rPr>
        <w:fldChar w:fldCharType="end"/>
      </w:r>
      <w:r w:rsidRPr="003E7DE6">
        <w:rPr>
          <w:rFonts w:ascii="Arial" w:hAnsi="Arial" w:cs="Arial"/>
          <w:color w:val="000000" w:themeColor="text1"/>
        </w:rPr>
        <w:t>. It can be malicious, intentionally stealing data or causing harm, or negligent</w:t>
      </w:r>
      <w:r>
        <w:rPr>
          <w:rFonts w:ascii="Arial" w:hAnsi="Arial" w:cs="Arial"/>
          <w:color w:val="000000" w:themeColor="text1"/>
        </w:rPr>
        <w:t xml:space="preserve"> and </w:t>
      </w:r>
      <w:r w:rsidRPr="003E7DE6">
        <w:rPr>
          <w:rFonts w:ascii="Arial" w:hAnsi="Arial" w:cs="Arial"/>
          <w:color w:val="000000" w:themeColor="text1"/>
        </w:rPr>
        <w:t>accidental actions like clicking phishing emails or mishandling data</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isa.gov/topics/physical-security/insider-threat-mitigation/defining-insider-threats","author":[{"dropping-particle":"","family":"CISA","given":"","non-dropping-particle":"","parse-names":false,"suffix":""}],"container-title":"CISA","id":"ITEM-1","issued":{"date-parts":[["0"]]},"title":"Defining Insider Threats","type":"webpage"},"uris":["http://www.mendeley.com/documents/?uuid=1edbef1d-a171-3bdc-bf98-70e719765c17"]}],"mendeley":{"formattedCitation":"[1]","plainTextFormattedCitation":"[1]","previouslyFormattedCitation":"[1]"},"properties":{"noteIndex":0},"schema":"https://github.com/citation-style-language/schema/raw/master/csl-citation.json"}</w:instrText>
      </w:r>
      <w:r>
        <w:rPr>
          <w:rFonts w:ascii="Arial" w:hAnsi="Arial" w:cs="Arial"/>
          <w:color w:val="000000" w:themeColor="text1"/>
        </w:rPr>
        <w:fldChar w:fldCharType="separate"/>
      </w:r>
      <w:r w:rsidRPr="00A039BC">
        <w:rPr>
          <w:rFonts w:ascii="Arial" w:hAnsi="Arial" w:cs="Arial"/>
          <w:noProof/>
          <w:color w:val="000000" w:themeColor="text1"/>
        </w:rPr>
        <w:t>[1]</w:t>
      </w:r>
      <w:r>
        <w:rPr>
          <w:rFonts w:ascii="Arial" w:hAnsi="Arial" w:cs="Arial"/>
          <w:color w:val="000000" w:themeColor="text1"/>
        </w:rPr>
        <w:fldChar w:fldCharType="end"/>
      </w:r>
      <w:r w:rsidRPr="003E7DE6">
        <w:rPr>
          <w:rFonts w:ascii="Arial" w:hAnsi="Arial" w:cs="Arial"/>
          <w:color w:val="000000" w:themeColor="text1"/>
        </w:rPr>
        <w:t xml:space="preserve">. </w:t>
      </w:r>
    </w:p>
    <w:p w14:paraId="3E7AD2F3" w14:textId="77777777" w:rsidR="00F21079" w:rsidRPr="00F21079" w:rsidRDefault="00F21079" w:rsidP="00F21079"/>
    <w:p w14:paraId="60555757" w14:textId="41F4B005" w:rsidR="00F21079" w:rsidRDefault="00F21079" w:rsidP="00F21079">
      <w:pPr>
        <w:pStyle w:val="Heading2"/>
        <w:rPr>
          <w:rFonts w:ascii="Arial" w:hAnsi="Arial" w:cs="Arial"/>
          <w:sz w:val="28"/>
          <w:szCs w:val="28"/>
        </w:rPr>
      </w:pPr>
      <w:bookmarkStart w:id="3" w:name="_Toc230303058"/>
      <w:r w:rsidRPr="00F21079">
        <w:rPr>
          <w:rFonts w:ascii="Arial" w:hAnsi="Arial" w:cs="Arial"/>
          <w:sz w:val="28"/>
          <w:szCs w:val="28"/>
        </w:rPr>
        <w:t>RaaS</w:t>
      </w:r>
      <w:bookmarkEnd w:id="3"/>
    </w:p>
    <w:p w14:paraId="71A55BFF" w14:textId="551AD703" w:rsidR="00F21079" w:rsidRPr="003E7DE6" w:rsidRDefault="00F21079" w:rsidP="00F21079">
      <w:pPr>
        <w:jc w:val="both"/>
        <w:rPr>
          <w:rFonts w:ascii="Arial" w:hAnsi="Arial" w:cs="Arial"/>
          <w:color w:val="000000" w:themeColor="text1"/>
        </w:rPr>
      </w:pPr>
      <w:r w:rsidRPr="003E7DE6">
        <w:rPr>
          <w:rFonts w:ascii="Arial" w:hAnsi="Arial" w:cs="Arial"/>
          <w:color w:val="000000" w:themeColor="text1"/>
        </w:rPr>
        <w:t>Ransomware as a service (</w:t>
      </w:r>
      <w:r w:rsidR="00660FCC" w:rsidRPr="003E7DE6">
        <w:rPr>
          <w:rFonts w:ascii="Arial" w:hAnsi="Arial" w:cs="Arial"/>
          <w:color w:val="000000" w:themeColor="text1"/>
        </w:rPr>
        <w:t>Raa</w:t>
      </w:r>
      <w:r w:rsidR="00660FCC">
        <w:rPr>
          <w:rFonts w:ascii="Arial" w:hAnsi="Arial" w:cs="Arial"/>
          <w:color w:val="000000" w:themeColor="text1"/>
        </w:rPr>
        <w:t>S</w:t>
      </w:r>
      <w:r w:rsidRPr="003E7DE6">
        <w:rPr>
          <w:rFonts w:ascii="Arial" w:hAnsi="Arial" w:cs="Arial"/>
          <w:color w:val="000000" w:themeColor="text1"/>
        </w:rPr>
        <w:t>)</w:t>
      </w:r>
      <w:r>
        <w:rPr>
          <w:rFonts w:ascii="Arial" w:hAnsi="Arial" w:cs="Arial"/>
          <w:color w:val="000000" w:themeColor="text1"/>
        </w:rPr>
        <w:t xml:space="preserve"> </w:t>
      </w:r>
      <w:r w:rsidRPr="003E7DE6">
        <w:rPr>
          <w:rFonts w:ascii="Arial" w:hAnsi="Arial" w:cs="Arial"/>
          <w:color w:val="000000" w:themeColor="text1"/>
        </w:rPr>
        <w:t>is a service offered by hackers</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rowdstrike.com/en-us/cybersecurity-101/ransomware/ransomware-as-a-service-raas/","accessed":{"date-parts":[["2026","5","20"]]},"author":[{"dropping-particle":"","family":"Baker","given":"Kurt","non-dropping-particle":"","parse-names":false,"suffix":""}],"id":"ITEM-1","issued":{"date-parts":[["2021","1","30"]]},"title":"What is Ransomware as a Service (RaaS)? | CrowdStrike","type":"webpage"},"uris":["http://www.mendeley.com/documents/?uuid=96be48b2-e05a-3fa0-ad9f-4cfd8089a8f2"]}],"mendeley":{"formattedCitation":"[2]","plainTextFormattedCitation":"[2]","previouslyFormattedCitation":"[2]"},"properties":{"noteIndex":0},"schema":"https://github.com/citation-style-language/schema/raw/master/csl-citation.json"}</w:instrText>
      </w:r>
      <w:r>
        <w:rPr>
          <w:rFonts w:ascii="Arial" w:hAnsi="Arial" w:cs="Arial"/>
          <w:color w:val="000000" w:themeColor="text1"/>
        </w:rPr>
        <w:fldChar w:fldCharType="separate"/>
      </w:r>
      <w:r w:rsidRPr="006B7841">
        <w:rPr>
          <w:rFonts w:ascii="Arial" w:hAnsi="Arial" w:cs="Arial"/>
          <w:noProof/>
          <w:color w:val="000000" w:themeColor="text1"/>
        </w:rPr>
        <w:t>[2]</w:t>
      </w:r>
      <w:r>
        <w:rPr>
          <w:rFonts w:ascii="Arial" w:hAnsi="Arial" w:cs="Arial"/>
          <w:color w:val="000000" w:themeColor="text1"/>
        </w:rPr>
        <w:fldChar w:fldCharType="end"/>
      </w:r>
      <w:r w:rsidRPr="003E7DE6">
        <w:rPr>
          <w:rFonts w:ascii="Arial" w:hAnsi="Arial" w:cs="Arial"/>
          <w:color w:val="000000" w:themeColor="text1"/>
        </w:rPr>
        <w:t>. They develop ransomware and an affiliate carries out the attack, and they split the money if the victim pays the ransomware</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rowdstrike.com/en-us/cybersecurity-101/ransomware/ransomware-as-a-service-raas/","accessed":{"date-parts":[["2026","5","20"]]},"author":[{"dropping-particle":"","family":"Baker","given":"Kurt","non-dropping-particle":"","parse-names":false,"suffix":""}],"id":"ITEM-1","issued":{"date-parts":[["2021","1","30"]]},"title":"What is Ransomware as a Service (RaaS)? | CrowdStrike","type":"webpage"},"uris":["http://www.mendeley.com/documents/?uuid=96be48b2-e05a-3fa0-ad9f-4cfd8089a8f2"]}],"mendeley":{"formattedCitation":"[2]","plainTextFormattedCitation":"[2]","previouslyFormattedCitation":"[2]"},"properties":{"noteIndex":0},"schema":"https://github.com/citation-style-language/schema/raw/master/csl-citation.json"}</w:instrText>
      </w:r>
      <w:r>
        <w:rPr>
          <w:rFonts w:ascii="Arial" w:hAnsi="Arial" w:cs="Arial"/>
          <w:color w:val="000000" w:themeColor="text1"/>
        </w:rPr>
        <w:fldChar w:fldCharType="separate"/>
      </w:r>
      <w:r w:rsidRPr="006B7841">
        <w:rPr>
          <w:rFonts w:ascii="Arial" w:hAnsi="Arial" w:cs="Arial"/>
          <w:noProof/>
          <w:color w:val="000000" w:themeColor="text1"/>
        </w:rPr>
        <w:t>[2]</w:t>
      </w:r>
      <w:r>
        <w:rPr>
          <w:rFonts w:ascii="Arial" w:hAnsi="Arial" w:cs="Arial"/>
          <w:color w:val="000000" w:themeColor="text1"/>
        </w:rPr>
        <w:fldChar w:fldCharType="end"/>
      </w:r>
      <w:r w:rsidRPr="003E7DE6">
        <w:rPr>
          <w:rFonts w:ascii="Arial" w:hAnsi="Arial" w:cs="Arial"/>
          <w:color w:val="000000" w:themeColor="text1"/>
        </w:rPr>
        <w:t>. Raas makes cybercrime easier as you don’t need advanced technical skills to launch an attack, it spreads ransomware much more widely and is often run like a business</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rowdstrike.com/en-us/cybersecurity-101/ransomware/ransomware-as-a-service-raas/","accessed":{"date-parts":[["2026","5","20"]]},"author":[{"dropping-particle":"","family":"Baker","given":"Kurt","non-dropping-particle":"","parse-names":false,"suffix":""}],"id":"ITEM-1","issued":{"date-parts":[["2021","1","30"]]},"title":"What is Ransomware as a Service (RaaS)? | CrowdStrike","type":"webpage"},"uris":["http://www.mendeley.com/documents/?uuid=96be48b2-e05a-3fa0-ad9f-4cfd8089a8f2"]}],"mendeley":{"formattedCitation":"[2]","plainTextFormattedCitation":"[2]","previouslyFormattedCitation":"[2]"},"properties":{"noteIndex":0},"schema":"https://github.com/citation-style-language/schema/raw/master/csl-citation.json"}</w:instrText>
      </w:r>
      <w:r>
        <w:rPr>
          <w:rFonts w:ascii="Arial" w:hAnsi="Arial" w:cs="Arial"/>
          <w:color w:val="000000" w:themeColor="text1"/>
        </w:rPr>
        <w:fldChar w:fldCharType="separate"/>
      </w:r>
      <w:r w:rsidRPr="006B7841">
        <w:rPr>
          <w:rFonts w:ascii="Arial" w:hAnsi="Arial" w:cs="Arial"/>
          <w:noProof/>
          <w:color w:val="000000" w:themeColor="text1"/>
        </w:rPr>
        <w:t>[2]</w:t>
      </w:r>
      <w:r>
        <w:rPr>
          <w:rFonts w:ascii="Arial" w:hAnsi="Arial" w:cs="Arial"/>
          <w:color w:val="000000" w:themeColor="text1"/>
        </w:rPr>
        <w:fldChar w:fldCharType="end"/>
      </w:r>
      <w:r w:rsidRPr="003E7DE6">
        <w:rPr>
          <w:rFonts w:ascii="Arial" w:hAnsi="Arial" w:cs="Arial"/>
          <w:color w:val="000000" w:themeColor="text1"/>
        </w:rPr>
        <w:t>.</w:t>
      </w:r>
    </w:p>
    <w:p w14:paraId="001CE1C2" w14:textId="77777777" w:rsidR="00F21079" w:rsidRPr="00F21079" w:rsidRDefault="00F21079" w:rsidP="00F21079"/>
    <w:p w14:paraId="307F1EDD" w14:textId="17534B0A" w:rsidR="00F21079" w:rsidRDefault="00F21079" w:rsidP="00F21079">
      <w:pPr>
        <w:pStyle w:val="Heading2"/>
        <w:rPr>
          <w:rFonts w:ascii="Arial" w:hAnsi="Arial" w:cs="Arial"/>
          <w:sz w:val="28"/>
          <w:szCs w:val="28"/>
        </w:rPr>
      </w:pPr>
      <w:bookmarkStart w:id="4" w:name="_Toc230303059"/>
      <w:r w:rsidRPr="00F21079">
        <w:rPr>
          <w:rFonts w:ascii="Arial" w:hAnsi="Arial" w:cs="Arial"/>
          <w:sz w:val="28"/>
          <w:szCs w:val="28"/>
        </w:rPr>
        <w:t>AI Vishing</w:t>
      </w:r>
      <w:bookmarkEnd w:id="4"/>
    </w:p>
    <w:p w14:paraId="5F533EFF" w14:textId="4A9B7616" w:rsidR="00F21079" w:rsidRPr="003E7DE6" w:rsidRDefault="00F21079" w:rsidP="00F21079">
      <w:pPr>
        <w:jc w:val="both"/>
        <w:rPr>
          <w:rFonts w:ascii="Arial" w:hAnsi="Arial" w:cs="Arial"/>
          <w:color w:val="000000" w:themeColor="text1"/>
        </w:rPr>
      </w:pPr>
      <w:r>
        <w:rPr>
          <w:rFonts w:ascii="Arial" w:hAnsi="Arial" w:cs="Arial"/>
          <w:color w:val="000000" w:themeColor="text1"/>
        </w:rPr>
        <w:t>AI is</w:t>
      </w:r>
      <w:r w:rsidRPr="003E7DE6">
        <w:rPr>
          <w:rFonts w:ascii="Arial" w:hAnsi="Arial" w:cs="Arial"/>
          <w:color w:val="000000" w:themeColor="text1"/>
        </w:rPr>
        <w:t xml:space="preserve"> being used to create highly convincing phishing lures</w:t>
      </w:r>
      <w:r>
        <w:rPr>
          <w:rFonts w:ascii="Arial" w:hAnsi="Arial" w:cs="Arial"/>
          <w:color w:val="000000" w:themeColor="text1"/>
        </w:rPr>
        <w:t xml:space="preserve"> by</w:t>
      </w:r>
      <w:r w:rsidRPr="003E7DE6">
        <w:rPr>
          <w:rFonts w:ascii="Arial" w:hAnsi="Arial" w:cs="Arial"/>
          <w:color w:val="000000" w:themeColor="text1"/>
        </w:rPr>
        <w:t xml:space="preserve"> </w:t>
      </w:r>
      <w:r>
        <w:rPr>
          <w:rFonts w:ascii="Arial" w:hAnsi="Arial" w:cs="Arial"/>
          <w:color w:val="000000" w:themeColor="text1"/>
        </w:rPr>
        <w:t xml:space="preserve">cloning </w:t>
      </w:r>
      <w:r w:rsidRPr="003E7DE6">
        <w:rPr>
          <w:rFonts w:ascii="Arial" w:hAnsi="Arial" w:cs="Arial"/>
          <w:color w:val="000000" w:themeColor="text1"/>
        </w:rPr>
        <w:t>voices (known as deepfake)</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{"citationItems":[{"id":"ITEM-1","itemData":{"author":[{"dropping-particle":"","family":"Tummalapenta","given":"Srini","non-dropping-particle":"","parse-names":false,"suffix":""}],"container-title":"IBM","id":"ITEM-1","issued":{"date-parts":[["0","1"]]},"title":"How a new wave of deepfake-driven cyber crime targets businesses [online]","type":"article-newspaper"},"uris":["http://www.mendeley.com/documents/?uuid=03d8e608-69cc-385d-b94d-8acec60663e4"]}],"mendeley":{"formattedCitation":"[3]","plainTextFormattedCitation":"[3]","previouslyFormattedCitation":"[3]"},"properties":{"noteIndex":0},"schema":"https://github.com/citation-style-language/schema/raw/master/csl-citation.json"}</w:instrText>
      </w:r>
      <w:r>
        <w:rPr>
          <w:rFonts w:ascii="Arial" w:hAnsi="Arial" w:cs="Arial"/>
          <w:color w:val="000000" w:themeColor="text1"/>
        </w:rPr>
        <w:fldChar w:fldCharType="separate"/>
      </w:r>
      <w:r w:rsidRPr="00760143">
        <w:rPr>
          <w:rFonts w:ascii="Arial" w:hAnsi="Arial" w:cs="Arial"/>
          <w:noProof/>
          <w:color w:val="000000" w:themeColor="text1"/>
        </w:rPr>
        <w:t>[3]</w:t>
      </w:r>
      <w:r>
        <w:rPr>
          <w:rFonts w:ascii="Arial" w:hAnsi="Arial" w:cs="Arial"/>
          <w:color w:val="000000" w:themeColor="text1"/>
        </w:rPr>
        <w:fldChar w:fldCharType="end"/>
      </w:r>
      <w:r>
        <w:rPr>
          <w:rFonts w:ascii="Arial" w:hAnsi="Arial" w:cs="Arial"/>
          <w:color w:val="000000" w:themeColor="text1"/>
        </w:rPr>
        <w:t>. I</w:t>
      </w:r>
      <w:r w:rsidRPr="003E7DE6">
        <w:rPr>
          <w:rFonts w:ascii="Arial" w:hAnsi="Arial" w:cs="Arial"/>
          <w:color w:val="000000" w:themeColor="text1"/>
        </w:rPr>
        <w:t>t is highly dangerous because the voice cloning can sound extremely accurate and can happen in real time not just from a recordin</w:t>
      </w:r>
      <w:r>
        <w:rPr>
          <w:rFonts w:ascii="Arial" w:hAnsi="Arial" w:cs="Arial"/>
          <w:color w:val="000000" w:themeColor="text1"/>
        </w:rPr>
        <w:t xml:space="preserve">g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{"citationItems":[{"id":"ITEM-1","itemData":{"author":[{"dropping-particle":"","family":"Tummalapenta","given":"Srini","non-dropping-particle":"","parse-names":false,"suffix":""}],"container-title":"IBM","id":"ITEM-1","issued":{"date-parts":[["0","1"]]},"title":"How a new wave of deepfake-driven cyber crime targets businesses [online]","type":"article-newspaper"},"uris":["http://www.mendeley.com/documents/?uuid=03d8e608-69cc-385d-b94d-8acec60663e4"]}],"mendeley":{"formattedCitation":"[3]","plainTextFormattedCitation":"[3]","previouslyFormattedCitation":"[3]"},"properties":{"noteIndex":0},"schema":"https://github.com/citation-style-language/schema/raw/master/csl-citation.json"}</w:instrText>
      </w:r>
      <w:r>
        <w:rPr>
          <w:rFonts w:ascii="Arial" w:hAnsi="Arial" w:cs="Arial"/>
          <w:color w:val="000000" w:themeColor="text1"/>
        </w:rPr>
        <w:fldChar w:fldCharType="separate"/>
      </w:r>
      <w:r w:rsidRPr="00760143">
        <w:rPr>
          <w:rFonts w:ascii="Arial" w:hAnsi="Arial" w:cs="Arial"/>
          <w:noProof/>
          <w:color w:val="000000" w:themeColor="text1"/>
        </w:rPr>
        <w:t>[3]</w:t>
      </w:r>
      <w:r>
        <w:rPr>
          <w:rFonts w:ascii="Arial" w:hAnsi="Arial" w:cs="Arial"/>
          <w:color w:val="000000" w:themeColor="text1"/>
        </w:rPr>
        <w:fldChar w:fldCharType="end"/>
      </w:r>
      <w:r>
        <w:rPr>
          <w:rFonts w:ascii="Arial" w:hAnsi="Arial" w:cs="Arial"/>
          <w:color w:val="000000" w:themeColor="text1"/>
        </w:rPr>
        <w:t>. AI is also able to</w:t>
      </w:r>
      <w:r w:rsidRPr="003E7DE6">
        <w:rPr>
          <w:rFonts w:ascii="Arial" w:hAnsi="Arial" w:cs="Arial"/>
          <w:color w:val="000000" w:themeColor="text1"/>
        </w:rPr>
        <w:t xml:space="preserve"> mimic writing styles and automate the discovery of system flaws. A</w:t>
      </w:r>
      <w:r w:rsidR="00660FCC">
        <w:rPr>
          <w:rFonts w:ascii="Arial" w:hAnsi="Arial" w:cs="Arial"/>
          <w:color w:val="000000" w:themeColor="text1"/>
        </w:rPr>
        <w:t>I</w:t>
      </w:r>
      <w:r w:rsidRPr="003E7DE6">
        <w:rPr>
          <w:rFonts w:ascii="Arial" w:hAnsi="Arial" w:cs="Arial"/>
          <w:color w:val="000000" w:themeColor="text1"/>
        </w:rPr>
        <w:t xml:space="preserve"> makes these attacks more convincing and harder to detect</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{"citationItems":[{"id":"ITEM-1","itemData":{"author":[{"dropping-particle":"","family":"Tummalapenta","given":"Srini","non-dropping-particle":"","parse-names":false,"suffix":""}],"container-title":"IBM","id":"ITEM-1","issued":{"date-parts":[["0","1"]]},"title":"How a new wave of deepfake-driven cyber crime targets businesses [online]","type":"article-newspaper"},"uris":["http://www.mendeley.com/documents/?uuid=03d8e608-69cc-385d-b94d-8acec60663e4"]}],"mendeley":{"formattedCitation":"[3]","plainTextFormattedCitation":"[3]","previouslyFormattedCitation":"[3]"},"properties":{"noteIndex":0},"schema":"https://github.com/citation-style-language/schema/raw/master/csl-citation.json"}</w:instrText>
      </w:r>
      <w:r>
        <w:rPr>
          <w:rFonts w:ascii="Arial" w:hAnsi="Arial" w:cs="Arial"/>
          <w:color w:val="000000" w:themeColor="text1"/>
        </w:rPr>
        <w:fldChar w:fldCharType="separate"/>
      </w:r>
      <w:r w:rsidRPr="00760143">
        <w:rPr>
          <w:rFonts w:ascii="Arial" w:hAnsi="Arial" w:cs="Arial"/>
          <w:noProof/>
          <w:color w:val="000000" w:themeColor="text1"/>
        </w:rPr>
        <w:t>[3]</w:t>
      </w:r>
      <w:r>
        <w:rPr>
          <w:rFonts w:ascii="Arial" w:hAnsi="Arial" w:cs="Arial"/>
          <w:color w:val="000000" w:themeColor="text1"/>
        </w:rPr>
        <w:fldChar w:fldCharType="end"/>
      </w:r>
      <w:r w:rsidRPr="003E7DE6">
        <w:rPr>
          <w:rFonts w:ascii="Arial" w:hAnsi="Arial" w:cs="Arial"/>
          <w:color w:val="000000" w:themeColor="text1"/>
        </w:rPr>
        <w:t xml:space="preserve">. </w:t>
      </w:r>
    </w:p>
    <w:p w14:paraId="6D36832D" w14:textId="77777777" w:rsidR="00F21079" w:rsidRPr="00F21079" w:rsidRDefault="00F21079" w:rsidP="00F21079"/>
    <w:p w14:paraId="5133EF74" w14:textId="7FF0B6DC" w:rsidR="00F21079" w:rsidRDefault="00F21079" w:rsidP="00F21079">
      <w:pPr>
        <w:pStyle w:val="Heading2"/>
        <w:rPr>
          <w:rFonts w:ascii="Arial" w:hAnsi="Arial" w:cs="Arial"/>
          <w:sz w:val="28"/>
          <w:szCs w:val="28"/>
        </w:rPr>
      </w:pPr>
      <w:bookmarkStart w:id="5" w:name="_Toc230303060"/>
      <w:r w:rsidRPr="00F21079">
        <w:rPr>
          <w:rFonts w:ascii="Arial" w:hAnsi="Arial" w:cs="Arial"/>
          <w:sz w:val="28"/>
          <w:szCs w:val="28"/>
        </w:rPr>
        <w:t>Supply Chain</w:t>
      </w:r>
      <w:bookmarkEnd w:id="5"/>
    </w:p>
    <w:p w14:paraId="1A1EF1CE" w14:textId="1F03B8D8" w:rsidR="00F21079" w:rsidRPr="003E7DE6" w:rsidRDefault="00F21079" w:rsidP="00F21079">
      <w:pPr>
        <w:jc w:val="both"/>
        <w:rPr>
          <w:rFonts w:ascii="Arial" w:hAnsi="Arial" w:cs="Arial"/>
          <w:color w:val="000000" w:themeColor="text1"/>
        </w:rPr>
      </w:pPr>
      <w:r w:rsidRPr="003E7DE6">
        <w:rPr>
          <w:rFonts w:ascii="Arial" w:hAnsi="Arial" w:cs="Arial"/>
          <w:color w:val="000000" w:themeColor="text1"/>
        </w:rPr>
        <w:t>A supply chain attack is when hackers don’t target a company directly but instead attack a trusted third-party supplier or software that the company uses</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{"citationItems":[{"id":"ITEM-1","itemData":{"author":[{"dropping-particle":"","family":"Miller","given":"John F","non-dropping-particle":"","parse-names":false,"suffix":""}],"id":"ITEM-1","issue":"December 2013","issued":{"date-parts":[["0"]]},"title":"Supply Chain Attack Framework and Attack Patterns","type":"article-journal","volume":"7013"},"uris":["http://www.mendeley.com/documents/?uuid=98ea5df7-5439-4b71-96e3-63fb772d9128"]}],"mendeley":{"formattedCitation":"[4]","plainTextFormattedCitation":"[4]","previouslyFormattedCitation":"[4]"},"properties":{"noteIndex":0},"schema":"https://github.com/citation-style-language/schema/raw/master/csl-citation.json"}</w:instrText>
      </w:r>
      <w:r>
        <w:rPr>
          <w:rFonts w:ascii="Arial" w:hAnsi="Arial" w:cs="Arial"/>
          <w:color w:val="000000" w:themeColor="text1"/>
        </w:rPr>
        <w:fldChar w:fldCharType="separate"/>
      </w:r>
      <w:r w:rsidRPr="00760143">
        <w:rPr>
          <w:rFonts w:ascii="Arial" w:hAnsi="Arial" w:cs="Arial"/>
          <w:noProof/>
          <w:color w:val="000000" w:themeColor="text1"/>
        </w:rPr>
        <w:t>[4]</w:t>
      </w:r>
      <w:r>
        <w:rPr>
          <w:rFonts w:ascii="Arial" w:hAnsi="Arial" w:cs="Arial"/>
          <w:color w:val="000000" w:themeColor="text1"/>
        </w:rPr>
        <w:fldChar w:fldCharType="end"/>
      </w:r>
      <w:r w:rsidRPr="003E7DE6">
        <w:rPr>
          <w:rFonts w:ascii="Arial" w:hAnsi="Arial" w:cs="Arial"/>
          <w:color w:val="000000" w:themeColor="text1"/>
        </w:rPr>
        <w:t xml:space="preserve">. Even secure </w:t>
      </w:r>
      <w:r w:rsidRPr="003E7DE6">
        <w:rPr>
          <w:rFonts w:ascii="Arial" w:hAnsi="Arial" w:cs="Arial"/>
          <w:color w:val="000000" w:themeColor="text1"/>
        </w:rPr>
        <w:lastRenderedPageBreak/>
        <w:t>organisations were affected because the weakness was in a trusted supplier, or sensitive data (like employee or customer info) can be stolen</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{"citationItems":[{"id":"ITEM-1","itemData":{"author":[{"dropping-particle":"","family":"Miller","given":"John F","non-dropping-particle":"","parse-names":false,"suffix":""}],"id":"ITEM-1","issue":"December 2013","issued":{"date-parts":[["0"]]},"title":"Supply Chain Attack Framework and Attack Patterns","type":"article-journal","volume":"7013"},"uris":["http://www.mendeley.com/documents/?uuid=98ea5df7-5439-4b71-96e3-63fb772d9128"]}],"mendeley":{"formattedCitation":"[4]","plainTextFormattedCitation":"[4]","previouslyFormattedCitation":"[4]"},"properties":{"noteIndex":0},"schema":"https://github.com/citation-style-language/schema/raw/master/csl-citation.json"}</w:instrText>
      </w:r>
      <w:r>
        <w:rPr>
          <w:rFonts w:ascii="Arial" w:hAnsi="Arial" w:cs="Arial"/>
          <w:color w:val="000000" w:themeColor="text1"/>
        </w:rPr>
        <w:fldChar w:fldCharType="separate"/>
      </w:r>
      <w:r w:rsidRPr="00760143">
        <w:rPr>
          <w:rFonts w:ascii="Arial" w:hAnsi="Arial" w:cs="Arial"/>
          <w:noProof/>
          <w:color w:val="000000" w:themeColor="text1"/>
        </w:rPr>
        <w:t>[4]</w:t>
      </w:r>
      <w:r>
        <w:rPr>
          <w:rFonts w:ascii="Arial" w:hAnsi="Arial" w:cs="Arial"/>
          <w:color w:val="000000" w:themeColor="text1"/>
        </w:rPr>
        <w:fldChar w:fldCharType="end"/>
      </w:r>
      <w:r w:rsidRPr="003E7DE6">
        <w:rPr>
          <w:rFonts w:ascii="Arial" w:hAnsi="Arial" w:cs="Arial"/>
          <w:color w:val="000000" w:themeColor="text1"/>
        </w:rPr>
        <w:t>.</w:t>
      </w:r>
    </w:p>
    <w:p w14:paraId="1C0CA6B5" w14:textId="77777777" w:rsidR="00F21079" w:rsidRPr="00F21079" w:rsidRDefault="00F21079" w:rsidP="00F21079"/>
    <w:p w14:paraId="4433614D" w14:textId="1D651927" w:rsidR="00F21079" w:rsidRPr="00F21079" w:rsidRDefault="00F21079" w:rsidP="00F21079">
      <w:pPr>
        <w:pStyle w:val="Heading2"/>
        <w:rPr>
          <w:rFonts w:ascii="Arial" w:hAnsi="Arial" w:cs="Arial"/>
          <w:sz w:val="28"/>
          <w:szCs w:val="28"/>
        </w:rPr>
      </w:pPr>
      <w:bookmarkStart w:id="6" w:name="_Toc230303061"/>
      <w:r w:rsidRPr="00F21079">
        <w:rPr>
          <w:rFonts w:ascii="Arial" w:hAnsi="Arial" w:cs="Arial"/>
          <w:sz w:val="28"/>
          <w:szCs w:val="28"/>
        </w:rPr>
        <w:t>Cloud Misconfiguration and Hybrid Work Surface</w:t>
      </w:r>
      <w:bookmarkEnd w:id="6"/>
    </w:p>
    <w:p w14:paraId="0EE4B78B" w14:textId="202BE5C5" w:rsidR="00F21079" w:rsidRPr="003E7DE6" w:rsidRDefault="00F21079" w:rsidP="00F21079">
      <w:pPr>
        <w:jc w:val="both"/>
        <w:rPr>
          <w:rFonts w:ascii="Arial" w:hAnsi="Arial" w:cs="Arial"/>
          <w:color w:val="000000" w:themeColor="text1"/>
        </w:rPr>
      </w:pPr>
      <w:r>
        <w:rPr>
          <w:rFonts w:ascii="Arial" w:hAnsi="Arial" w:cs="Arial"/>
          <w:color w:val="000000" w:themeColor="text1"/>
        </w:rPr>
        <w:t>A</w:t>
      </w:r>
      <w:r w:rsidRPr="003E7DE6">
        <w:rPr>
          <w:rFonts w:ascii="Arial" w:hAnsi="Arial" w:cs="Arial"/>
          <w:color w:val="000000" w:themeColor="text1"/>
        </w:rPr>
        <w:t xml:space="preserve"> cloud misconfiguration happens when cloud services (like storage, databases or permissions) are set up incorrectly, leaving data exposed or systems vulnerable</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ISBN":"9798369371398","author":[{"dropping-particle":"","family":"Miniakshi","given":"","non-dropping-particle":"","parse-names":false,"suffix":""},{"dropping-particle":"","family":"Kumar","given":"Tarun","non-dropping-particle":"","parse-names":false,"suffix":""}],"editor":[{"dropping-particle":"","family":"Minakshi","given":"Tarun Kumar","non-dropping-particle":"","parse-names":false,"suffix":""}],"id":"ITEM-1","issued":{"date-parts":[["2025"]]},"number-of-pages":"482","publisher":"IGI Global Scientific Publishing","title":"Risk-Based Approach to Secure Cloud Migration","type":"book"},"uris":["http://www.mendeley.com/documents/?uuid=ecb44216-424f-4873-9599-f9a918277622"]}],"mendeley":{"formattedCitation":"[5]","plainTextFormattedCitation":"[5]","previouslyFormattedCitation":"[5]"},"properties":{"noteIndex":0},"schema":"https://github.com/citation-style-language/schema/raw/master/csl-citation.json"}</w:instrText>
      </w:r>
      <w:r>
        <w:rPr>
          <w:rFonts w:ascii="Arial" w:hAnsi="Arial" w:cs="Arial"/>
          <w:color w:val="000000" w:themeColor="text1"/>
        </w:rPr>
        <w:fldChar w:fldCharType="separate"/>
      </w:r>
      <w:r w:rsidRPr="00425B40">
        <w:rPr>
          <w:rFonts w:ascii="Arial" w:hAnsi="Arial" w:cs="Arial"/>
          <w:noProof/>
          <w:color w:val="000000" w:themeColor="text1"/>
        </w:rPr>
        <w:t>[5]</w:t>
      </w:r>
      <w:r>
        <w:rPr>
          <w:rFonts w:ascii="Arial" w:hAnsi="Arial" w:cs="Arial"/>
          <w:color w:val="000000" w:themeColor="text1"/>
        </w:rPr>
        <w:fldChar w:fldCharType="end"/>
      </w:r>
      <w:r w:rsidRPr="003E7DE6">
        <w:rPr>
          <w:rFonts w:ascii="Arial" w:hAnsi="Arial" w:cs="Arial"/>
          <w:color w:val="000000" w:themeColor="text1"/>
        </w:rPr>
        <w:t xml:space="preserve">. Common examples include publicly accessible storage, weak access controls and </w:t>
      </w:r>
      <w:r>
        <w:rPr>
          <w:rFonts w:ascii="Arial" w:hAnsi="Arial" w:cs="Arial"/>
          <w:color w:val="000000" w:themeColor="text1"/>
        </w:rPr>
        <w:t xml:space="preserve">unsecure </w:t>
      </w:r>
      <w:r w:rsidRPr="003E7DE6">
        <w:rPr>
          <w:rFonts w:ascii="Arial" w:hAnsi="Arial" w:cs="Arial"/>
          <w:color w:val="000000" w:themeColor="text1"/>
        </w:rPr>
        <w:t>default settings. Hybrid work attack surface refers to increased number of entry points for cyberattacks when people work both remotely and in the office</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ISBN":"9798369371398","author":[{"dropping-particle":"","family":"Miniakshi","given":"","non-dropping-particle":"","parse-names":false,"suffix":""},{"dropping-particle":"","family":"Kumar","given":"Tarun","non-dropping-particle":"","parse-names":false,"suffix":""}],"editor":[{"dropping-particle":"","family":"Minakshi","given":"Tarun Kumar","non-dropping-particle":"","parse-names":false,"suffix":""}],"id":"ITEM-1","issued":{"date-parts":[["2025"]]},"number-of-pages":"482","publisher":"IGI Global Scientific Publishing","title":"Risk-Based Approach to Secure Cloud Migration","type":"book"},"uris":["http://www.mendeley.com/documents/?uuid=ecb44216-424f-4873-9599-f9a918277622"]}],"mendeley":{"formattedCitation":"[5]","plainTextFormattedCitation":"[5]","previouslyFormattedCitation":"[5]"},"properties":{"noteIndex":0},"schema":"https://github.com/citation-style-language/schema/raw/master/csl-citation.json"}</w:instrText>
      </w:r>
      <w:r>
        <w:rPr>
          <w:rFonts w:ascii="Arial" w:hAnsi="Arial" w:cs="Arial"/>
          <w:color w:val="000000" w:themeColor="text1"/>
        </w:rPr>
        <w:fldChar w:fldCharType="separate"/>
      </w:r>
      <w:r w:rsidRPr="00425B40">
        <w:rPr>
          <w:rFonts w:ascii="Arial" w:hAnsi="Arial" w:cs="Arial"/>
          <w:noProof/>
          <w:color w:val="000000" w:themeColor="text1"/>
        </w:rPr>
        <w:t>[5]</w:t>
      </w:r>
      <w:r>
        <w:rPr>
          <w:rFonts w:ascii="Arial" w:hAnsi="Arial" w:cs="Arial"/>
          <w:color w:val="000000" w:themeColor="text1"/>
        </w:rPr>
        <w:fldChar w:fldCharType="end"/>
      </w:r>
      <w:r w:rsidRPr="003E7DE6">
        <w:rPr>
          <w:rFonts w:ascii="Arial" w:hAnsi="Arial" w:cs="Arial"/>
          <w:color w:val="000000" w:themeColor="text1"/>
        </w:rPr>
        <w:t xml:space="preserve">. This includes home networks and personal devices, </w:t>
      </w:r>
      <w:r w:rsidR="00660FCC">
        <w:rPr>
          <w:rFonts w:ascii="Arial" w:hAnsi="Arial" w:cs="Arial"/>
          <w:color w:val="000000" w:themeColor="text1"/>
        </w:rPr>
        <w:t>VPNS</w:t>
      </w:r>
      <w:r w:rsidRPr="003E7DE6">
        <w:rPr>
          <w:rFonts w:ascii="Arial" w:hAnsi="Arial" w:cs="Arial"/>
          <w:color w:val="000000" w:themeColor="text1"/>
        </w:rPr>
        <w:t xml:space="preserve"> and remote access tools, cloud apps and collaboration platforms</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ISBN":"9798369371398","author":[{"dropping-particle":"","family":"Miniakshi","given":"","non-dropping-particle":"","parse-names":false,"suffix":""},{"dropping-particle":"","family":"Kumar","given":"Tarun","non-dropping-particle":"","parse-names":false,"suffix":""}],"editor":[{"dropping-particle":"","family":"Minakshi","given":"Tarun Kumar","non-dropping-particle":"","parse-names":false,"suffix":""}],"id":"ITEM-1","issued":{"date-parts":[["2025"]]},"number-of-pages":"482","publisher":"IGI Global Scientific Publishing","title":"Risk-Based Approach to Secure Cloud Migration","type":"book"},"uris":["http://www.mendeley.com/documents/?uuid=ecb44216-424f-4873-9599-f9a918277622"]}],"mendeley":{"formattedCitation":"[5]","plainTextFormattedCitation":"[5]","previouslyFormattedCitation":"[5]"},"properties":{"noteIndex":0},"schema":"https://github.com/citation-style-language/schema/raw/master/csl-citation.json"}</w:instrText>
      </w:r>
      <w:r>
        <w:rPr>
          <w:rFonts w:ascii="Arial" w:hAnsi="Arial" w:cs="Arial"/>
          <w:color w:val="000000" w:themeColor="text1"/>
        </w:rPr>
        <w:fldChar w:fldCharType="separate"/>
      </w:r>
      <w:r w:rsidRPr="00425B40">
        <w:rPr>
          <w:rFonts w:ascii="Arial" w:hAnsi="Arial" w:cs="Arial"/>
          <w:noProof/>
          <w:color w:val="000000" w:themeColor="text1"/>
        </w:rPr>
        <w:t>[5]</w:t>
      </w:r>
      <w:r>
        <w:rPr>
          <w:rFonts w:ascii="Arial" w:hAnsi="Arial" w:cs="Arial"/>
          <w:color w:val="000000" w:themeColor="text1"/>
        </w:rPr>
        <w:fldChar w:fldCharType="end"/>
      </w:r>
      <w:r w:rsidRPr="003E7DE6">
        <w:rPr>
          <w:rFonts w:ascii="Arial" w:hAnsi="Arial" w:cs="Arial"/>
          <w:color w:val="000000" w:themeColor="text1"/>
        </w:rPr>
        <w:t>.</w:t>
      </w:r>
    </w:p>
    <w:p w14:paraId="13DA9A45" w14:textId="77777777" w:rsidR="00F21079" w:rsidRPr="00F21079" w:rsidRDefault="00F21079" w:rsidP="00F21079"/>
    <w:p w14:paraId="3C7D8172" w14:textId="62116571" w:rsidR="00F21079" w:rsidRDefault="00F21079" w:rsidP="00F21079">
      <w:pPr>
        <w:pStyle w:val="Heading1"/>
        <w:rPr>
          <w:rFonts w:ascii="Arial" w:hAnsi="Arial" w:cs="Arial"/>
          <w:sz w:val="32"/>
          <w:szCs w:val="32"/>
        </w:rPr>
      </w:pPr>
      <w:bookmarkStart w:id="7" w:name="_Toc230303062"/>
      <w:r w:rsidRPr="003E7DE6">
        <w:rPr>
          <w:rFonts w:ascii="Arial" w:hAnsi="Arial" w:cs="Arial"/>
          <w:b/>
          <w:bCs/>
          <w:noProof/>
          <w:sz w:val="24"/>
          <w:szCs w:val="24"/>
        </w:rPr>
        <w:drawing>
          <wp:anchor distT="0" distB="0" distL="114300" distR="114300" simplePos="0" relativeHeight="251663360" behindDoc="0" locked="0" layoutInCell="1" allowOverlap="1" wp14:anchorId="716A5DA8" wp14:editId="280A95D9">
            <wp:simplePos x="0" y="0"/>
            <wp:positionH relativeFrom="column">
              <wp:posOffset>67310</wp:posOffset>
            </wp:positionH>
            <wp:positionV relativeFrom="paragraph">
              <wp:posOffset>606425</wp:posOffset>
            </wp:positionV>
            <wp:extent cx="5731510" cy="2084705"/>
            <wp:effectExtent l="0" t="0" r="2540" b="0"/>
            <wp:wrapTopAndBottom/>
            <wp:docPr id="928931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931067"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084705"/>
                    </a:xfrm>
                    <a:prstGeom prst="rect">
                      <a:avLst/>
                    </a:prstGeom>
                  </pic:spPr>
                </pic:pic>
              </a:graphicData>
            </a:graphic>
          </wp:anchor>
        </w:drawing>
      </w:r>
      <w:r w:rsidRPr="00F21079">
        <w:rPr>
          <w:rFonts w:ascii="Arial" w:hAnsi="Arial" w:cs="Arial"/>
          <w:sz w:val="32"/>
          <w:szCs w:val="32"/>
        </w:rPr>
        <w:t>Zero-Trust Policies</w:t>
      </w:r>
      <w:bookmarkEnd w:id="7"/>
    </w:p>
    <w:p w14:paraId="007D9986" w14:textId="77777777" w:rsidR="00F21079" w:rsidRPr="00F21079" w:rsidRDefault="00F21079" w:rsidP="00F21079">
      <w:pPr>
        <w:jc w:val="both"/>
        <w:rPr>
          <w:rFonts w:ascii="Arial" w:hAnsi="Arial" w:cs="Arial"/>
          <w:b/>
          <w:bCs/>
          <w:i/>
          <w:iCs/>
        </w:rPr>
      </w:pPr>
      <w:r w:rsidRPr="00F21079">
        <w:rPr>
          <w:rFonts w:ascii="Arial" w:hAnsi="Arial" w:cs="Arial"/>
          <w:b/>
          <w:bCs/>
          <w:i/>
          <w:iCs/>
        </w:rPr>
        <w:t xml:space="preserve">Figure 1: Zero Trust Diagram </w:t>
      </w:r>
      <w:r w:rsidRPr="00F21079">
        <w:rPr>
          <w:rFonts w:ascii="Arial" w:hAnsi="Arial" w:cs="Arial"/>
          <w:b/>
          <w:bCs/>
          <w:i/>
          <w:iCs/>
        </w:rPr>
        <w:fldChar w:fldCharType="begin" w:fldLock="1"/>
      </w:r>
      <w:r w:rsidRPr="00F21079">
        <w:rPr>
          <w:rFonts w:ascii="Arial" w:hAnsi="Arial" w:cs="Arial"/>
          <w:b/>
          <w:bCs/>
          <w:i/>
          <w:iCs/>
        </w:rPr>
        <w:instrText>ADDIN CSL_CITATION {"citationItems":[{"id":"ITEM-1","itemData":{"abstract":"Zero trust (ZT) is the term for an evolving set of cybersecurity paradigms that move defenses from static, network-based perimeters to focus on users, assets, and resources. A zero trust architecture (ZTA) uses zero trust principles to plan industrial and enterprise infrastructure and workflows. Zero trust assumes there is no implicit trust granted to assets or user accounts based solely on their physical or network location (i.e., local area networks versus the internet) or based on asset ownership (enterprise or personally owned). Authentication and authorization (both subject and device) are discrete functions performed before a session to an enterprise resource is established. Zero trust is a response to enterprise network trends that include remote users, bring your own device (BYOD), and cloud-based assets that are not located within an enterprise-owned network boundary. Zero trust focuses on protecting resources (assets, services, workflows, network accounts, etc.), not network segments, as the network location is no longer seen as the prime component to the security posture of the resource. This document contains an abstract definition of zero trust architecture (ZTA) and gives general deployment models and use cases where zero trust could improve an enterprise’s overall information technology security posture.","author":[{"dropping-particle":"","family":"Rose","given":"Scott","non-dropping-particle":"","parse-names":false,"suffix":""},{"dropping-particle":"","family":"Borchert","given":"Oliver","non-dropping-particle":"","parse-names":false,"suffix":""},{"dropping-particle":"","family":"Mitchell","given":"Stu","non-dropping-particle":"","parse-names":false,"suffix":""},{"dropping-particle":"","family":"Connelly","given":"Sean","non-dropping-particle":"","parse-names":false,"suffix":""}],"container-title":"Nist","id":"ITEM-1","issued":{"date-parts":[["2020"]]},"title":"[NIST SP 800-207] Zero Trust Architecture Technology, National Institute of Standards","type":"article-journal"},"uris":["http://www.mendeley.com/documents/?uuid=a25a14a1-4a04-4339-a032-3cca656b5122"]}],"mendeley":{"formattedCitation":"[6]","plainTextFormattedCitation":"[6]","previouslyFormattedCitation":"[6]"},"properties":{"noteIndex":0},"schema":"https://github.com/citation-style-language/schema/raw/master/csl-citation.json"}</w:instrText>
      </w:r>
      <w:r w:rsidRPr="00F21079">
        <w:rPr>
          <w:rFonts w:ascii="Arial" w:hAnsi="Arial" w:cs="Arial"/>
          <w:b/>
          <w:bCs/>
          <w:i/>
          <w:iCs/>
        </w:rPr>
        <w:fldChar w:fldCharType="separate"/>
      </w:r>
      <w:r w:rsidRPr="00F21079">
        <w:rPr>
          <w:rFonts w:ascii="Arial" w:hAnsi="Arial" w:cs="Arial"/>
          <w:bCs/>
          <w:i/>
          <w:iCs/>
          <w:noProof/>
        </w:rPr>
        <w:t>[6]</w:t>
      </w:r>
      <w:r w:rsidRPr="00F21079">
        <w:rPr>
          <w:rFonts w:ascii="Arial" w:hAnsi="Arial" w:cs="Arial"/>
          <w:b/>
          <w:bCs/>
          <w:i/>
          <w:iCs/>
        </w:rPr>
        <w:fldChar w:fldCharType="end"/>
      </w:r>
    </w:p>
    <w:p w14:paraId="49D22817" w14:textId="7FC9215A" w:rsidR="00F21079" w:rsidRPr="00F21079" w:rsidRDefault="00F21079" w:rsidP="00F21079"/>
    <w:p w14:paraId="5BABEE0E" w14:textId="4CCF872F" w:rsidR="00F21079" w:rsidRDefault="00F21079" w:rsidP="00F21079">
      <w:pPr>
        <w:pStyle w:val="Heading2"/>
        <w:rPr>
          <w:rFonts w:ascii="Arial" w:hAnsi="Arial" w:cs="Arial"/>
          <w:sz w:val="28"/>
          <w:szCs w:val="28"/>
        </w:rPr>
      </w:pPr>
      <w:bookmarkStart w:id="8" w:name="_Toc230303063"/>
      <w:r w:rsidRPr="00F21079">
        <w:rPr>
          <w:rFonts w:ascii="Arial" w:hAnsi="Arial" w:cs="Arial"/>
          <w:sz w:val="28"/>
          <w:szCs w:val="28"/>
        </w:rPr>
        <w:t>Multi-Factor Authentication (MFA)</w:t>
      </w:r>
      <w:bookmarkEnd w:id="8"/>
    </w:p>
    <w:p w14:paraId="7564C09C" w14:textId="30F0B9D7" w:rsidR="00F21079" w:rsidRPr="00F21079" w:rsidRDefault="00F21079" w:rsidP="00F21079">
      <w:pPr>
        <w:jc w:val="both"/>
        <w:rPr>
          <w:rFonts w:ascii="Arial" w:hAnsi="Arial" w:cs="Arial"/>
        </w:rPr>
      </w:pPr>
      <w:r w:rsidRPr="00F21079">
        <w:rPr>
          <w:rFonts w:ascii="Arial" w:hAnsi="Arial" w:cs="Arial"/>
        </w:rPr>
        <w:t xml:space="preserve">MFA and least privilege access support the Zero trust policies of “Verify Explicitly” and “Use least privilege access” </w:t>
      </w:r>
      <w:r w:rsidRPr="00F21079">
        <w:rPr>
          <w:rFonts w:ascii="Arial" w:hAnsi="Arial" w:cs="Arial"/>
        </w:rPr>
        <w:fldChar w:fldCharType="begin" w:fldLock="1"/>
      </w:r>
      <w:r w:rsidRPr="00F21079">
        <w:rPr>
          <w:rFonts w:ascii="Arial" w:hAnsi="Arial" w:cs="Arial"/>
        </w:rPr>
        <w:instrText>ADDIN CSL_CITATION {"citationItems":[{"id":"ITEM-1","itemData":{"URL":"https://support.microsoft.com/en-us/security/what-is-multifactor-authentication","author":[{"dropping-particle":"","family":"Microsoft Support","given":"","non-dropping-particle":"","parse-names":false,"suffix":""}],"container-title":"Microsoft","id":"ITEM-1","issued":{"date-parts":[["0"]]},"title":"What is: Multifactor Authentication","type":"webpage"},"uris":["http://www.mendeley.com/documents/?uuid=3ce0d8bb-eb67-3dcd-ac86-e459fab7ef0c"]}],"mendeley":{"formattedCitation":"[7]","plainTextFormattedCitation":"[7]","previouslyFormattedCitation":"[7]"},"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[7]</w:t>
      </w:r>
      <w:r w:rsidRPr="00F21079">
        <w:rPr>
          <w:rFonts w:ascii="Arial" w:hAnsi="Arial" w:cs="Arial"/>
        </w:rPr>
        <w:fldChar w:fldCharType="end"/>
      </w:r>
      <w:r w:rsidRPr="00F21079">
        <w:rPr>
          <w:rFonts w:ascii="Arial" w:hAnsi="Arial" w:cs="Arial"/>
        </w:rPr>
        <w:t xml:space="preserve"> . MFA requires users to verify their identity using multiple authentication methods, such as a password and an authentication code which reduces the risk of unauthorised access </w:t>
      </w:r>
      <w:r w:rsidRPr="00F21079">
        <w:rPr>
          <w:rFonts w:ascii="Arial" w:hAnsi="Arial" w:cs="Arial"/>
        </w:rPr>
        <w:fldChar w:fldCharType="begin" w:fldLock="1"/>
      </w:r>
      <w:r w:rsidRPr="00F21079">
        <w:rPr>
          <w:rFonts w:ascii="Arial" w:hAnsi="Arial" w:cs="Arial"/>
        </w:rPr>
        <w:instrText>ADDIN CSL_CITATION {"citationItems":[{"id":"ITEM-1","itemData":{"URL":"https://support.microsoft.com/en-us/security/what-is-multifactor-authentication","author":[{"dropping-particle":"","family":"Microsoft Support","given":"","non-dropping-particle":"","parse-names":false,"suffix":""}],"container-title":"Microsoft","id":"ITEM-1","issued":{"date-parts":[["0"]]},"title":"What is: Multifactor Authentication","type":"webpage"},"uris":["http://www.mendeley.com/documents/?uuid=3ce0d8bb-eb67-3dcd-ac86-e459fab7ef0c"]}],"mendeley":{"formattedCitation":"[7]","plainTextFormattedCitation":"[7]","previouslyFormattedCitation":"[7]"},"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[7]</w:t>
      </w:r>
      <w:r w:rsidRPr="00F21079">
        <w:rPr>
          <w:rFonts w:ascii="Arial" w:hAnsi="Arial" w:cs="Arial"/>
        </w:rPr>
        <w:fldChar w:fldCharType="end"/>
      </w:r>
      <w:r w:rsidRPr="00F21079">
        <w:rPr>
          <w:rFonts w:ascii="Arial" w:hAnsi="Arial" w:cs="Arial"/>
        </w:rPr>
        <w:t xml:space="preserve">. </w:t>
      </w:r>
      <w:r w:rsidR="00D54F64">
        <w:rPr>
          <w:rFonts w:ascii="Arial" w:hAnsi="Arial" w:cs="Arial"/>
        </w:rPr>
        <w:t>The principle of least privilege ensures users are granted only the minimum access required to carry out their job responsibilities, reducing potential damage if an account becomes compromised</w:t>
      </w:r>
      <w:r w:rsidRPr="00F21079">
        <w:rPr>
          <w:rFonts w:ascii="Arial" w:hAnsi="Arial" w:cs="Arial"/>
        </w:rPr>
        <w:t xml:space="preserve">. This policy aligns with NIST CSF PR.AC-1 which focuses on managing and verifying identity and credentials securely </w:t>
      </w:r>
      <w:r w:rsidRPr="00F21079">
        <w:rPr>
          <w:rFonts w:ascii="Arial" w:hAnsi="Arial" w:cs="Arial"/>
        </w:rPr>
        <w:fldChar w:fldCharType="begin" w:fldLock="1"/>
      </w:r>
      <w:r w:rsidRPr="00F21079">
        <w:rPr>
          <w:rFonts w:ascii="Arial" w:hAnsi="Arial" w:cs="Arial"/>
        </w:rPr>
        <w:instrText>ADDIN CSL_CITATION {"citationItems":[{"id":"ITEM-1","itemData":{"abstract":"Zero trust (ZT) is the term for an evolving set of cybersecurity paradigms that move defenses from static, network-based perimeters to focus on users, assets, and resources. A zero trust architecture (ZTA) uses zero trust principles to plan industrial and enterprise infrastructure and workflows. Zero trust assumes there is no implicit trust granted to assets or user accounts based solely on their physical or network location (i.e., local area networks versus the internet) or based on asset ownership (enterprise or personally owned). Authentication and authorization (both subject and device) are discrete functions performed before a session to an enterprise resource is established. Zero trust is a response to enterprise network trends that include remote users, bring your own device (BYOD), and cloud-based assets that are not located within an enterprise-owned network boundary. Zero trust focuses on protecting resources (assets, services, workflows, network accounts, etc.), not network segments, as the network location is no longer seen as the prime component to the security posture of the resource. This document contains an abstract definition of zero trust architecture (ZTA) and gives general deployment models and use cases where zero trust could improve an enterprise’s overall information technology security posture.","author":[{"dropping-particle":"","family":"Rose","given":"Scott","non-dropping-particle":"","parse-names":false,"suffix":""},{"dropping-particle":"","family":"Borchert","given":"Oliver","non-dropping-particle":"","parse-names":false,"suffix":""},{"dropping-particle":"","family":"Mitchell","given":"Stu","non-dropping-particle":"","parse-names":false,"suffix":""},{"dropping-particle":"","family":"Connelly","given":"Sean","non-dropping-particle":"","parse-names":false,"suffix":""}],"container-title":"Nist","id":"ITEM-1","issued":{"date-parts":[["2020"]]},"title":"[NIST SP 800-207] Zero Trust Architecture Technology, National Institute of Standards","type":"article-journal"},"uris":["http://www.mendeley.com/documents/?uuid=a25a14a1-4a04-4339-a032-3cca656b5122"]}],"mendeley":{"formattedCitation":"[6]","plainTextFormattedCitation":"[6]","previouslyFormattedCitation":"[6]"},"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[6]</w:t>
      </w:r>
      <w:r w:rsidRPr="00F21079">
        <w:rPr>
          <w:rFonts w:ascii="Arial" w:hAnsi="Arial" w:cs="Arial"/>
        </w:rPr>
        <w:fldChar w:fldCharType="end"/>
      </w:r>
      <w:r w:rsidRPr="00F21079">
        <w:rPr>
          <w:rFonts w:ascii="Arial" w:hAnsi="Arial" w:cs="Arial"/>
        </w:rPr>
        <w:t>.</w:t>
      </w:r>
    </w:p>
    <w:p w14:paraId="3E61D80B" w14:textId="77777777" w:rsidR="00F21079" w:rsidRPr="00F21079" w:rsidRDefault="00F21079" w:rsidP="00F21079"/>
    <w:p w14:paraId="26EE7260" w14:textId="3016EAEC" w:rsidR="00F21079" w:rsidRDefault="00F21079" w:rsidP="00F21079">
      <w:pPr>
        <w:pStyle w:val="Heading2"/>
        <w:rPr>
          <w:rFonts w:ascii="Arial" w:hAnsi="Arial" w:cs="Arial"/>
          <w:sz w:val="28"/>
          <w:szCs w:val="28"/>
        </w:rPr>
      </w:pPr>
      <w:bookmarkStart w:id="9" w:name="_Toc230303064"/>
      <w:r w:rsidRPr="00F21079">
        <w:rPr>
          <w:rFonts w:ascii="Arial" w:hAnsi="Arial" w:cs="Arial"/>
          <w:sz w:val="28"/>
          <w:szCs w:val="28"/>
        </w:rPr>
        <w:lastRenderedPageBreak/>
        <w:t>Device Health</w:t>
      </w:r>
      <w:bookmarkEnd w:id="9"/>
    </w:p>
    <w:p w14:paraId="4817DC99" w14:textId="44732412" w:rsidR="00F21079" w:rsidRDefault="00F21079" w:rsidP="00F21079">
      <w:pPr>
        <w:jc w:val="both"/>
        <w:rPr>
          <w:rFonts w:ascii="Arial" w:hAnsi="Arial" w:cs="Arial"/>
        </w:rPr>
      </w:pPr>
      <w:r w:rsidRPr="00F21079">
        <w:rPr>
          <w:rFonts w:ascii="Arial" w:hAnsi="Arial" w:cs="Arial"/>
        </w:rPr>
        <w:t>Device health verification before access supports the zero-trust policy of “Verify Explicitly” and “Assume Breach” [8]. Before a device is granted access to organisational systems its security health is checked to ensure it meets the requirements such as updated software, active antivirus protection and device encryption [8]. Zero trust assumes devices may already be compromised so access is only granted to compliant and secure devices. This control aligns with NIST CSF PR.AC-3 [6] and ISO 27001 a.9 which focuses on secure access control and managing remote access securely [9].</w:t>
      </w:r>
    </w:p>
    <w:p w14:paraId="415765AA" w14:textId="77777777" w:rsidR="00F21079" w:rsidRPr="00F21079" w:rsidRDefault="00F21079" w:rsidP="00F21079">
      <w:pPr>
        <w:jc w:val="both"/>
        <w:rPr>
          <w:rFonts w:ascii="Arial" w:hAnsi="Arial" w:cs="Arial"/>
        </w:rPr>
      </w:pPr>
    </w:p>
    <w:p w14:paraId="67260759" w14:textId="47990B29" w:rsidR="00F21079" w:rsidRDefault="00F21079" w:rsidP="00F21079">
      <w:pPr>
        <w:pStyle w:val="Heading2"/>
        <w:rPr>
          <w:rFonts w:ascii="Arial" w:hAnsi="Arial" w:cs="Arial"/>
          <w:sz w:val="28"/>
          <w:szCs w:val="28"/>
        </w:rPr>
      </w:pPr>
      <w:bookmarkStart w:id="10" w:name="_Toc230303065"/>
      <w:r w:rsidRPr="00F21079">
        <w:rPr>
          <w:rFonts w:ascii="Arial" w:hAnsi="Arial" w:cs="Arial"/>
          <w:sz w:val="28"/>
          <w:szCs w:val="28"/>
        </w:rPr>
        <w:t>Network Micro-Segmentation</w:t>
      </w:r>
      <w:bookmarkEnd w:id="10"/>
    </w:p>
    <w:p w14:paraId="621848BE" w14:textId="3879FE60" w:rsidR="00F21079" w:rsidRPr="00F21079" w:rsidRDefault="00F21079" w:rsidP="00F21079">
      <w:pPr>
        <w:jc w:val="both"/>
        <w:rPr>
          <w:rFonts w:ascii="Arial" w:hAnsi="Arial" w:cs="Arial"/>
        </w:rPr>
      </w:pPr>
      <w:r w:rsidRPr="00F21079">
        <w:rPr>
          <w:rFonts w:ascii="Arial" w:hAnsi="Arial" w:cs="Arial"/>
        </w:rPr>
        <w:t xml:space="preserve">Network micro-segmentation supports the Zero Trust principle “Assume Breach” </w:t>
      </w:r>
      <w:r w:rsidRPr="00F21079">
        <w:rPr>
          <w:rFonts w:ascii="Arial" w:hAnsi="Arial" w:cs="Arial"/>
        </w:rPr>
        <w:fldChar w:fldCharType="begin" w:fldLock="1"/>
      </w:r>
      <w:r>
        <w:rPr>
          <w:rFonts w:ascii="Arial" w:hAnsi="Arial" w:cs="Arial"/>
        </w:rPr>
        <w:instrText>ADDIN CSL_CITATION {"citationItems":[{"id":"ITEM-1","itemData":{"abstract":"This document is marked TLP:CLEAR. Recipients may share this information without restriction. Information is subject to standard copyright rules. For more information on the Traffic Light Protocol, see https://www.cisa.gov/tlp.","author":[{"dropping-particle":"","family":"Cisa","given":"","non-dropping-particle":"","parse-names":false,"suffix":""}],"id":"ITEM-1","issued":{"date-parts":[["2025"]]},"title":"The Journey to Zero Trust: Microsegmentation in Zero Trust Part One: Introduction and Planning","type":"article-journal"},"uris":["http://www.mendeley.com/documents/?uuid=0606904e-b62b-4777-acee-0bae397bc520"]}],"mendeley":{"formattedCitation":"[8]","plainTextFormattedCitation":"[8]","previouslyFormattedCitation":"[10]"},"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[8]</w:t>
      </w:r>
      <w:r w:rsidRPr="00F21079">
        <w:rPr>
          <w:rFonts w:ascii="Arial" w:hAnsi="Arial" w:cs="Arial"/>
        </w:rPr>
        <w:fldChar w:fldCharType="end"/>
      </w:r>
      <w:r w:rsidRPr="00F21079">
        <w:rPr>
          <w:rFonts w:ascii="Arial" w:hAnsi="Arial" w:cs="Arial"/>
        </w:rPr>
        <w:t xml:space="preserve">. Micro-segmentation </w:t>
      </w:r>
      <w:r w:rsidR="00D54F64">
        <w:rPr>
          <w:rFonts w:ascii="Arial" w:hAnsi="Arial" w:cs="Arial"/>
        </w:rPr>
        <w:t>separates a network into smaller, isolated segments, helping prevent attackers from moving laterally between systems after gaining unauthorised access</w:t>
      </w:r>
      <w:r w:rsidRPr="00F21079">
        <w:rPr>
          <w:rFonts w:ascii="Arial" w:hAnsi="Arial" w:cs="Arial"/>
        </w:rPr>
        <w:t xml:space="preserve"> </w:t>
      </w:r>
      <w:r w:rsidRPr="00F21079">
        <w:rPr>
          <w:rFonts w:ascii="Arial" w:hAnsi="Arial" w:cs="Arial"/>
        </w:rPr>
        <w:fldChar w:fldCharType="begin" w:fldLock="1"/>
      </w:r>
      <w:r>
        <w:rPr>
          <w:rFonts w:ascii="Arial" w:hAnsi="Arial" w:cs="Arial"/>
        </w:rPr>
        <w:instrText>ADDIN CSL_CITATION {"citationItems":[{"id":"ITEM-1","itemData":{"abstract":"This document is marked TLP:CLEAR. Recipients may share this information without restriction. Information is subject to standard copyright rules. For more information on the Traffic Light Protocol, see https://www.cisa.gov/tlp.","author":[{"dropping-particle":"","family":"Cisa","given":"","non-dropping-particle":"","parse-names":false,"suffix":""}],"id":"ITEM-1","issued":{"date-parts":[["2025"]]},"title":"The Journey to Zero Trust: Microsegmentation in Zero Trust Part One: Introduction and Planning","type":"article-journal"},"uris":["http://www.mendeley.com/documents/?uuid=0606904e-b62b-4777-acee-0bae397bc520"]}],"mendeley":{"formattedCitation":"[8]","plainTextFormattedCitation":"[8]","previouslyFormattedCitation":"[10]"},"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[8]</w:t>
      </w:r>
      <w:r w:rsidRPr="00F21079">
        <w:rPr>
          <w:rFonts w:ascii="Arial" w:hAnsi="Arial" w:cs="Arial"/>
        </w:rPr>
        <w:fldChar w:fldCharType="end"/>
      </w:r>
      <w:r w:rsidRPr="00F21079">
        <w:rPr>
          <w:rFonts w:ascii="Arial" w:hAnsi="Arial" w:cs="Arial"/>
        </w:rPr>
        <w:t xml:space="preserve">. This approach is particularly effective against ransomware because infections can be contained within a single network segment rather than spreading throughout the entire organisation </w:t>
      </w:r>
      <w:r w:rsidRPr="00F21079">
        <w:rPr>
          <w:rFonts w:ascii="Arial" w:hAnsi="Arial" w:cs="Arial"/>
        </w:rPr>
        <w:fldChar w:fldCharType="begin" w:fldLock="1"/>
      </w:r>
      <w:r>
        <w:rPr>
          <w:rFonts w:ascii="Arial" w:hAnsi="Arial" w:cs="Arial"/>
        </w:rPr>
        <w:instrText>ADDIN CSL_CITATION {"citationItems":[{"id":"ITEM-1","itemData":{"abstract":"This document is marked TLP:CLEAR. Recipients may share this information without restriction. Information is subject to standard copyright rules. For more information on the Traffic Light Protocol, see https://www.cisa.gov/tlp.","author":[{"dropping-particle":"","family":"Cisa","given":"","non-dropping-particle":"","parse-names":false,"suffix":""}],"id":"ITEM-1","issued":{"date-parts":[["2025"]]},"title":"The Journey to Zero Trust: Microsegmentation in Zero Trust Part One: Introduction and Planning","type":"article-journal"},"uris":["http://www.mendeley.com/documents/?uuid=0606904e-b62b-4777-acee-0bae397bc520"]}],"mendeley":{"formattedCitation":"[8]","plainTextFormattedCitation":"[8]","previouslyFormattedCitation":"[10]"},"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[8]</w:t>
      </w:r>
      <w:r w:rsidRPr="00F21079">
        <w:rPr>
          <w:rFonts w:ascii="Arial" w:hAnsi="Arial" w:cs="Arial"/>
        </w:rPr>
        <w:fldChar w:fldCharType="end"/>
      </w:r>
      <w:r w:rsidRPr="00F21079">
        <w:rPr>
          <w:rFonts w:ascii="Arial" w:hAnsi="Arial" w:cs="Arial"/>
        </w:rPr>
        <w:t xml:space="preserve">. This policy aligns with the NIST CSF PR.AC-5 which focuses on protecting network integrity and controlling network communications </w:t>
      </w:r>
      <w:r w:rsidRPr="00F21079">
        <w:rPr>
          <w:rFonts w:ascii="Arial" w:hAnsi="Arial" w:cs="Arial"/>
        </w:rPr>
        <w:fldChar w:fldCharType="begin" w:fldLock="1"/>
      </w:r>
      <w:r w:rsidRPr="00F21079">
        <w:rPr>
          <w:rFonts w:ascii="Arial" w:hAnsi="Arial" w:cs="Arial"/>
        </w:rPr>
        <w:instrText>ADDIN CSL_CITATION {"citationItems":[{"id":"ITEM-1","itemData":{"abstract":"Zero trust (ZT) is the term for an evolving set of cybersecurity paradigms that move defenses from static, network-based perimeters to focus on users, assets, and resources. A zero trust architecture (ZTA) uses zero trust principles to plan industrial and enterprise infrastructure and workflows. Zero trust assumes there is no implicit trust granted to assets or user accounts based solely on their physical or network location (i.e., local area networks versus the internet) or based on asset ownership (enterprise or personally owned). Authentication and authorization (both subject and device) are discrete functions performed before a session to an enterprise resource is established. Zero trust is a response to enterprise network trends that include remote users, bring your own device (BYOD), and cloud-based assets that are not located within an enterprise-owned network boundary. Zero trust focuses on protecting resources (assets, services, workflows, network accounts, etc.), not network segments, as the network location is no longer seen as the prime component to the security posture of the resource. This document contains an abstract definition of zero trust architecture (ZTA) and gives general deployment models and use cases where zero trust could improve an enterprise’s overall information technology security posture.","author":[{"dropping-particle":"","family":"Rose","given":"Scott","non-dropping-particle":"","parse-names":false,"suffix":""},{"dropping-particle":"","family":"Borchert","given":"Oliver","non-dropping-particle":"","parse-names":false,"suffix":""},{"dropping-particle":"","family":"Mitchell","given":"Stu","non-dropping-particle":"","parse-names":false,"suffix":""},{"dropping-particle":"","family":"Connelly","given":"Sean","non-dropping-particle":"","parse-names":false,"suffix":""}],"container-title":"Nist","id":"ITEM-1","issued":{"date-parts":[["2020"]]},"title":"[NIST SP 800-207] Zero Trust Architecture Technology, National Institute of Standards","type":"article-journal"},"uris":["http://www.mendeley.com/documents/?uuid=a25a14a1-4a04-4339-a032-3cca656b5122"]}],"mendeley":{"formattedCitation":"[6]","plainTextFormattedCitation":"[6]","previouslyFormattedCitation":"[6]"},"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[6]</w:t>
      </w:r>
      <w:r w:rsidRPr="00F21079">
        <w:rPr>
          <w:rFonts w:ascii="Arial" w:hAnsi="Arial" w:cs="Arial"/>
        </w:rPr>
        <w:fldChar w:fldCharType="end"/>
      </w:r>
      <w:r w:rsidRPr="00F21079">
        <w:rPr>
          <w:rFonts w:ascii="Arial" w:hAnsi="Arial" w:cs="Arial"/>
        </w:rPr>
        <w:t>.</w:t>
      </w:r>
    </w:p>
    <w:p w14:paraId="55943EA2" w14:textId="77777777" w:rsidR="00F21079" w:rsidRPr="00F21079" w:rsidRDefault="00F21079" w:rsidP="00F21079"/>
    <w:p w14:paraId="2AFAD342" w14:textId="3A804AA5" w:rsidR="00F21079" w:rsidRDefault="00F21079" w:rsidP="00F21079">
      <w:pPr>
        <w:pStyle w:val="Heading2"/>
        <w:rPr>
          <w:rFonts w:ascii="Arial" w:hAnsi="Arial" w:cs="Arial"/>
          <w:sz w:val="28"/>
          <w:szCs w:val="28"/>
        </w:rPr>
      </w:pPr>
      <w:bookmarkStart w:id="11" w:name="_Toc230303066"/>
      <w:r w:rsidRPr="00F21079">
        <w:rPr>
          <w:rFonts w:ascii="Arial" w:hAnsi="Arial" w:cs="Arial"/>
          <w:sz w:val="28"/>
          <w:szCs w:val="28"/>
        </w:rPr>
        <w:t>Data Classification and Data Loss Prevention (DLP)</w:t>
      </w:r>
      <w:bookmarkEnd w:id="11"/>
    </w:p>
    <w:p w14:paraId="67A45D7C" w14:textId="0B5DB94C" w:rsidR="00F21079" w:rsidRPr="00F21079" w:rsidRDefault="00F21079" w:rsidP="00F21079">
      <w:pPr>
        <w:jc w:val="both"/>
        <w:rPr>
          <w:rFonts w:ascii="Arial" w:hAnsi="Arial" w:cs="Arial"/>
        </w:rPr>
      </w:pPr>
      <w:r w:rsidRPr="00F21079">
        <w:rPr>
          <w:rFonts w:ascii="Arial" w:hAnsi="Arial" w:cs="Arial"/>
        </w:rPr>
        <w:t xml:space="preserve">DLP supports the zero-trust principle of “protect critical assets” </w:t>
      </w:r>
      <w:r w:rsidRPr="00F21079">
        <w:rPr>
          <w:rFonts w:ascii="Arial" w:hAnsi="Arial" w:cs="Arial"/>
        </w:rPr>
        <w:fldChar w:fldCharType="begin" w:fldLock="1"/>
      </w:r>
      <w:r>
        <w:rPr>
          <w:rFonts w:ascii="Arial" w:hAnsi="Arial" w:cs="Arial"/>
        </w:rPr>
        <w:instrText>ADDIN CSL_CITATION {"citationItems":[{"id":"ITEM-1","itemData":{"URL":"https://www.microsoft.com/en-us/security/business/security-101/what-is-data-loss-prevention-dlp","author":[{"dropping-particle":"","family":"Microsoft Security","given":"","non-dropping-particle":"","parse-names":false,"suffix":""}],"container-title":"Microsoft Security","id":"ITEM-1","issued":{"date-parts":[["0"]]},"title":"What is data loss prevention (DLP)?","type":"webpage"},"uris":["http://www.mendeley.com/documents/?uuid=3bdf89a0-daef-3fb9-9188-b9d6ce30928a"]}],"mendeley":{"formattedCitation":"[9]","plainTextFormattedCitation":"[9]","previouslyFormattedCitation":"[11]"},"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[9]</w:t>
      </w:r>
      <w:r w:rsidRPr="00F21079">
        <w:rPr>
          <w:rFonts w:ascii="Arial" w:hAnsi="Arial" w:cs="Arial"/>
        </w:rPr>
        <w:fldChar w:fldCharType="end"/>
      </w:r>
      <w:r w:rsidRPr="00F21079">
        <w:rPr>
          <w:rFonts w:ascii="Arial" w:hAnsi="Arial" w:cs="Arial"/>
        </w:rPr>
        <w:t xml:space="preserve">. Data classification identifies information based on sensitivity levels such as “public, confidential or highly confidential” while DLP technologies monitor and prevent unauthorised sharing or leakage of sensitive information </w:t>
      </w:r>
      <w:r w:rsidRPr="00F21079">
        <w:rPr>
          <w:rFonts w:ascii="Arial" w:hAnsi="Arial" w:cs="Arial"/>
        </w:rPr>
        <w:fldChar w:fldCharType="begin" w:fldLock="1"/>
      </w:r>
      <w:r>
        <w:rPr>
          <w:rFonts w:ascii="Arial" w:hAnsi="Arial" w:cs="Arial"/>
        </w:rPr>
        <w:instrText>ADDIN CSL_CITATION {"citationItems":[{"id":"ITEM-1","itemData":{"URL":"https://www.microsoft.com/en-us/security/business/security-101/what-is-data-loss-prevention-dlp","author":[{"dropping-particle":"","family":"Microsoft Security","given":"","non-dropping-particle":"","parse-names":false,"suffix":""}],"container-title":"Microsoft Security","id":"ITEM-1","issued":{"date-parts":[["0"]]},"title":"What is data loss prevention (DLP)?","type":"webpage"},"uris":["http://www.mendeley.com/documents/?uuid=3bdf89a0-daef-3fb9-9188-b9d6ce30928a"]}],"mendeley":{"formattedCitation":"[9]","plainTextFormattedCitation":"[9]","previouslyFormattedCitation":"[11]"},"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[9]</w:t>
      </w:r>
      <w:r w:rsidRPr="00F21079">
        <w:rPr>
          <w:rFonts w:ascii="Arial" w:hAnsi="Arial" w:cs="Arial"/>
        </w:rPr>
        <w:fldChar w:fldCharType="end"/>
      </w:r>
      <w:r w:rsidRPr="00F21079">
        <w:rPr>
          <w:rFonts w:ascii="Arial" w:hAnsi="Arial" w:cs="Arial"/>
        </w:rPr>
        <w:t xml:space="preserve">. These controls help organisations prioritise the protection of critical data assets and reduce the risk of data breaches </w:t>
      </w:r>
      <w:r w:rsidRPr="00F21079">
        <w:rPr>
          <w:rFonts w:ascii="Arial" w:hAnsi="Arial" w:cs="Arial"/>
        </w:rPr>
        <w:fldChar w:fldCharType="begin" w:fldLock="1"/>
      </w:r>
      <w:r>
        <w:rPr>
          <w:rFonts w:ascii="Arial" w:hAnsi="Arial" w:cs="Arial"/>
        </w:rPr>
        <w:instrText>ADDIN CSL_CITATION {"citationItems":[{"id":"ITEM-1","itemData":{"URL":"https://www.microsoft.com/en-us/security/business/security-101/what-is-data-loss-prevention-dlp","author":[{"dropping-particle":"","family":"Microsoft Security","given":"","non-dropping-particle":"","parse-names":false,"suffix":""}],"container-title":"Microsoft Security","id":"ITEM-1","issued":{"date-parts":[["0"]]},"title":"What is data loss prevention (DLP)?","type":"webpage"},"uris":["http://www.mendeley.com/documents/?uuid=3bdf89a0-daef-3fb9-9188-b9d6ce30928a"]}],"mendeley":{"formattedCitation":"[9]","plainTextFormattedCitation":"[9]","previouslyFormattedCitation":"[11]"},"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[9]</w:t>
      </w:r>
      <w:r w:rsidRPr="00F21079">
        <w:rPr>
          <w:rFonts w:ascii="Arial" w:hAnsi="Arial" w:cs="Arial"/>
        </w:rPr>
        <w:fldChar w:fldCharType="end"/>
      </w:r>
      <w:r w:rsidRPr="00F21079">
        <w:rPr>
          <w:rFonts w:ascii="Arial" w:hAnsi="Arial" w:cs="Arial"/>
        </w:rPr>
        <w:t xml:space="preserve">. This policy aligns with the ISO 27001 A.8 which focuses on information classification and asset management </w:t>
      </w:r>
      <w:r w:rsidRPr="00F21079">
        <w:rPr>
          <w:rFonts w:ascii="Arial" w:hAnsi="Arial" w:cs="Arial"/>
        </w:rPr>
        <w:fldChar w:fldCharType="begin" w:fldLock="1"/>
      </w:r>
      <w:r>
        <w:rPr>
          <w:rFonts w:ascii="Arial" w:hAnsi="Arial" w:cs="Arial"/>
        </w:rPr>
        <w:instrText>ADDIN CSL_CITATION {"citationItems":[{"id":"ITEM-1","itemData":{"author":[{"dropping-particle":"","family":"International Organization for Standardization","given":"","non-dropping-particle":"","parse-names":false,"suffix":""}],"id":"ITEM-1","issued":{"date-parts":[["2002"]]},"title":"ISO/IEC 27001:2022 Information Security Management Systems","type":"report"},"uris":["http://www.mendeley.com/documents/?uuid=2b687884-f8e7-4fd6-94e5-7acb4918fa82"]}],"mendeley":{"formattedCitation":"[10]","plainTextFormattedCitation":"[10]","previouslyFormattedCitation":"[9]"},"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[10]</w:t>
      </w:r>
      <w:r w:rsidRPr="00F21079">
        <w:rPr>
          <w:rFonts w:ascii="Arial" w:hAnsi="Arial" w:cs="Arial"/>
        </w:rPr>
        <w:fldChar w:fldCharType="end"/>
      </w:r>
      <w:r w:rsidRPr="00F21079">
        <w:rPr>
          <w:rFonts w:ascii="Arial" w:hAnsi="Arial" w:cs="Arial"/>
        </w:rPr>
        <w:t>.</w:t>
      </w:r>
    </w:p>
    <w:p w14:paraId="106DE2C6" w14:textId="77777777" w:rsidR="00F21079" w:rsidRPr="00F21079" w:rsidRDefault="00F21079" w:rsidP="00F21079"/>
    <w:p w14:paraId="645BC9B8" w14:textId="5F12B79F" w:rsidR="00F21079" w:rsidRDefault="00F21079" w:rsidP="00F21079">
      <w:pPr>
        <w:pStyle w:val="Heading2"/>
        <w:rPr>
          <w:rFonts w:ascii="Arial" w:hAnsi="Arial" w:cs="Arial"/>
          <w:sz w:val="28"/>
          <w:szCs w:val="28"/>
        </w:rPr>
      </w:pPr>
      <w:bookmarkStart w:id="12" w:name="_Toc230303067"/>
      <w:r w:rsidRPr="00F21079">
        <w:rPr>
          <w:rFonts w:ascii="Arial" w:hAnsi="Arial" w:cs="Arial"/>
          <w:sz w:val="28"/>
          <w:szCs w:val="28"/>
        </w:rPr>
        <w:t>Cloud Security Posture Management (CSPM)</w:t>
      </w:r>
      <w:bookmarkEnd w:id="12"/>
    </w:p>
    <w:p w14:paraId="08CEC498" w14:textId="198D5654" w:rsidR="00F21079" w:rsidRPr="00F21079" w:rsidRDefault="00F21079" w:rsidP="00F21079">
      <w:pPr>
        <w:jc w:val="both"/>
        <w:rPr>
          <w:rFonts w:ascii="Arial" w:hAnsi="Arial" w:cs="Arial"/>
        </w:rPr>
      </w:pPr>
      <w:r w:rsidRPr="00F21079">
        <w:rPr>
          <w:rFonts w:ascii="Arial" w:hAnsi="Arial" w:cs="Arial"/>
        </w:rPr>
        <w:t xml:space="preserve">CSPM supports the zero-trust principle of “continuous monitoring and verification” </w:t>
      </w:r>
      <w:r w:rsidRPr="00F21079">
        <w:rPr>
          <w:rFonts w:ascii="Arial" w:hAnsi="Arial" w:cs="Arial"/>
        </w:rPr>
        <w:fldChar w:fldCharType="begin" w:fldLock="1"/>
      </w:r>
      <w:r>
        <w:rPr>
          <w:rFonts w:ascii="Arial" w:hAnsi="Arial" w:cs="Arial"/>
        </w:rPr>
        <w:instrText>ADDIN CSL_CITATION {"citationItems":[{"id":"ITEM-1","itemData":{"author":[{"dropping-particle":"","family":"Microsoft Learn","given":"","non-dropping-particle":"","parse-names":false,"suffix":""}],"container-title":"Microsoft Defender for Cloud","id":"ITEM-1","issued":{"date-parts":[["0"]]},"title":"What is Cloud Security Posture Management (CSPM) [Online]","type":"article-journal"},"uris":["http://www.mendeley.com/documents/?uuid=d23e760e-185d-3bac-a1d9-f94a43db605a"]}],"mendeley":{"formattedCitation":"[11]","plainTextFormattedCitation":"[11]","previouslyFormattedCitation":"[12]"},"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[11]</w:t>
      </w:r>
      <w:r w:rsidRPr="00F21079">
        <w:rPr>
          <w:rFonts w:ascii="Arial" w:hAnsi="Arial" w:cs="Arial"/>
        </w:rPr>
        <w:fldChar w:fldCharType="end"/>
      </w:r>
      <w:r w:rsidRPr="00F21079">
        <w:rPr>
          <w:rFonts w:ascii="Arial" w:hAnsi="Arial" w:cs="Arial"/>
        </w:rPr>
        <w:t xml:space="preserve">. CSPM tools continuously scan cloud environments </w:t>
      </w:r>
      <w:r w:rsidR="00D54F64">
        <w:rPr>
          <w:rFonts w:ascii="Arial" w:hAnsi="Arial" w:cs="Arial"/>
        </w:rPr>
        <w:t xml:space="preserve">to identify security misconfigurations and compliance violations </w:t>
      </w:r>
      <w:r w:rsidRPr="00F21079">
        <w:rPr>
          <w:rFonts w:ascii="Arial" w:hAnsi="Arial" w:cs="Arial"/>
        </w:rPr>
        <w:t xml:space="preserve">and excessive permissions that could expose systems to attacks </w:t>
      </w:r>
      <w:r w:rsidRPr="00F21079">
        <w:rPr>
          <w:rFonts w:ascii="Arial" w:hAnsi="Arial" w:cs="Arial"/>
        </w:rPr>
        <w:fldChar w:fldCharType="begin" w:fldLock="1"/>
      </w:r>
      <w:r>
        <w:rPr>
          <w:rFonts w:ascii="Arial" w:hAnsi="Arial" w:cs="Arial"/>
        </w:rPr>
        <w:instrText>ADDIN CSL_CITATION {"citationItems":[{"id":"ITEM-1","itemData":{"author":[{"dropping-particle":"","family":"Microsoft Learn","given":"","non-dropping-particle":"","parse-names":false,"suffix":""}],"container-title":"Microsoft Defender for Cloud","id":"ITEM-1","issued":{"date-parts":[["0"]]},"title":"What is Cloud Security Posture Management (CSPM) [Online]","type":"article-journal"},"uris":["http://www.mendeley.com/documents/?uuid=d23e760e-185d-3bac-a1d9-f94a43db605a"]}],"mendeley":{"formattedCitation":"[11]","plainTextFormattedCitation":"[11]","previouslyFormattedCitation":"[12]"},"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[11]</w:t>
      </w:r>
      <w:r w:rsidRPr="00F21079">
        <w:rPr>
          <w:rFonts w:ascii="Arial" w:hAnsi="Arial" w:cs="Arial"/>
        </w:rPr>
        <w:fldChar w:fldCharType="end"/>
      </w:r>
      <w:r w:rsidRPr="00F21079">
        <w:rPr>
          <w:rFonts w:ascii="Arial" w:hAnsi="Arial" w:cs="Arial"/>
        </w:rPr>
        <w:t xml:space="preserve">. Since zero trust requires ongoing verification rather than one-time trust, CSPM helps organisations maintain secure cloud infrastructure through continuous monitoring </w:t>
      </w:r>
      <w:r w:rsidRPr="00F21079">
        <w:rPr>
          <w:rFonts w:ascii="Arial" w:hAnsi="Arial" w:cs="Arial"/>
        </w:rPr>
        <w:fldChar w:fldCharType="begin" w:fldLock="1"/>
      </w:r>
      <w:r>
        <w:rPr>
          <w:rFonts w:ascii="Arial" w:hAnsi="Arial" w:cs="Arial"/>
        </w:rPr>
        <w:instrText>ADDIN CSL_CITATION {"citationItems":[{"id":"ITEM-1","itemData":{"author":[{"dropping-particle":"","family":"Microsoft Learn","given":"","non-dropping-particle":"","parse-names":false,"suffix":""}],"container-title":"Microsoft Defender for Cloud","id":"ITEM-1","issued":{"date-parts":[["0"]]},"title":"What is Cloud Security Posture Management (CSPM) [Online]","type":"article-journal"},"uris":["http://www.mendeley.com/documents/?uuid=d23e760e-185d-3bac-a1d9-f94a43db605a"]}],"mendeley":{"formattedCitation":"[11]","plainTextFormattedCitation":"[11]","previouslyFormattedCitation":"[12]"},"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[11]</w:t>
      </w:r>
      <w:r w:rsidRPr="00F21079">
        <w:rPr>
          <w:rFonts w:ascii="Arial" w:hAnsi="Arial" w:cs="Arial"/>
        </w:rPr>
        <w:fldChar w:fldCharType="end"/>
      </w:r>
      <w:r w:rsidRPr="00F21079">
        <w:rPr>
          <w:rFonts w:ascii="Arial" w:hAnsi="Arial" w:cs="Arial"/>
        </w:rPr>
        <w:t xml:space="preserve">. This control aligns with NIST CSF DE.CM-1 which focuses on continuous monitoring of systems and networks to detect cybersecurity risks </w:t>
      </w:r>
      <w:r w:rsidRPr="00F21079">
        <w:rPr>
          <w:rFonts w:ascii="Arial" w:hAnsi="Arial" w:cs="Arial"/>
        </w:rPr>
        <w:fldChar w:fldCharType="begin" w:fldLock="1"/>
      </w:r>
      <w:r w:rsidRPr="00F21079">
        <w:rPr>
          <w:rFonts w:ascii="Arial" w:hAnsi="Arial" w:cs="Arial"/>
        </w:rPr>
        <w:instrText>ADDIN CSL_CITATION {"citationItems":[{"id":"ITEM-1","itemData":{"abstract":"Zero trust (ZT) is the term for an evolving set of cybersecurity paradigms that move defenses from static, network-based perimeters to focus on users, assets, and resources. A zero trust architecture (ZTA) uses zero trust principles to plan industrial and enterprise infrastructure and workflows. Zero trust assumes there is no implicit trust granted to assets or user accounts based solely on their physical or network location (i.e., local area networks versus the internet) or based on asset ownership (enterprise or personally owned). Authentication and authorization (both subject and device) are discrete functions performed before a session to an enterprise resource is established. Zero trust is a response to enterprise network trends that include remote users, bring your own device (BYOD), and cloud-based assets that are not located within an enterprise-owned network boundary. Zero trust focuses on protecting resources (assets, services, workflows, network accounts, etc.), not network segments, as the network location is no longer seen as the prime component to the security posture of the resource. This document contains an abstract definition of zero trust architecture (ZTA) and gives general deployment models and use cases where zero trust could improve an enterprise’s overall information technology security posture.","author":[{"dropping-particle":"","family":"Rose","given":"Scott","non-dropping-particle":"","parse-names":false,"suffix":""},{"dropping-particle":"","family":"Borchert","given":"Oliver","non-dropping-particle":"","parse-names":false,"suffix":""},{"dropping-particle":"","family":"Mitchell","given":"Stu","non-dropping-particle":"","parse-names":false,"suffix":""},{"dropping-particle":"","family":"Connelly","given":"Sean","non-dropping-particle":"","parse-names":false,"suffix":""}],"container-title":"Nist","id":"ITEM-1","issued":{"date-parts":[["2020"]]},"title":"[NIST SP 800-207] Zero Trust Architecture Technology, National Institute of Standards","type":"article-journal"},"uris":["http://www.mendeley.com/documents/?uuid=a25a14a1-4a04-4339-a032-3cca656b5122"]}],"mendeley":{"formattedCitation":"[6]","plainTextFormattedCitation":"[6]","previouslyFormattedCitation":"[6]"},"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[6]</w:t>
      </w:r>
      <w:r w:rsidRPr="00F21079">
        <w:rPr>
          <w:rFonts w:ascii="Arial" w:hAnsi="Arial" w:cs="Arial"/>
        </w:rPr>
        <w:fldChar w:fldCharType="end"/>
      </w:r>
      <w:r w:rsidRPr="00F21079">
        <w:rPr>
          <w:rFonts w:ascii="Arial" w:hAnsi="Arial" w:cs="Arial"/>
        </w:rPr>
        <w:t>.</w:t>
      </w:r>
    </w:p>
    <w:p w14:paraId="4D2843F0" w14:textId="77777777" w:rsidR="00F21079" w:rsidRPr="00F21079" w:rsidRDefault="00F21079" w:rsidP="00F21079"/>
    <w:p w14:paraId="6C7AE4E1" w14:textId="771D84B5" w:rsidR="00F21079" w:rsidRDefault="00F21079" w:rsidP="00F21079">
      <w:pPr>
        <w:pStyle w:val="Heading2"/>
        <w:rPr>
          <w:rFonts w:ascii="Arial" w:hAnsi="Arial" w:cs="Arial"/>
          <w:sz w:val="28"/>
          <w:szCs w:val="28"/>
        </w:rPr>
      </w:pPr>
      <w:bookmarkStart w:id="13" w:name="_Toc230303068"/>
      <w:proofErr w:type="gramStart"/>
      <w:r w:rsidRPr="00F21079">
        <w:rPr>
          <w:rFonts w:ascii="Arial" w:hAnsi="Arial" w:cs="Arial"/>
          <w:sz w:val="28"/>
          <w:szCs w:val="28"/>
        </w:rPr>
        <w:t>Third</w:t>
      </w:r>
      <w:r w:rsidR="00660FCC">
        <w:rPr>
          <w:rFonts w:ascii="Arial" w:hAnsi="Arial" w:cs="Arial"/>
          <w:sz w:val="28"/>
          <w:szCs w:val="28"/>
        </w:rPr>
        <w:t>-</w:t>
      </w:r>
      <w:r w:rsidRPr="00F21079">
        <w:rPr>
          <w:rFonts w:ascii="Arial" w:hAnsi="Arial" w:cs="Arial"/>
          <w:sz w:val="28"/>
          <w:szCs w:val="28"/>
        </w:rPr>
        <w:t>Paty</w:t>
      </w:r>
      <w:proofErr w:type="gramEnd"/>
      <w:r w:rsidRPr="00F21079">
        <w:rPr>
          <w:rFonts w:ascii="Arial" w:hAnsi="Arial" w:cs="Arial"/>
          <w:sz w:val="28"/>
          <w:szCs w:val="28"/>
        </w:rPr>
        <w:t xml:space="preserve"> and Supply Cain Vetting</w:t>
      </w:r>
      <w:bookmarkEnd w:id="13"/>
    </w:p>
    <w:p w14:paraId="3FB95D68" w14:textId="371426EE" w:rsidR="00F21079" w:rsidRPr="00F21079" w:rsidRDefault="00F21079" w:rsidP="00F21079">
      <w:pPr>
        <w:jc w:val="both"/>
        <w:rPr>
          <w:rFonts w:ascii="Arial" w:hAnsi="Arial" w:cs="Arial"/>
        </w:rPr>
      </w:pPr>
      <w:r w:rsidRPr="00F21079">
        <w:rPr>
          <w:rFonts w:ascii="Arial" w:hAnsi="Arial" w:cs="Arial"/>
        </w:rPr>
        <w:t xml:space="preserve">Third-party and supply chain vetting supports the zero trust principles of “Assume breach” and “verify explicitly” </w:t>
      </w:r>
      <w:r w:rsidRPr="00F21079">
        <w:rPr>
          <w:rFonts w:ascii="Arial" w:hAnsi="Arial" w:cs="Arial"/>
        </w:rPr>
        <w:fldChar w:fldCharType="begin" w:fldLock="1"/>
      </w:r>
      <w:r>
        <w:rPr>
          <w:rFonts w:ascii="Arial" w:hAnsi="Arial" w:cs="Arial"/>
        </w:rPr>
        <w:instrText>ADDIN CSL_CITATION {"citationItems":[{"id":"ITEM-1","itemData":{"URL":"https://www.cisa.gov/information-and-communications-technology-supply-chain-risk-management","author":[{"dropping-particle":"","family":"CISA","given":"","non-dropping-particle":"","parse-names":false,"suffix":""}],"container-title":"CISA","id":"ITEM-1","issued":{"date-parts":[["0"]]},"title":"Information and Communications Technology Supply Chain Risk Management","type":"webpage"},"uris":["http://www.mendeley.com/documents/?uuid=83ea9424-640a-3b16-91c8-31e371dc25c9"]}],"mendeley":{"formattedCitation":"[12]","plainTextFormattedCitation":"[12]","previouslyFormattedCitation":"[13]"},"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[12]</w:t>
      </w:r>
      <w:r w:rsidRPr="00F21079">
        <w:rPr>
          <w:rFonts w:ascii="Arial" w:hAnsi="Arial" w:cs="Arial"/>
        </w:rPr>
        <w:fldChar w:fldCharType="end"/>
      </w:r>
      <w:r w:rsidRPr="00F21079">
        <w:rPr>
          <w:rFonts w:ascii="Arial" w:hAnsi="Arial" w:cs="Arial"/>
        </w:rPr>
        <w:t xml:space="preserve">. Organisations must assess suppliers, contractors and external vendors before granting them access to systems or sensitive information because third parties can introduce significant cybersecurity risks </w:t>
      </w:r>
      <w:r w:rsidRPr="00F21079">
        <w:rPr>
          <w:rFonts w:ascii="Arial" w:hAnsi="Arial" w:cs="Arial"/>
        </w:rPr>
        <w:fldChar w:fldCharType="begin" w:fldLock="1"/>
      </w:r>
      <w:r>
        <w:rPr>
          <w:rFonts w:ascii="Arial" w:hAnsi="Arial" w:cs="Arial"/>
        </w:rPr>
        <w:instrText>ADDIN CSL_CITATION {"citationItems":[{"id":"ITEM-1","itemData":{"URL":"https://www.cisa.gov/information-and-communications-technology-supply-chain-risk-management","author":[{"dropping-particle":"","family":"CISA","given":"","non-dropping-particle":"","parse-names":false,"suffix":""}],"container-title":"CISA","id":"ITEM-1","issued":{"date-parts":[["0"]]},"title":"Information and Communications Technology Supply Chain Risk Management","type":"webpage"},"uris":["http://www.mendeley.com/documents/?uuid=83ea9424-640a-3b16-91c8-31e371dc25c9"]}],"mendeley":{"formattedCitation":"[12]","plainTextFormattedCitation":"[12]","previouslyFormattedCitation":"[13]"},"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[12]</w:t>
      </w:r>
      <w:r w:rsidRPr="00F21079">
        <w:rPr>
          <w:rFonts w:ascii="Arial" w:hAnsi="Arial" w:cs="Arial"/>
        </w:rPr>
        <w:fldChar w:fldCharType="end"/>
      </w:r>
      <w:r w:rsidRPr="00F21079">
        <w:rPr>
          <w:rFonts w:ascii="Arial" w:hAnsi="Arial" w:cs="Arial"/>
        </w:rPr>
        <w:t xml:space="preserve">. Security checks may include compliance reviews, access restrictions and ongoing monitoring of vendor activities </w:t>
      </w:r>
      <w:r w:rsidRPr="00F21079">
        <w:rPr>
          <w:rFonts w:ascii="Arial" w:hAnsi="Arial" w:cs="Arial"/>
        </w:rPr>
        <w:fldChar w:fldCharType="begin" w:fldLock="1"/>
      </w:r>
      <w:r>
        <w:rPr>
          <w:rFonts w:ascii="Arial" w:hAnsi="Arial" w:cs="Arial"/>
        </w:rPr>
        <w:instrText>ADDIN CSL_CITATION {"citationItems":[{"id":"ITEM-1","itemData":{"URL":"https://www.cisa.gov/information-and-communications-technology-supply-chain-risk-management","author":[{"dropping-particle":"","family":"CISA","given":"","non-dropping-particle":"","parse-names":false,"suffix":""}],"container-title":"CISA","id":"ITEM-1","issued":{"date-parts":[["0"]]},"title":"Information and Communications Technology Supply Chain Risk Management","type":"webpage"},"uris":["http://www.mendeley.com/documents/?uuid=83ea9424-640a-3b16-91c8-31e371dc25c9"]}],"mendeley":{"formattedCitation":"[12]","plainTextFormattedCitation":"[12]","previouslyFormattedCitation":"[13]"},"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[12]</w:t>
      </w:r>
      <w:r w:rsidRPr="00F21079">
        <w:rPr>
          <w:rFonts w:ascii="Arial" w:hAnsi="Arial" w:cs="Arial"/>
        </w:rPr>
        <w:fldChar w:fldCharType="end"/>
      </w:r>
      <w:r w:rsidRPr="00F21079">
        <w:rPr>
          <w:rFonts w:ascii="Arial" w:hAnsi="Arial" w:cs="Arial"/>
        </w:rPr>
        <w:t>. This policy aligns with the NIST SP 800-161, which provides guidance on managing cyber security risks within supply chains and third</w:t>
      </w:r>
      <w:r w:rsidR="00660FCC">
        <w:rPr>
          <w:rFonts w:ascii="Arial" w:hAnsi="Arial" w:cs="Arial"/>
        </w:rPr>
        <w:t>-</w:t>
      </w:r>
      <w:r w:rsidRPr="00F21079">
        <w:rPr>
          <w:rFonts w:ascii="Arial" w:hAnsi="Arial" w:cs="Arial"/>
        </w:rPr>
        <w:t>part</w:t>
      </w:r>
      <w:r w:rsidR="00660FCC">
        <w:rPr>
          <w:rFonts w:ascii="Arial" w:hAnsi="Arial" w:cs="Arial"/>
        </w:rPr>
        <w:t xml:space="preserve">y </w:t>
      </w:r>
      <w:r w:rsidRPr="00F21079">
        <w:rPr>
          <w:rFonts w:ascii="Arial" w:hAnsi="Arial" w:cs="Arial"/>
        </w:rPr>
        <w:t xml:space="preserve">relations </w:t>
      </w:r>
      <w:r w:rsidRPr="00F21079">
        <w:rPr>
          <w:rFonts w:ascii="Arial" w:hAnsi="Arial" w:cs="Arial"/>
        </w:rPr>
        <w:fldChar w:fldCharType="begin" w:fldLock="1"/>
      </w:r>
      <w:r>
        <w:rPr>
          <w:rFonts w:ascii="Arial" w:hAnsi="Arial" w:cs="Arial"/>
        </w:rPr>
        <w:instrText>ADDIN CSL_CITATION {"citationItems":[{"id":"ITEM-1","itemData":{"abstract":"A341Federal agencies are concerned about the risks associated with information and communications technology (ICT) products and services that may contain potentially malicious functionality, are counterfeit, or are vulnerable due to poor manufacturing and development practices within the ICT supply chain. These risks are associated with the federal agencies? decreased visibility into, understanding of, and control over how the technology that they acquire is developed, integrated and deployed, as well as the processes, procedures, and practices used to assure the integrity, security, resilience, and quality of the products and services. This publication provides guidance to federal agencies on identifying, assessing, and mitigating ICT supply chain risks at all levels of their organizations. This publication integrates ICT supply chain risk management (SCRM) into federal agency risk management activities by applying a multi-tiered, SCRM-specific approach, including guidance on assessing supply chain risk and applying mitigation activities.","author":[{"dropping-particle":"","family":"NIST","given":"","non-dropping-particle":"","parse-names":false,"suffix":""}],"id":"ITEM-1","issued":{"date-parts":[["2022"]]},"title":"NIST Special Publication 800-161 - Supply Chain Risk Management Practices for Federal Information Systems and Organizations","type":"article-journal"},"uris":["http://www.mendeley.com/documents/?uuid=d0845f45-9610-41f0-a2a7-ac2d87582cbc"]}],"mendeley":{"formattedCitation":"[13]","plainTextFormattedCitation":"[13]","previouslyFormattedCitation":"[14]"},"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[13]</w:t>
      </w:r>
      <w:r w:rsidRPr="00F21079">
        <w:rPr>
          <w:rFonts w:ascii="Arial" w:hAnsi="Arial" w:cs="Arial"/>
        </w:rPr>
        <w:fldChar w:fldCharType="end"/>
      </w:r>
      <w:r w:rsidRPr="00F21079">
        <w:rPr>
          <w:rFonts w:ascii="Arial" w:hAnsi="Arial" w:cs="Arial"/>
        </w:rPr>
        <w:t>.</w:t>
      </w:r>
    </w:p>
    <w:p w14:paraId="6C62F6B7" w14:textId="77777777" w:rsidR="00F21079" w:rsidRPr="00F21079" w:rsidRDefault="00F21079" w:rsidP="00F21079"/>
    <w:p w14:paraId="00617690" w14:textId="1279229E" w:rsidR="00F21079" w:rsidRDefault="00F21079" w:rsidP="00F21079">
      <w:pPr>
        <w:pStyle w:val="Heading1"/>
        <w:rPr>
          <w:rFonts w:ascii="Arial" w:hAnsi="Arial" w:cs="Arial"/>
          <w:sz w:val="32"/>
          <w:szCs w:val="32"/>
        </w:rPr>
      </w:pPr>
      <w:bookmarkStart w:id="14" w:name="_Toc230303069"/>
      <w:r w:rsidRPr="00F21079">
        <w:rPr>
          <w:rFonts w:ascii="Arial" w:hAnsi="Arial" w:cs="Arial"/>
          <w:sz w:val="32"/>
          <w:szCs w:val="32"/>
        </w:rPr>
        <w:t>Technical Mitigation Measures</w:t>
      </w:r>
      <w:bookmarkEnd w:id="14"/>
    </w:p>
    <w:tbl>
      <w:tblPr>
        <w:tblStyle w:val="TableGrid"/>
        <w:tblW w:w="0" w:type="auto"/>
        <w:tblLook w:val="04A0" w:firstRow="1" w:lastRow="0" w:firstColumn="1" w:lastColumn="0" w:noHBand="0" w:noVBand="1"/>
      </w:tblPr>
      <w:tblGrid>
        <w:gridCol w:w="3263"/>
        <w:gridCol w:w="3328"/>
        <w:gridCol w:w="2425"/>
      </w:tblGrid>
      <w:tr w:rsidR="00F21079" w:rsidRPr="003E7DE6" w14:paraId="3FBD9677" w14:textId="77777777" w:rsidTr="004E3B52">
        <w:tc>
          <w:tcPr>
            <w:tcW w:w="3263" w:type="dxa"/>
          </w:tcPr>
          <w:p w14:paraId="272F4B7A" w14:textId="77777777" w:rsidR="00F21079" w:rsidRPr="001106B0" w:rsidRDefault="00F21079" w:rsidP="004E3B52">
            <w:pPr>
              <w:jc w:val="both"/>
              <w:rPr>
                <w:rFonts w:ascii="Arial" w:hAnsi="Arial" w:cs="Arial"/>
                <w:color w:val="000000" w:themeColor="text1"/>
              </w:rPr>
            </w:pPr>
            <w:r w:rsidRPr="001106B0">
              <w:rPr>
                <w:rFonts w:ascii="Arial" w:hAnsi="Arial" w:cs="Arial"/>
                <w:color w:val="000000" w:themeColor="text1"/>
              </w:rPr>
              <w:t>THREAT</w:t>
            </w:r>
          </w:p>
        </w:tc>
        <w:tc>
          <w:tcPr>
            <w:tcW w:w="3328" w:type="dxa"/>
          </w:tcPr>
          <w:p w14:paraId="5C6F5120" w14:textId="77777777" w:rsidR="00F21079" w:rsidRPr="001106B0" w:rsidRDefault="00F21079" w:rsidP="004E3B52">
            <w:pPr>
              <w:jc w:val="both"/>
              <w:rPr>
                <w:rFonts w:ascii="Arial" w:hAnsi="Arial" w:cs="Arial"/>
                <w:color w:val="000000" w:themeColor="text1"/>
              </w:rPr>
            </w:pPr>
            <w:r w:rsidRPr="001106B0">
              <w:rPr>
                <w:rFonts w:ascii="Arial" w:hAnsi="Arial" w:cs="Arial"/>
                <w:color w:val="000000" w:themeColor="text1"/>
              </w:rPr>
              <w:t>Measure</w:t>
            </w:r>
          </w:p>
        </w:tc>
        <w:tc>
          <w:tcPr>
            <w:tcW w:w="2425" w:type="dxa"/>
          </w:tcPr>
          <w:p w14:paraId="35880F3E" w14:textId="77777777" w:rsidR="00F21079" w:rsidRPr="001106B0" w:rsidRDefault="00F21079" w:rsidP="004E3B52">
            <w:pPr>
              <w:jc w:val="both"/>
              <w:rPr>
                <w:rFonts w:ascii="Arial" w:hAnsi="Arial" w:cs="Arial"/>
                <w:color w:val="000000" w:themeColor="text1"/>
              </w:rPr>
            </w:pPr>
            <w:r w:rsidRPr="001106B0">
              <w:rPr>
                <w:rFonts w:ascii="Arial" w:hAnsi="Arial" w:cs="Arial"/>
                <w:color w:val="000000" w:themeColor="text1"/>
              </w:rPr>
              <w:t>Tools/Standard</w:t>
            </w:r>
          </w:p>
        </w:tc>
      </w:tr>
      <w:tr w:rsidR="00F21079" w:rsidRPr="003E7DE6" w14:paraId="24FCEFB3" w14:textId="77777777" w:rsidTr="004E3B52">
        <w:tc>
          <w:tcPr>
            <w:tcW w:w="3263" w:type="dxa"/>
          </w:tcPr>
          <w:p w14:paraId="67421E02"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Phishing Emails </w:t>
            </w:r>
          </w:p>
        </w:tc>
        <w:tc>
          <w:tcPr>
            <w:tcW w:w="3328" w:type="dxa"/>
          </w:tcPr>
          <w:p w14:paraId="6E861734"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-multifactor authentication </w:t>
            </w:r>
            <w:r w:rsidRPr="001106B0">
              <w:rPr>
                <w:rFonts w:ascii="Arial" w:hAnsi="Arial" w:cs="Arial"/>
                <w:color w:val="000000" w:themeColor="text1"/>
              </w:rPr>
              <w:fldChar w:fldCharType="begin" w:fldLock="1"/>
            </w:r>
            <w:r w:rsidRPr="001106B0">
              <w:rPr>
                <w:rFonts w:ascii="Arial" w:hAnsi="Arial" w:cs="Arial"/>
                <w:color w:val="000000" w:themeColor="text1"/>
              </w:rPr>
              <w:instrText>ADDIN CSL_CITATION {"citationItems":[{"id":"ITEM-1","itemData":{"URL":"https://support.microsoft.com/en-us/security/what-is-multifactor-authentication","author":[{"dropping-particle":"","family":"Microsoft Support","given":"","non-dropping-particle":"","parse-names":false,"suffix":""}],"container-title":"Microsoft","id":"ITEM-1","issued":{"date-parts":[["0"]]},"title":"What is: Multifactor Authentication","type":"webpage"},"uris":["http://www.mendeley.com/documents/?uuid=3ce0d8bb-eb67-3dcd-ac86-e459fab7ef0c"]}],"mendeley":{"formattedCitation":"[7]","plainTextFormattedCitation":"[7]","previouslyFormattedCitation":"[7]"},"properties":{"noteIndex":0},"schema":"https://github.com/citation-style-language/schema/raw/master/csl-citation.json"}</w:instrText>
            </w:r>
            <w:r w:rsidRPr="001106B0">
              <w:rPr>
                <w:rFonts w:ascii="Arial" w:hAnsi="Arial" w:cs="Arial"/>
                <w:color w:val="000000" w:themeColor="text1"/>
              </w:rPr>
              <w:fldChar w:fldCharType="separate"/>
            </w:r>
            <w:r w:rsidRPr="001106B0">
              <w:rPr>
                <w:rFonts w:ascii="Arial" w:hAnsi="Arial" w:cs="Arial"/>
                <w:noProof/>
                <w:color w:val="000000" w:themeColor="text1"/>
              </w:rPr>
              <w:t>[7]</w:t>
            </w:r>
            <w:r w:rsidRPr="001106B0">
              <w:rPr>
                <w:rFonts w:ascii="Arial" w:hAnsi="Arial" w:cs="Arial"/>
                <w:color w:val="000000" w:themeColor="text1"/>
              </w:rPr>
              <w:fldChar w:fldCharType="end"/>
            </w:r>
          </w:p>
          <w:p w14:paraId="293515FC" w14:textId="77777777" w:rsidR="00F21079" w:rsidRPr="001106B0" w:rsidRDefault="00F21079" w:rsidP="004E3B52">
            <w:pPr>
              <w:rPr>
                <w:rFonts w:ascii="Arial" w:hAnsi="Arial" w:cs="Arial"/>
                <w:color w:val="000000" w:themeColor="text1"/>
              </w:rPr>
            </w:pPr>
          </w:p>
          <w:p w14:paraId="74993431"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-email sandboxing</w:t>
            </w:r>
          </w:p>
          <w:p w14:paraId="34743F3A" w14:textId="77777777" w:rsidR="00F21079" w:rsidRPr="001106B0" w:rsidRDefault="00F21079" w:rsidP="004E3B52">
            <w:pPr>
              <w:rPr>
                <w:rFonts w:ascii="Arial" w:hAnsi="Arial" w:cs="Arial"/>
                <w:color w:val="000000" w:themeColor="text1"/>
              </w:rPr>
            </w:pPr>
          </w:p>
        </w:tc>
        <w:tc>
          <w:tcPr>
            <w:tcW w:w="2425" w:type="dxa"/>
          </w:tcPr>
          <w:p w14:paraId="6AAA5E9F"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Microsoft Entra ID/ Defender</w:t>
            </w:r>
          </w:p>
        </w:tc>
      </w:tr>
      <w:tr w:rsidR="00F21079" w:rsidRPr="003E7DE6" w14:paraId="332F1333" w14:textId="77777777" w:rsidTr="004E3B52">
        <w:tc>
          <w:tcPr>
            <w:tcW w:w="3263" w:type="dxa"/>
          </w:tcPr>
          <w:p w14:paraId="16847C1F"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Ransomware </w:t>
            </w:r>
          </w:p>
        </w:tc>
        <w:tc>
          <w:tcPr>
            <w:tcW w:w="3328" w:type="dxa"/>
          </w:tcPr>
          <w:p w14:paraId="739A7FC9"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-Immutable backups (backups that can't be encrypted or deleted) </w:t>
            </w:r>
          </w:p>
          <w:p w14:paraId="092529A6" w14:textId="77777777" w:rsidR="00F21079" w:rsidRPr="001106B0" w:rsidRDefault="00F21079" w:rsidP="004E3B52">
            <w:pPr>
              <w:rPr>
                <w:rFonts w:ascii="Arial" w:hAnsi="Arial" w:cs="Arial"/>
                <w:color w:val="000000" w:themeColor="text1"/>
              </w:rPr>
            </w:pPr>
          </w:p>
          <w:p w14:paraId="71BB80DF"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-Endpoint Detection &amp; Response (EDR) software </w:t>
            </w:r>
          </w:p>
          <w:p w14:paraId="414BD45C" w14:textId="77777777" w:rsidR="00F21079" w:rsidRPr="001106B0" w:rsidRDefault="00F21079" w:rsidP="004E3B52">
            <w:pPr>
              <w:rPr>
                <w:rFonts w:ascii="Arial" w:hAnsi="Arial" w:cs="Arial"/>
                <w:color w:val="000000" w:themeColor="text1"/>
              </w:rPr>
            </w:pPr>
          </w:p>
          <w:p w14:paraId="151EB640"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-Patch Prioritisation (address actively exploited vulnerabilities first)</w:t>
            </w:r>
          </w:p>
        </w:tc>
        <w:tc>
          <w:tcPr>
            <w:tcW w:w="2425" w:type="dxa"/>
          </w:tcPr>
          <w:p w14:paraId="56426D25"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Veeam</w:t>
            </w:r>
          </w:p>
          <w:p w14:paraId="4D62119D"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CrowdStrike </w:t>
            </w:r>
            <w:r w:rsidRPr="001106B0">
              <w:rPr>
                <w:rFonts w:ascii="Arial" w:hAnsi="Arial" w:cs="Arial"/>
                <w:color w:val="000000" w:themeColor="text1"/>
              </w:rPr>
              <w:fldChar w:fldCharType="begin" w:fldLock="1"/>
            </w:r>
            <w:r w:rsidRPr="001106B0">
              <w:rPr>
                <w:rFonts w:ascii="Arial" w:hAnsi="Arial" w:cs="Arial"/>
                <w:color w:val="000000" w:themeColor="text1"/>
              </w:rPr>
              <w:instrText>ADDIN CSL_CITATION {"citationItems":[{"id":"ITEM-1","itemData":{"URL":"https://www.crowdstrike.com/en-us/cybersecurity-101/ransomware/ransomware-as-a-service-raas/","accessed":{"date-parts":[["2026","5","20"]]},"author":[{"dropping-particle":"","family":"Baker","given":"Kurt","non-dropping-particle":"","parse-names":false,"suffix":""}],"id":"ITEM-1","issued":{"date-parts":[["2021","1","30"]]},"title":"What is Ransomware as a Service (RaaS)? | CrowdStrike","type":"webpage"},"uris":["http://www.mendeley.com/documents/?uuid=96be48b2-e05a-3fa0-ad9f-4cfd8089a8f2"]}],"mendeley":{"formattedCitation":"[2]","plainTextFormattedCitation":"[2]","previouslyFormattedCitation":"[2]"},"properties":{"noteIndex":0},"schema":"https://github.com/citation-style-language/schema/raw/master/csl-citation.json"}</w:instrText>
            </w:r>
            <w:r w:rsidRPr="001106B0">
              <w:rPr>
                <w:rFonts w:ascii="Arial" w:hAnsi="Arial" w:cs="Arial"/>
                <w:color w:val="000000" w:themeColor="text1"/>
              </w:rPr>
              <w:fldChar w:fldCharType="separate"/>
            </w:r>
            <w:r w:rsidRPr="001106B0">
              <w:rPr>
                <w:rFonts w:ascii="Arial" w:hAnsi="Arial" w:cs="Arial"/>
                <w:noProof/>
                <w:color w:val="000000" w:themeColor="text1"/>
              </w:rPr>
              <w:t>[2]</w:t>
            </w:r>
            <w:r w:rsidRPr="001106B0">
              <w:rPr>
                <w:rFonts w:ascii="Arial" w:hAnsi="Arial" w:cs="Arial"/>
                <w:color w:val="000000" w:themeColor="text1"/>
              </w:rPr>
              <w:fldChar w:fldCharType="end"/>
            </w:r>
          </w:p>
          <w:p w14:paraId="464A8076"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CISA KEV</w:t>
            </w:r>
          </w:p>
        </w:tc>
      </w:tr>
      <w:tr w:rsidR="00F21079" w:rsidRPr="003E7DE6" w14:paraId="5F510520" w14:textId="77777777" w:rsidTr="004E3B52">
        <w:tc>
          <w:tcPr>
            <w:tcW w:w="3263" w:type="dxa"/>
          </w:tcPr>
          <w:p w14:paraId="30004752"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Cloud Misconfiguration </w:t>
            </w:r>
          </w:p>
        </w:tc>
        <w:tc>
          <w:tcPr>
            <w:tcW w:w="3328" w:type="dxa"/>
          </w:tcPr>
          <w:p w14:paraId="15BCECAF" w14:textId="0DFB6EC1" w:rsidR="00F21079" w:rsidRPr="001106B0" w:rsidRDefault="00F21079" w:rsidP="004E3B52">
            <w:pPr>
              <w:rPr>
                <w:rFonts w:ascii="Arial" w:hAnsi="Arial" w:cs="Arial"/>
                <w:color w:val="000000" w:themeColor="text1"/>
              </w:rPr>
            </w:pPr>
            <w:r w:rsidRPr="001106B0">
              <w:rPr>
                <w:rFonts w:ascii="Arial" w:hAnsi="Arial" w:cs="Arial"/>
                <w:color w:val="000000" w:themeColor="text1"/>
              </w:rPr>
              <w:t>-Cloud Security Posture Management (CSPM) tools that automatically scan for misconfigurations</w:t>
            </w:r>
            <w:r w:rsidRPr="001106B0">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{"citationItems":[{"id":"ITEM-1","itemData":{"author":[{"dropping-particle":"","family":"Microsoft Learn","given":"","non-dropping-particle":"","parse-names":false,"suffix":""}],"container-title":"Microsoft Defender for Cloud","id":"ITEM-1","issued":{"date-parts":[["0"]]},"title":"What is Cloud Security Posture Management (CSPM) [Online]","type":"article-journal"},"uris":["http://www.mendeley.com/documents/?uuid=d23e760e-185d-3bac-a1d9-f94a43db605a"]}],"mendeley":{"formattedCitation":"[11]","plainTextFormattedCitation":"[11]","previouslyFormattedCitation":"[12]"},"properties":{"noteIndex":0},"schema":"https://github.com/citation-style-language/schema/raw/master/csl-citation.json"}</w:instrText>
            </w:r>
            <w:r w:rsidRPr="001106B0">
              <w:rPr>
                <w:rFonts w:ascii="Arial" w:hAnsi="Arial" w:cs="Arial"/>
                <w:color w:val="000000" w:themeColor="text1"/>
              </w:rPr>
              <w:fldChar w:fldCharType="separate"/>
            </w:r>
            <w:r w:rsidRPr="00F21079">
              <w:rPr>
                <w:rFonts w:ascii="Arial" w:hAnsi="Arial" w:cs="Arial"/>
                <w:noProof/>
                <w:color w:val="000000" w:themeColor="text1"/>
              </w:rPr>
              <w:t>[11]</w:t>
            </w:r>
            <w:r w:rsidRPr="001106B0">
              <w:rPr>
                <w:rFonts w:ascii="Arial" w:hAnsi="Arial" w:cs="Arial"/>
                <w:color w:val="000000" w:themeColor="text1"/>
              </w:rPr>
              <w:fldChar w:fldCharType="end"/>
            </w:r>
          </w:p>
        </w:tc>
        <w:tc>
          <w:tcPr>
            <w:tcW w:w="2425" w:type="dxa"/>
          </w:tcPr>
          <w:p w14:paraId="0BD0AB87"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Microsoft Defender for cloud</w:t>
            </w:r>
          </w:p>
        </w:tc>
      </w:tr>
      <w:tr w:rsidR="00F21079" w:rsidRPr="003E7DE6" w14:paraId="12B2A1F5" w14:textId="77777777" w:rsidTr="004E3B52">
        <w:tc>
          <w:tcPr>
            <w:tcW w:w="3263" w:type="dxa"/>
          </w:tcPr>
          <w:p w14:paraId="423E8779" w14:textId="3533B51D"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Supply Chain compromise  </w:t>
            </w:r>
            <w:r w:rsidRPr="001106B0">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isa.gov/information-and-communications-technology-supply-chain-risk-management","author":[{"dropping-particle":"","family":"CISA","given":"","non-dropping-particle":"","parse-names":false,"suffix":""}],"container-title":"CISA","id":"ITEM-1","issued":{"date-parts":[["0"]]},"title":"Information and Communications Technology Supply Chain Risk Management","type":"webpage"},"uris":["http://www.mendeley.com/documents/?uuid=83ea9424-640a-3b16-91c8-31e371dc25c9"]}],"mendeley":{"formattedCitation":"[12]","plainTextFormattedCitation":"[12]","previouslyFormattedCitation":"[13]"},"properties":{"noteIndex":0},"schema":"https://github.com/citation-style-language/schema/raw/master/csl-citation.json"}</w:instrText>
            </w:r>
            <w:r w:rsidRPr="001106B0">
              <w:rPr>
                <w:rFonts w:ascii="Arial" w:hAnsi="Arial" w:cs="Arial"/>
                <w:color w:val="000000" w:themeColor="text1"/>
              </w:rPr>
              <w:fldChar w:fldCharType="separate"/>
            </w:r>
            <w:r w:rsidRPr="00F21079">
              <w:rPr>
                <w:rFonts w:ascii="Arial" w:hAnsi="Arial" w:cs="Arial"/>
                <w:noProof/>
                <w:color w:val="000000" w:themeColor="text1"/>
              </w:rPr>
              <w:t>[12]</w:t>
            </w:r>
            <w:r w:rsidRPr="001106B0">
              <w:rPr>
                <w:rFonts w:ascii="Arial" w:hAnsi="Arial" w:cs="Arial"/>
                <w:color w:val="000000" w:themeColor="text1"/>
              </w:rPr>
              <w:fldChar w:fldCharType="end"/>
            </w:r>
          </w:p>
        </w:tc>
        <w:tc>
          <w:tcPr>
            <w:tcW w:w="3328" w:type="dxa"/>
          </w:tcPr>
          <w:p w14:paraId="73E0078B"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-Vendor risk assessments before onboarding third-party software</w:t>
            </w:r>
          </w:p>
        </w:tc>
        <w:tc>
          <w:tcPr>
            <w:tcW w:w="2425" w:type="dxa"/>
          </w:tcPr>
          <w:p w14:paraId="748E507C" w14:textId="2C10838E"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NIST SP 800-161 </w:t>
            </w:r>
            <w:r w:rsidRPr="001106B0">
              <w:rPr>
                <w:rFonts w:ascii="Arial" w:hAnsi="Arial" w:cs="Arial"/>
                <w:color w:val="000000" w:themeColor="text1"/>
              </w:rPr>
              <w:fldChar w:fldCharType="begin" w:fldLock="1"/>
            </w:r>
            <w:r>
              <w:rPr>
                <w:rFonts w:ascii="Arial" w:hAnsi="Arial" w:cs="Arial"/>
                <w:color w:val="000000" w:themeColor="text1"/>
              </w:rPr>
              <w:instrText>ADDIN CSL_CITATION {"citationItems":[{"id":"ITEM-1","itemData":{"abstract":"A341Federal agencies are concerned about the risks associated with information and communications technology (ICT) products and services that may contain potentially malicious functionality, are counterfeit, or are vulnerable due to poor manufacturing and development practices within the ICT supply chain. These risks are associated with the federal agencies? decreased visibility into, understanding of, and control over how the technology that they acquire is developed, integrated and deployed, as well as the processes, procedures, and practices used to assure the integrity, security, resilience, and quality of the products and services. This publication provides guidance to federal agencies on identifying, assessing, and mitigating ICT supply chain risks at all levels of their organizations. This publication integrates ICT supply chain risk management (SCRM) into federal agency risk management activities by applying a multi-tiered, SCRM-specific approach, including guidance on assessing supply chain risk and applying mitigation activities.","author":[{"dropping-particle":"","family":"NIST","given":"","non-dropping-particle":"","parse-names":false,"suffix":""}],"id":"ITEM-1","issued":{"date-parts":[["2022"]]},"title":"NIST Special Publication 800-161 - Supply Chain Risk Management Practices for Federal Information Systems and Organizations","type":"article-journal"},"uris":["http://www.mendeley.com/documents/?uuid=d0845f45-9610-41f0-a2a7-ac2d87582cbc"]}],"mendeley":{"formattedCitation":"[13]","plainTextFormattedCitation":"[13]","previouslyFormattedCitation":"[14]"},"properties":{"noteIndex":0},"schema":"https://github.com/citation-style-language/schema/raw/master/csl-citation.json"}</w:instrText>
            </w:r>
            <w:r w:rsidRPr="001106B0">
              <w:rPr>
                <w:rFonts w:ascii="Arial" w:hAnsi="Arial" w:cs="Arial"/>
                <w:color w:val="000000" w:themeColor="text1"/>
              </w:rPr>
              <w:fldChar w:fldCharType="separate"/>
            </w:r>
            <w:r w:rsidRPr="00F21079">
              <w:rPr>
                <w:rFonts w:ascii="Arial" w:hAnsi="Arial" w:cs="Arial"/>
                <w:noProof/>
                <w:color w:val="000000" w:themeColor="text1"/>
              </w:rPr>
              <w:t>[13]</w:t>
            </w:r>
            <w:r w:rsidRPr="001106B0">
              <w:rPr>
                <w:rFonts w:ascii="Arial" w:hAnsi="Arial" w:cs="Arial"/>
                <w:color w:val="000000" w:themeColor="text1"/>
              </w:rPr>
              <w:fldChar w:fldCharType="end"/>
            </w:r>
          </w:p>
        </w:tc>
      </w:tr>
      <w:tr w:rsidR="00F21079" w:rsidRPr="003E7DE6" w14:paraId="0EE4D180" w14:textId="77777777" w:rsidTr="004E3B52">
        <w:tc>
          <w:tcPr>
            <w:tcW w:w="3263" w:type="dxa"/>
          </w:tcPr>
          <w:p w14:paraId="69FBDFAF"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Insider threat</w:t>
            </w:r>
            <w:r w:rsidRPr="001106B0">
              <w:rPr>
                <w:rFonts w:ascii="Arial" w:hAnsi="Arial" w:cs="Arial"/>
                <w:color w:val="000000" w:themeColor="text1"/>
              </w:rPr>
              <w:fldChar w:fldCharType="begin" w:fldLock="1"/>
            </w:r>
            <w:r w:rsidRPr="001106B0">
              <w:rPr>
                <w:rFonts w:ascii="Arial" w:hAnsi="Arial" w:cs="Arial"/>
                <w:color w:val="000000" w:themeColor="text1"/>
              </w:rPr>
              <w:instrText>ADDIN CSL_CITATION {"citationItems":[{"id":"ITEM-1","itemData":{"URL":"https://www.cisa.gov/topics/physical-security/insider-threat-mitigation/defining-insider-threats","author":[{"dropping-particle":"","family":"CISA","given":"","non-dropping-particle":"","parse-names":false,"suffix":""}],"container-title":"CISA","id":"ITEM-1","issued":{"date-parts":[["0"]]},"title":"Defining Insider Threats","type":"webpage"},"uris":["http://www.mendeley.com/documents/?uuid=1edbef1d-a171-3bdc-bf98-70e719765c17"]}],"mendeley":{"formattedCitation":"[1]","plainTextFormattedCitation":"[1]","previouslyFormattedCitation":"[1]"},"properties":{"noteIndex":0},"schema":"https://github.com/citation-style-language/schema/raw/master/csl-citation.json"}</w:instrText>
            </w:r>
            <w:r w:rsidRPr="001106B0">
              <w:rPr>
                <w:rFonts w:ascii="Arial" w:hAnsi="Arial" w:cs="Arial"/>
                <w:color w:val="000000" w:themeColor="text1"/>
              </w:rPr>
              <w:fldChar w:fldCharType="separate"/>
            </w:r>
            <w:r w:rsidRPr="001106B0">
              <w:rPr>
                <w:rFonts w:ascii="Arial" w:hAnsi="Arial" w:cs="Arial"/>
                <w:noProof/>
                <w:color w:val="000000" w:themeColor="text1"/>
              </w:rPr>
              <w:t>[1]</w:t>
            </w:r>
            <w:r w:rsidRPr="001106B0">
              <w:rPr>
                <w:rFonts w:ascii="Arial" w:hAnsi="Arial" w:cs="Arial"/>
                <w:color w:val="000000" w:themeColor="text1"/>
              </w:rPr>
              <w:fldChar w:fldCharType="end"/>
            </w:r>
          </w:p>
        </w:tc>
        <w:tc>
          <w:tcPr>
            <w:tcW w:w="3328" w:type="dxa"/>
          </w:tcPr>
          <w:p w14:paraId="7EC138CD"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-Privileged Access Management</w:t>
            </w:r>
          </w:p>
          <w:p w14:paraId="55AD16D1" w14:textId="77777777" w:rsidR="00F21079" w:rsidRPr="001106B0" w:rsidRDefault="00F21079" w:rsidP="004E3B52">
            <w:pPr>
              <w:rPr>
                <w:rFonts w:ascii="Arial" w:hAnsi="Arial" w:cs="Arial"/>
                <w:color w:val="000000" w:themeColor="text1"/>
              </w:rPr>
            </w:pPr>
          </w:p>
          <w:p w14:paraId="6C5143FD"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-DLP</w:t>
            </w:r>
          </w:p>
        </w:tc>
        <w:tc>
          <w:tcPr>
            <w:tcW w:w="2425" w:type="dxa"/>
          </w:tcPr>
          <w:p w14:paraId="04AA289D"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CyberArk/Microsoft Purview</w:t>
            </w:r>
          </w:p>
        </w:tc>
      </w:tr>
    </w:tbl>
    <w:p w14:paraId="307EDF62" w14:textId="77777777" w:rsidR="00F21079" w:rsidRDefault="00F21079" w:rsidP="00F21079"/>
    <w:p w14:paraId="261FA5FB" w14:textId="77777777" w:rsidR="00F21079" w:rsidRDefault="00F21079" w:rsidP="00F21079"/>
    <w:p w14:paraId="00C3FAFF" w14:textId="77777777" w:rsidR="00F21079" w:rsidRDefault="00F21079" w:rsidP="00F21079"/>
    <w:p w14:paraId="58F18AE6" w14:textId="77777777" w:rsidR="00F21079" w:rsidRPr="00F21079" w:rsidRDefault="00F21079" w:rsidP="00F21079"/>
    <w:p w14:paraId="2EC627EA" w14:textId="38781F75" w:rsidR="00F21079" w:rsidRDefault="00F21079" w:rsidP="00F21079">
      <w:pPr>
        <w:pStyle w:val="Heading1"/>
        <w:rPr>
          <w:rFonts w:ascii="Arial" w:hAnsi="Arial" w:cs="Arial"/>
          <w:sz w:val="32"/>
          <w:szCs w:val="32"/>
        </w:rPr>
      </w:pPr>
      <w:bookmarkStart w:id="15" w:name="_Toc230303070"/>
      <w:r w:rsidRPr="00F21079">
        <w:rPr>
          <w:rFonts w:ascii="Arial" w:hAnsi="Arial" w:cs="Arial"/>
          <w:sz w:val="32"/>
          <w:szCs w:val="32"/>
        </w:rPr>
        <w:lastRenderedPageBreak/>
        <w:t>Monitoring and Incident Response</w:t>
      </w:r>
      <w:bookmarkEnd w:id="15"/>
    </w:p>
    <w:p w14:paraId="22971BCF" w14:textId="26EE3421" w:rsidR="00F21079" w:rsidRDefault="00F21079" w:rsidP="00F21079">
      <w:pPr>
        <w:jc w:val="both"/>
        <w:rPr>
          <w:rFonts w:ascii="Arial" w:hAnsi="Arial" w:cs="Arial"/>
        </w:rPr>
      </w:pPr>
      <w:r w:rsidRPr="003E7DE6">
        <w:rPr>
          <w:rFonts w:ascii="Arial" w:hAnsi="Arial" w:cs="Arial"/>
        </w:rPr>
        <w:t xml:space="preserve">Effective monitoring and incident response are essential for VTAM to detect and contain threats in real time. Log management </w:t>
      </w:r>
      <w:r>
        <w:rPr>
          <w:rFonts w:ascii="Arial" w:hAnsi="Arial" w:cs="Arial"/>
        </w:rPr>
        <w:t>collects</w:t>
      </w:r>
      <w:r w:rsidRPr="003E7DE6">
        <w:rPr>
          <w:rFonts w:ascii="Arial" w:hAnsi="Arial" w:cs="Arial"/>
        </w:rPr>
        <w:t xml:space="preserve"> event data continuously from firewalls, operating systems and network routers, providing full visibility across the environment</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{"citationItems":[{"id":"ITEM-1","itemData":{"ISBN":"9798898386177","author":[{"dropping-particle":"","family":"Mobley","given":"Paul T","non-dropping-particle":"","parse-names":false,"suffix":""}],"chapter-number":"14","container-title":"An Introduction to Cybersecurity and Digital Investigations","id":"ITEM-1","issued":{"date-parts":[["2026"]]},"publisher":"Christian Fiath Publishing","title":"SIEM/SOAR","type":"chapter"},"uris":["http://www.mendeley.com/documents/?uuid=b8b8b27a-5949-40f5-b4ef-dcdb94794511"]}],"mendeley":{"formattedCitation":"[14]","plainTextFormattedCitation":"[14]","previouslyFormattedCitation":"[15]"},"properties":{"noteIndex":0},"schema":"https://github.com/citation-style-language/schema/raw/master/csl-citation.json"}</w:instrText>
      </w:r>
      <w:r>
        <w:rPr>
          <w:rFonts w:ascii="Arial" w:hAnsi="Arial" w:cs="Arial"/>
        </w:rPr>
        <w:fldChar w:fldCharType="separate"/>
      </w:r>
      <w:r w:rsidRPr="00F21079">
        <w:rPr>
          <w:rFonts w:ascii="Arial" w:hAnsi="Arial" w:cs="Arial"/>
          <w:noProof/>
        </w:rPr>
        <w:t>[14]</w:t>
      </w:r>
      <w:r>
        <w:rPr>
          <w:rFonts w:ascii="Arial" w:hAnsi="Arial" w:cs="Arial"/>
        </w:rPr>
        <w:fldChar w:fldCharType="end"/>
      </w:r>
      <w:r w:rsidRPr="003E7DE6">
        <w:rPr>
          <w:rFonts w:ascii="Arial" w:hAnsi="Arial" w:cs="Arial"/>
        </w:rPr>
        <w:t>. A SIEM platform centralises this data using correlation rules to identify sophisticated multi-stage attacks. When a threat is detected, SOAR automation triggers an immediate response such as isolating affected devices or blocking suspicious accounts</w:t>
      </w:r>
      <w:r w:rsidR="00660FCC">
        <w:rPr>
          <w:rFonts w:ascii="Arial" w:hAnsi="Arial" w:cs="Arial"/>
        </w:rPr>
        <w:t>,</w:t>
      </w:r>
      <w:r w:rsidRPr="003E7DE6">
        <w:rPr>
          <w:rFonts w:ascii="Arial" w:hAnsi="Arial" w:cs="Arial"/>
        </w:rPr>
        <w:t xml:space="preserve"> significantly reducing response times without requiring manual intervention</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{"citationItems":[{"id":"ITEM-1","itemData":{"ISBN":"9798898386177","author":[{"dropping-particle":"","family":"Mobley","given":"Paul T","non-dropping-particle":"","parse-names":false,"suffix":""}],"chapter-number":"14","container-title":"An Introduction to Cybersecurity and Digital Investigations","id":"ITEM-1","issued":{"date-parts":[["2026"]]},"publisher":"Christian Fiath Publishing","title":"SIEM/SOAR","type":"chapter"},"uris":["http://www.mendeley.com/documents/?uuid=b8b8b27a-5949-40f5-b4ef-dcdb94794511"]}],"mendeley":{"formattedCitation":"[14]","plainTextFormattedCitation":"[14]","previouslyFormattedCitation":"[15]"},"properties":{"noteIndex":0},"schema":"https://github.com/citation-style-language/schema/raw/master/csl-citation.json"}</w:instrText>
      </w:r>
      <w:r>
        <w:rPr>
          <w:rFonts w:ascii="Arial" w:hAnsi="Arial" w:cs="Arial"/>
        </w:rPr>
        <w:fldChar w:fldCharType="separate"/>
      </w:r>
      <w:r w:rsidRPr="00F21079">
        <w:rPr>
          <w:rFonts w:ascii="Arial" w:hAnsi="Arial" w:cs="Arial"/>
          <w:noProof/>
        </w:rPr>
        <w:t>[14]</w:t>
      </w:r>
      <w:r>
        <w:rPr>
          <w:rFonts w:ascii="Arial" w:hAnsi="Arial" w:cs="Arial"/>
        </w:rPr>
        <w:fldChar w:fldCharType="end"/>
      </w:r>
      <w:r w:rsidRPr="003E7DE6">
        <w:rPr>
          <w:rFonts w:ascii="Arial" w:hAnsi="Arial" w:cs="Arial"/>
        </w:rPr>
        <w:t>. Endpoint detection and response (EDR) software monitors individual devices, blocking malicious processes autonomously</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{"citationItems":[{"id":"ITEM-1","itemData":{"ISBN":"9798898386177","author":[{"dropping-particle":"","family":"Mobley","given":"Paul T","non-dropping-particle":"","parse-names":false,"suffix":""}],"chapter-number":"14","container-title":"An Introduction to Cybersecurity and Digital Investigations","id":"ITEM-1","issued":{"date-parts":[["2026"]]},"publisher":"Christian Fiath Publishing","title":"SIEM/SOAR","type":"chapter"},"uris":["http://www.mendeley.com/documents/?uuid=b8b8b27a-5949-40f5-b4ef-dcdb94794511"]}],"mendeley":{"formattedCitation":"[14]","plainTextFormattedCitation":"[14]","previouslyFormattedCitation":"[15]"},"properties":{"noteIndex":0},"schema":"https://github.com/citation-style-language/schema/raw/master/csl-citation.json"}</w:instrText>
      </w:r>
      <w:r>
        <w:rPr>
          <w:rFonts w:ascii="Arial" w:hAnsi="Arial" w:cs="Arial"/>
        </w:rPr>
        <w:fldChar w:fldCharType="separate"/>
      </w:r>
      <w:r w:rsidRPr="00F21079">
        <w:rPr>
          <w:rFonts w:ascii="Arial" w:hAnsi="Arial" w:cs="Arial"/>
          <w:noProof/>
        </w:rPr>
        <w:t>[14]</w:t>
      </w:r>
      <w:r>
        <w:rPr>
          <w:rFonts w:ascii="Arial" w:hAnsi="Arial" w:cs="Arial"/>
        </w:rPr>
        <w:fldChar w:fldCharType="end"/>
      </w:r>
      <w:r w:rsidRPr="003E7DE6">
        <w:rPr>
          <w:rFonts w:ascii="Arial" w:hAnsi="Arial" w:cs="Arial"/>
        </w:rPr>
        <w:t>. Network traffic analysis establishes behavioural baselines</w:t>
      </w:r>
      <w:r w:rsidR="00660FCC">
        <w:rPr>
          <w:rFonts w:ascii="Arial" w:hAnsi="Arial" w:cs="Arial"/>
        </w:rPr>
        <w:t>,</w:t>
      </w:r>
      <w:r w:rsidRPr="003E7DE6">
        <w:rPr>
          <w:rFonts w:ascii="Arial" w:hAnsi="Arial" w:cs="Arial"/>
        </w:rPr>
        <w:t xml:space="preserve"> flagging anomalies such as unauthorised lateral movement or unexpected data transfers. Together these tools provide VTAM with a robust 24/7 security monitoring capability</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URL":"https://www.crowdstrike.com/en-us/cybersecurity-101/ransomware/ransomware-as-a-service-raas/","accessed":{"date-parts":[["2026","5","20"]]},"author":[{"dropping-particle":"","family":"Baker","given":"Kurt","non-dropping-particle":"","parse-names":false,"suffix":""}],"id":"ITEM-1","issued":{"date-parts":[["2021","1","30"]]},"title":"What is Ransomware as a Service (RaaS)? | CrowdStrike","type":"webpage"},"uris":["http://www.mendeley.com/documents/?uuid=96be48b2-e05a-3fa0-ad9f-4cfd8089a8f2"]}],"mendeley":{"formattedCitation":"[2]","plainTextFormattedCitation":"[2]","previouslyFormattedCitation":"[2]"},"properties":{"noteIndex":0},"schema":"https://github.com/citation-style-language/schema/raw/master/csl-citation.json"}</w:instrText>
      </w:r>
      <w:r>
        <w:rPr>
          <w:rFonts w:ascii="Arial" w:hAnsi="Arial" w:cs="Arial"/>
        </w:rPr>
        <w:fldChar w:fldCharType="separate"/>
      </w:r>
      <w:r w:rsidRPr="00466B97">
        <w:rPr>
          <w:rFonts w:ascii="Arial" w:hAnsi="Arial" w:cs="Arial"/>
          <w:noProof/>
        </w:rPr>
        <w:t>[2]</w:t>
      </w:r>
      <w:r>
        <w:rPr>
          <w:rFonts w:ascii="Arial" w:hAnsi="Arial" w:cs="Arial"/>
        </w:rPr>
        <w:fldChar w:fldCharType="end"/>
      </w:r>
      <w:r w:rsidRPr="003E7DE6">
        <w:rPr>
          <w:rFonts w:ascii="Arial" w:hAnsi="Arial" w:cs="Arial"/>
        </w:rPr>
        <w:t>.</w:t>
      </w:r>
    </w:p>
    <w:p w14:paraId="17873E09" w14:textId="77777777" w:rsidR="006E5C22" w:rsidRDefault="006E5C22" w:rsidP="00F21079">
      <w:pPr>
        <w:jc w:val="both"/>
        <w:rPr>
          <w:rFonts w:ascii="Arial" w:hAnsi="Arial" w:cs="Arial"/>
        </w:rPr>
      </w:pPr>
    </w:p>
    <w:p w14:paraId="18BC7E2A" w14:textId="5D09CC76" w:rsidR="006E5C22" w:rsidRDefault="006E5C22" w:rsidP="00F21079">
      <w:pPr>
        <w:jc w:val="both"/>
        <w:rPr>
          <w:rFonts w:ascii="Arial" w:hAnsi="Arial" w:cs="Arial"/>
        </w:rPr>
      </w:pPr>
      <w:r>
        <w:rPr>
          <w:rFonts w:ascii="Arial" w:hAnsi="Arial" w:cs="Arial"/>
          <w:noProof/>
        </w:rPr>
        <w:drawing>
          <wp:inline distT="0" distB="0" distL="0" distR="0" wp14:anchorId="5BF5C4C6" wp14:editId="072F8B46">
            <wp:extent cx="5731510" cy="4967605"/>
            <wp:effectExtent l="0" t="0" r="2540" b="4445"/>
            <wp:docPr id="3377204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720481" name="Picture 337720481"/>
                    <pic:cNvPicPr/>
                  </pic:nvPicPr>
                  <pic:blipFill>
                    <a:blip r:embed="rId12">
                      <a:extLst>
                        <a:ext uri="{28A0092B-C50C-407E-A947-70E740481C1C}">
                          <a14:useLocalDpi xmlns:a14="http://schemas.microsoft.com/office/drawing/2010/main" val="0"/>
                        </a:ext>
                      </a:extLst>
                    </a:blip>
                    <a:stretch>
                      <a:fillRect/>
                    </a:stretch>
                  </pic:blipFill>
                  <pic:spPr>
                    <a:xfrm>
                      <a:off x="0" y="0"/>
                      <a:ext cx="5731510" cy="4967605"/>
                    </a:xfrm>
                    <a:prstGeom prst="rect">
                      <a:avLst/>
                    </a:prstGeom>
                  </pic:spPr>
                </pic:pic>
              </a:graphicData>
            </a:graphic>
          </wp:inline>
        </w:drawing>
      </w:r>
    </w:p>
    <w:p w14:paraId="5B01D5F2" w14:textId="3E878986" w:rsidR="00F21079" w:rsidRPr="006E5C22" w:rsidRDefault="006E5C22" w:rsidP="00F21079">
      <w:pPr>
        <w:rPr>
          <w:rFonts w:ascii="Arial" w:hAnsi="Arial" w:cs="Arial"/>
          <w:b/>
          <w:bCs/>
          <w:i/>
          <w:iCs/>
        </w:rPr>
      </w:pPr>
      <w:r w:rsidRPr="006E5C22">
        <w:rPr>
          <w:rFonts w:ascii="Arial" w:hAnsi="Arial" w:cs="Arial"/>
          <w:b/>
          <w:bCs/>
          <w:i/>
          <w:iCs/>
        </w:rPr>
        <w:t>Figure 2: SIEM Flowchart [17]</w:t>
      </w:r>
    </w:p>
    <w:p w14:paraId="1C56447D" w14:textId="501D98B7" w:rsidR="00F21079" w:rsidRDefault="00F21079" w:rsidP="00F21079">
      <w:pPr>
        <w:pStyle w:val="Heading1"/>
        <w:rPr>
          <w:rFonts w:ascii="Arial" w:hAnsi="Arial" w:cs="Arial"/>
          <w:sz w:val="32"/>
          <w:szCs w:val="32"/>
        </w:rPr>
      </w:pPr>
      <w:bookmarkStart w:id="16" w:name="_Toc230303071"/>
      <w:r w:rsidRPr="00F21079">
        <w:rPr>
          <w:rFonts w:ascii="Arial" w:hAnsi="Arial" w:cs="Arial"/>
          <w:sz w:val="32"/>
          <w:szCs w:val="32"/>
        </w:rPr>
        <w:lastRenderedPageBreak/>
        <w:t>Training and Awareness</w:t>
      </w:r>
      <w:bookmarkEnd w:id="16"/>
    </w:p>
    <w:p w14:paraId="7F484AD6" w14:textId="74DF6CC4" w:rsidR="00F21079" w:rsidRPr="003E7DE6" w:rsidRDefault="00F21079" w:rsidP="00F21079">
      <w:pPr>
        <w:jc w:val="both"/>
        <w:rPr>
          <w:rFonts w:ascii="Arial" w:hAnsi="Arial" w:cs="Arial"/>
          <w:color w:val="EE0000"/>
        </w:rPr>
      </w:pPr>
      <w:r w:rsidRPr="003E7DE6">
        <w:rPr>
          <w:rFonts w:ascii="Arial" w:hAnsi="Arial" w:cs="Arial"/>
        </w:rPr>
        <w:t>A continuous training and awareness programme is essential to reduce human error which remains one of the most significant cybersecurity vulnerabilities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{"citationItems":[{"id":"ITEM-1","itemData":{"author":[{"dropping-particle":"","family":"IBM","given":"","non-dropping-particle":"","parse-names":false,"suffix":""}],"container-title":"IBM","id":"ITEM-1","issued":{"date-parts":[["0"]]},"title":"CISOs list human error as their top cybersecurity risk [online]","type":"article-magazine"},"uris":["http://www.mendeley.com/documents/?uuid=efb7588e-5660-3f25-b03d-ed48081fbee8"]}],"mendeley":{"formattedCitation":"[15]","plainTextFormattedCitation":"[15]","previouslyFormattedCitation":"[16]"},"properties":{"noteIndex":0},"schema":"https://github.com/citation-style-language/schema/raw/master/csl-citation.json"}</w:instrText>
      </w:r>
      <w:r>
        <w:rPr>
          <w:rFonts w:ascii="Arial" w:hAnsi="Arial" w:cs="Arial"/>
        </w:rPr>
        <w:fldChar w:fldCharType="separate"/>
      </w:r>
      <w:r w:rsidRPr="00F21079">
        <w:rPr>
          <w:rFonts w:ascii="Arial" w:hAnsi="Arial" w:cs="Arial"/>
          <w:noProof/>
        </w:rPr>
        <w:t>[15]</w:t>
      </w:r>
      <w:r>
        <w:rPr>
          <w:rFonts w:ascii="Arial" w:hAnsi="Arial" w:cs="Arial"/>
        </w:rPr>
        <w:fldChar w:fldCharType="end"/>
      </w:r>
      <w:r w:rsidRPr="003E7DE6">
        <w:rPr>
          <w:rFonts w:ascii="Arial" w:hAnsi="Arial" w:cs="Arial"/>
        </w:rPr>
        <w:t xml:space="preserve">. VTAM should implement a security awareness platform such as </w:t>
      </w:r>
      <w:r w:rsidR="00660FCC">
        <w:rPr>
          <w:rFonts w:ascii="Arial" w:hAnsi="Arial" w:cs="Arial"/>
        </w:rPr>
        <w:t>K</w:t>
      </w:r>
      <w:r w:rsidRPr="003E7DE6">
        <w:rPr>
          <w:rFonts w:ascii="Arial" w:hAnsi="Arial" w:cs="Arial"/>
        </w:rPr>
        <w:t>now</w:t>
      </w:r>
      <w:r w:rsidR="00660FCC">
        <w:rPr>
          <w:rFonts w:ascii="Arial" w:hAnsi="Arial" w:cs="Arial"/>
        </w:rPr>
        <w:t>B</w:t>
      </w:r>
      <w:r w:rsidRPr="003E7DE6">
        <w:rPr>
          <w:rFonts w:ascii="Arial" w:hAnsi="Arial" w:cs="Arial"/>
        </w:rPr>
        <w:t xml:space="preserve">e4 </w:t>
      </w:r>
      <w:r>
        <w:rPr>
          <w:rFonts w:ascii="Arial" w:hAnsi="Arial" w:cs="Arial"/>
        </w:rPr>
        <w:fldChar w:fldCharType="begin" w:fldLock="1"/>
      </w:r>
      <w:r>
        <w:rPr>
          <w:rFonts w:ascii="Arial" w:hAnsi="Arial" w:cs="Arial"/>
        </w:rPr>
        <w:instrText>ADDIN CSL_CITATION {"citationItems":[{"id":"ITEM-1","itemData":{"URL":"https://www.knowbe4.com/compare/leading-security-awareness-training#Criticalcapabilities","author":[{"dropping-particle":"","family":"KnowBe4","given":"","non-dropping-particle":"","parse-names":false,"suffix":""}],"container-title":"KnowBe4","id":"ITEM-1","issued":{"date-parts":[["0"]]},"title":"Best Security Awareness Training Products","type":"webpage"},"uris":["http://www.mendeley.com/documents/?uuid=90f7c734-848f-37bd-8864-1a26b111207e"]}],"mendeley":{"formattedCitation":"[16]","plainTextFormattedCitation":"[16]","previouslyFormattedCitation":"[17]"},"properties":{"noteIndex":0},"schema":"https://github.com/citation-style-language/schema/raw/master/csl-citation.json"}</w:instrText>
      </w:r>
      <w:r>
        <w:rPr>
          <w:rFonts w:ascii="Arial" w:hAnsi="Arial" w:cs="Arial"/>
        </w:rPr>
        <w:fldChar w:fldCharType="separate"/>
      </w:r>
      <w:r w:rsidRPr="00F21079">
        <w:rPr>
          <w:rFonts w:ascii="Arial" w:hAnsi="Arial" w:cs="Arial"/>
          <w:noProof/>
        </w:rPr>
        <w:t>[16]</w:t>
      </w:r>
      <w:r>
        <w:rPr>
          <w:rFonts w:ascii="Arial" w:hAnsi="Arial" w:cs="Arial"/>
        </w:rPr>
        <w:fldChar w:fldCharType="end"/>
      </w:r>
      <w:r>
        <w:rPr>
          <w:rFonts w:ascii="Arial" w:hAnsi="Arial" w:cs="Arial"/>
        </w:rPr>
        <w:t xml:space="preserve"> </w:t>
      </w:r>
      <w:r w:rsidRPr="003E7DE6">
        <w:rPr>
          <w:rFonts w:ascii="Arial" w:hAnsi="Arial" w:cs="Arial"/>
        </w:rPr>
        <w:t>to deliver simulated phishing and vishing attacks, helping employees recognise and report suspicious activity</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URL":"https://www.knowbe4.com/compare/leading-security-awareness-training#Criticalcapabilities","author":[{"dropping-particle":"","family":"KnowBe4","given":"","non-dropping-particle":"","parse-names":false,"suffix":""}],"container-title":"KnowBe4","id":"ITEM-1","issued":{"date-parts":[["0"]]},"title":"Best Security Awareness Training Products","type":"webpage"},"uris":["http://www.mendeley.com/documents/?uuid=90f7c734-848f-37bd-8864-1a26b111207e"]}],"mendeley":{"formattedCitation":"[16]","plainTextFormattedCitation":"[16]","previouslyFormattedCitation":"[17]"},"properties":{"noteIndex":0},"schema":"https://github.com/citation-style-language/schema/raw/master/csl-citation.json"}</w:instrText>
      </w:r>
      <w:r>
        <w:rPr>
          <w:rFonts w:ascii="Arial" w:hAnsi="Arial" w:cs="Arial"/>
        </w:rPr>
        <w:fldChar w:fldCharType="separate"/>
      </w:r>
      <w:r w:rsidRPr="00F21079">
        <w:rPr>
          <w:rFonts w:ascii="Arial" w:hAnsi="Arial" w:cs="Arial"/>
          <w:noProof/>
        </w:rPr>
        <w:t>[16]</w:t>
      </w:r>
      <w:r>
        <w:rPr>
          <w:rFonts w:ascii="Arial" w:hAnsi="Arial" w:cs="Arial"/>
        </w:rPr>
        <w:fldChar w:fldCharType="end"/>
      </w:r>
      <w:r>
        <w:rPr>
          <w:rFonts w:ascii="Arial" w:hAnsi="Arial" w:cs="Arial"/>
        </w:rPr>
        <w:t xml:space="preserve"> </w:t>
      </w:r>
      <w:r w:rsidRPr="003E7DE6">
        <w:rPr>
          <w:rFonts w:ascii="Arial" w:hAnsi="Arial" w:cs="Arial"/>
        </w:rPr>
        <w:t xml:space="preserve">. Staff who fail simulations are automatically enrolled in targeted training modules ensuring improvement without stigma. Training should be role based with finance and HR teams receiving additional focus given their access to sensitive data. Quarterly training refreshers, examples of real-world incident case studies and clear reporting routes will embed security awareness as an organisational value rather than a compliance exercise. </w:t>
      </w:r>
    </w:p>
    <w:p w14:paraId="3A6AE465" w14:textId="77777777" w:rsidR="00F21079" w:rsidRPr="00F21079" w:rsidRDefault="00F21079" w:rsidP="00F21079"/>
    <w:p w14:paraId="1AFD6830" w14:textId="19B3705B" w:rsidR="00F21079" w:rsidRDefault="00F21079" w:rsidP="00F21079">
      <w:pPr>
        <w:pStyle w:val="Heading1"/>
        <w:rPr>
          <w:rFonts w:ascii="Arial" w:hAnsi="Arial" w:cs="Arial"/>
          <w:sz w:val="32"/>
          <w:szCs w:val="32"/>
        </w:rPr>
      </w:pPr>
      <w:bookmarkStart w:id="17" w:name="_Toc230303072"/>
      <w:r w:rsidRPr="00F21079">
        <w:rPr>
          <w:rFonts w:ascii="Arial" w:hAnsi="Arial" w:cs="Arial"/>
          <w:sz w:val="32"/>
          <w:szCs w:val="32"/>
        </w:rPr>
        <w:t>Conclusion</w:t>
      </w:r>
      <w:bookmarkEnd w:id="17"/>
    </w:p>
    <w:p w14:paraId="6332F781" w14:textId="6AABE890" w:rsidR="00F21079" w:rsidRDefault="00F21079" w:rsidP="00F21079">
      <w:pPr>
        <w:jc w:val="both"/>
        <w:rPr>
          <w:rFonts w:ascii="Arial" w:hAnsi="Arial" w:cs="Arial"/>
        </w:rPr>
      </w:pPr>
      <w:r w:rsidRPr="003E7DE6">
        <w:rPr>
          <w:rFonts w:ascii="Arial" w:hAnsi="Arial" w:cs="Arial"/>
        </w:rPr>
        <w:t>The threat landscape facing financial service organisations like VTAM is increasingly complex,</w:t>
      </w:r>
      <w:r w:rsidR="00660FCC">
        <w:rPr>
          <w:rFonts w:ascii="Arial" w:hAnsi="Arial" w:cs="Arial"/>
        </w:rPr>
        <w:t xml:space="preserve"> </w:t>
      </w:r>
      <w:r w:rsidR="00357442">
        <w:rPr>
          <w:rFonts w:ascii="Arial" w:hAnsi="Arial" w:cs="Arial"/>
        </w:rPr>
        <w:t>driven by</w:t>
      </w:r>
      <w:r w:rsidRPr="003E7DE6">
        <w:rPr>
          <w:rFonts w:ascii="Arial" w:hAnsi="Arial" w:cs="Arial"/>
        </w:rPr>
        <w:t xml:space="preserve"> ransomware-as-a-service, AI powered social engineering, supply chain vulnerabilities and risks </w:t>
      </w:r>
      <w:r w:rsidR="00357442">
        <w:rPr>
          <w:rFonts w:ascii="Arial" w:hAnsi="Arial" w:cs="Arial"/>
        </w:rPr>
        <w:t>associated with</w:t>
      </w:r>
      <w:r w:rsidRPr="003E7DE6">
        <w:rPr>
          <w:rFonts w:ascii="Arial" w:hAnsi="Arial" w:cs="Arial"/>
        </w:rPr>
        <w:t xml:space="preserve"> hybrid working and cloud adoption. A Zero Trust framework supported by NIST CSF and ISO 27001 standards, provides a robust and structured </w:t>
      </w:r>
      <w:r w:rsidR="00357442">
        <w:rPr>
          <w:rFonts w:ascii="Arial" w:hAnsi="Arial" w:cs="Arial"/>
        </w:rPr>
        <w:t>approach</w:t>
      </w:r>
      <w:r w:rsidRPr="003E7DE6">
        <w:rPr>
          <w:rFonts w:ascii="Arial" w:hAnsi="Arial" w:cs="Arial"/>
        </w:rPr>
        <w:t xml:space="preserve"> to</w:t>
      </w:r>
      <w:r w:rsidR="00357442">
        <w:rPr>
          <w:rFonts w:ascii="Arial" w:hAnsi="Arial" w:cs="Arial"/>
        </w:rPr>
        <w:t xml:space="preserve"> addressing</w:t>
      </w:r>
      <w:r w:rsidRPr="003E7DE6">
        <w:rPr>
          <w:rFonts w:ascii="Arial" w:hAnsi="Arial" w:cs="Arial"/>
        </w:rPr>
        <w:t xml:space="preserve"> these challenges by </w:t>
      </w:r>
      <w:r w:rsidR="00357442">
        <w:rPr>
          <w:rFonts w:ascii="Arial" w:hAnsi="Arial" w:cs="Arial"/>
        </w:rPr>
        <w:t>removing</w:t>
      </w:r>
      <w:r w:rsidRPr="003E7DE6">
        <w:rPr>
          <w:rFonts w:ascii="Arial" w:hAnsi="Arial" w:cs="Arial"/>
        </w:rPr>
        <w:t xml:space="preserve"> implicit trust and continuously verifying users, device</w:t>
      </w:r>
      <w:r w:rsidR="00660FCC">
        <w:rPr>
          <w:rFonts w:ascii="Arial" w:hAnsi="Arial" w:cs="Arial"/>
        </w:rPr>
        <w:t>s</w:t>
      </w:r>
      <w:r w:rsidRPr="003E7DE6">
        <w:rPr>
          <w:rFonts w:ascii="Arial" w:hAnsi="Arial" w:cs="Arial"/>
        </w:rPr>
        <w:t xml:space="preserve"> and systems. Combined with technical controls such as SIEM, SOAR, CSPM and EDR, VTAM can significantly reduce its attack surface and improve resilience against both current and emerging threats. Cybersecurity is not a one-time implementation but an ongoing commitment, and needs regular review, staff engagement, and adap</w:t>
      </w:r>
      <w:r w:rsidR="00660FCC">
        <w:rPr>
          <w:rFonts w:ascii="Arial" w:hAnsi="Arial" w:cs="Arial"/>
        </w:rPr>
        <w:t>ta</w:t>
      </w:r>
      <w:r w:rsidRPr="003E7DE6">
        <w:rPr>
          <w:rFonts w:ascii="Arial" w:hAnsi="Arial" w:cs="Arial"/>
        </w:rPr>
        <w:t xml:space="preserve">tion to new threats will be essential to maintaining a secure and trustworthy organisation. </w:t>
      </w:r>
    </w:p>
    <w:p w14:paraId="7FF2750C" w14:textId="77777777" w:rsidR="00F21079" w:rsidRDefault="00F21079" w:rsidP="00F21079"/>
    <w:p w14:paraId="78E25248" w14:textId="77777777" w:rsidR="006A6DFB" w:rsidRDefault="006A6DFB" w:rsidP="00F21079"/>
    <w:p w14:paraId="26C6D850" w14:textId="77777777" w:rsidR="006A6DFB" w:rsidRDefault="006A6DFB" w:rsidP="00F21079"/>
    <w:p w14:paraId="47424CC7" w14:textId="77777777" w:rsidR="006A6DFB" w:rsidRDefault="006A6DFB" w:rsidP="00F21079"/>
    <w:p w14:paraId="2968B153" w14:textId="77777777" w:rsidR="006A6DFB" w:rsidRDefault="006A6DFB" w:rsidP="00F21079"/>
    <w:p w14:paraId="2F5057EC" w14:textId="77777777" w:rsidR="006A6DFB" w:rsidRDefault="006A6DFB" w:rsidP="00F21079"/>
    <w:p w14:paraId="4BE232F7" w14:textId="77777777" w:rsidR="006A6DFB" w:rsidRDefault="006A6DFB" w:rsidP="00F21079"/>
    <w:p w14:paraId="2192ECF9" w14:textId="77777777" w:rsidR="006A6DFB" w:rsidRDefault="006A6DFB" w:rsidP="00F21079"/>
    <w:p w14:paraId="5B768C7C" w14:textId="77777777" w:rsidR="006A6DFB" w:rsidRPr="00F21079" w:rsidRDefault="006A6DFB" w:rsidP="00F21079"/>
    <w:p w14:paraId="137F8DA7" w14:textId="55774051" w:rsidR="00F21079" w:rsidRDefault="00F21079" w:rsidP="00F21079">
      <w:pPr>
        <w:pStyle w:val="Heading1"/>
        <w:rPr>
          <w:rFonts w:ascii="Arial" w:hAnsi="Arial" w:cs="Arial"/>
          <w:sz w:val="32"/>
          <w:szCs w:val="32"/>
        </w:rPr>
      </w:pPr>
      <w:bookmarkStart w:id="18" w:name="_Toc230303073"/>
      <w:r w:rsidRPr="00F21079">
        <w:rPr>
          <w:rFonts w:ascii="Arial" w:hAnsi="Arial" w:cs="Arial"/>
          <w:sz w:val="32"/>
          <w:szCs w:val="32"/>
        </w:rPr>
        <w:lastRenderedPageBreak/>
        <w:t>References</w:t>
      </w:r>
      <w:bookmarkEnd w:id="18"/>
    </w:p>
    <w:p w14:paraId="45163258" w14:textId="2F364841"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fldChar w:fldCharType="begin" w:fldLock="1"/>
      </w:r>
      <w:r>
        <w:instrText xml:space="preserve">ADDIN Mendeley Bibliography CSL_BIBLIOGRAPHY </w:instrText>
      </w:r>
      <w:r>
        <w:fldChar w:fldCharType="separate"/>
      </w:r>
      <w:r w:rsidRPr="00F21079">
        <w:rPr>
          <w:rFonts w:ascii="Aptos" w:hAnsi="Aptos" w:cs="Times New Roman"/>
          <w:noProof/>
          <w:kern w:val="0"/>
        </w:rPr>
        <w:t>[1]</w:t>
      </w:r>
      <w:r w:rsidRPr="00F21079">
        <w:rPr>
          <w:rFonts w:ascii="Aptos" w:hAnsi="Aptos" w:cs="Times New Roman"/>
          <w:noProof/>
          <w:kern w:val="0"/>
        </w:rPr>
        <w:tab/>
        <w:t>CISA, “Defining Insider Threats,” CISA. [Online]. Available: https://www.cisa.gov/topics/physical-security/insider-threat-mitigation/defining-insider-threats</w:t>
      </w:r>
    </w:p>
    <w:p w14:paraId="7F962C9C"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[2]</w:t>
      </w:r>
      <w:r w:rsidRPr="00F21079">
        <w:rPr>
          <w:rFonts w:ascii="Aptos" w:hAnsi="Aptos" w:cs="Times New Roman"/>
          <w:noProof/>
          <w:kern w:val="0"/>
        </w:rPr>
        <w:tab/>
        <w:t>K. Baker, “What is Ransomware as a Service (RaaS)? | CrowdStrike.” Accessed: May 20, 2026. [Online]. Available: https://www.crowdstrike.com/en-us/cybersecurity-101/ransomware/ransomware-as-a-service-raas/</w:t>
      </w:r>
    </w:p>
    <w:p w14:paraId="3F3A6A49" w14:textId="10D8838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[3]</w:t>
      </w:r>
      <w:r w:rsidRPr="00F21079">
        <w:rPr>
          <w:rFonts w:ascii="Aptos" w:hAnsi="Aptos" w:cs="Times New Roman"/>
          <w:noProof/>
          <w:kern w:val="0"/>
        </w:rPr>
        <w:tab/>
        <w:t xml:space="preserve">S. Tummalapenta, “How a new wave of deepfake-driven cyber crime targets businesses [online],” </w:t>
      </w:r>
      <w:r w:rsidRPr="00F21079">
        <w:rPr>
          <w:rFonts w:ascii="Aptos" w:hAnsi="Aptos" w:cs="Times New Roman"/>
          <w:i/>
          <w:iCs/>
          <w:noProof/>
          <w:kern w:val="0"/>
        </w:rPr>
        <w:t>IBM</w:t>
      </w:r>
      <w:r w:rsidRPr="00F21079">
        <w:rPr>
          <w:rFonts w:ascii="Aptos" w:hAnsi="Aptos" w:cs="Times New Roman"/>
          <w:noProof/>
          <w:kern w:val="0"/>
        </w:rPr>
        <w:t xml:space="preserve">, Jan. . [Online]. </w:t>
      </w:r>
      <w:r w:rsidR="00660FCC">
        <w:rPr>
          <w:rFonts w:ascii="Aptos" w:hAnsi="Aptos" w:cs="Times New Roman"/>
          <w:noProof/>
          <w:kern w:val="0"/>
        </w:rPr>
        <w:t xml:space="preserve">2024 </w:t>
      </w:r>
      <w:r w:rsidRPr="00F21079">
        <w:rPr>
          <w:rFonts w:ascii="Aptos" w:hAnsi="Aptos" w:cs="Times New Roman"/>
          <w:noProof/>
          <w:kern w:val="0"/>
        </w:rPr>
        <w:t>Available: https://www.ibm.com/think/insights/new-wave-deepfake-cybercrime</w:t>
      </w:r>
    </w:p>
    <w:p w14:paraId="3F0C580C"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[4]</w:t>
      </w:r>
      <w:r w:rsidRPr="00F21079">
        <w:rPr>
          <w:rFonts w:ascii="Aptos" w:hAnsi="Aptos" w:cs="Times New Roman"/>
          <w:noProof/>
          <w:kern w:val="0"/>
        </w:rPr>
        <w:tab/>
        <w:t>J. F. Miller, “Supply Chain Attack Framework and Attack Patterns,” vol. 7013, no. December 2013.</w:t>
      </w:r>
    </w:p>
    <w:p w14:paraId="579AA2EB"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[5]</w:t>
      </w:r>
      <w:r w:rsidRPr="00F21079">
        <w:rPr>
          <w:rFonts w:ascii="Aptos" w:hAnsi="Aptos" w:cs="Times New Roman"/>
          <w:noProof/>
          <w:kern w:val="0"/>
        </w:rPr>
        <w:tab/>
        <w:t xml:space="preserve">Miniakshi and T. Kumar, </w:t>
      </w:r>
      <w:r w:rsidRPr="00F21079">
        <w:rPr>
          <w:rFonts w:ascii="Aptos" w:hAnsi="Aptos" w:cs="Times New Roman"/>
          <w:i/>
          <w:iCs/>
          <w:noProof/>
          <w:kern w:val="0"/>
        </w:rPr>
        <w:t>Risk-Based Approach to Secure Cloud Migration</w:t>
      </w:r>
      <w:r w:rsidRPr="00F21079">
        <w:rPr>
          <w:rFonts w:ascii="Aptos" w:hAnsi="Aptos" w:cs="Times New Roman"/>
          <w:noProof/>
          <w:kern w:val="0"/>
        </w:rPr>
        <w:t>. IGI Global Scientific Publishing, 2025.</w:t>
      </w:r>
    </w:p>
    <w:p w14:paraId="6268F40D"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[6]</w:t>
      </w:r>
      <w:r w:rsidRPr="00F21079">
        <w:rPr>
          <w:rFonts w:ascii="Aptos" w:hAnsi="Aptos" w:cs="Times New Roman"/>
          <w:noProof/>
          <w:kern w:val="0"/>
        </w:rPr>
        <w:tab/>
        <w:t xml:space="preserve">S. Rose, O. Borchert, S. Mitchell, and S. Connelly, “[NIST SP 800-207] Zero Trust Architecture Technology, National Institute of Standards,” </w:t>
      </w:r>
      <w:r w:rsidRPr="00F21079">
        <w:rPr>
          <w:rFonts w:ascii="Aptos" w:hAnsi="Aptos" w:cs="Times New Roman"/>
          <w:i/>
          <w:iCs/>
          <w:noProof/>
          <w:kern w:val="0"/>
        </w:rPr>
        <w:t>Nist</w:t>
      </w:r>
      <w:r w:rsidRPr="00F21079">
        <w:rPr>
          <w:rFonts w:ascii="Aptos" w:hAnsi="Aptos" w:cs="Times New Roman"/>
          <w:noProof/>
          <w:kern w:val="0"/>
        </w:rPr>
        <w:t>, 2020, [Online]. Available: https://nvlpubs.nist.gov/nistpubs/SpecialPublications/NIST.SP.800-207-draft2.pdf</w:t>
      </w:r>
    </w:p>
    <w:p w14:paraId="6F677907"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[7]</w:t>
      </w:r>
      <w:r w:rsidRPr="00F21079">
        <w:rPr>
          <w:rFonts w:ascii="Aptos" w:hAnsi="Aptos" w:cs="Times New Roman"/>
          <w:noProof/>
          <w:kern w:val="0"/>
        </w:rPr>
        <w:tab/>
        <w:t>Microsoft Support, “What is: Multifactor Authentication,” Microsoft. [Online]. Available: https://support.microsoft.com/en-us/security/what-is-multifactor-authentication</w:t>
      </w:r>
    </w:p>
    <w:p w14:paraId="6F9AE75E"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[8]</w:t>
      </w:r>
      <w:r w:rsidRPr="00F21079">
        <w:rPr>
          <w:rFonts w:ascii="Aptos" w:hAnsi="Aptos" w:cs="Times New Roman"/>
          <w:noProof/>
          <w:kern w:val="0"/>
        </w:rPr>
        <w:tab/>
        <w:t>Cisa, “The Journey to Zero Trust: Microsegmentation in Zero Trust Part One: Introduction and Planning,” 2025.</w:t>
      </w:r>
    </w:p>
    <w:p w14:paraId="24AAFBA8"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[9]</w:t>
      </w:r>
      <w:r w:rsidRPr="00F21079">
        <w:rPr>
          <w:rFonts w:ascii="Aptos" w:hAnsi="Aptos" w:cs="Times New Roman"/>
          <w:noProof/>
          <w:kern w:val="0"/>
        </w:rPr>
        <w:tab/>
        <w:t>Microsoft Security, “What is data loss prevention (DLP)?,” Microsoft Security. [Online]. Available: https://www.microsoft.com/en-us/security/business/security-101/what-is-data-loss-prevention-dlp</w:t>
      </w:r>
    </w:p>
    <w:p w14:paraId="4E853545" w14:textId="28691944"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[10]</w:t>
      </w:r>
      <w:r w:rsidRPr="00F21079">
        <w:rPr>
          <w:rFonts w:ascii="Aptos" w:hAnsi="Aptos" w:cs="Times New Roman"/>
          <w:noProof/>
          <w:kern w:val="0"/>
        </w:rPr>
        <w:tab/>
        <w:t>International Organization for Standardization, “ISO/IEC 27001:2022 Information Security Management Systems,” 20</w:t>
      </w:r>
      <w:r w:rsidR="00660FCC">
        <w:rPr>
          <w:rFonts w:ascii="Aptos" w:hAnsi="Aptos" w:cs="Times New Roman"/>
          <w:noProof/>
          <w:kern w:val="0"/>
        </w:rPr>
        <w:t>2</w:t>
      </w:r>
      <w:r w:rsidRPr="00F21079">
        <w:rPr>
          <w:rFonts w:ascii="Aptos" w:hAnsi="Aptos" w:cs="Times New Roman"/>
          <w:noProof/>
          <w:kern w:val="0"/>
        </w:rPr>
        <w:t>2. [Online]. Available: iso.org</w:t>
      </w:r>
    </w:p>
    <w:p w14:paraId="67597EB7"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[11]</w:t>
      </w:r>
      <w:r w:rsidRPr="00F21079">
        <w:rPr>
          <w:rFonts w:ascii="Aptos" w:hAnsi="Aptos" w:cs="Times New Roman"/>
          <w:noProof/>
          <w:kern w:val="0"/>
        </w:rPr>
        <w:tab/>
        <w:t xml:space="preserve">Microsoft Learn, “What is Cloud Security Posture Management (CSPM) [Online],” </w:t>
      </w:r>
      <w:r w:rsidRPr="00F21079">
        <w:rPr>
          <w:rFonts w:ascii="Aptos" w:hAnsi="Aptos" w:cs="Times New Roman"/>
          <w:i/>
          <w:iCs/>
          <w:noProof/>
          <w:kern w:val="0"/>
        </w:rPr>
        <w:t>Microsoft Def. Cloud</w:t>
      </w:r>
      <w:r w:rsidRPr="00F21079">
        <w:rPr>
          <w:rFonts w:ascii="Aptos" w:hAnsi="Aptos" w:cs="Times New Roman"/>
          <w:noProof/>
          <w:kern w:val="0"/>
        </w:rPr>
        <w:t>, [Online]. Available: https://learn.microsoft.com/en-us/azure/defender-for-cloud/concept-cloud-security-posture-management</w:t>
      </w:r>
    </w:p>
    <w:p w14:paraId="6F5F2CD6"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[12]</w:t>
      </w:r>
      <w:r w:rsidRPr="00F21079">
        <w:rPr>
          <w:rFonts w:ascii="Aptos" w:hAnsi="Aptos" w:cs="Times New Roman"/>
          <w:noProof/>
          <w:kern w:val="0"/>
        </w:rPr>
        <w:tab/>
        <w:t>CISA, “Information and Communications Technology Supply Chain Risk Management,” CISA. [Online]. Available: https://www.cisa.gov/information-and-communications-technology-supply-chain-risk-management</w:t>
      </w:r>
    </w:p>
    <w:p w14:paraId="3147FF56"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[13]</w:t>
      </w:r>
      <w:r w:rsidRPr="00F21079">
        <w:rPr>
          <w:rFonts w:ascii="Aptos" w:hAnsi="Aptos" w:cs="Times New Roman"/>
          <w:noProof/>
          <w:kern w:val="0"/>
        </w:rPr>
        <w:tab/>
        <w:t>NIST, “NIST Special Publication 800-161 - Supply Chain Risk Management Practices for Federal Information Systems and Organizations,” 2022.</w:t>
      </w:r>
    </w:p>
    <w:p w14:paraId="321B47CE"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[14]</w:t>
      </w:r>
      <w:r w:rsidRPr="00F21079">
        <w:rPr>
          <w:rFonts w:ascii="Aptos" w:hAnsi="Aptos" w:cs="Times New Roman"/>
          <w:noProof/>
          <w:kern w:val="0"/>
        </w:rPr>
        <w:tab/>
        <w:t xml:space="preserve">P. T. Mobley, “SIEM/SOAR,” in </w:t>
      </w:r>
      <w:r w:rsidRPr="00F21079">
        <w:rPr>
          <w:rFonts w:ascii="Aptos" w:hAnsi="Aptos" w:cs="Times New Roman"/>
          <w:i/>
          <w:iCs/>
          <w:noProof/>
          <w:kern w:val="0"/>
        </w:rPr>
        <w:t>An Introduction to Cybersecurity and Digital Investigations</w:t>
      </w:r>
      <w:r w:rsidRPr="00F21079">
        <w:rPr>
          <w:rFonts w:ascii="Aptos" w:hAnsi="Aptos" w:cs="Times New Roman"/>
          <w:noProof/>
          <w:kern w:val="0"/>
        </w:rPr>
        <w:t>, Christian Fiath Publishing, 2026, ch. 14.</w:t>
      </w:r>
    </w:p>
    <w:p w14:paraId="5B9E8133"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[15]</w:t>
      </w:r>
      <w:r w:rsidRPr="00F21079">
        <w:rPr>
          <w:rFonts w:ascii="Aptos" w:hAnsi="Aptos" w:cs="Times New Roman"/>
          <w:noProof/>
          <w:kern w:val="0"/>
        </w:rPr>
        <w:tab/>
        <w:t xml:space="preserve">IBM, “CISOs list human error as their top cybersecurity risk [online],” </w:t>
      </w:r>
      <w:r w:rsidRPr="00F21079">
        <w:rPr>
          <w:rFonts w:ascii="Aptos" w:hAnsi="Aptos" w:cs="Times New Roman"/>
          <w:i/>
          <w:iCs/>
          <w:noProof/>
          <w:kern w:val="0"/>
        </w:rPr>
        <w:t>IBM</w:t>
      </w:r>
      <w:r w:rsidRPr="00F21079">
        <w:rPr>
          <w:rFonts w:ascii="Aptos" w:hAnsi="Aptos" w:cs="Times New Roman"/>
          <w:noProof/>
          <w:kern w:val="0"/>
        </w:rPr>
        <w:t xml:space="preserve">. </w:t>
      </w:r>
      <w:r w:rsidRPr="00F21079">
        <w:rPr>
          <w:rFonts w:ascii="Aptos" w:hAnsi="Aptos" w:cs="Times New Roman"/>
          <w:noProof/>
          <w:kern w:val="0"/>
        </w:rPr>
        <w:lastRenderedPageBreak/>
        <w:t>[Online]. Available: https://www.ibm.com/think/insights/cisos-list-human-error-top-cybersecurity-risk</w:t>
      </w:r>
    </w:p>
    <w:p w14:paraId="6ACF79C9" w14:textId="77777777" w:rsid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[16]</w:t>
      </w:r>
      <w:r w:rsidRPr="00F21079">
        <w:rPr>
          <w:rFonts w:ascii="Aptos" w:hAnsi="Aptos" w:cs="Times New Roman"/>
          <w:noProof/>
          <w:kern w:val="0"/>
        </w:rPr>
        <w:tab/>
        <w:t>KnowBe4, “Best Security Awareness Training Products,” KnowBe4. [Online]. Available: https://www.knowbe4.com/compare/leading-security-awareness-training#Criticalcapabilities</w:t>
      </w:r>
    </w:p>
    <w:p w14:paraId="1F9B24A0" w14:textId="557715A0" w:rsidR="006E5C22" w:rsidRPr="00F21079" w:rsidRDefault="006E5C22" w:rsidP="00F21079">
      <w:pPr>
        <w:widowControl w:val="0"/>
        <w:autoSpaceDE w:val="0"/>
        <w:autoSpaceDN w:val="0"/>
        <w:adjustRightInd w:val="0"/>
        <w:spacing w:line="240" w:lineRule="auto"/>
        <w:ind w:left="640" w:hanging="640"/>
        <w:rPr>
          <w:rFonts w:ascii="Aptos" w:hAnsi="Aptos"/>
          <w:noProof/>
        </w:rPr>
      </w:pPr>
      <w:r>
        <w:rPr>
          <w:rFonts w:ascii="Aptos" w:hAnsi="Aptos" w:cs="Times New Roman"/>
          <w:noProof/>
          <w:kern w:val="0"/>
        </w:rPr>
        <w:t xml:space="preserve">[17] </w:t>
      </w:r>
      <w:r>
        <w:rPr>
          <w:rFonts w:ascii="Aptos" w:hAnsi="Aptos" w:cs="Times New Roman"/>
          <w:noProof/>
          <w:kern w:val="0"/>
        </w:rPr>
        <w:tab/>
        <w:t>S.Tchuinte, "Understanding the SIEM Process Flow Diagram",Linkedin [Online], October 2025</w:t>
      </w:r>
    </w:p>
    <w:p w14:paraId="3B3E835E" w14:textId="5D1CA6C2" w:rsidR="00F21079" w:rsidRPr="00F21079" w:rsidRDefault="00F21079" w:rsidP="00F21079">
      <w:r>
        <w:fldChar w:fldCharType="end"/>
      </w:r>
    </w:p>
    <w:p w14:paraId="0C2D1BCE" w14:textId="48A0CEAB" w:rsidR="00F21079" w:rsidRDefault="00F21079" w:rsidP="00F21079">
      <w:pPr>
        <w:pStyle w:val="Heading1"/>
        <w:rPr>
          <w:rFonts w:ascii="Arial" w:hAnsi="Arial" w:cs="Arial"/>
          <w:sz w:val="32"/>
          <w:szCs w:val="32"/>
        </w:rPr>
      </w:pPr>
      <w:bookmarkStart w:id="19" w:name="_Toc230303074"/>
      <w:r w:rsidRPr="00F21079">
        <w:rPr>
          <w:rFonts w:ascii="Arial" w:hAnsi="Arial" w:cs="Arial"/>
          <w:sz w:val="32"/>
          <w:szCs w:val="32"/>
        </w:rPr>
        <w:t>Appendix</w:t>
      </w:r>
      <w:bookmarkEnd w:id="19"/>
    </w:p>
    <w:p w14:paraId="2AD95CA3" w14:textId="6EF8DFF1" w:rsidR="00F21079" w:rsidRDefault="00F21079" w:rsidP="00F21079">
      <w:pPr>
        <w:pStyle w:val="Heading2"/>
        <w:rPr>
          <w:sz w:val="28"/>
          <w:szCs w:val="28"/>
        </w:rPr>
      </w:pPr>
      <w:bookmarkStart w:id="20" w:name="_Toc230303075"/>
      <w:r w:rsidRPr="00F21079">
        <w:rPr>
          <w:sz w:val="28"/>
          <w:szCs w:val="28"/>
        </w:rPr>
        <w:t>Presentation</w:t>
      </w:r>
      <w:bookmarkEnd w:id="20"/>
    </w:p>
    <w:p w14:paraId="332913A2" w14:textId="0E07D0BD" w:rsidR="00D54D5A" w:rsidRPr="00D54D5A" w:rsidRDefault="00D54D5A" w:rsidP="00D54D5A"/>
    <w:p w14:paraId="5C01823D" w14:textId="5B9A2FB3" w:rsidR="00D54D5A" w:rsidRPr="00D54D5A" w:rsidRDefault="00D54D5A" w:rsidP="00D54D5A">
      <w:pPr>
        <w:pStyle w:val="Heading3"/>
      </w:pPr>
      <w:bookmarkStart w:id="21" w:name="_Toc230303076"/>
      <w:r w:rsidRPr="00D54D5A">
        <w:rPr>
          <w:noProof/>
        </w:rPr>
        <w:drawing>
          <wp:anchor distT="0" distB="0" distL="114300" distR="114300" simplePos="0" relativeHeight="251664384" behindDoc="0" locked="0" layoutInCell="1" allowOverlap="1" wp14:anchorId="5520FA45" wp14:editId="02B7E440">
            <wp:simplePos x="0" y="0"/>
            <wp:positionH relativeFrom="margin">
              <wp:align>left</wp:align>
            </wp:positionH>
            <wp:positionV relativeFrom="paragraph">
              <wp:posOffset>250190</wp:posOffset>
            </wp:positionV>
            <wp:extent cx="5731510" cy="3223895"/>
            <wp:effectExtent l="0" t="0" r="2540" b="0"/>
            <wp:wrapTopAndBottom/>
            <wp:docPr id="325949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49025"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t>Slide 1</w:t>
      </w:r>
      <w:bookmarkEnd w:id="21"/>
    </w:p>
    <w:p w14:paraId="4FA065FC" w14:textId="1FDC9075" w:rsidR="00D54D5A" w:rsidRPr="00D54D5A" w:rsidRDefault="00D54D5A" w:rsidP="00D54D5A"/>
    <w:p w14:paraId="588CFC75" w14:textId="3107A1DA" w:rsidR="00F21079" w:rsidRDefault="00F21079" w:rsidP="00F21079"/>
    <w:p w14:paraId="39F2CEA9" w14:textId="77777777" w:rsidR="00D54D5A" w:rsidRDefault="00D54D5A" w:rsidP="00F21079"/>
    <w:p w14:paraId="177E3969" w14:textId="77777777" w:rsidR="00D54D5A" w:rsidRDefault="00D54D5A" w:rsidP="00F21079"/>
    <w:p w14:paraId="56EED040" w14:textId="77777777" w:rsidR="00D54D5A" w:rsidRDefault="00D54D5A" w:rsidP="00F21079"/>
    <w:p w14:paraId="0A22691B" w14:textId="77777777" w:rsidR="00D54D5A" w:rsidRDefault="00D54D5A" w:rsidP="00F21079"/>
    <w:p w14:paraId="20BA2E90" w14:textId="77777777" w:rsidR="00D54D5A" w:rsidRDefault="00D54D5A" w:rsidP="00F21079"/>
    <w:p w14:paraId="090A34FE" w14:textId="7104E7BB" w:rsidR="00D54D5A" w:rsidRDefault="00D54D5A" w:rsidP="00D54D5A">
      <w:pPr>
        <w:pStyle w:val="Heading3"/>
      </w:pPr>
      <w:bookmarkStart w:id="22" w:name="_Toc230303077"/>
      <w:r>
        <w:lastRenderedPageBreak/>
        <w:t>Slide 2</w:t>
      </w:r>
      <w:bookmarkEnd w:id="22"/>
    </w:p>
    <w:p w14:paraId="500D8006" w14:textId="3923A806" w:rsidR="00D54D5A" w:rsidRDefault="00D54D5A" w:rsidP="00F21079">
      <w:r w:rsidRPr="00D54D5A">
        <w:rPr>
          <w:noProof/>
        </w:rPr>
        <w:drawing>
          <wp:inline distT="0" distB="0" distL="0" distR="0" wp14:anchorId="27F1AE05" wp14:editId="596BF0E1">
            <wp:extent cx="5731510" cy="3223895"/>
            <wp:effectExtent l="0" t="0" r="2540" b="0"/>
            <wp:docPr id="1699554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54273" name=""/>
                    <pic:cNvPicPr/>
                  </pic:nvPicPr>
                  <pic:blipFill>
                    <a:blip r:embed="rId14"/>
                    <a:stretch>
                      <a:fillRect/>
                    </a:stretch>
                  </pic:blipFill>
                  <pic:spPr>
                    <a:xfrm>
                      <a:off x="0" y="0"/>
                      <a:ext cx="5731510" cy="3223895"/>
                    </a:xfrm>
                    <a:prstGeom prst="rect">
                      <a:avLst/>
                    </a:prstGeom>
                  </pic:spPr>
                </pic:pic>
              </a:graphicData>
            </a:graphic>
          </wp:inline>
        </w:drawing>
      </w:r>
    </w:p>
    <w:p w14:paraId="1901DC45" w14:textId="77777777" w:rsidR="00D54D5A" w:rsidRDefault="00D54D5A" w:rsidP="00F21079"/>
    <w:p w14:paraId="086A2FCB" w14:textId="3E0D1FEB" w:rsidR="00D54D5A" w:rsidRDefault="00D54D5A" w:rsidP="00D54D5A">
      <w:pPr>
        <w:pStyle w:val="Heading3"/>
      </w:pPr>
      <w:bookmarkStart w:id="23" w:name="_Toc230303078"/>
      <w:r>
        <w:t>Slide 3</w:t>
      </w:r>
      <w:bookmarkEnd w:id="23"/>
    </w:p>
    <w:p w14:paraId="256162E3" w14:textId="340BD52C" w:rsidR="00D54D5A" w:rsidRDefault="00D54D5A" w:rsidP="00D54D5A">
      <w:r>
        <w:t xml:space="preserve"> </w:t>
      </w:r>
      <w:r w:rsidRPr="00D54D5A">
        <w:rPr>
          <w:noProof/>
        </w:rPr>
        <w:drawing>
          <wp:inline distT="0" distB="0" distL="0" distR="0" wp14:anchorId="44FDCF9A" wp14:editId="5867D95E">
            <wp:extent cx="5731510" cy="3223895"/>
            <wp:effectExtent l="0" t="0" r="2540" b="0"/>
            <wp:docPr id="613179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179598" name=""/>
                    <pic:cNvPicPr/>
                  </pic:nvPicPr>
                  <pic:blipFill>
                    <a:blip r:embed="rId15"/>
                    <a:stretch>
                      <a:fillRect/>
                    </a:stretch>
                  </pic:blipFill>
                  <pic:spPr>
                    <a:xfrm>
                      <a:off x="0" y="0"/>
                      <a:ext cx="5731510" cy="3223895"/>
                    </a:xfrm>
                    <a:prstGeom prst="rect">
                      <a:avLst/>
                    </a:prstGeom>
                  </pic:spPr>
                </pic:pic>
              </a:graphicData>
            </a:graphic>
          </wp:inline>
        </w:drawing>
      </w:r>
    </w:p>
    <w:p w14:paraId="6FAFA105" w14:textId="77777777" w:rsidR="00D54D5A" w:rsidRDefault="00D54D5A" w:rsidP="00D54D5A"/>
    <w:p w14:paraId="741231C4" w14:textId="01EB67B0" w:rsidR="00D54D5A" w:rsidRDefault="00D54D5A" w:rsidP="00D54D5A">
      <w:pPr>
        <w:pStyle w:val="Heading3"/>
      </w:pPr>
      <w:bookmarkStart w:id="24" w:name="_Toc230303079"/>
      <w:r>
        <w:lastRenderedPageBreak/>
        <w:t>Slide 4</w:t>
      </w:r>
      <w:bookmarkEnd w:id="24"/>
    </w:p>
    <w:p w14:paraId="68FA1175" w14:textId="41E397FC" w:rsidR="00D54D5A" w:rsidRDefault="00D54D5A" w:rsidP="00D54D5A">
      <w:r w:rsidRPr="00D54D5A">
        <w:rPr>
          <w:noProof/>
        </w:rPr>
        <w:drawing>
          <wp:inline distT="0" distB="0" distL="0" distR="0" wp14:anchorId="534A74F0" wp14:editId="1DA016F7">
            <wp:extent cx="5731510" cy="3218180"/>
            <wp:effectExtent l="0" t="0" r="2540" b="1270"/>
            <wp:docPr id="923630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630668" name=""/>
                    <pic:cNvPicPr/>
                  </pic:nvPicPr>
                  <pic:blipFill>
                    <a:blip r:embed="rId16"/>
                    <a:stretch>
                      <a:fillRect/>
                    </a:stretch>
                  </pic:blipFill>
                  <pic:spPr>
                    <a:xfrm>
                      <a:off x="0" y="0"/>
                      <a:ext cx="5731510" cy="3218180"/>
                    </a:xfrm>
                    <a:prstGeom prst="rect">
                      <a:avLst/>
                    </a:prstGeom>
                  </pic:spPr>
                </pic:pic>
              </a:graphicData>
            </a:graphic>
          </wp:inline>
        </w:drawing>
      </w:r>
    </w:p>
    <w:p w14:paraId="39E18811" w14:textId="77777777" w:rsidR="00D54D5A" w:rsidRDefault="00D54D5A" w:rsidP="00D54D5A"/>
    <w:p w14:paraId="44DD58D2" w14:textId="4D3A269D" w:rsidR="00D54D5A" w:rsidRDefault="00D54D5A" w:rsidP="00D54D5A">
      <w:pPr>
        <w:pStyle w:val="Heading3"/>
      </w:pPr>
      <w:bookmarkStart w:id="25" w:name="_Toc230303080"/>
      <w:r>
        <w:t>Slide 5</w:t>
      </w:r>
      <w:bookmarkEnd w:id="25"/>
    </w:p>
    <w:p w14:paraId="060CAFB9" w14:textId="1FB4C7A1" w:rsidR="00D54D5A" w:rsidRDefault="00D54D5A" w:rsidP="00D54D5A">
      <w:r w:rsidRPr="00D54D5A">
        <w:rPr>
          <w:noProof/>
        </w:rPr>
        <w:drawing>
          <wp:inline distT="0" distB="0" distL="0" distR="0" wp14:anchorId="755B1FDA" wp14:editId="11DBF16A">
            <wp:extent cx="5731510" cy="3224530"/>
            <wp:effectExtent l="0" t="0" r="2540" b="0"/>
            <wp:docPr id="1248257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57476" name=""/>
                    <pic:cNvPicPr/>
                  </pic:nvPicPr>
                  <pic:blipFill>
                    <a:blip r:embed="rId17"/>
                    <a:stretch>
                      <a:fillRect/>
                    </a:stretch>
                  </pic:blipFill>
                  <pic:spPr>
                    <a:xfrm>
                      <a:off x="0" y="0"/>
                      <a:ext cx="5731510" cy="3224530"/>
                    </a:xfrm>
                    <a:prstGeom prst="rect">
                      <a:avLst/>
                    </a:prstGeom>
                  </pic:spPr>
                </pic:pic>
              </a:graphicData>
            </a:graphic>
          </wp:inline>
        </w:drawing>
      </w:r>
    </w:p>
    <w:p w14:paraId="6ACE2029" w14:textId="77777777" w:rsidR="00D54D5A" w:rsidRDefault="00D54D5A" w:rsidP="00D54D5A">
      <w:pPr>
        <w:pStyle w:val="Heading3"/>
        <w:numPr>
          <w:ilvl w:val="0"/>
          <w:numId w:val="0"/>
        </w:numPr>
        <w:ind w:left="720"/>
      </w:pPr>
    </w:p>
    <w:p w14:paraId="5A406444" w14:textId="3409826A" w:rsidR="00D54D5A" w:rsidRDefault="00D54D5A" w:rsidP="00D54D5A">
      <w:pPr>
        <w:pStyle w:val="Heading3"/>
      </w:pPr>
      <w:bookmarkStart w:id="26" w:name="_Toc230303081"/>
      <w:r>
        <w:t>Slide 6</w:t>
      </w:r>
      <w:bookmarkEnd w:id="26"/>
    </w:p>
    <w:p w14:paraId="141AA614" w14:textId="64811CA8" w:rsidR="00D54D5A" w:rsidRDefault="00D54D5A" w:rsidP="00D54D5A">
      <w:r w:rsidRPr="00D54D5A">
        <w:rPr>
          <w:noProof/>
        </w:rPr>
        <w:drawing>
          <wp:inline distT="0" distB="0" distL="0" distR="0" wp14:anchorId="483532DF" wp14:editId="7A89D173">
            <wp:extent cx="5731510" cy="3223260"/>
            <wp:effectExtent l="0" t="0" r="2540" b="0"/>
            <wp:docPr id="1709359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359419" name=""/>
                    <pic:cNvPicPr/>
                  </pic:nvPicPr>
                  <pic:blipFill>
                    <a:blip r:embed="rId18"/>
                    <a:stretch>
                      <a:fillRect/>
                    </a:stretch>
                  </pic:blipFill>
                  <pic:spPr>
                    <a:xfrm>
                      <a:off x="0" y="0"/>
                      <a:ext cx="5731510" cy="3223260"/>
                    </a:xfrm>
                    <a:prstGeom prst="rect">
                      <a:avLst/>
                    </a:prstGeom>
                  </pic:spPr>
                </pic:pic>
              </a:graphicData>
            </a:graphic>
          </wp:inline>
        </w:drawing>
      </w:r>
    </w:p>
    <w:p w14:paraId="57802AC6" w14:textId="77777777" w:rsidR="00D54D5A" w:rsidRDefault="00D54D5A" w:rsidP="00D54D5A"/>
    <w:p w14:paraId="7267FD73" w14:textId="05E2A997" w:rsidR="00D54D5A" w:rsidRDefault="00D54D5A" w:rsidP="00D54D5A">
      <w:pPr>
        <w:pStyle w:val="Heading3"/>
      </w:pPr>
      <w:bookmarkStart w:id="27" w:name="_Toc230303082"/>
      <w:r>
        <w:t>Slide 7</w:t>
      </w:r>
      <w:bookmarkEnd w:id="27"/>
    </w:p>
    <w:p w14:paraId="41764B4F" w14:textId="2276023D" w:rsidR="00D54D5A" w:rsidRDefault="00D54D5A" w:rsidP="00D54D5A">
      <w:r w:rsidRPr="00D54D5A">
        <w:rPr>
          <w:noProof/>
        </w:rPr>
        <w:drawing>
          <wp:inline distT="0" distB="0" distL="0" distR="0" wp14:anchorId="2440A69E" wp14:editId="67B9AAB5">
            <wp:extent cx="5731510" cy="3216910"/>
            <wp:effectExtent l="0" t="0" r="2540" b="2540"/>
            <wp:docPr id="777232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32712" name=""/>
                    <pic:cNvPicPr/>
                  </pic:nvPicPr>
                  <pic:blipFill>
                    <a:blip r:embed="rId19"/>
                    <a:stretch>
                      <a:fillRect/>
                    </a:stretch>
                  </pic:blipFill>
                  <pic:spPr>
                    <a:xfrm>
                      <a:off x="0" y="0"/>
                      <a:ext cx="5731510" cy="3216910"/>
                    </a:xfrm>
                    <a:prstGeom prst="rect">
                      <a:avLst/>
                    </a:prstGeom>
                  </pic:spPr>
                </pic:pic>
              </a:graphicData>
            </a:graphic>
          </wp:inline>
        </w:drawing>
      </w:r>
    </w:p>
    <w:p w14:paraId="45D28F3F" w14:textId="77777777" w:rsidR="00D54D5A" w:rsidRDefault="00D54D5A" w:rsidP="00D54D5A"/>
    <w:p w14:paraId="4EBC573F" w14:textId="77777777" w:rsidR="00D54D5A" w:rsidRDefault="00D54D5A" w:rsidP="00D54D5A"/>
    <w:p w14:paraId="5C1219F6" w14:textId="30D31F69" w:rsidR="00D54D5A" w:rsidRDefault="00D54D5A" w:rsidP="00D54D5A">
      <w:pPr>
        <w:pStyle w:val="Heading3"/>
      </w:pPr>
      <w:bookmarkStart w:id="28" w:name="_Toc230303083"/>
      <w:r>
        <w:lastRenderedPageBreak/>
        <w:t>Slide 8</w:t>
      </w:r>
      <w:bookmarkEnd w:id="28"/>
    </w:p>
    <w:p w14:paraId="02CFC178" w14:textId="6AD8C597" w:rsidR="00D54D5A" w:rsidRDefault="00D54D5A" w:rsidP="00D54D5A">
      <w:r w:rsidRPr="00D54D5A">
        <w:rPr>
          <w:noProof/>
        </w:rPr>
        <w:drawing>
          <wp:inline distT="0" distB="0" distL="0" distR="0" wp14:anchorId="1921227A" wp14:editId="0A96CBB9">
            <wp:extent cx="5731510" cy="3226435"/>
            <wp:effectExtent l="0" t="0" r="2540" b="0"/>
            <wp:docPr id="1435631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31284" name=""/>
                    <pic:cNvPicPr/>
                  </pic:nvPicPr>
                  <pic:blipFill>
                    <a:blip r:embed="rId20"/>
                    <a:stretch>
                      <a:fillRect/>
                    </a:stretch>
                  </pic:blipFill>
                  <pic:spPr>
                    <a:xfrm>
                      <a:off x="0" y="0"/>
                      <a:ext cx="5731510" cy="3226435"/>
                    </a:xfrm>
                    <a:prstGeom prst="rect">
                      <a:avLst/>
                    </a:prstGeom>
                  </pic:spPr>
                </pic:pic>
              </a:graphicData>
            </a:graphic>
          </wp:inline>
        </w:drawing>
      </w:r>
    </w:p>
    <w:p w14:paraId="14F429CA" w14:textId="77777777" w:rsidR="00D54D5A" w:rsidRDefault="00D54D5A" w:rsidP="00D54D5A"/>
    <w:p w14:paraId="27B870EA" w14:textId="78450E29" w:rsidR="00D54D5A" w:rsidRDefault="00D54D5A" w:rsidP="00D54D5A">
      <w:pPr>
        <w:pStyle w:val="Heading3"/>
      </w:pPr>
      <w:bookmarkStart w:id="29" w:name="_Toc230303084"/>
      <w:r>
        <w:t>Slide 9</w:t>
      </w:r>
      <w:bookmarkEnd w:id="29"/>
    </w:p>
    <w:p w14:paraId="20ACE6E3" w14:textId="5BFA0FB6" w:rsidR="00D54D5A" w:rsidRDefault="00D54D5A" w:rsidP="00D54D5A">
      <w:r w:rsidRPr="00D54D5A">
        <w:rPr>
          <w:noProof/>
        </w:rPr>
        <w:drawing>
          <wp:inline distT="0" distB="0" distL="0" distR="0" wp14:anchorId="23399428" wp14:editId="4DC58637">
            <wp:extent cx="5731510" cy="3221355"/>
            <wp:effectExtent l="0" t="0" r="2540" b="0"/>
            <wp:docPr id="1394122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22978" name=""/>
                    <pic:cNvPicPr/>
                  </pic:nvPicPr>
                  <pic:blipFill>
                    <a:blip r:embed="rId21"/>
                    <a:stretch>
                      <a:fillRect/>
                    </a:stretch>
                  </pic:blipFill>
                  <pic:spPr>
                    <a:xfrm>
                      <a:off x="0" y="0"/>
                      <a:ext cx="5731510" cy="3221355"/>
                    </a:xfrm>
                    <a:prstGeom prst="rect">
                      <a:avLst/>
                    </a:prstGeom>
                  </pic:spPr>
                </pic:pic>
              </a:graphicData>
            </a:graphic>
          </wp:inline>
        </w:drawing>
      </w:r>
    </w:p>
    <w:p w14:paraId="5E951610" w14:textId="39D7E9E1" w:rsidR="00D54D5A" w:rsidRDefault="00D54D5A" w:rsidP="00D54D5A">
      <w:pPr>
        <w:pStyle w:val="Heading3"/>
        <w:numPr>
          <w:ilvl w:val="0"/>
          <w:numId w:val="0"/>
        </w:numPr>
      </w:pPr>
    </w:p>
    <w:p w14:paraId="4E10BA4A" w14:textId="77777777" w:rsidR="00D54D5A" w:rsidRDefault="00D54D5A" w:rsidP="00D54D5A"/>
    <w:p w14:paraId="6B4DA09C" w14:textId="77777777" w:rsidR="00D54D5A" w:rsidRPr="00D54D5A" w:rsidRDefault="00D54D5A" w:rsidP="00D54D5A"/>
    <w:p w14:paraId="0A2D7F53" w14:textId="1E4EC879" w:rsidR="00D54D5A" w:rsidRDefault="00D54D5A" w:rsidP="00D54D5A">
      <w:pPr>
        <w:pStyle w:val="Heading3"/>
      </w:pPr>
      <w:bookmarkStart w:id="30" w:name="_Toc230303085"/>
      <w:r>
        <w:lastRenderedPageBreak/>
        <w:t>Slide 10</w:t>
      </w:r>
      <w:bookmarkEnd w:id="30"/>
    </w:p>
    <w:p w14:paraId="3A2F11EE" w14:textId="26116703" w:rsidR="00D54D5A" w:rsidRPr="00D54D5A" w:rsidRDefault="00D54D5A" w:rsidP="00D54D5A">
      <w:r w:rsidRPr="00D54D5A">
        <w:rPr>
          <w:noProof/>
        </w:rPr>
        <w:drawing>
          <wp:inline distT="0" distB="0" distL="0" distR="0" wp14:anchorId="04A993D1" wp14:editId="610E7553">
            <wp:extent cx="5731510" cy="3207385"/>
            <wp:effectExtent l="0" t="0" r="2540" b="0"/>
            <wp:docPr id="1623478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78966" name=""/>
                    <pic:cNvPicPr/>
                  </pic:nvPicPr>
                  <pic:blipFill>
                    <a:blip r:embed="rId22"/>
                    <a:stretch>
                      <a:fillRect/>
                    </a:stretch>
                  </pic:blipFill>
                  <pic:spPr>
                    <a:xfrm>
                      <a:off x="0" y="0"/>
                      <a:ext cx="5731510" cy="3207385"/>
                    </a:xfrm>
                    <a:prstGeom prst="rect">
                      <a:avLst/>
                    </a:prstGeom>
                  </pic:spPr>
                </pic:pic>
              </a:graphicData>
            </a:graphic>
          </wp:inline>
        </w:drawing>
      </w:r>
    </w:p>
    <w:sectPr w:rsidR="00D54D5A" w:rsidRPr="00D54D5A" w:rsidSect="00F21079">
      <w:footerReference w:type="default" r:id="rId23"/>
      <w:pgSz w:w="11906" w:h="16838"/>
      <w:pgMar w:top="1440" w:right="1440" w:bottom="1440" w:left="1440" w:header="708"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5E80E" w14:textId="77777777" w:rsidR="000623F8" w:rsidRDefault="000623F8" w:rsidP="00F21079">
      <w:pPr>
        <w:spacing w:after="0" w:line="240" w:lineRule="auto"/>
      </w:pPr>
      <w:r>
        <w:separator/>
      </w:r>
    </w:p>
  </w:endnote>
  <w:endnote w:type="continuationSeparator" w:id="0">
    <w:p w14:paraId="74A613E8" w14:textId="77777777" w:rsidR="000623F8" w:rsidRDefault="000623F8" w:rsidP="00F21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3161162"/>
      <w:docPartObj>
        <w:docPartGallery w:val="Page Numbers (Bottom of Page)"/>
        <w:docPartUnique/>
      </w:docPartObj>
    </w:sdtPr>
    <w:sdtEndPr>
      <w:rPr>
        <w:noProof/>
      </w:rPr>
    </w:sdtEndPr>
    <w:sdtContent>
      <w:p w14:paraId="05869666" w14:textId="3AD2716C" w:rsidR="00F21079" w:rsidRDefault="00F210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A3FF8D" w14:textId="77777777" w:rsidR="00F21079" w:rsidRDefault="00F210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EDF159" w14:textId="77777777" w:rsidR="000623F8" w:rsidRDefault="000623F8" w:rsidP="00F21079">
      <w:pPr>
        <w:spacing w:after="0" w:line="240" w:lineRule="auto"/>
      </w:pPr>
      <w:r>
        <w:separator/>
      </w:r>
    </w:p>
  </w:footnote>
  <w:footnote w:type="continuationSeparator" w:id="0">
    <w:p w14:paraId="5EF5BD89" w14:textId="77777777" w:rsidR="000623F8" w:rsidRDefault="000623F8" w:rsidP="00F210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726ED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77861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079"/>
    <w:rsid w:val="000623F8"/>
    <w:rsid w:val="00217286"/>
    <w:rsid w:val="002411FB"/>
    <w:rsid w:val="00247E16"/>
    <w:rsid w:val="002943BE"/>
    <w:rsid w:val="00357442"/>
    <w:rsid w:val="00404847"/>
    <w:rsid w:val="00660FCC"/>
    <w:rsid w:val="006A6DFB"/>
    <w:rsid w:val="006E5C22"/>
    <w:rsid w:val="00A347B1"/>
    <w:rsid w:val="00B52C99"/>
    <w:rsid w:val="00C707C9"/>
    <w:rsid w:val="00D54D5A"/>
    <w:rsid w:val="00D54F64"/>
    <w:rsid w:val="00E0680E"/>
    <w:rsid w:val="00F21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86EB5"/>
  <w15:chartTrackingRefBased/>
  <w15:docId w15:val="{1975860C-6E18-4078-B160-6B2F2A16A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079"/>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1079"/>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1079"/>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1079"/>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079"/>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079"/>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079"/>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079"/>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079"/>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0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10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210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10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0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0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0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0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079"/>
    <w:rPr>
      <w:rFonts w:eastAsiaTheme="majorEastAsia" w:cstheme="majorBidi"/>
      <w:color w:val="272727" w:themeColor="text1" w:themeTint="D8"/>
    </w:rPr>
  </w:style>
  <w:style w:type="paragraph" w:styleId="Title">
    <w:name w:val="Title"/>
    <w:basedOn w:val="Normal"/>
    <w:next w:val="Normal"/>
    <w:link w:val="TitleChar"/>
    <w:uiPriority w:val="10"/>
    <w:qFormat/>
    <w:rsid w:val="00F210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0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0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0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079"/>
    <w:pPr>
      <w:spacing w:before="160"/>
      <w:jc w:val="center"/>
    </w:pPr>
    <w:rPr>
      <w:i/>
      <w:iCs/>
      <w:color w:val="404040" w:themeColor="text1" w:themeTint="BF"/>
    </w:rPr>
  </w:style>
  <w:style w:type="character" w:customStyle="1" w:styleId="QuoteChar">
    <w:name w:val="Quote Char"/>
    <w:basedOn w:val="DefaultParagraphFont"/>
    <w:link w:val="Quote"/>
    <w:uiPriority w:val="29"/>
    <w:rsid w:val="00F21079"/>
    <w:rPr>
      <w:i/>
      <w:iCs/>
      <w:color w:val="404040" w:themeColor="text1" w:themeTint="BF"/>
    </w:rPr>
  </w:style>
  <w:style w:type="paragraph" w:styleId="ListParagraph">
    <w:name w:val="List Paragraph"/>
    <w:basedOn w:val="Normal"/>
    <w:uiPriority w:val="34"/>
    <w:qFormat/>
    <w:rsid w:val="00F21079"/>
    <w:pPr>
      <w:ind w:left="720"/>
      <w:contextualSpacing/>
    </w:pPr>
  </w:style>
  <w:style w:type="character" w:styleId="IntenseEmphasis">
    <w:name w:val="Intense Emphasis"/>
    <w:basedOn w:val="DefaultParagraphFont"/>
    <w:uiPriority w:val="21"/>
    <w:qFormat/>
    <w:rsid w:val="00F21079"/>
    <w:rPr>
      <w:i/>
      <w:iCs/>
      <w:color w:val="0F4761" w:themeColor="accent1" w:themeShade="BF"/>
    </w:rPr>
  </w:style>
  <w:style w:type="paragraph" w:styleId="IntenseQuote">
    <w:name w:val="Intense Quote"/>
    <w:basedOn w:val="Normal"/>
    <w:next w:val="Normal"/>
    <w:link w:val="IntenseQuoteChar"/>
    <w:uiPriority w:val="30"/>
    <w:qFormat/>
    <w:rsid w:val="00F210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079"/>
    <w:rPr>
      <w:i/>
      <w:iCs/>
      <w:color w:val="0F4761" w:themeColor="accent1" w:themeShade="BF"/>
    </w:rPr>
  </w:style>
  <w:style w:type="character" w:styleId="IntenseReference">
    <w:name w:val="Intense Reference"/>
    <w:basedOn w:val="DefaultParagraphFont"/>
    <w:uiPriority w:val="32"/>
    <w:qFormat/>
    <w:rsid w:val="00F21079"/>
    <w:rPr>
      <w:b/>
      <w:bCs/>
      <w:smallCaps/>
      <w:color w:val="0F4761" w:themeColor="accent1" w:themeShade="BF"/>
      <w:spacing w:val="5"/>
    </w:rPr>
  </w:style>
  <w:style w:type="paragraph" w:styleId="NoSpacing">
    <w:name w:val="No Spacing"/>
    <w:link w:val="NoSpacingChar"/>
    <w:uiPriority w:val="1"/>
    <w:qFormat/>
    <w:rsid w:val="00F2107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21079"/>
    <w:rPr>
      <w:rFonts w:eastAsiaTheme="minorEastAsia"/>
      <w:kern w:val="0"/>
      <w:sz w:val="22"/>
      <w:szCs w:val="22"/>
      <w:lang w:val="en-US"/>
      <w14:ligatures w14:val="none"/>
    </w:rPr>
  </w:style>
  <w:style w:type="paragraph" w:styleId="Header">
    <w:name w:val="header"/>
    <w:basedOn w:val="Normal"/>
    <w:link w:val="HeaderChar"/>
    <w:uiPriority w:val="99"/>
    <w:unhideWhenUsed/>
    <w:rsid w:val="00F210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079"/>
  </w:style>
  <w:style w:type="paragraph" w:styleId="Footer">
    <w:name w:val="footer"/>
    <w:basedOn w:val="Normal"/>
    <w:link w:val="FooterChar"/>
    <w:uiPriority w:val="99"/>
    <w:unhideWhenUsed/>
    <w:rsid w:val="00F210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079"/>
  </w:style>
  <w:style w:type="paragraph" w:styleId="TOCHeading">
    <w:name w:val="TOC Heading"/>
    <w:basedOn w:val="Heading1"/>
    <w:next w:val="Normal"/>
    <w:uiPriority w:val="39"/>
    <w:unhideWhenUsed/>
    <w:qFormat/>
    <w:rsid w:val="00F21079"/>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F21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47E16"/>
    <w:pPr>
      <w:spacing w:after="100"/>
    </w:pPr>
  </w:style>
  <w:style w:type="paragraph" w:styleId="TOC2">
    <w:name w:val="toc 2"/>
    <w:basedOn w:val="Normal"/>
    <w:next w:val="Normal"/>
    <w:autoRedefine/>
    <w:uiPriority w:val="39"/>
    <w:unhideWhenUsed/>
    <w:rsid w:val="00247E16"/>
    <w:pPr>
      <w:spacing w:after="100"/>
      <w:ind w:left="240"/>
    </w:pPr>
  </w:style>
  <w:style w:type="character" w:styleId="Hyperlink">
    <w:name w:val="Hyperlink"/>
    <w:basedOn w:val="DefaultParagraphFont"/>
    <w:uiPriority w:val="99"/>
    <w:unhideWhenUsed/>
    <w:rsid w:val="00247E16"/>
    <w:rPr>
      <w:color w:val="467886" w:themeColor="hyperlink"/>
      <w:u w:val="single"/>
    </w:rPr>
  </w:style>
  <w:style w:type="paragraph" w:styleId="TOC3">
    <w:name w:val="toc 3"/>
    <w:basedOn w:val="Normal"/>
    <w:next w:val="Normal"/>
    <w:autoRedefine/>
    <w:uiPriority w:val="39"/>
    <w:unhideWhenUsed/>
    <w:rsid w:val="006E5C2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Bethan Moyle (1707952)
</Abstract>
  <CompanyAddress/>
  <CompanyPhone/>
  <CompanyFax/>
  <CompanyEmail>1707952@student.uwtsd.ac.uk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6E418B-A415-4F6E-A8D9-328B1752C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15</Pages>
  <Words>8989</Words>
  <Characters>51243</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Networks and Cyber Security Essentials</dc:subject>
  <dc:creator>Bethan Moyle (1707952)</dc:creator>
  <cp:keywords/>
  <dc:description/>
  <cp:lastModifiedBy>Bethan Moyle (1707952)</cp:lastModifiedBy>
  <cp:revision>8</cp:revision>
  <dcterms:created xsi:type="dcterms:W3CDTF">2026-05-21T22:08:00Z</dcterms:created>
  <dcterms:modified xsi:type="dcterms:W3CDTF">2026-05-21T23:44:00Z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6th/7th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4th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d2fec2b3-54ca-362e-bc4a-db495d0b13d1</vt:lpwstr>
  </property>
  <property fmtid="{D5CDD505-2E9C-101B-9397-08002B2CF9AE}" pid="24" name="Mendeley Citation Style_1">
    <vt:lpwstr>http://www.zotero.org/styles/ieee</vt:lpwstr>
  </property>
</Properties>
</file>