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455923"/>
        <w:docPartObj>
          <w:docPartGallery w:val="Cover Pages"/>
          <w:docPartUnique/>
        </w:docPartObj>
      </w:sdtPr>
      <w:sdtContent>
        <w:p w14:paraId="0E2CF752" w14:textId="77777777" w:rsidR="00567EF4" w:rsidRDefault="00567EF4"/>
        <w:p w14:paraId="46C64A57" w14:textId="77777777" w:rsidR="00567EF4" w:rsidRDefault="00567EF4"/>
        <w:p w14:paraId="75A0CE11" w14:textId="77777777" w:rsidR="00567EF4" w:rsidRDefault="00567EF4"/>
        <w:p w14:paraId="0550E46F" w14:textId="77777777" w:rsidR="00567EF4" w:rsidRDefault="00567EF4"/>
        <w:p w14:paraId="76B3E04F" w14:textId="77777777" w:rsidR="00567EF4" w:rsidRDefault="00567EF4"/>
        <w:p w14:paraId="538CE2A1" w14:textId="46A75E48"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MODULE CODE:</w:t>
          </w:r>
        </w:p>
        <w:p w14:paraId="5A2AF558" w14:textId="6337FACD" w:rsidR="00567EF4" w:rsidRPr="00567EF4" w:rsidRDefault="00567EF4" w:rsidP="00567EF4">
          <w:pPr>
            <w:jc w:val="center"/>
            <w:rPr>
              <w:rFonts w:ascii="Baskerville" w:hAnsi="Baskerville" w:cs="AkayaKanadaka"/>
              <w:b/>
              <w:bCs/>
              <w:sz w:val="40"/>
              <w:szCs w:val="40"/>
            </w:rPr>
          </w:pPr>
          <w:r>
            <w:rPr>
              <w:rFonts w:ascii="Baskerville" w:hAnsi="Baskerville" w:cs="AkayaKanadaka"/>
              <w:b/>
              <w:bCs/>
              <w:sz w:val="40"/>
              <w:szCs w:val="40"/>
            </w:rPr>
            <w:t>LC</w:t>
          </w:r>
          <w:r w:rsidRPr="00567EF4">
            <w:rPr>
              <w:rFonts w:ascii="Baskerville" w:hAnsi="Baskerville" w:cs="AkayaKanadaka"/>
              <w:b/>
              <w:bCs/>
              <w:sz w:val="40"/>
              <w:szCs w:val="40"/>
            </w:rPr>
            <w:t>LM 6003</w:t>
          </w:r>
        </w:p>
        <w:p w14:paraId="4B5F4201" w14:textId="6CD725C8"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MODULE NAME:</w:t>
          </w:r>
        </w:p>
        <w:p w14:paraId="3C11458F" w14:textId="632F5805"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LEADING AND IMPLEMENTING CHANGE</w:t>
          </w:r>
        </w:p>
        <w:p w14:paraId="6112513E" w14:textId="7927D209"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noProof/>
              <w:sz w:val="40"/>
              <w:szCs w:val="40"/>
            </w:rPr>
            <mc:AlternateContent>
              <mc:Choice Requires="wpg">
                <w:drawing>
                  <wp:anchor distT="0" distB="0" distL="114300" distR="114300" simplePos="0" relativeHeight="251658240" behindDoc="0" locked="0" layoutInCell="1" allowOverlap="1" wp14:anchorId="16C3A6B8" wp14:editId="6ADFA9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56CB85"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567EF4">
            <w:rPr>
              <w:rFonts w:ascii="Baskerville" w:hAnsi="Baskerville" w:cs="AkayaKanadaka"/>
              <w:b/>
              <w:bCs/>
              <w:sz w:val="40"/>
              <w:szCs w:val="40"/>
            </w:rPr>
            <w:t>STUDENT NAME:</w:t>
          </w:r>
        </w:p>
        <w:p w14:paraId="34F026E9" w14:textId="250CC5BD"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NOSHEEN MANZOOR</w:t>
          </w:r>
        </w:p>
        <w:p w14:paraId="11435525" w14:textId="709557F2" w:rsidR="00567EF4" w:rsidRP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ST</w:t>
          </w:r>
          <w:r w:rsidR="002B46C2">
            <w:rPr>
              <w:rFonts w:ascii="Baskerville" w:hAnsi="Baskerville" w:cs="AkayaKanadaka"/>
              <w:b/>
              <w:bCs/>
              <w:sz w:val="40"/>
              <w:szCs w:val="40"/>
            </w:rPr>
            <w:t>U</w:t>
          </w:r>
          <w:r w:rsidRPr="00567EF4">
            <w:rPr>
              <w:rFonts w:ascii="Baskerville" w:hAnsi="Baskerville" w:cs="AkayaKanadaka"/>
              <w:b/>
              <w:bCs/>
              <w:sz w:val="40"/>
              <w:szCs w:val="40"/>
            </w:rPr>
            <w:t>DENT NUMBER:</w:t>
          </w:r>
        </w:p>
        <w:p w14:paraId="73B6803F" w14:textId="3B62ED0B" w:rsidR="00567EF4" w:rsidRDefault="00567EF4" w:rsidP="00567EF4">
          <w:pPr>
            <w:jc w:val="center"/>
            <w:rPr>
              <w:rFonts w:ascii="Baskerville" w:hAnsi="Baskerville" w:cs="AkayaKanadaka"/>
              <w:b/>
              <w:bCs/>
              <w:sz w:val="40"/>
              <w:szCs w:val="40"/>
            </w:rPr>
          </w:pPr>
          <w:r w:rsidRPr="00567EF4">
            <w:rPr>
              <w:rFonts w:ascii="Baskerville" w:hAnsi="Baskerville" w:cs="AkayaKanadaka"/>
              <w:b/>
              <w:bCs/>
              <w:sz w:val="40"/>
              <w:szCs w:val="40"/>
            </w:rPr>
            <w:t>2218718</w:t>
          </w:r>
        </w:p>
        <w:p w14:paraId="7AD52A4B" w14:textId="1CAAF7A8" w:rsidR="00567EF4" w:rsidRDefault="00567EF4" w:rsidP="00567EF4">
          <w:pPr>
            <w:jc w:val="center"/>
            <w:rPr>
              <w:rFonts w:ascii="Baskerville" w:hAnsi="Baskerville" w:cs="AkayaKanadaka"/>
              <w:b/>
              <w:bCs/>
              <w:sz w:val="40"/>
              <w:szCs w:val="40"/>
            </w:rPr>
          </w:pPr>
          <w:r>
            <w:rPr>
              <w:rFonts w:ascii="Baskerville" w:hAnsi="Baskerville" w:cs="AkayaKanadaka"/>
              <w:b/>
              <w:bCs/>
              <w:sz w:val="40"/>
              <w:szCs w:val="40"/>
            </w:rPr>
            <w:t>LECTURER NAME:</w:t>
          </w:r>
        </w:p>
        <w:p w14:paraId="1E0995C0" w14:textId="086B511F" w:rsidR="00567EF4" w:rsidRDefault="00DE5BBD" w:rsidP="00567EF4">
          <w:pPr>
            <w:jc w:val="center"/>
            <w:rPr>
              <w:rFonts w:ascii="Baskerville" w:hAnsi="Baskerville" w:cs="AkayaKanadaka"/>
              <w:b/>
              <w:bCs/>
              <w:sz w:val="40"/>
              <w:szCs w:val="40"/>
            </w:rPr>
          </w:pPr>
          <w:r>
            <w:rPr>
              <w:rFonts w:ascii="Baskerville" w:hAnsi="Baskerville" w:cs="AkayaKanadaka"/>
              <w:b/>
              <w:bCs/>
              <w:sz w:val="40"/>
              <w:szCs w:val="40"/>
            </w:rPr>
            <w:t>FATIMA HASHMI</w:t>
          </w:r>
        </w:p>
        <w:p w14:paraId="346B6839" w14:textId="77777777" w:rsidR="00567EF4" w:rsidRDefault="00567EF4" w:rsidP="00567EF4">
          <w:pPr>
            <w:jc w:val="center"/>
            <w:rPr>
              <w:rFonts w:ascii="Baskerville" w:hAnsi="Baskerville" w:cs="AkayaKanadaka"/>
              <w:b/>
              <w:bCs/>
              <w:sz w:val="40"/>
              <w:szCs w:val="40"/>
            </w:rPr>
          </w:pPr>
        </w:p>
        <w:p w14:paraId="2AADCA9A" w14:textId="77777777" w:rsidR="00567EF4" w:rsidRDefault="00567EF4" w:rsidP="00567EF4">
          <w:pPr>
            <w:jc w:val="center"/>
            <w:rPr>
              <w:rFonts w:ascii="Baskerville" w:hAnsi="Baskerville" w:cs="AkayaKanadaka"/>
              <w:b/>
              <w:bCs/>
              <w:sz w:val="40"/>
              <w:szCs w:val="40"/>
            </w:rPr>
          </w:pPr>
        </w:p>
        <w:p w14:paraId="514C7717" w14:textId="77777777" w:rsidR="00567EF4" w:rsidRPr="00567EF4" w:rsidRDefault="00567EF4" w:rsidP="00567EF4">
          <w:pPr>
            <w:jc w:val="center"/>
            <w:rPr>
              <w:rFonts w:ascii="Baskerville" w:hAnsi="Baskerville" w:cs="AkayaKanadaka"/>
              <w:b/>
              <w:bCs/>
              <w:sz w:val="40"/>
              <w:szCs w:val="40"/>
            </w:rPr>
          </w:pPr>
        </w:p>
        <w:p w14:paraId="68CEE109" w14:textId="081CCEA4" w:rsidR="00567EF4" w:rsidRDefault="00567EF4"/>
        <w:p w14:paraId="4F249FCA" w14:textId="0273B2C4" w:rsidR="00567EF4" w:rsidRDefault="00567EF4" w:rsidP="00567EF4">
          <w:pPr>
            <w:jc w:val="center"/>
          </w:pPr>
          <w:r>
            <w:fldChar w:fldCharType="begin"/>
          </w:r>
          <w:r>
            <w:instrText xml:space="preserve"> INCLUDEPICTURE "/Users/noshmanzo/Library/Group Containers/UBF8T346G9.ms/WebArchiveCopyPasteTempFiles/com.microsoft.Word/implementing-change.jpg" \* MERGEFORMATINET </w:instrText>
          </w:r>
          <w:r>
            <w:fldChar w:fldCharType="separate"/>
          </w:r>
          <w:r>
            <w:rPr>
              <w:noProof/>
            </w:rPr>
            <w:drawing>
              <wp:inline distT="0" distB="0" distL="0" distR="0" wp14:anchorId="2B9DCD51" wp14:editId="4C666423">
                <wp:extent cx="4822190" cy="2712085"/>
                <wp:effectExtent l="0" t="0" r="3810" b="5715"/>
                <wp:docPr id="1863712220" name="Picture 2" descr="11 Steps of Implementing Change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1 Steps of Implementing Change | Marketing9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37012" cy="2720421"/>
                        </a:xfrm>
                        <a:prstGeom prst="rect">
                          <a:avLst/>
                        </a:prstGeom>
                        <a:noFill/>
                        <a:ln>
                          <a:noFill/>
                        </a:ln>
                      </pic:spPr>
                    </pic:pic>
                  </a:graphicData>
                </a:graphic>
              </wp:inline>
            </w:drawing>
          </w:r>
          <w:r>
            <w:fldChar w:fldCharType="end"/>
          </w:r>
          <w:r>
            <w:br w:type="page"/>
          </w:r>
        </w:p>
      </w:sdtContent>
    </w:sdt>
    <w:p w14:paraId="509C8818" w14:textId="6291EFA9" w:rsidR="00596485" w:rsidRPr="00C3209B" w:rsidRDefault="00231295">
      <w:pPr>
        <w:rPr>
          <w:rFonts w:ascii="Baskerville Old Face" w:hAnsi="Baskerville Old Face"/>
          <w:b/>
          <w:bCs/>
          <w:noProof/>
          <w:color w:val="000000" w:themeColor="text1"/>
          <w:sz w:val="32"/>
          <w:szCs w:val="32"/>
        </w:rPr>
      </w:pPr>
      <w:r w:rsidRPr="00607951">
        <w:rPr>
          <w:rFonts w:ascii="Baskerville Old Face" w:hAnsi="Baskerville Old Face"/>
          <w:b/>
          <w:bCs/>
          <w:noProof/>
          <w:color w:val="000000" w:themeColor="text1"/>
          <w:sz w:val="32"/>
          <w:szCs w:val="32"/>
        </w:rPr>
        <w:lastRenderedPageBreak/>
        <w:t>EXECUTIVE SUMMARY:</w:t>
      </w:r>
    </w:p>
    <w:p w14:paraId="299D3118" w14:textId="77777777" w:rsidR="004C2CF7" w:rsidRPr="00C3209B" w:rsidRDefault="004C2CF7" w:rsidP="00C3209B">
      <w:pPr>
        <w:spacing w:line="360" w:lineRule="auto"/>
        <w:jc w:val="both"/>
        <w:rPr>
          <w:rFonts w:ascii="Arial" w:hAnsi="Arial" w:cs="Arial"/>
          <w:sz w:val="22"/>
          <w:szCs w:val="22"/>
        </w:rPr>
      </w:pPr>
      <w:r w:rsidRPr="00C3209B">
        <w:rPr>
          <w:rFonts w:ascii="Arial" w:hAnsi="Arial" w:cs="Arial"/>
          <w:sz w:val="22"/>
          <w:szCs w:val="22"/>
        </w:rPr>
        <w:t>The performance, culture, and competitiveness of British Gas between 2021 and 2024 are examined critically in this report in relation to internal as well as outside factors.   The firm has been hindered by internal issues including poor employee relations, delayed digital adoption, and reputational harm following the 2021 "fire and rehire" debate, despite its strong brand, national popularity, and dedication to sustainability. External factors that have increased competitive pressure from quick, customer-focused competitors like Octopus Energy include shifting energy markets, political instability, the UK energy price cap, along with technology change.</w:t>
      </w:r>
    </w:p>
    <w:p w14:paraId="617A1C2F" w14:textId="1A1A52FA" w:rsidR="00596485" w:rsidRPr="00C3209B" w:rsidRDefault="004C2CF7" w:rsidP="00C3209B">
      <w:pPr>
        <w:spacing w:line="360" w:lineRule="auto"/>
        <w:jc w:val="both"/>
        <w:rPr>
          <w:rFonts w:ascii="Arial" w:hAnsi="Arial" w:cs="Arial"/>
          <w:sz w:val="22"/>
          <w:szCs w:val="22"/>
        </w:rPr>
      </w:pPr>
      <w:r w:rsidRPr="00C3209B">
        <w:rPr>
          <w:rFonts w:ascii="Arial" w:hAnsi="Arial" w:cs="Arial"/>
          <w:sz w:val="22"/>
          <w:szCs w:val="22"/>
        </w:rPr>
        <w:t>The study uses SWOT and PESTLE analyses to show how structural and cultural shortcomings within British Gas have been revealed by macro-economic, political, and social pressures.</w:t>
      </w:r>
      <w:r w:rsidR="00CE4CA1" w:rsidRPr="00C3209B">
        <w:rPr>
          <w:rFonts w:ascii="Arial" w:hAnsi="Arial" w:cs="Arial"/>
          <w:sz w:val="22"/>
          <w:szCs w:val="22"/>
        </w:rPr>
        <w:t xml:space="preserve"> The company's previous change initiatives lacked continuous collaboration among leaders, employee empowerment, and clear communication, factors that obstructed transformation despite strategic necessity as demonstrated by the application of Kotter's 8-Step Model and the ADKAR framework.</w:t>
      </w:r>
    </w:p>
    <w:p w14:paraId="36688B57" w14:textId="23E0A4CB" w:rsidR="00567EF4" w:rsidRPr="00982C1D" w:rsidRDefault="00C3209B" w:rsidP="00982C1D">
      <w:pPr>
        <w:spacing w:line="360" w:lineRule="auto"/>
        <w:jc w:val="both"/>
        <w:rPr>
          <w:rFonts w:ascii="Arial" w:hAnsi="Arial" w:cs="Arial"/>
          <w:sz w:val="22"/>
          <w:szCs w:val="22"/>
        </w:rPr>
      </w:pPr>
      <w:r w:rsidRPr="00C3209B">
        <w:rPr>
          <w:rFonts w:ascii="Arial" w:hAnsi="Arial" w:cs="Arial"/>
          <w:sz w:val="22"/>
          <w:szCs w:val="22"/>
        </w:rPr>
        <w:t>A thorough strategic change management strategy focused on sustainability, digital innovation, cultural renewal, and enhanced stakeholder communication is suggested in the report. Rebuilding staff trust, strengthening digital capabilities, increasing customer happiness by 20%, and coordinating operations with the UK's Net Zero 2050 targets are among the main priorities. To guarantee accountability and long-term effect, the plan incorporates leadership development programs, a transparent communication structure, and performance evaluation utilising the Balanced Scorecard technique.</w:t>
      </w:r>
      <w:r>
        <w:rPr>
          <w:rFonts w:ascii="Arial" w:hAnsi="Arial" w:cs="Arial"/>
          <w:sz w:val="22"/>
          <w:szCs w:val="22"/>
        </w:rPr>
        <w:t xml:space="preserve"> </w:t>
      </w:r>
      <w:r w:rsidRPr="00C3209B">
        <w:rPr>
          <w:rFonts w:ascii="Arial" w:hAnsi="Arial" w:cs="Arial"/>
          <w:sz w:val="22"/>
          <w:szCs w:val="22"/>
        </w:rPr>
        <w:t>British Gas can improve organisational resilience, repair its public image, and re-establish itself as a customer-focused, sustainable leader in the changing UK energy market by integrating transformational leadership, transparent engagement, and digital innovation.</w:t>
      </w:r>
      <w:r w:rsidR="00567EF4" w:rsidRPr="00FE5917">
        <w:rPr>
          <w:rFonts w:ascii="Arial" w:hAnsi="Arial" w:cs="Arial"/>
          <w:noProof/>
        </w:rPr>
        <w:br w:type="page"/>
      </w:r>
    </w:p>
    <w:sdt>
      <w:sdtPr>
        <w:rPr>
          <w:rFonts w:asciiTheme="minorHAnsi" w:eastAsiaTheme="minorHAnsi" w:hAnsiTheme="minorHAnsi" w:cstheme="minorBidi"/>
          <w:b w:val="0"/>
          <w:bCs w:val="0"/>
          <w:color w:val="auto"/>
          <w:kern w:val="2"/>
          <w:sz w:val="24"/>
          <w:szCs w:val="24"/>
          <w:lang w:val="en-GB"/>
          <w14:ligatures w14:val="standardContextual"/>
        </w:rPr>
        <w:id w:val="-1224521624"/>
        <w:docPartObj>
          <w:docPartGallery w:val="Table of Contents"/>
          <w:docPartUnique/>
        </w:docPartObj>
      </w:sdtPr>
      <w:sdtEndPr>
        <w:rPr>
          <w:noProof/>
        </w:rPr>
      </w:sdtEndPr>
      <w:sdtContent>
        <w:p w14:paraId="01D33585" w14:textId="4C7910AF" w:rsidR="00231295" w:rsidRDefault="00231295">
          <w:pPr>
            <w:pStyle w:val="TOCHeading"/>
          </w:pPr>
          <w:r>
            <w:t>Table of Contents</w:t>
          </w:r>
        </w:p>
        <w:p w14:paraId="7811D1D9" w14:textId="53E3E796" w:rsidR="00FE239F" w:rsidRDefault="00231295">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12715836" w:history="1">
            <w:r w:rsidR="00FE239F" w:rsidRPr="00973053">
              <w:rPr>
                <w:rStyle w:val="Hyperlink"/>
                <w:rFonts w:ascii="Baskerville Old Face" w:hAnsi="Baskerville Old Face" w:cs="Times New Roman"/>
                <w:noProof/>
              </w:rPr>
              <w:t>INTRODUCTION:</w:t>
            </w:r>
            <w:r w:rsidR="00FE239F">
              <w:rPr>
                <w:noProof/>
                <w:webHidden/>
              </w:rPr>
              <w:tab/>
            </w:r>
            <w:r w:rsidR="00FE239F">
              <w:rPr>
                <w:noProof/>
                <w:webHidden/>
              </w:rPr>
              <w:fldChar w:fldCharType="begin"/>
            </w:r>
            <w:r w:rsidR="00FE239F">
              <w:rPr>
                <w:noProof/>
                <w:webHidden/>
              </w:rPr>
              <w:instrText xml:space="preserve"> PAGEREF _Toc212715836 \h </w:instrText>
            </w:r>
            <w:r w:rsidR="00FE239F">
              <w:rPr>
                <w:noProof/>
                <w:webHidden/>
              </w:rPr>
            </w:r>
            <w:r w:rsidR="00FE239F">
              <w:rPr>
                <w:noProof/>
                <w:webHidden/>
              </w:rPr>
              <w:fldChar w:fldCharType="separate"/>
            </w:r>
            <w:r w:rsidR="00FE239F">
              <w:rPr>
                <w:noProof/>
                <w:webHidden/>
              </w:rPr>
              <w:t>3</w:t>
            </w:r>
            <w:r w:rsidR="00FE239F">
              <w:rPr>
                <w:noProof/>
                <w:webHidden/>
              </w:rPr>
              <w:fldChar w:fldCharType="end"/>
            </w:r>
          </w:hyperlink>
        </w:p>
        <w:p w14:paraId="5EAC57BC" w14:textId="2D07FB62" w:rsidR="00FE239F" w:rsidRDefault="00FE239F">
          <w:pPr>
            <w:pStyle w:val="TOC1"/>
            <w:tabs>
              <w:tab w:val="right" w:leader="dot" w:pos="9016"/>
            </w:tabs>
            <w:rPr>
              <w:rFonts w:eastAsiaTheme="minorEastAsia"/>
              <w:b w:val="0"/>
              <w:bCs w:val="0"/>
              <w:noProof/>
              <w:sz w:val="24"/>
              <w:szCs w:val="24"/>
              <w:lang w:eastAsia="en-GB"/>
            </w:rPr>
          </w:pPr>
          <w:hyperlink w:anchor="_Toc212715837" w:history="1">
            <w:r w:rsidRPr="00973053">
              <w:rPr>
                <w:rStyle w:val="Hyperlink"/>
                <w:rFonts w:ascii="Baskerville Old Face" w:hAnsi="Baskerville Old Face" w:cs="Times New Roman"/>
                <w:noProof/>
              </w:rPr>
              <w:t>BRITISH GAS BACKGROUND:</w:t>
            </w:r>
            <w:r>
              <w:rPr>
                <w:noProof/>
                <w:webHidden/>
              </w:rPr>
              <w:tab/>
            </w:r>
            <w:r>
              <w:rPr>
                <w:noProof/>
                <w:webHidden/>
              </w:rPr>
              <w:fldChar w:fldCharType="begin"/>
            </w:r>
            <w:r>
              <w:rPr>
                <w:noProof/>
                <w:webHidden/>
              </w:rPr>
              <w:instrText xml:space="preserve"> PAGEREF _Toc212715837 \h </w:instrText>
            </w:r>
            <w:r>
              <w:rPr>
                <w:noProof/>
                <w:webHidden/>
              </w:rPr>
            </w:r>
            <w:r>
              <w:rPr>
                <w:noProof/>
                <w:webHidden/>
              </w:rPr>
              <w:fldChar w:fldCharType="separate"/>
            </w:r>
            <w:r>
              <w:rPr>
                <w:noProof/>
                <w:webHidden/>
              </w:rPr>
              <w:t>3</w:t>
            </w:r>
            <w:r>
              <w:rPr>
                <w:noProof/>
                <w:webHidden/>
              </w:rPr>
              <w:fldChar w:fldCharType="end"/>
            </w:r>
          </w:hyperlink>
        </w:p>
        <w:p w14:paraId="14AEA256" w14:textId="0A2810DB" w:rsidR="00FE239F" w:rsidRDefault="00FE239F">
          <w:pPr>
            <w:pStyle w:val="TOC1"/>
            <w:tabs>
              <w:tab w:val="right" w:leader="dot" w:pos="9016"/>
            </w:tabs>
            <w:rPr>
              <w:rFonts w:eastAsiaTheme="minorEastAsia"/>
              <w:b w:val="0"/>
              <w:bCs w:val="0"/>
              <w:noProof/>
              <w:sz w:val="24"/>
              <w:szCs w:val="24"/>
              <w:lang w:eastAsia="en-GB"/>
            </w:rPr>
          </w:pPr>
          <w:hyperlink w:anchor="_Toc212715838" w:history="1">
            <w:r w:rsidRPr="00973053">
              <w:rPr>
                <w:rStyle w:val="Hyperlink"/>
                <w:rFonts w:ascii="Baskerville Old Face" w:hAnsi="Baskerville Old Face" w:cs="Arial"/>
                <w:noProof/>
              </w:rPr>
              <w:t>CRITICAL SWOT ANALYSIS OF BRITISH GAS (2021-2024)</w:t>
            </w:r>
            <w:r>
              <w:rPr>
                <w:noProof/>
                <w:webHidden/>
              </w:rPr>
              <w:tab/>
            </w:r>
            <w:r>
              <w:rPr>
                <w:noProof/>
                <w:webHidden/>
              </w:rPr>
              <w:fldChar w:fldCharType="begin"/>
            </w:r>
            <w:r>
              <w:rPr>
                <w:noProof/>
                <w:webHidden/>
              </w:rPr>
              <w:instrText xml:space="preserve"> PAGEREF _Toc212715838 \h </w:instrText>
            </w:r>
            <w:r>
              <w:rPr>
                <w:noProof/>
                <w:webHidden/>
              </w:rPr>
            </w:r>
            <w:r>
              <w:rPr>
                <w:noProof/>
                <w:webHidden/>
              </w:rPr>
              <w:fldChar w:fldCharType="separate"/>
            </w:r>
            <w:r>
              <w:rPr>
                <w:noProof/>
                <w:webHidden/>
              </w:rPr>
              <w:t>4</w:t>
            </w:r>
            <w:r>
              <w:rPr>
                <w:noProof/>
                <w:webHidden/>
              </w:rPr>
              <w:fldChar w:fldCharType="end"/>
            </w:r>
          </w:hyperlink>
        </w:p>
        <w:p w14:paraId="0A968B52" w14:textId="375B25CF" w:rsidR="00FE239F" w:rsidRDefault="00FE239F">
          <w:pPr>
            <w:pStyle w:val="TOC1"/>
            <w:tabs>
              <w:tab w:val="right" w:leader="dot" w:pos="9016"/>
            </w:tabs>
            <w:rPr>
              <w:rFonts w:eastAsiaTheme="minorEastAsia"/>
              <w:b w:val="0"/>
              <w:bCs w:val="0"/>
              <w:noProof/>
              <w:sz w:val="24"/>
              <w:szCs w:val="24"/>
              <w:lang w:eastAsia="en-GB"/>
            </w:rPr>
          </w:pPr>
          <w:hyperlink w:anchor="_Toc212715839" w:history="1">
            <w:r w:rsidRPr="00973053">
              <w:rPr>
                <w:rStyle w:val="Hyperlink"/>
                <w:rFonts w:ascii="Baskerville Old Face" w:hAnsi="Baskerville Old Face" w:cs="Arial"/>
                <w:noProof/>
              </w:rPr>
              <w:t>CRITICAL PESTLE ANALYSIS:</w:t>
            </w:r>
            <w:r>
              <w:rPr>
                <w:noProof/>
                <w:webHidden/>
              </w:rPr>
              <w:tab/>
            </w:r>
            <w:r>
              <w:rPr>
                <w:noProof/>
                <w:webHidden/>
              </w:rPr>
              <w:fldChar w:fldCharType="begin"/>
            </w:r>
            <w:r>
              <w:rPr>
                <w:noProof/>
                <w:webHidden/>
              </w:rPr>
              <w:instrText xml:space="preserve"> PAGEREF _Toc212715839 \h </w:instrText>
            </w:r>
            <w:r>
              <w:rPr>
                <w:noProof/>
                <w:webHidden/>
              </w:rPr>
            </w:r>
            <w:r>
              <w:rPr>
                <w:noProof/>
                <w:webHidden/>
              </w:rPr>
              <w:fldChar w:fldCharType="separate"/>
            </w:r>
            <w:r>
              <w:rPr>
                <w:noProof/>
                <w:webHidden/>
              </w:rPr>
              <w:t>4</w:t>
            </w:r>
            <w:r>
              <w:rPr>
                <w:noProof/>
                <w:webHidden/>
              </w:rPr>
              <w:fldChar w:fldCharType="end"/>
            </w:r>
          </w:hyperlink>
        </w:p>
        <w:p w14:paraId="4C6B869B" w14:textId="55F14439" w:rsidR="00FE239F" w:rsidRDefault="00FE239F">
          <w:pPr>
            <w:pStyle w:val="TOC1"/>
            <w:tabs>
              <w:tab w:val="right" w:leader="dot" w:pos="9016"/>
            </w:tabs>
            <w:rPr>
              <w:rFonts w:eastAsiaTheme="minorEastAsia"/>
              <w:b w:val="0"/>
              <w:bCs w:val="0"/>
              <w:noProof/>
              <w:sz w:val="24"/>
              <w:szCs w:val="24"/>
              <w:lang w:eastAsia="en-GB"/>
            </w:rPr>
          </w:pPr>
          <w:hyperlink w:anchor="_Toc212715840" w:history="1">
            <w:r w:rsidRPr="00973053">
              <w:rPr>
                <w:rStyle w:val="Hyperlink"/>
                <w:rFonts w:ascii="Baskerville Old Face" w:hAnsi="Baskerville Old Face"/>
                <w:noProof/>
              </w:rPr>
              <w:t>RECENT HISTORY AND IMPACT OF INTERNAL &amp; EXTERNAL CHANGES:</w:t>
            </w:r>
            <w:r>
              <w:rPr>
                <w:noProof/>
                <w:webHidden/>
              </w:rPr>
              <w:tab/>
            </w:r>
            <w:r>
              <w:rPr>
                <w:noProof/>
                <w:webHidden/>
              </w:rPr>
              <w:fldChar w:fldCharType="begin"/>
            </w:r>
            <w:r>
              <w:rPr>
                <w:noProof/>
                <w:webHidden/>
              </w:rPr>
              <w:instrText xml:space="preserve"> PAGEREF _Toc212715840 \h </w:instrText>
            </w:r>
            <w:r>
              <w:rPr>
                <w:noProof/>
                <w:webHidden/>
              </w:rPr>
            </w:r>
            <w:r>
              <w:rPr>
                <w:noProof/>
                <w:webHidden/>
              </w:rPr>
              <w:fldChar w:fldCharType="separate"/>
            </w:r>
            <w:r>
              <w:rPr>
                <w:noProof/>
                <w:webHidden/>
              </w:rPr>
              <w:t>6</w:t>
            </w:r>
            <w:r>
              <w:rPr>
                <w:noProof/>
                <w:webHidden/>
              </w:rPr>
              <w:fldChar w:fldCharType="end"/>
            </w:r>
          </w:hyperlink>
        </w:p>
        <w:p w14:paraId="5417BC87" w14:textId="7456050C" w:rsidR="00FE239F" w:rsidRDefault="00FE239F">
          <w:pPr>
            <w:pStyle w:val="TOC1"/>
            <w:tabs>
              <w:tab w:val="right" w:leader="dot" w:pos="9016"/>
            </w:tabs>
            <w:rPr>
              <w:rFonts w:eastAsiaTheme="minorEastAsia"/>
              <w:b w:val="0"/>
              <w:bCs w:val="0"/>
              <w:noProof/>
              <w:sz w:val="24"/>
              <w:szCs w:val="24"/>
              <w:lang w:eastAsia="en-GB"/>
            </w:rPr>
          </w:pPr>
          <w:hyperlink w:anchor="_Toc212715841" w:history="1">
            <w:r w:rsidRPr="00973053">
              <w:rPr>
                <w:rStyle w:val="Hyperlink"/>
                <w:rFonts w:ascii="Baskerville Old Face" w:hAnsi="Baskerville Old Face"/>
                <w:noProof/>
              </w:rPr>
              <w:t>MAIN TRIGGERS OF CHANGE AT BRITISH GAS (2021-2024)</w:t>
            </w:r>
            <w:r>
              <w:rPr>
                <w:noProof/>
                <w:webHidden/>
              </w:rPr>
              <w:tab/>
            </w:r>
            <w:r>
              <w:rPr>
                <w:noProof/>
                <w:webHidden/>
              </w:rPr>
              <w:fldChar w:fldCharType="begin"/>
            </w:r>
            <w:r>
              <w:rPr>
                <w:noProof/>
                <w:webHidden/>
              </w:rPr>
              <w:instrText xml:space="preserve"> PAGEREF _Toc212715841 \h </w:instrText>
            </w:r>
            <w:r>
              <w:rPr>
                <w:noProof/>
                <w:webHidden/>
              </w:rPr>
            </w:r>
            <w:r>
              <w:rPr>
                <w:noProof/>
                <w:webHidden/>
              </w:rPr>
              <w:fldChar w:fldCharType="separate"/>
            </w:r>
            <w:r>
              <w:rPr>
                <w:noProof/>
                <w:webHidden/>
              </w:rPr>
              <w:t>8</w:t>
            </w:r>
            <w:r>
              <w:rPr>
                <w:noProof/>
                <w:webHidden/>
              </w:rPr>
              <w:fldChar w:fldCharType="end"/>
            </w:r>
          </w:hyperlink>
        </w:p>
        <w:p w14:paraId="2DA8672D" w14:textId="32ACD599" w:rsidR="00FE239F" w:rsidRDefault="00FE239F">
          <w:pPr>
            <w:pStyle w:val="TOC1"/>
            <w:tabs>
              <w:tab w:val="right" w:leader="dot" w:pos="9016"/>
            </w:tabs>
            <w:rPr>
              <w:rFonts w:eastAsiaTheme="minorEastAsia"/>
              <w:b w:val="0"/>
              <w:bCs w:val="0"/>
              <w:noProof/>
              <w:sz w:val="24"/>
              <w:szCs w:val="24"/>
              <w:lang w:eastAsia="en-GB"/>
            </w:rPr>
          </w:pPr>
          <w:hyperlink w:anchor="_Toc212715842" w:history="1">
            <w:r w:rsidRPr="00973053">
              <w:rPr>
                <w:rStyle w:val="Hyperlink"/>
                <w:rFonts w:ascii="Baskerville Old Face" w:hAnsi="Baskerville Old Face"/>
                <w:noProof/>
              </w:rPr>
              <w:t>LEADERSHIP, CULTURE AND CHANGE EVALUATION:</w:t>
            </w:r>
            <w:r>
              <w:rPr>
                <w:noProof/>
                <w:webHidden/>
              </w:rPr>
              <w:tab/>
            </w:r>
            <w:r>
              <w:rPr>
                <w:noProof/>
                <w:webHidden/>
              </w:rPr>
              <w:fldChar w:fldCharType="begin"/>
            </w:r>
            <w:r>
              <w:rPr>
                <w:noProof/>
                <w:webHidden/>
              </w:rPr>
              <w:instrText xml:space="preserve"> PAGEREF _Toc212715842 \h </w:instrText>
            </w:r>
            <w:r>
              <w:rPr>
                <w:noProof/>
                <w:webHidden/>
              </w:rPr>
            </w:r>
            <w:r>
              <w:rPr>
                <w:noProof/>
                <w:webHidden/>
              </w:rPr>
              <w:fldChar w:fldCharType="separate"/>
            </w:r>
            <w:r>
              <w:rPr>
                <w:noProof/>
                <w:webHidden/>
              </w:rPr>
              <w:t>10</w:t>
            </w:r>
            <w:r>
              <w:rPr>
                <w:noProof/>
                <w:webHidden/>
              </w:rPr>
              <w:fldChar w:fldCharType="end"/>
            </w:r>
          </w:hyperlink>
        </w:p>
        <w:p w14:paraId="308B04E9" w14:textId="15A5DCE2" w:rsidR="00FE239F" w:rsidRDefault="00FE239F">
          <w:pPr>
            <w:pStyle w:val="TOC1"/>
            <w:tabs>
              <w:tab w:val="right" w:leader="dot" w:pos="9016"/>
            </w:tabs>
            <w:rPr>
              <w:rFonts w:eastAsiaTheme="minorEastAsia"/>
              <w:b w:val="0"/>
              <w:bCs w:val="0"/>
              <w:noProof/>
              <w:sz w:val="24"/>
              <w:szCs w:val="24"/>
              <w:lang w:eastAsia="en-GB"/>
            </w:rPr>
          </w:pPr>
          <w:hyperlink w:anchor="_Toc212715843" w:history="1">
            <w:r w:rsidRPr="00973053">
              <w:rPr>
                <w:rStyle w:val="Hyperlink"/>
                <w:rFonts w:ascii="Baskerville Old Face" w:hAnsi="Baskerville Old Face"/>
                <w:noProof/>
              </w:rPr>
              <w:t>A DEVELOPED CHANGE MANAGEMENT PLAN FOR BRITISH GAS:</w:t>
            </w:r>
            <w:r>
              <w:rPr>
                <w:noProof/>
                <w:webHidden/>
              </w:rPr>
              <w:tab/>
            </w:r>
            <w:r>
              <w:rPr>
                <w:noProof/>
                <w:webHidden/>
              </w:rPr>
              <w:fldChar w:fldCharType="begin"/>
            </w:r>
            <w:r>
              <w:rPr>
                <w:noProof/>
                <w:webHidden/>
              </w:rPr>
              <w:instrText xml:space="preserve"> PAGEREF _Toc212715843 \h </w:instrText>
            </w:r>
            <w:r>
              <w:rPr>
                <w:noProof/>
                <w:webHidden/>
              </w:rPr>
            </w:r>
            <w:r>
              <w:rPr>
                <w:noProof/>
                <w:webHidden/>
              </w:rPr>
              <w:fldChar w:fldCharType="separate"/>
            </w:r>
            <w:r>
              <w:rPr>
                <w:noProof/>
                <w:webHidden/>
              </w:rPr>
              <w:t>11</w:t>
            </w:r>
            <w:r>
              <w:rPr>
                <w:noProof/>
                <w:webHidden/>
              </w:rPr>
              <w:fldChar w:fldCharType="end"/>
            </w:r>
          </w:hyperlink>
        </w:p>
        <w:p w14:paraId="60483722" w14:textId="7B368890" w:rsidR="00FE239F" w:rsidRDefault="00FE239F">
          <w:pPr>
            <w:pStyle w:val="TOC1"/>
            <w:tabs>
              <w:tab w:val="right" w:leader="dot" w:pos="9016"/>
            </w:tabs>
            <w:rPr>
              <w:rFonts w:eastAsiaTheme="minorEastAsia"/>
              <w:b w:val="0"/>
              <w:bCs w:val="0"/>
              <w:noProof/>
              <w:sz w:val="24"/>
              <w:szCs w:val="24"/>
              <w:lang w:eastAsia="en-GB"/>
            </w:rPr>
          </w:pPr>
          <w:hyperlink w:anchor="_Toc212715844" w:history="1">
            <w:r w:rsidRPr="00973053">
              <w:rPr>
                <w:rStyle w:val="Hyperlink"/>
                <w:rFonts w:ascii="Baskerville Old Face" w:hAnsi="Baskerville Old Face"/>
                <w:noProof/>
              </w:rPr>
              <w:t>RECOMMENDATIONS:</w:t>
            </w:r>
            <w:r>
              <w:rPr>
                <w:noProof/>
                <w:webHidden/>
              </w:rPr>
              <w:tab/>
            </w:r>
            <w:r>
              <w:rPr>
                <w:noProof/>
                <w:webHidden/>
              </w:rPr>
              <w:fldChar w:fldCharType="begin"/>
            </w:r>
            <w:r>
              <w:rPr>
                <w:noProof/>
                <w:webHidden/>
              </w:rPr>
              <w:instrText xml:space="preserve"> PAGEREF _Toc212715844 \h </w:instrText>
            </w:r>
            <w:r>
              <w:rPr>
                <w:noProof/>
                <w:webHidden/>
              </w:rPr>
            </w:r>
            <w:r>
              <w:rPr>
                <w:noProof/>
                <w:webHidden/>
              </w:rPr>
              <w:fldChar w:fldCharType="separate"/>
            </w:r>
            <w:r>
              <w:rPr>
                <w:noProof/>
                <w:webHidden/>
              </w:rPr>
              <w:t>12</w:t>
            </w:r>
            <w:r>
              <w:rPr>
                <w:noProof/>
                <w:webHidden/>
              </w:rPr>
              <w:fldChar w:fldCharType="end"/>
            </w:r>
          </w:hyperlink>
        </w:p>
        <w:p w14:paraId="4D78010C" w14:textId="116DFF4B" w:rsidR="00FE239F" w:rsidRDefault="00FE239F">
          <w:pPr>
            <w:pStyle w:val="TOC1"/>
            <w:tabs>
              <w:tab w:val="right" w:leader="dot" w:pos="9016"/>
            </w:tabs>
            <w:rPr>
              <w:rFonts w:eastAsiaTheme="minorEastAsia"/>
              <w:b w:val="0"/>
              <w:bCs w:val="0"/>
              <w:noProof/>
              <w:sz w:val="24"/>
              <w:szCs w:val="24"/>
              <w:lang w:eastAsia="en-GB"/>
            </w:rPr>
          </w:pPr>
          <w:hyperlink w:anchor="_Toc212715845" w:history="1">
            <w:r w:rsidRPr="00973053">
              <w:rPr>
                <w:rStyle w:val="Hyperlink"/>
                <w:rFonts w:ascii="Baskerville Old Face" w:hAnsi="Baskerville Old Face"/>
                <w:noProof/>
              </w:rPr>
              <w:t>REFERENCE LIST:</w:t>
            </w:r>
            <w:r>
              <w:rPr>
                <w:noProof/>
                <w:webHidden/>
              </w:rPr>
              <w:tab/>
            </w:r>
            <w:r>
              <w:rPr>
                <w:noProof/>
                <w:webHidden/>
              </w:rPr>
              <w:fldChar w:fldCharType="begin"/>
            </w:r>
            <w:r>
              <w:rPr>
                <w:noProof/>
                <w:webHidden/>
              </w:rPr>
              <w:instrText xml:space="preserve"> PAGEREF _Toc212715845 \h </w:instrText>
            </w:r>
            <w:r>
              <w:rPr>
                <w:noProof/>
                <w:webHidden/>
              </w:rPr>
            </w:r>
            <w:r>
              <w:rPr>
                <w:noProof/>
                <w:webHidden/>
              </w:rPr>
              <w:fldChar w:fldCharType="separate"/>
            </w:r>
            <w:r>
              <w:rPr>
                <w:noProof/>
                <w:webHidden/>
              </w:rPr>
              <w:t>13</w:t>
            </w:r>
            <w:r>
              <w:rPr>
                <w:noProof/>
                <w:webHidden/>
              </w:rPr>
              <w:fldChar w:fldCharType="end"/>
            </w:r>
          </w:hyperlink>
        </w:p>
        <w:p w14:paraId="1EB8DD06" w14:textId="0FCD0034" w:rsidR="00231295" w:rsidRDefault="00231295">
          <w:r>
            <w:rPr>
              <w:b/>
              <w:bCs/>
              <w:noProof/>
            </w:rPr>
            <w:fldChar w:fldCharType="end"/>
          </w:r>
        </w:p>
      </w:sdtContent>
    </w:sdt>
    <w:p w14:paraId="650F6B37" w14:textId="77777777" w:rsidR="00567EF4" w:rsidRDefault="00567EF4"/>
    <w:p w14:paraId="23B2C3F4" w14:textId="77777777" w:rsidR="00567EF4" w:rsidRDefault="00567EF4"/>
    <w:p w14:paraId="4E29D3FD" w14:textId="77777777" w:rsidR="00567EF4" w:rsidRDefault="00567EF4"/>
    <w:p w14:paraId="30F0C785" w14:textId="77777777" w:rsidR="00567EF4" w:rsidRDefault="00567EF4"/>
    <w:p w14:paraId="7AE52B3F" w14:textId="77777777" w:rsidR="00567EF4" w:rsidRDefault="00567EF4"/>
    <w:p w14:paraId="7CF3BAA9" w14:textId="77777777" w:rsidR="00567EF4" w:rsidRDefault="00567EF4">
      <w:r>
        <w:br w:type="page"/>
      </w:r>
    </w:p>
    <w:p w14:paraId="21AA4CBD" w14:textId="77777777" w:rsidR="00F90740" w:rsidRPr="009C27EF" w:rsidRDefault="00231295" w:rsidP="007368ED">
      <w:pPr>
        <w:pStyle w:val="Heading1"/>
        <w:spacing w:line="360" w:lineRule="auto"/>
        <w:rPr>
          <w:rFonts w:ascii="Baskerville Old Face" w:hAnsi="Baskerville Old Face" w:cs="Times New Roman"/>
          <w:b/>
          <w:bCs/>
          <w:color w:val="000000" w:themeColor="text1"/>
          <w:sz w:val="32"/>
          <w:szCs w:val="32"/>
        </w:rPr>
      </w:pPr>
      <w:bookmarkStart w:id="0" w:name="_Toc212715836"/>
      <w:r w:rsidRPr="009C27EF">
        <w:rPr>
          <w:rFonts w:ascii="Baskerville Old Face" w:hAnsi="Baskerville Old Face" w:cs="Times New Roman"/>
          <w:b/>
          <w:bCs/>
          <w:color w:val="000000" w:themeColor="text1"/>
          <w:sz w:val="32"/>
          <w:szCs w:val="32"/>
        </w:rPr>
        <w:lastRenderedPageBreak/>
        <w:t>INTRODUCTION</w:t>
      </w:r>
      <w:r w:rsidR="00F90740" w:rsidRPr="009C27EF">
        <w:rPr>
          <w:rFonts w:ascii="Baskerville Old Face" w:hAnsi="Baskerville Old Face" w:cs="Times New Roman"/>
          <w:b/>
          <w:bCs/>
          <w:color w:val="000000" w:themeColor="text1"/>
          <w:sz w:val="32"/>
          <w:szCs w:val="32"/>
        </w:rPr>
        <w:t>:</w:t>
      </w:r>
      <w:bookmarkEnd w:id="0"/>
    </w:p>
    <w:p w14:paraId="0AA2E668" w14:textId="25411243" w:rsidR="00666874" w:rsidRDefault="00666874" w:rsidP="007368ED">
      <w:pPr>
        <w:spacing w:line="360" w:lineRule="auto"/>
        <w:jc w:val="both"/>
        <w:rPr>
          <w:rFonts w:ascii="Arial" w:hAnsi="Arial" w:cs="Arial"/>
          <w:sz w:val="22"/>
          <w:szCs w:val="22"/>
        </w:rPr>
      </w:pPr>
      <w:r w:rsidRPr="00666874">
        <w:rPr>
          <w:rFonts w:ascii="Arial" w:hAnsi="Arial" w:cs="Arial"/>
          <w:sz w:val="22"/>
          <w:szCs w:val="22"/>
        </w:rPr>
        <w:t>T</w:t>
      </w:r>
      <w:r w:rsidR="002A3C5E">
        <w:rPr>
          <w:rFonts w:ascii="Arial" w:hAnsi="Arial" w:cs="Arial"/>
          <w:sz w:val="22"/>
          <w:szCs w:val="22"/>
        </w:rPr>
        <w:t>his</w:t>
      </w:r>
      <w:r w:rsidRPr="00666874">
        <w:rPr>
          <w:rFonts w:ascii="Arial" w:hAnsi="Arial" w:cs="Arial"/>
          <w:sz w:val="22"/>
          <w:szCs w:val="22"/>
        </w:rPr>
        <w:t xml:space="preserve"> r</w:t>
      </w:r>
      <w:r>
        <w:rPr>
          <w:rFonts w:ascii="Arial" w:hAnsi="Arial" w:cs="Arial"/>
          <w:sz w:val="22"/>
          <w:szCs w:val="22"/>
        </w:rPr>
        <w:t>eport</w:t>
      </w:r>
      <w:r w:rsidRPr="00666874">
        <w:rPr>
          <w:rFonts w:ascii="Arial" w:hAnsi="Arial" w:cs="Arial"/>
          <w:sz w:val="22"/>
          <w:szCs w:val="22"/>
        </w:rPr>
        <w:t xml:space="preserve"> explores how British Gas has been affected by recent internal and external developments and suggests ways to improve consumer satisfaction, staff engagement, and organisational resilience. In addition to evaluating external forces like unstable geopolitical conditions, regulatory changes, and shifting consumer expectations, it looks at how performance and public perception have been impacted by labour conflicts, fluctuations in markets, and reputational issues. In addition to making suggestions for regaining competitiveness, boosting morale, and re-establishing trust in the constantly changing UK energy market, the report highlights the ways in which structured change management may promote economic recovery, innovation, and sustainable growth.</w:t>
      </w:r>
    </w:p>
    <w:p w14:paraId="32C402E4" w14:textId="525E945C" w:rsidR="00E37F0B" w:rsidRDefault="00C93E36" w:rsidP="007368ED">
      <w:pPr>
        <w:spacing w:line="360" w:lineRule="auto"/>
        <w:jc w:val="both"/>
        <w:rPr>
          <w:rFonts w:ascii="Arial" w:hAnsi="Arial" w:cs="Arial"/>
          <w:sz w:val="22"/>
          <w:szCs w:val="22"/>
        </w:rPr>
      </w:pPr>
      <w:r w:rsidRPr="00C93E36">
        <w:rPr>
          <w:rFonts w:ascii="Arial" w:hAnsi="Arial" w:cs="Arial"/>
          <w:sz w:val="22"/>
          <w:szCs w:val="22"/>
        </w:rPr>
        <w:t>The scope of this study is to focus on both the internal and external factors that influenced British Gas from 2021 to 2024, such as organisational culture, employee interactions, market instability, and growing competition from cutting-edge energy suppliers. It explores the ways in which these factors have impacted the business's overall performance, position as a brand, and strategic direction, establishing a foundation for recognising the opportunities and difficulties that motivate the necessity of successful change management.</w:t>
      </w:r>
    </w:p>
    <w:p w14:paraId="10EF8435" w14:textId="37F0AA4B" w:rsidR="005E1F8E" w:rsidRPr="00666874" w:rsidRDefault="005E1F8E" w:rsidP="007368ED">
      <w:pPr>
        <w:spacing w:line="360" w:lineRule="auto"/>
        <w:jc w:val="both"/>
        <w:rPr>
          <w:rFonts w:ascii="Arial" w:hAnsi="Arial" w:cs="Arial"/>
          <w:sz w:val="22"/>
          <w:szCs w:val="22"/>
        </w:rPr>
      </w:pPr>
      <w:r w:rsidRPr="005E1F8E">
        <w:rPr>
          <w:rFonts w:ascii="Arial" w:hAnsi="Arial" w:cs="Arial"/>
          <w:sz w:val="22"/>
          <w:szCs w:val="22"/>
        </w:rPr>
        <w:t>In order to analyse the factors impacting transformation at British Gas, this report combines internal and external analysis. Using SWOT analysis, the internal analysis examines employee interactions, business performance, and change outcomes to define the company's main strengths, weaknesses, opportunities, and threats. PESTLE is used in the external analysis to evaluate the technological, political, and economic factors influencing the UK energy industry. The conclusions drawn from both investigations are combined to provide specific suggestions that help British Gas manage change in a productive and long-lasting approach.</w:t>
      </w:r>
    </w:p>
    <w:p w14:paraId="6EE457AF" w14:textId="5ECD99F2" w:rsidR="00231295" w:rsidRPr="009C27EF" w:rsidRDefault="00231295" w:rsidP="007368ED">
      <w:pPr>
        <w:pStyle w:val="Heading1"/>
        <w:spacing w:line="360" w:lineRule="auto"/>
        <w:rPr>
          <w:rFonts w:ascii="Baskerville Old Face" w:hAnsi="Baskerville Old Face" w:cs="Times New Roman"/>
          <w:b/>
          <w:bCs/>
          <w:color w:val="000000" w:themeColor="text1"/>
          <w:sz w:val="32"/>
          <w:szCs w:val="32"/>
        </w:rPr>
      </w:pPr>
      <w:bookmarkStart w:id="1" w:name="_Toc212715837"/>
      <w:r w:rsidRPr="009C27EF">
        <w:rPr>
          <w:rFonts w:ascii="Baskerville Old Face" w:hAnsi="Baskerville Old Face" w:cs="Times New Roman"/>
          <w:b/>
          <w:bCs/>
          <w:color w:val="000000" w:themeColor="text1"/>
          <w:sz w:val="32"/>
          <w:szCs w:val="32"/>
        </w:rPr>
        <w:t>BRITISH GAS</w:t>
      </w:r>
      <w:r w:rsidR="00F90740" w:rsidRPr="009C27EF">
        <w:rPr>
          <w:rFonts w:ascii="Baskerville Old Face" w:hAnsi="Baskerville Old Face" w:cs="Times New Roman"/>
          <w:b/>
          <w:bCs/>
          <w:color w:val="000000" w:themeColor="text1"/>
          <w:sz w:val="32"/>
          <w:szCs w:val="32"/>
        </w:rPr>
        <w:t xml:space="preserve"> BACKGROUND</w:t>
      </w:r>
      <w:r w:rsidRPr="009C27EF">
        <w:rPr>
          <w:rFonts w:ascii="Baskerville Old Face" w:hAnsi="Baskerville Old Face" w:cs="Times New Roman"/>
          <w:b/>
          <w:bCs/>
          <w:color w:val="000000" w:themeColor="text1"/>
          <w:sz w:val="32"/>
          <w:szCs w:val="32"/>
        </w:rPr>
        <w:t>:</w:t>
      </w:r>
      <w:bookmarkEnd w:id="1"/>
    </w:p>
    <w:p w14:paraId="59DF4267" w14:textId="333E1A02" w:rsidR="00231295" w:rsidRPr="001A374E" w:rsidRDefault="00596485" w:rsidP="007368ED">
      <w:pPr>
        <w:spacing w:line="360" w:lineRule="auto"/>
        <w:jc w:val="both"/>
        <w:rPr>
          <w:rFonts w:ascii="Arial" w:hAnsi="Arial" w:cs="Arial"/>
          <w:sz w:val="22"/>
          <w:szCs w:val="22"/>
        </w:rPr>
      </w:pPr>
      <w:r w:rsidRPr="001A374E">
        <w:rPr>
          <w:rFonts w:ascii="Arial" w:hAnsi="Arial" w:cs="Arial"/>
          <w:sz w:val="22"/>
          <w:szCs w:val="22"/>
        </w:rPr>
        <w:t>British Gas is a well-known and significant provider of residential services and energy in the United Kingdom. As a subsidiary of Centrica plc, a global energy and services corporation with its headquarters located in the United Kingdom, it was established more than 200 years ago</w:t>
      </w:r>
      <w:r w:rsidR="00985735">
        <w:rPr>
          <w:rFonts w:ascii="Arial" w:hAnsi="Arial" w:cs="Arial"/>
          <w:sz w:val="22"/>
          <w:szCs w:val="22"/>
        </w:rPr>
        <w:t>, (British</w:t>
      </w:r>
      <w:r w:rsidR="008604B1">
        <w:rPr>
          <w:rFonts w:ascii="Arial" w:hAnsi="Arial" w:cs="Arial"/>
          <w:sz w:val="22"/>
          <w:szCs w:val="22"/>
        </w:rPr>
        <w:t>gas.co.uk</w:t>
      </w:r>
      <w:r w:rsidR="00985735">
        <w:rPr>
          <w:rFonts w:ascii="Arial" w:hAnsi="Arial" w:cs="Arial"/>
          <w:sz w:val="22"/>
          <w:szCs w:val="22"/>
        </w:rPr>
        <w:t xml:space="preserve">). </w:t>
      </w:r>
      <w:r w:rsidRPr="001A374E">
        <w:rPr>
          <w:rFonts w:ascii="Arial" w:hAnsi="Arial" w:cs="Arial"/>
          <w:sz w:val="22"/>
          <w:szCs w:val="22"/>
        </w:rPr>
        <w:t xml:space="preserve">British Gas serves millions of residential and business clients nationwide with gas and energy. Installation, upkeep, and repair of boilers, heat pumps, smart meters, and other heating and energy-related equipment are among the many household services it provides in addition to energy delivery. </w:t>
      </w:r>
      <w:r w:rsidR="002701DF">
        <w:rPr>
          <w:rFonts w:ascii="Arial" w:hAnsi="Arial" w:cs="Arial"/>
          <w:sz w:val="22"/>
          <w:szCs w:val="22"/>
        </w:rPr>
        <w:t xml:space="preserve">According to </w:t>
      </w:r>
      <w:r w:rsidR="00A826B4">
        <w:rPr>
          <w:rFonts w:ascii="Arial" w:hAnsi="Arial" w:cs="Arial"/>
          <w:sz w:val="22"/>
          <w:szCs w:val="22"/>
        </w:rPr>
        <w:t xml:space="preserve">Nolden and Sorrell (2016) </w:t>
      </w:r>
      <w:r w:rsidRPr="001A374E">
        <w:rPr>
          <w:rFonts w:ascii="Arial" w:hAnsi="Arial" w:cs="Arial"/>
          <w:sz w:val="22"/>
          <w:szCs w:val="22"/>
        </w:rPr>
        <w:t xml:space="preserve">British Gas is a major force in the UK energy market, controlling a sizeable portion of the market for both home services and energy supply. The business contributes significantly to the goals of </w:t>
      </w:r>
      <w:r w:rsidRPr="001A374E">
        <w:rPr>
          <w:rFonts w:ascii="Arial" w:hAnsi="Arial" w:cs="Arial"/>
          <w:sz w:val="22"/>
          <w:szCs w:val="22"/>
        </w:rPr>
        <w:lastRenderedPageBreak/>
        <w:t>national energy policy, which include encouraging the adoption of low-carbon technology and increasing energy efficiency.</w:t>
      </w:r>
    </w:p>
    <w:p w14:paraId="597538FE" w14:textId="77777777" w:rsidR="00713144" w:rsidRDefault="001A374E" w:rsidP="007368ED">
      <w:pPr>
        <w:spacing w:line="360" w:lineRule="auto"/>
        <w:jc w:val="both"/>
        <w:rPr>
          <w:rFonts w:ascii="Arial" w:hAnsi="Arial" w:cs="Arial"/>
          <w:sz w:val="22"/>
          <w:szCs w:val="22"/>
        </w:rPr>
      </w:pPr>
      <w:r w:rsidRPr="001A374E">
        <w:rPr>
          <w:rFonts w:ascii="Arial" w:hAnsi="Arial" w:cs="Arial"/>
          <w:sz w:val="22"/>
          <w:szCs w:val="22"/>
        </w:rPr>
        <w:t>The shift to a more customer-focused and sustainable business model is the main goal of the company's current strategic objective. This includes a resolute commitment to reaching net-zero carbon emissions by 2050</w:t>
      </w:r>
      <w:r w:rsidR="000D0D94">
        <w:rPr>
          <w:rFonts w:ascii="Arial" w:hAnsi="Arial" w:cs="Arial"/>
          <w:sz w:val="22"/>
          <w:szCs w:val="22"/>
        </w:rPr>
        <w:t xml:space="preserve"> (</w:t>
      </w:r>
      <w:r w:rsidR="00DA3C3A">
        <w:rPr>
          <w:rFonts w:ascii="Arial" w:hAnsi="Arial" w:cs="Arial"/>
          <w:sz w:val="22"/>
          <w:szCs w:val="22"/>
        </w:rPr>
        <w:t>Gov.UK, 2022</w:t>
      </w:r>
      <w:r w:rsidR="000D0D94">
        <w:rPr>
          <w:rFonts w:ascii="Arial" w:hAnsi="Arial" w:cs="Arial"/>
          <w:sz w:val="22"/>
          <w:szCs w:val="22"/>
        </w:rPr>
        <w:t>)</w:t>
      </w:r>
      <w:r w:rsidRPr="001A374E">
        <w:rPr>
          <w:rFonts w:ascii="Arial" w:hAnsi="Arial" w:cs="Arial"/>
          <w:sz w:val="22"/>
          <w:szCs w:val="22"/>
        </w:rPr>
        <w:t>, which is in line with the larger climate goals set by the UK government.</w:t>
      </w:r>
    </w:p>
    <w:p w14:paraId="0E785D18" w14:textId="01184D5B" w:rsidR="00596485" w:rsidRPr="001A374E" w:rsidRDefault="001A374E" w:rsidP="007368ED">
      <w:pPr>
        <w:spacing w:line="360" w:lineRule="auto"/>
        <w:jc w:val="both"/>
        <w:rPr>
          <w:rFonts w:ascii="Arial" w:hAnsi="Arial" w:cs="Arial"/>
          <w:sz w:val="22"/>
          <w:szCs w:val="22"/>
        </w:rPr>
      </w:pPr>
      <w:r w:rsidRPr="001A374E">
        <w:rPr>
          <w:rFonts w:ascii="Arial" w:hAnsi="Arial" w:cs="Arial"/>
          <w:sz w:val="22"/>
          <w:szCs w:val="22"/>
        </w:rPr>
        <w:t>British Gas is making significant investments in cutting-edge, intelligent energy solutions, including heat pumps, smart meters, Hive smart thermostats and infrastructure for electric vehicle (EV) charging, in order to accomplish this. By lowering their carbon footprints, these technologies seek to provide consumers greater control over how much energy they use.</w:t>
      </w:r>
    </w:p>
    <w:p w14:paraId="7EE1AADC" w14:textId="10551662" w:rsidR="00764D1C" w:rsidRPr="001A374E" w:rsidRDefault="001A374E" w:rsidP="007368ED">
      <w:pPr>
        <w:spacing w:line="360" w:lineRule="auto"/>
        <w:jc w:val="both"/>
        <w:rPr>
          <w:rFonts w:ascii="Arial" w:hAnsi="Arial" w:cs="Arial"/>
          <w:sz w:val="22"/>
          <w:szCs w:val="22"/>
        </w:rPr>
      </w:pPr>
      <w:r w:rsidRPr="001A374E">
        <w:rPr>
          <w:rFonts w:ascii="Arial" w:hAnsi="Arial" w:cs="Arial"/>
          <w:sz w:val="22"/>
          <w:szCs w:val="22"/>
        </w:rPr>
        <w:t>In today's quickly changing energy business, British Gas confronts a number of major problems despite its longstanding presence and skills. The company must phase out its reliance on fossil fuels and accelerate the adoption of clean energy technologies in response to the global urgency of addressing climate change. Furthermore, British Gas is under pressure to maintain competitive pricing and guarantee supply dependability in light of the previous energy crisis in the UK</w:t>
      </w:r>
      <w:r w:rsidR="00891188">
        <w:rPr>
          <w:rFonts w:ascii="Arial" w:hAnsi="Arial" w:cs="Arial"/>
          <w:sz w:val="22"/>
          <w:szCs w:val="22"/>
        </w:rPr>
        <w:t xml:space="preserve"> (UK </w:t>
      </w:r>
      <w:r w:rsidR="00C302E4">
        <w:rPr>
          <w:rFonts w:ascii="Arial" w:hAnsi="Arial" w:cs="Arial"/>
          <w:sz w:val="22"/>
          <w:szCs w:val="22"/>
        </w:rPr>
        <w:t>Parliament, 2022)</w:t>
      </w:r>
      <w:r w:rsidRPr="001A374E">
        <w:rPr>
          <w:rFonts w:ascii="Arial" w:hAnsi="Arial" w:cs="Arial"/>
          <w:sz w:val="22"/>
          <w:szCs w:val="22"/>
        </w:rPr>
        <w:t>, which was marked by unstable wholesale prices and the demise of smaller energy suppliers.</w:t>
      </w:r>
    </w:p>
    <w:p w14:paraId="5D8D12A2" w14:textId="6C0F4573" w:rsidR="00596485" w:rsidRPr="009C27EF" w:rsidRDefault="001062B2" w:rsidP="007368ED">
      <w:pPr>
        <w:pStyle w:val="Heading1"/>
        <w:spacing w:line="360" w:lineRule="auto"/>
        <w:rPr>
          <w:rFonts w:ascii="Baskerville Old Face" w:hAnsi="Baskerville Old Face" w:cs="Arial"/>
          <w:b/>
          <w:bCs/>
          <w:color w:val="000000" w:themeColor="text1"/>
          <w:sz w:val="32"/>
          <w:szCs w:val="32"/>
        </w:rPr>
      </w:pPr>
      <w:bookmarkStart w:id="2" w:name="_Toc212715838"/>
      <w:r w:rsidRPr="009C27EF">
        <w:rPr>
          <w:rFonts w:ascii="Baskerville Old Face" w:hAnsi="Baskerville Old Face" w:cs="Arial"/>
          <w:b/>
          <w:bCs/>
          <w:color w:val="000000" w:themeColor="text1"/>
          <w:sz w:val="32"/>
          <w:szCs w:val="32"/>
        </w:rPr>
        <w:t>CRITICAL SWOT ANALYSIS</w:t>
      </w:r>
      <w:r w:rsidR="00BE4549" w:rsidRPr="009C27EF">
        <w:rPr>
          <w:rFonts w:ascii="Baskerville Old Face" w:hAnsi="Baskerville Old Face" w:cs="Arial"/>
          <w:b/>
          <w:bCs/>
          <w:color w:val="000000" w:themeColor="text1"/>
          <w:sz w:val="32"/>
          <w:szCs w:val="32"/>
        </w:rPr>
        <w:t xml:space="preserve"> OF BRITISH GAS (2021</w:t>
      </w:r>
      <w:r w:rsidR="007E1865" w:rsidRPr="009C27EF">
        <w:rPr>
          <w:rFonts w:ascii="Baskerville Old Face" w:hAnsi="Baskerville Old Face" w:cs="Arial"/>
          <w:b/>
          <w:bCs/>
          <w:color w:val="000000" w:themeColor="text1"/>
          <w:sz w:val="32"/>
          <w:szCs w:val="32"/>
        </w:rPr>
        <w:t>-2024)</w:t>
      </w:r>
      <w:bookmarkEnd w:id="2"/>
    </w:p>
    <w:tbl>
      <w:tblPr>
        <w:tblStyle w:val="TableGrid"/>
        <w:tblW w:w="9634" w:type="dxa"/>
        <w:tblLook w:val="04A0" w:firstRow="1" w:lastRow="0" w:firstColumn="1" w:lastColumn="0" w:noHBand="0" w:noVBand="1"/>
      </w:tblPr>
      <w:tblGrid>
        <w:gridCol w:w="704"/>
        <w:gridCol w:w="3969"/>
        <w:gridCol w:w="4961"/>
      </w:tblGrid>
      <w:tr w:rsidR="00816AAB" w:rsidRPr="001B1737" w14:paraId="7D802E11" w14:textId="77777777" w:rsidTr="00B0432B">
        <w:trPr>
          <w:trHeight w:val="405"/>
        </w:trPr>
        <w:tc>
          <w:tcPr>
            <w:tcW w:w="704" w:type="dxa"/>
          </w:tcPr>
          <w:p w14:paraId="65C6645F" w14:textId="77777777" w:rsidR="00816AAB" w:rsidRPr="001B1737" w:rsidRDefault="00816AAB" w:rsidP="007368ED">
            <w:pPr>
              <w:spacing w:line="360" w:lineRule="auto"/>
              <w:rPr>
                <w:rFonts w:ascii="Arial" w:hAnsi="Arial" w:cs="Arial"/>
                <w:sz w:val="22"/>
                <w:szCs w:val="22"/>
              </w:rPr>
            </w:pPr>
          </w:p>
        </w:tc>
        <w:tc>
          <w:tcPr>
            <w:tcW w:w="3969" w:type="dxa"/>
          </w:tcPr>
          <w:p w14:paraId="07056E1A" w14:textId="529D9FED" w:rsidR="00816AAB" w:rsidRPr="00DE5BBD" w:rsidRDefault="003B3767" w:rsidP="00DE5BBD">
            <w:pPr>
              <w:spacing w:line="360" w:lineRule="auto"/>
              <w:jc w:val="center"/>
              <w:rPr>
                <w:rFonts w:ascii="Arial" w:hAnsi="Arial" w:cs="Arial"/>
                <w:b/>
                <w:bCs/>
                <w:sz w:val="22"/>
                <w:szCs w:val="22"/>
              </w:rPr>
            </w:pPr>
            <w:r w:rsidRPr="00DE5BBD">
              <w:rPr>
                <w:rFonts w:ascii="Arial" w:hAnsi="Arial" w:cs="Arial"/>
                <w:b/>
                <w:bCs/>
              </w:rPr>
              <w:t>INTERNAL</w:t>
            </w:r>
          </w:p>
        </w:tc>
        <w:tc>
          <w:tcPr>
            <w:tcW w:w="4961" w:type="dxa"/>
          </w:tcPr>
          <w:p w14:paraId="765D89E6" w14:textId="6F7175C8" w:rsidR="00816AAB" w:rsidRPr="00DE5BBD" w:rsidRDefault="003B3767" w:rsidP="00DE5BBD">
            <w:pPr>
              <w:spacing w:line="360" w:lineRule="auto"/>
              <w:jc w:val="center"/>
              <w:rPr>
                <w:rFonts w:ascii="Arial" w:hAnsi="Arial" w:cs="Arial"/>
                <w:b/>
                <w:bCs/>
              </w:rPr>
            </w:pPr>
            <w:r w:rsidRPr="00DE5BBD">
              <w:rPr>
                <w:rFonts w:ascii="Arial" w:hAnsi="Arial" w:cs="Arial"/>
                <w:b/>
                <w:bCs/>
              </w:rPr>
              <w:t>EXTERNAL</w:t>
            </w:r>
          </w:p>
        </w:tc>
      </w:tr>
      <w:tr w:rsidR="00816AAB" w:rsidRPr="001B1737" w14:paraId="3625CCDA" w14:textId="77777777" w:rsidTr="00B0432B">
        <w:trPr>
          <w:trHeight w:val="2552"/>
        </w:trPr>
        <w:tc>
          <w:tcPr>
            <w:tcW w:w="704" w:type="dxa"/>
          </w:tcPr>
          <w:p w14:paraId="39744992" w14:textId="481F8956" w:rsidR="00816AAB" w:rsidRPr="001B1737" w:rsidRDefault="003728AE" w:rsidP="007368ED">
            <w:p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59264" behindDoc="0" locked="0" layoutInCell="1" allowOverlap="1" wp14:anchorId="7CE48FB7" wp14:editId="071AAB85">
                      <wp:simplePos x="0" y="0"/>
                      <wp:positionH relativeFrom="column">
                        <wp:posOffset>-62611</wp:posOffset>
                      </wp:positionH>
                      <wp:positionV relativeFrom="paragraph">
                        <wp:posOffset>65278</wp:posOffset>
                      </wp:positionV>
                      <wp:extent cx="374904" cy="1335024"/>
                      <wp:effectExtent l="0" t="0" r="19050" b="11430"/>
                      <wp:wrapNone/>
                      <wp:docPr id="669366278" name="Text Box 3"/>
                      <wp:cNvGraphicFramePr/>
                      <a:graphic xmlns:a="http://schemas.openxmlformats.org/drawingml/2006/main">
                        <a:graphicData uri="http://schemas.microsoft.com/office/word/2010/wordprocessingShape">
                          <wps:wsp>
                            <wps:cNvSpPr txBox="1"/>
                            <wps:spPr>
                              <a:xfrm>
                                <a:off x="0" y="0"/>
                                <a:ext cx="374904" cy="1335024"/>
                              </a:xfrm>
                              <a:prstGeom prst="rect">
                                <a:avLst/>
                              </a:prstGeom>
                              <a:solidFill>
                                <a:schemeClr val="lt1"/>
                              </a:solidFill>
                              <a:ln w="6350">
                                <a:solidFill>
                                  <a:prstClr val="black"/>
                                </a:solidFill>
                              </a:ln>
                            </wps:spPr>
                            <wps:txbx>
                              <w:txbxContent>
                                <w:p w14:paraId="02B21201" w14:textId="215B0A3A" w:rsidR="003728AE" w:rsidRPr="00DE5BBD" w:rsidRDefault="00A423F4" w:rsidP="00101463">
                                  <w:pPr>
                                    <w:jc w:val="center"/>
                                    <w:rPr>
                                      <w:b/>
                                      <w:bCs/>
                                      <w:color w:val="124F1A" w:themeColor="accent3" w:themeShade="BF"/>
                                    </w:rPr>
                                  </w:pPr>
                                  <w:r w:rsidRPr="00DE5BBD">
                                    <w:rPr>
                                      <w:b/>
                                      <w:bCs/>
                                      <w:color w:val="124F1A" w:themeColor="accent3" w:themeShade="BF"/>
                                    </w:rPr>
                                    <w:t>STRENGTHS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CE48FB7" id="_x0000_t202" coordsize="21600,21600" o:spt="202" path="m,l,21600r21600,l21600,xe">
                      <v:stroke joinstyle="miter"/>
                      <v:path gradientshapeok="t" o:connecttype="rect"/>
                    </v:shapetype>
                    <v:shape id="Text Box 3" o:spid="_x0000_s1026" type="#_x0000_t202" style="position:absolute;margin-left:-4.95pt;margin-top:5.15pt;width:29.5pt;height:105.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sD6YOgIAAH4EAAAOAAAAZHJzL2Uyb0RvYy54bWysVEtv2zAMvg/YfxB0X+w82q5GnCJLkWFA&#13;&#10;0BZIt54VWYqNyaImKbGzX19Kdh7tdhp2kUmR+kh+JD29a2tF9sK6CnROh4OUEqE5FJXe5vT78/LT&#13;&#10;Z0qcZ7pgCrTI6UE4ejf7+GHamEyMoARVCEsQRLusMTktvTdZkjheipq5ARih0SjB1syjardJYVmD&#13;&#10;6LVKRml6nTRgC2OBC+fw9r4z0lnEl1Jw/yilE56onGJuPp42nptwJrMpy7aWmbLifRrsH7KoWaUx&#13;&#10;6AnqnnlGdrb6A6quuAUH0g841AlIWXERa8Bqhum7atYlMyLWguQ4c6LJ/T9Y/rBfmydLfPsFWmxg&#13;&#10;IKQxLnN4Gepppa3DFzMlaEcKDyfaROsJx8vxzeQ2nVDC0TQcj6/S0STAJOfXxjr/VUBNgpBTi22J&#13;&#10;bLH9yvnO9egSgjlQVbGslIpKGAWxUJbsGTZR+Zgjgr/xUpo0Ob3G4BH4jS1An95vFOM/+/QuvBBP&#13;&#10;acz5XHuQfLtpe0I2UByQJwvdCDnDlxXirpjzT8zizCA1uAf+EQ+pAJOBXqKkBPv7b/fBP6eC/cAv&#13;&#10;JQ1OYU7drx2zghL1TWObb4eTSRjbqEyubkao2EvL5tKid/UCkKMh7pzhUQz+Xh1FaaF+wYWZh7ho&#13;&#10;YppjbjnF6J248N1u4MJxMZ9HJxxUw/xKrw0P0KEngdHn9oVZ03fU4yw8wHFeWfausZ1veKlhvvMg&#13;&#10;q9j1QHHHa888Dnmcm34hwxZd6tHr/NuYvQIAAP//AwBQSwMEFAAGAAgAAAAhALgK9bPeAAAADQEA&#13;&#10;AA8AAABkcnMvZG93bnJldi54bWxMT01PwzAMvSPxHyIjcduSFTbRrumEQBzggESAe9Z4bbXGqZqs&#13;&#10;K/8ec2IXS/bz+yp3s+/FhGPsAmlYLRUIpDq4jhoNX58viwcQMVlytg+EGn4wwq66vipt4cKZPnAy&#13;&#10;qREsQrGwGtqUhkLKWLfobVyGAYmxQxi9TbyOjXSjPbO472Wm1EZ62xE7tHbApxbrozl5jhEmmjfm&#13;&#10;iK8mrKN6ez+Y4VtqfXszP295PG5BJJzTPwP+OjARKg62DydyUfQaFnnOn3xXdyAYv89XIPYaskyt&#13;&#10;QValvGxR/QIAAP//AwBQSwECLQAUAAYACAAAACEAtoM4kv4AAADhAQAAEwAAAAAAAAAAAAAAAAAA&#13;&#10;AAAAW0NvbnRlbnRfVHlwZXNdLnhtbFBLAQItABQABgAIAAAAIQA4/SH/1gAAAJQBAAALAAAAAAAA&#13;&#10;AAAAAAAAAC8BAABfcmVscy8ucmVsc1BLAQItABQABgAIAAAAIQBQsD6YOgIAAH4EAAAOAAAAAAAA&#13;&#10;AAAAAAAAAC4CAABkcnMvZTJvRG9jLnhtbFBLAQItABQABgAIAAAAIQC4CvWz3gAAAA0BAAAPAAAA&#13;&#10;AAAAAAAAAAAAAJQEAABkcnMvZG93bnJldi54bWxQSwUGAAAAAAQABADzAAAAnwUAAAAA&#13;&#10;" fillcolor="white [3201]" strokeweight=".5pt">
                      <v:textbox style="layout-flow:vertical-ideographic">
                        <w:txbxContent>
                          <w:p w14:paraId="02B21201" w14:textId="215B0A3A" w:rsidR="003728AE" w:rsidRPr="00DE5BBD" w:rsidRDefault="00A423F4" w:rsidP="00101463">
                            <w:pPr>
                              <w:jc w:val="center"/>
                              <w:rPr>
                                <w:b/>
                                <w:bCs/>
                                <w:color w:val="124F1A" w:themeColor="accent3" w:themeShade="BF"/>
                              </w:rPr>
                            </w:pPr>
                            <w:r w:rsidRPr="00DE5BBD">
                              <w:rPr>
                                <w:b/>
                                <w:bCs/>
                                <w:color w:val="124F1A" w:themeColor="accent3" w:themeShade="BF"/>
                              </w:rPr>
                              <w:t>STRENGTHS</w:t>
                            </w:r>
                          </w:p>
                        </w:txbxContent>
                      </v:textbox>
                    </v:shape>
                  </w:pict>
                </mc:Fallback>
              </mc:AlternateContent>
            </w:r>
          </w:p>
        </w:tc>
        <w:tc>
          <w:tcPr>
            <w:tcW w:w="3969" w:type="dxa"/>
          </w:tcPr>
          <w:p w14:paraId="503C2905" w14:textId="77777777" w:rsidR="00816AAB" w:rsidRPr="001B1737" w:rsidRDefault="000E3D2B"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Large customer base</w:t>
            </w:r>
          </w:p>
          <w:p w14:paraId="538F4CB9" w14:textId="77777777" w:rsidR="009E5CA8" w:rsidRPr="001B1737" w:rsidRDefault="009E5CA8"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Strong Brand Recognition</w:t>
            </w:r>
          </w:p>
          <w:p w14:paraId="0DA303E0" w14:textId="77777777" w:rsidR="009E5CA8" w:rsidRPr="001B1737" w:rsidRDefault="009E5CA8"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Financial Stability </w:t>
            </w:r>
          </w:p>
          <w:p w14:paraId="4DE28F28" w14:textId="77777777" w:rsidR="009E5CA8" w:rsidRPr="001B1737" w:rsidRDefault="002D5EA9"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Commitment to Net Zero</w:t>
            </w:r>
          </w:p>
          <w:p w14:paraId="3D374892" w14:textId="10914448" w:rsidR="002D5EA9" w:rsidRPr="001B1737" w:rsidRDefault="002D5EA9"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Established Infrastructure and Workforce</w:t>
            </w:r>
          </w:p>
        </w:tc>
        <w:tc>
          <w:tcPr>
            <w:tcW w:w="4961" w:type="dxa"/>
          </w:tcPr>
          <w:p w14:paraId="1B1673D8" w14:textId="5054F19D" w:rsidR="00816AAB" w:rsidRPr="001B1737" w:rsidRDefault="00C3209B" w:rsidP="007368ED">
            <w:pPr>
              <w:pStyle w:val="ListParagraph"/>
              <w:numPr>
                <w:ilvl w:val="0"/>
                <w:numId w:val="3"/>
              </w:num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1312" behindDoc="0" locked="0" layoutInCell="1" allowOverlap="1" wp14:anchorId="061FF826" wp14:editId="515C2D2F">
                      <wp:simplePos x="0" y="0"/>
                      <wp:positionH relativeFrom="column">
                        <wp:posOffset>2700367</wp:posOffset>
                      </wp:positionH>
                      <wp:positionV relativeFrom="paragraph">
                        <wp:posOffset>148244</wp:posOffset>
                      </wp:positionV>
                      <wp:extent cx="365125" cy="1389380"/>
                      <wp:effectExtent l="0" t="0" r="15875" b="7620"/>
                      <wp:wrapNone/>
                      <wp:docPr id="1027653247" name="Text Box 5"/>
                      <wp:cNvGraphicFramePr/>
                      <a:graphic xmlns:a="http://schemas.openxmlformats.org/drawingml/2006/main">
                        <a:graphicData uri="http://schemas.microsoft.com/office/word/2010/wordprocessingShape">
                          <wps:wsp>
                            <wps:cNvSpPr txBox="1"/>
                            <wps:spPr>
                              <a:xfrm>
                                <a:off x="0" y="0"/>
                                <a:ext cx="365125" cy="1389380"/>
                              </a:xfrm>
                              <a:prstGeom prst="rect">
                                <a:avLst/>
                              </a:prstGeom>
                              <a:solidFill>
                                <a:schemeClr val="lt1"/>
                              </a:solidFill>
                              <a:ln w="6350">
                                <a:solidFill>
                                  <a:prstClr val="black"/>
                                </a:solidFill>
                              </a:ln>
                            </wps:spPr>
                            <wps:txbx>
                              <w:txbxContent>
                                <w:p w14:paraId="3E9855E1" w14:textId="4B7ADBDA" w:rsidR="00731526" w:rsidRPr="00DE5BBD" w:rsidRDefault="00101463" w:rsidP="006C571B">
                                  <w:pPr>
                                    <w:jc w:val="center"/>
                                    <w:rPr>
                                      <w:b/>
                                      <w:bCs/>
                                      <w:color w:val="124F1A" w:themeColor="accent3" w:themeShade="BF"/>
                                    </w:rPr>
                                  </w:pPr>
                                  <w:r w:rsidRPr="00DE5BBD">
                                    <w:rPr>
                                      <w:b/>
                                      <w:bCs/>
                                      <w:color w:val="124F1A" w:themeColor="accent3" w:themeShade="BF"/>
                                    </w:rPr>
                                    <w:t>OPPORTUNITIES</w:t>
                                  </w:r>
                                </w:p>
                                <w:p w14:paraId="560A11C4" w14:textId="77777777" w:rsidR="006C571B" w:rsidRDefault="006C571B"/>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1FF826" id="Text Box 5" o:spid="_x0000_s1027" type="#_x0000_t202" style="position:absolute;left:0;text-align:left;margin-left:212.65pt;margin-top:11.65pt;width:28.75pt;height:109.4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2RUPAIAAIUEAAAOAAAAZHJzL2Uyb0RvYy54bWysVEtv2zAMvg/YfxB0X5z3UiNOkaXIMCBo&#13;&#10;C6Rbz4osxcZkUZOU2NmvLyXn2e007CKTIvWR/Eh6et9UiuyFdSXojPY6XUqE5pCXepvR7y/LTxNK&#13;&#10;nGc6Zwq0yOhBOHo/+/hhWptU9KEAlQtLEES7tDYZLbw3aZI4XoiKuQ4YodEowVbMo2q3SW5ZjeiV&#13;&#10;Svrd7jipwebGAhfO4e1Da6SziC+l4P5JSic8URnF3Hw8bTw34UxmU5ZuLTNFyY9psH/IomKlxqBn&#13;&#10;qAfmGdnZ8g+oquQWHEjf4VAlIGXJRawBq+l131WzLpgRsRYkx5kzTe7/wfLH/do8W+KbL9BgAwMh&#13;&#10;tXGpw8tQTyNtFb6YKUE7Ung40yYaTzheDsajXn9ECUdTbzC5G0wir8nltbHOfxVQkSBk1GJbIlts&#13;&#10;v3IeI6LrySUEc6DKfFkqFZUwCmKhLNkzbKLyMUd8ceOlNKkzOh6MuhH4xhagz+83ivGfocpbBNSU&#13;&#10;xstL7UHyzaYhZX7FywbyA9JloZ0kZ/iyRPgVc/6ZWRwdZAjXwT/hIRVgTnCUKCnA/v7bffDPqGA/&#13;&#10;8EtJjcOYUfdrx6ygRH3T2O273nAYpjcqw9HnPir22rK5tuhdtQCkqoerZ3gUg79XJ1FaqF5xb+Yh&#13;&#10;LpqY5phbRjF6Ky58uyK4d1zM59EJ59Uwv9JrwwN0aE0g9qV5ZdYcG+txJB7hNLYsfdff1je81DDf&#13;&#10;eZBlbH5guuX12ACc9dif416GZbrWo9fl7zF7AwAA//8DAFBLAwQUAAYACAAAACEAmxYwYOAAAAAP&#13;&#10;AQAADwAAAGRycy9kb3ducmV2LnhtbExPwU7DMAy9I/EPkZG4sXRZN01d0wmBOMABiQzuWeO11Rqn&#13;&#10;arKu/D3mBBdbtt97fq/cz74XE46xC6RhuchAINXBddRo+Dy8PGxBxGTJ2T4QavjGCPvq9qa0hQtX&#13;&#10;+sDJpEawCMXCamhTGgopY92it3ERBiS+ncLobeJxbKQb7ZXFfS9Vlm2ktx3xh9YO+NRifTYXzzbC&#13;&#10;RPPGnPHVhHXM3t5PZviSWt/fzc87Lo87EAnn9MeA3wxMhIqNHcOFXBS9hlytVwzVoFbcGZBvFQc6&#13;&#10;8iJXS5BVKf/nqH4AAAD//wMAUEsBAi0AFAAGAAgAAAAhALaDOJL+AAAA4QEAABMAAAAAAAAAAAAA&#13;&#10;AAAAAAAAAFtDb250ZW50X1R5cGVzXS54bWxQSwECLQAUAAYACAAAACEAOP0h/9YAAACUAQAACwAA&#13;&#10;AAAAAAAAAAAAAAAvAQAAX3JlbHMvLnJlbHNQSwECLQAUAAYACAAAACEAWgdkVDwCAACFBAAADgAA&#13;&#10;AAAAAAAAAAAAAAAuAgAAZHJzL2Uyb0RvYy54bWxQSwECLQAUAAYACAAAACEAmxYwYOAAAAAPAQAA&#13;&#10;DwAAAAAAAAAAAAAAAACWBAAAZHJzL2Rvd25yZXYueG1sUEsFBgAAAAAEAAQA8wAAAKMFAAAAAA==&#13;&#10;" fillcolor="white [3201]" strokeweight=".5pt">
                      <v:textbox style="layout-flow:vertical-ideographic">
                        <w:txbxContent>
                          <w:p w14:paraId="3E9855E1" w14:textId="4B7ADBDA" w:rsidR="00731526" w:rsidRPr="00DE5BBD" w:rsidRDefault="00101463" w:rsidP="006C571B">
                            <w:pPr>
                              <w:jc w:val="center"/>
                              <w:rPr>
                                <w:b/>
                                <w:bCs/>
                                <w:color w:val="124F1A" w:themeColor="accent3" w:themeShade="BF"/>
                              </w:rPr>
                            </w:pPr>
                            <w:r w:rsidRPr="00DE5BBD">
                              <w:rPr>
                                <w:b/>
                                <w:bCs/>
                                <w:color w:val="124F1A" w:themeColor="accent3" w:themeShade="BF"/>
                              </w:rPr>
                              <w:t>OPPORTUNITIES</w:t>
                            </w:r>
                          </w:p>
                          <w:p w14:paraId="560A11C4" w14:textId="77777777" w:rsidR="006C571B" w:rsidRDefault="006C571B"/>
                        </w:txbxContent>
                      </v:textbox>
                    </v:shape>
                  </w:pict>
                </mc:Fallback>
              </mc:AlternateContent>
            </w:r>
            <w:r w:rsidR="00A063DD" w:rsidRPr="001B1737">
              <w:rPr>
                <w:rFonts w:ascii="Arial" w:hAnsi="Arial" w:cs="Arial"/>
                <w:sz w:val="22"/>
                <w:szCs w:val="22"/>
              </w:rPr>
              <w:t xml:space="preserve">Growing Demand </w:t>
            </w:r>
            <w:r w:rsidR="00AC6FA5" w:rsidRPr="001B1737">
              <w:rPr>
                <w:rFonts w:ascii="Arial" w:hAnsi="Arial" w:cs="Arial"/>
                <w:sz w:val="22"/>
                <w:szCs w:val="22"/>
              </w:rPr>
              <w:t>for Green Energy</w:t>
            </w:r>
          </w:p>
          <w:p w14:paraId="44177F30" w14:textId="7189D8F4" w:rsidR="00AC6FA5" w:rsidRPr="001B1737" w:rsidRDefault="00AC6FA5"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Smart Technology Expansion</w:t>
            </w:r>
          </w:p>
          <w:p w14:paraId="76239747" w14:textId="77777777" w:rsidR="00AC6FA5"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Government Incentives</w:t>
            </w:r>
          </w:p>
          <w:p w14:paraId="3BE3D1FE" w14:textId="77777777" w:rsidR="0069752E"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Partnership Innovation</w:t>
            </w:r>
          </w:p>
          <w:p w14:paraId="0CE7DD69" w14:textId="0B91BEF9" w:rsidR="0069752E" w:rsidRPr="001B1737" w:rsidRDefault="0069752E"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Customer Trust Rebuilding</w:t>
            </w:r>
          </w:p>
        </w:tc>
      </w:tr>
      <w:tr w:rsidR="00816AAB" w:rsidRPr="001B1737" w14:paraId="4B6B2723" w14:textId="77777777" w:rsidTr="00B0432B">
        <w:trPr>
          <w:trHeight w:val="2389"/>
        </w:trPr>
        <w:tc>
          <w:tcPr>
            <w:tcW w:w="704" w:type="dxa"/>
          </w:tcPr>
          <w:p w14:paraId="63309A84" w14:textId="00B67476" w:rsidR="00816AAB" w:rsidRPr="001B1737" w:rsidRDefault="00A423F4" w:rsidP="007368ED">
            <w:p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0288" behindDoc="0" locked="0" layoutInCell="1" allowOverlap="1" wp14:anchorId="729E8451" wp14:editId="78AF1B85">
                      <wp:simplePos x="0" y="0"/>
                      <wp:positionH relativeFrom="column">
                        <wp:posOffset>-62230</wp:posOffset>
                      </wp:positionH>
                      <wp:positionV relativeFrom="paragraph">
                        <wp:posOffset>111991</wp:posOffset>
                      </wp:positionV>
                      <wp:extent cx="374269" cy="1161288"/>
                      <wp:effectExtent l="0" t="0" r="6985" b="7620"/>
                      <wp:wrapNone/>
                      <wp:docPr id="375846103" name="Text Box 4"/>
                      <wp:cNvGraphicFramePr/>
                      <a:graphic xmlns:a="http://schemas.openxmlformats.org/drawingml/2006/main">
                        <a:graphicData uri="http://schemas.microsoft.com/office/word/2010/wordprocessingShape">
                          <wps:wsp>
                            <wps:cNvSpPr txBox="1"/>
                            <wps:spPr>
                              <a:xfrm>
                                <a:off x="0" y="0"/>
                                <a:ext cx="374269" cy="1161288"/>
                              </a:xfrm>
                              <a:prstGeom prst="rect">
                                <a:avLst/>
                              </a:prstGeom>
                              <a:solidFill>
                                <a:schemeClr val="lt1"/>
                              </a:solidFill>
                              <a:ln w="6350">
                                <a:solidFill>
                                  <a:prstClr val="black"/>
                                </a:solidFill>
                              </a:ln>
                            </wps:spPr>
                            <wps:txbx>
                              <w:txbxContent>
                                <w:p w14:paraId="6F6DF20E" w14:textId="24FEBAA9" w:rsidR="00A423F4" w:rsidRPr="00DE5BBD" w:rsidRDefault="004E259D" w:rsidP="006C571B">
                                  <w:pPr>
                                    <w:jc w:val="center"/>
                                    <w:rPr>
                                      <w:b/>
                                      <w:bCs/>
                                      <w:color w:val="C00000"/>
                                    </w:rPr>
                                  </w:pPr>
                                  <w:r w:rsidRPr="00DE5BBD">
                                    <w:rPr>
                                      <w:b/>
                                      <w:bCs/>
                                      <w:color w:val="C00000"/>
                                    </w:rPr>
                                    <w:t>WEAKNESSES</w:t>
                                  </w:r>
                                </w:p>
                                <w:p w14:paraId="09517785" w14:textId="77777777" w:rsidR="007B5CEE" w:rsidRDefault="007B5CEE"/>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E8451" id="Text Box 4" o:spid="_x0000_s1028" type="#_x0000_t202" style="position:absolute;margin-left:-4.9pt;margin-top:8.8pt;width:29.45pt;height:9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s18QAIAAIUEAAAOAAAAZHJzL2Uyb0RvYy54bWysVE1v2zAMvQ/YfxB0Xxy7aZoacYosRYYB&#13;&#10;QVsg3XpWZCkxJouapMTufv0o2flot9Owi0yJ1BP5+OjpXVsrchDWVaALmg6GlAjNoaz0tqDfnpef&#13;&#10;JpQ4z3TJFGhR0Ffh6N3s44dpY3KRwQ5UKSxBEO3yxhR0573Jk8TxnaiZG4ARGp0SbM08bu02KS1r&#13;&#10;EL1WSTYcjpMGbGkscOEcnt53TjqL+FIK7h+ldMITVVDMzcfVxnUT1mQ2ZfnWMrOreJ8G+4csalZp&#13;&#10;fPQEdc88I3tb/QFVV9yCA+kHHOoEpKy4iDVgNenwXTXrHTMi1oLkOHOiyf0/WP5wWJsnS3z7GVps&#13;&#10;YCCkMS53eBjqaaWtwxczJehHCl9PtInWE46HVzejbHxLCUdXmo7TbDIJMMn5trHOfxFQk2AU1GJb&#13;&#10;IlvssHK+Cz2GhMccqKpcVkrFTZCCWChLDgybqHzMEcHfRClNmoKOr66HEfiNL0Cf7m8U4z/69C6i&#13;&#10;EE9pzPlce7B8u2lJVRY0O/KygfIV6bLQKckZvqwQfsWcf2IWpYMM4Tj4R1ykAswJeouSHdhffzsP&#13;&#10;8QUV7Dt+KWlQjAV1P/fMCkrUV43dvk1Ho6DeuBld32S4sZeezaVH7+sFIFUpjp7h0QzxXh1NaaF+&#13;&#10;wbmZh3fRxTTH3AqKr3fmwncjgnPHxXweg1CvhvmVXhseoENrArHP7Quzpm+sR0k8wFG2LH/X3y42&#13;&#10;3NQw33uQVWx+YLrjtW8Aaj3Kp5/LMEyX+xh1/nvMfgMAAP//AwBQSwMEFAAGAAgAAAAhAHrWC+Td&#13;&#10;AAAADQEAAA8AAABkcnMvZG93bnJldi54bWxMTz1PwzAQ3ZH4D9YhsbVOEQ00jVMhEAMMSBjY3fia&#13;&#10;RI3vothNw7/nmGA56d3T+yp3c+jVhGPsmAyslhkopJp9R42Bz4/nxT2omBx51zOhgW+MsKsuL0pX&#13;&#10;eD7TO042NUpMKBbOQJvSUGgd6xaDi0sekIQ78BhcEjg22o/uLOah1zdZluvgOpKE1g342GJ9tKcg&#13;&#10;NXiiObdHfLG8jtnr28EOX9qY66v5aSvnYQsq4Zz+FPC7QYRQSbE9n8hH1RtYbKR+kv9dDkr4280K&#13;&#10;1N6ARK9BV6X+v6L6AQAA//8DAFBLAQItABQABgAIAAAAIQC2gziS/gAAAOEBAAATAAAAAAAAAAAA&#13;&#10;AAAAAAAAAABbQ29udGVudF9UeXBlc10ueG1sUEsBAi0AFAAGAAgAAAAhADj9If/WAAAAlAEAAAsA&#13;&#10;AAAAAAAAAAAAAAAALwEAAF9yZWxzLy5yZWxzUEsBAi0AFAAGAAgAAAAhAE9GzXxAAgAAhQQAAA4A&#13;&#10;AAAAAAAAAAAAAAAALgIAAGRycy9lMm9Eb2MueG1sUEsBAi0AFAAGAAgAAAAhAHrWC+TdAAAADQEA&#13;&#10;AA8AAAAAAAAAAAAAAAAAmgQAAGRycy9kb3ducmV2LnhtbFBLBQYAAAAABAAEAPMAAACkBQAAAAA=&#13;&#10;" fillcolor="white [3201]" strokeweight=".5pt">
                      <v:textbox style="layout-flow:vertical-ideographic">
                        <w:txbxContent>
                          <w:p w14:paraId="6F6DF20E" w14:textId="24FEBAA9" w:rsidR="00A423F4" w:rsidRPr="00DE5BBD" w:rsidRDefault="004E259D" w:rsidP="006C571B">
                            <w:pPr>
                              <w:jc w:val="center"/>
                              <w:rPr>
                                <w:b/>
                                <w:bCs/>
                                <w:color w:val="C00000"/>
                              </w:rPr>
                            </w:pPr>
                            <w:r w:rsidRPr="00DE5BBD">
                              <w:rPr>
                                <w:b/>
                                <w:bCs/>
                                <w:color w:val="C00000"/>
                              </w:rPr>
                              <w:t>WEAKNESSES</w:t>
                            </w:r>
                          </w:p>
                          <w:p w14:paraId="09517785" w14:textId="77777777" w:rsidR="007B5CEE" w:rsidRDefault="007B5CEE"/>
                        </w:txbxContent>
                      </v:textbox>
                    </v:shape>
                  </w:pict>
                </mc:Fallback>
              </mc:AlternateContent>
            </w:r>
          </w:p>
        </w:tc>
        <w:tc>
          <w:tcPr>
            <w:tcW w:w="3969" w:type="dxa"/>
          </w:tcPr>
          <w:p w14:paraId="53C27EE3" w14:textId="77777777" w:rsidR="00816AAB" w:rsidRPr="001B1737" w:rsidRDefault="00014A02"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Damaged Employee Relations </w:t>
            </w:r>
          </w:p>
          <w:p w14:paraId="0DA0CAC8" w14:textId="77777777" w:rsidR="00014A02" w:rsidRPr="001B1737" w:rsidRDefault="00014A02"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Reputational Damage</w:t>
            </w:r>
          </w:p>
          <w:p w14:paraId="161833F7" w14:textId="77777777" w:rsidR="0018559C" w:rsidRPr="001B1737" w:rsidRDefault="0018559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Slow Digital Transformation</w:t>
            </w:r>
          </w:p>
          <w:p w14:paraId="3CBE3C69" w14:textId="77777777" w:rsidR="0018559C" w:rsidRPr="001B1737" w:rsidRDefault="0018559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Customer Dissatisfaction</w:t>
            </w:r>
          </w:p>
          <w:p w14:paraId="5AA49331" w14:textId="1BB6C3D8" w:rsidR="0018559C" w:rsidRPr="001B1737" w:rsidRDefault="00A063DD"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Traditional Organisational</w:t>
            </w:r>
            <w:r w:rsidR="0037304E" w:rsidRPr="001B1737">
              <w:rPr>
                <w:rFonts w:ascii="Arial" w:hAnsi="Arial" w:cs="Arial"/>
                <w:sz w:val="22"/>
                <w:szCs w:val="22"/>
              </w:rPr>
              <w:t xml:space="preserve"> </w:t>
            </w:r>
            <w:r w:rsidR="00142561" w:rsidRPr="001B1737">
              <w:rPr>
                <w:rFonts w:ascii="Arial" w:hAnsi="Arial" w:cs="Arial"/>
                <w:sz w:val="22"/>
                <w:szCs w:val="22"/>
              </w:rPr>
              <w:t>Structure</w:t>
            </w:r>
            <w:r w:rsidR="0037304E" w:rsidRPr="001B1737">
              <w:rPr>
                <w:rFonts w:ascii="Arial" w:hAnsi="Arial" w:cs="Arial"/>
                <w:sz w:val="22"/>
                <w:szCs w:val="22"/>
              </w:rPr>
              <w:t xml:space="preserve"> </w:t>
            </w:r>
          </w:p>
        </w:tc>
        <w:tc>
          <w:tcPr>
            <w:tcW w:w="4961" w:type="dxa"/>
          </w:tcPr>
          <w:p w14:paraId="193612CD" w14:textId="0E9958DB" w:rsidR="00816AAB" w:rsidRPr="001B1737" w:rsidRDefault="00C3209B" w:rsidP="007368ED">
            <w:pPr>
              <w:pStyle w:val="ListParagraph"/>
              <w:numPr>
                <w:ilvl w:val="0"/>
                <w:numId w:val="3"/>
              </w:numPr>
              <w:spacing w:line="360" w:lineRule="auto"/>
              <w:rPr>
                <w:rFonts w:ascii="Arial" w:hAnsi="Arial" w:cs="Arial"/>
                <w:sz w:val="22"/>
                <w:szCs w:val="22"/>
              </w:rPr>
            </w:pPr>
            <w:r w:rsidRPr="001B1737">
              <w:rPr>
                <w:rFonts w:ascii="Arial" w:hAnsi="Arial" w:cs="Arial"/>
                <w:noProof/>
                <w:sz w:val="22"/>
                <w:szCs w:val="22"/>
              </w:rPr>
              <mc:AlternateContent>
                <mc:Choice Requires="wps">
                  <w:drawing>
                    <wp:anchor distT="0" distB="0" distL="114300" distR="114300" simplePos="0" relativeHeight="251662336" behindDoc="0" locked="0" layoutInCell="1" allowOverlap="1" wp14:anchorId="2891FA6C" wp14:editId="74C57378">
                      <wp:simplePos x="0" y="0"/>
                      <wp:positionH relativeFrom="column">
                        <wp:posOffset>2693035</wp:posOffset>
                      </wp:positionH>
                      <wp:positionV relativeFrom="paragraph">
                        <wp:posOffset>240030</wp:posOffset>
                      </wp:positionV>
                      <wp:extent cx="365125" cy="1078230"/>
                      <wp:effectExtent l="0" t="0" r="15875" b="13970"/>
                      <wp:wrapNone/>
                      <wp:docPr id="2019658036" name="Text Box 6"/>
                      <wp:cNvGraphicFramePr/>
                      <a:graphic xmlns:a="http://schemas.openxmlformats.org/drawingml/2006/main">
                        <a:graphicData uri="http://schemas.microsoft.com/office/word/2010/wordprocessingShape">
                          <wps:wsp>
                            <wps:cNvSpPr txBox="1"/>
                            <wps:spPr>
                              <a:xfrm>
                                <a:off x="0" y="0"/>
                                <a:ext cx="365125" cy="1078230"/>
                              </a:xfrm>
                              <a:prstGeom prst="rect">
                                <a:avLst/>
                              </a:prstGeom>
                              <a:solidFill>
                                <a:schemeClr val="lt1"/>
                              </a:solidFill>
                              <a:ln w="6350">
                                <a:solidFill>
                                  <a:prstClr val="black"/>
                                </a:solidFill>
                              </a:ln>
                            </wps:spPr>
                            <wps:txbx>
                              <w:txbxContent>
                                <w:p w14:paraId="692B6883" w14:textId="3A859251" w:rsidR="00731526" w:rsidRPr="00DE5BBD" w:rsidRDefault="00101463" w:rsidP="00D271B5">
                                  <w:pPr>
                                    <w:jc w:val="center"/>
                                    <w:rPr>
                                      <w:b/>
                                      <w:bCs/>
                                      <w:color w:val="C00000"/>
                                    </w:rPr>
                                  </w:pPr>
                                  <w:r w:rsidRPr="00DE5BBD">
                                    <w:rPr>
                                      <w:b/>
                                      <w:bCs/>
                                      <w:color w:val="C00000"/>
                                    </w:rPr>
                                    <w:t>THREATS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1FA6C" id="Text Box 6" o:spid="_x0000_s1029" type="#_x0000_t202" style="position:absolute;left:0;text-align:left;margin-left:212.05pt;margin-top:18.9pt;width:28.75pt;height:8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jPqPgIAAIUEAAAOAAAAZHJzL2Uyb0RvYy54bWysVEtv2zAMvg/YfxB0Xxzn1c6IU2QpMgwI&#13;&#10;2gLp1rMiS7ExWdQkJXb360vJeXY7DbvIpEh9JD+Snt61tSJ7YV0FOqdpr0+J0ByKSm9z+v15+emW&#13;&#10;EueZLpgCLXL6Khy9m338MG1MJgZQgiqEJQiiXdaYnJbemyxJHC9FzVwPjNBolGBr5lG126SwrEH0&#13;&#10;WiWDfn+SNGALY4EL5/D2vjPSWcSXUnD/KKUTnqicYm4+njaem3AmsynLtpaZsuKHNNg/ZFGzSmPQ&#13;&#10;E9Q984zsbPUHVF1xCw6k73GoE5Cy4iLWgNWk/XfVrEtmRKwFyXHmRJP7f7D8Yb82T5b49gu02MBA&#13;&#10;SGNc5vAy1NNKW4cvZkrQjhS+nmgTrSccL4eTcToYU8LRlPZvbgfDyGtyfm2s818F1CQIObXYlsgW&#13;&#10;26+cx4joenQJwRyoqlhWSkUljIJYKEv2DJuofMwRX1x5KU2anE6G434EvrIF6NP7jWL8Z6jyGgE1&#13;&#10;pfHyXHuQfLtpSVVgiUdeNlC8Il0Wuklyhi8rhF8x55+YxdFBhnAd/CMeUgHmBAeJkhLs77/dB/+c&#13;&#10;CvYDv5Q0OIw5db92zApK1DeN3f6cjkZheqMyGt8MULGXls2lRe/qBSBVKa6e4VEM/l4dRWmhfsG9&#13;&#10;mYe4aGKaY245xeiduPDdiuDecTGfRyecV8P8Sq8ND9ChNYHY5/aFWXNorMeReIDj2LLsXX873/BS&#13;&#10;w3znQVax+YHpjtdDA3DWY38OexmW6VKPXue/x+wNAAD//wMAUEsDBBQABgAIAAAAIQAIbQzO4gAA&#13;&#10;AA8BAAAPAAAAZHJzL2Rvd25yZXYueG1sTI9BT8MwDIXvSPyHyEjcWNpSuqlrOiEQBzggEeCeNV5b&#13;&#10;rXGqJuvKv8ec2MWS5fee31ftFjeIGafQe1KQrhIQSI23PbUKvj5f7jYgQjRkzeAJFfxggF19fVWZ&#13;&#10;0vozfeCsYys4hEJpFHQxjqWUoenQmbDyIxLfDn5yJvI6tdJO5szhbpBZkhTSmZ74Q2dGfOqwOeqT&#13;&#10;4xp+pqXQR3zV/iEkb+8HPX5LpW5vluctj8ctiIhL/HfAHwMboeZie38iG8SgIM/ylKUK7tfMwYJ8&#13;&#10;kxYg9gqyZF2ArCt5yVH/AgAA//8DAFBLAQItABQABgAIAAAAIQC2gziS/gAAAOEBAAATAAAAAAAA&#13;&#10;AAAAAAAAAAAAAABbQ29udGVudF9UeXBlc10ueG1sUEsBAi0AFAAGAAgAAAAhADj9If/WAAAAlAEA&#13;&#10;AAsAAAAAAAAAAAAAAAAALwEAAF9yZWxzLy5yZWxzUEsBAi0AFAAGAAgAAAAhAF9KM+o+AgAAhQQA&#13;&#10;AA4AAAAAAAAAAAAAAAAALgIAAGRycy9lMm9Eb2MueG1sUEsBAi0AFAAGAAgAAAAhAAhtDM7iAAAA&#13;&#10;DwEAAA8AAAAAAAAAAAAAAAAAmAQAAGRycy9kb3ducmV2LnhtbFBLBQYAAAAABAAEAPMAAACnBQAA&#13;&#10;AAA=&#13;&#10;" fillcolor="white [3201]" strokeweight=".5pt">
                      <v:textbox style="layout-flow:vertical-ideographic">
                        <w:txbxContent>
                          <w:p w14:paraId="692B6883" w14:textId="3A859251" w:rsidR="00731526" w:rsidRPr="00DE5BBD" w:rsidRDefault="00101463" w:rsidP="00D271B5">
                            <w:pPr>
                              <w:jc w:val="center"/>
                              <w:rPr>
                                <w:b/>
                                <w:bCs/>
                                <w:color w:val="C00000"/>
                              </w:rPr>
                            </w:pPr>
                            <w:r w:rsidRPr="00DE5BBD">
                              <w:rPr>
                                <w:b/>
                                <w:bCs/>
                                <w:color w:val="C00000"/>
                              </w:rPr>
                              <w:t>THREATS</w:t>
                            </w:r>
                          </w:p>
                        </w:txbxContent>
                      </v:textbox>
                    </v:shape>
                  </w:pict>
                </mc:Fallback>
              </mc:AlternateContent>
            </w:r>
            <w:r w:rsidR="00DC2134" w:rsidRPr="001B1737">
              <w:rPr>
                <w:rFonts w:ascii="Arial" w:hAnsi="Arial" w:cs="Arial"/>
                <w:sz w:val="22"/>
                <w:szCs w:val="22"/>
              </w:rPr>
              <w:t>Rising Competition</w:t>
            </w:r>
          </w:p>
          <w:p w14:paraId="0BC01AEB" w14:textId="2F41E921" w:rsidR="00DC2134" w:rsidRPr="001B1737" w:rsidRDefault="00DC2134"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Regulatory Constraints</w:t>
            </w:r>
          </w:p>
          <w:p w14:paraId="7CBF360C" w14:textId="77777777" w:rsidR="006B2D3C" w:rsidRPr="001B1737" w:rsidRDefault="006B2D3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Market Volatility</w:t>
            </w:r>
          </w:p>
          <w:p w14:paraId="67BF0C72" w14:textId="54B375B6" w:rsidR="006B2D3C" w:rsidRPr="001B1737" w:rsidRDefault="006B2D3C"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 xml:space="preserve">Negative Media </w:t>
            </w:r>
            <w:r w:rsidR="00C97A9E" w:rsidRPr="001B1737">
              <w:rPr>
                <w:rFonts w:ascii="Arial" w:hAnsi="Arial" w:cs="Arial"/>
                <w:sz w:val="22"/>
                <w:szCs w:val="22"/>
              </w:rPr>
              <w:t>Criticism</w:t>
            </w:r>
          </w:p>
          <w:p w14:paraId="76AFA573" w14:textId="5691CD4C" w:rsidR="008769CD" w:rsidRPr="001B1737" w:rsidRDefault="008769CD" w:rsidP="007368ED">
            <w:pPr>
              <w:pStyle w:val="ListParagraph"/>
              <w:numPr>
                <w:ilvl w:val="0"/>
                <w:numId w:val="3"/>
              </w:numPr>
              <w:spacing w:line="360" w:lineRule="auto"/>
              <w:rPr>
                <w:rFonts w:ascii="Arial" w:hAnsi="Arial" w:cs="Arial"/>
                <w:sz w:val="22"/>
                <w:szCs w:val="22"/>
              </w:rPr>
            </w:pPr>
            <w:r w:rsidRPr="001B1737">
              <w:rPr>
                <w:rFonts w:ascii="Arial" w:hAnsi="Arial" w:cs="Arial"/>
                <w:sz w:val="22"/>
                <w:szCs w:val="22"/>
              </w:rPr>
              <w:t>Environmental and Legal Pressures</w:t>
            </w:r>
          </w:p>
        </w:tc>
      </w:tr>
    </w:tbl>
    <w:p w14:paraId="42958D13" w14:textId="38FC6012" w:rsidR="003F2B00" w:rsidRDefault="00056B7D" w:rsidP="007368ED">
      <w:pPr>
        <w:spacing w:line="360" w:lineRule="auto"/>
      </w:pPr>
      <w:r>
        <w:t>Source: Self.</w:t>
      </w:r>
    </w:p>
    <w:p w14:paraId="7A060FD7" w14:textId="1146130D" w:rsidR="00BB488C" w:rsidRPr="0094390E" w:rsidRDefault="00E25000" w:rsidP="007368ED">
      <w:pPr>
        <w:spacing w:line="360" w:lineRule="auto"/>
        <w:jc w:val="both"/>
        <w:rPr>
          <w:rFonts w:ascii="Arial" w:hAnsi="Arial" w:cs="Arial"/>
          <w:sz w:val="22"/>
          <w:szCs w:val="22"/>
        </w:rPr>
      </w:pPr>
      <w:r w:rsidRPr="0094390E">
        <w:rPr>
          <w:rFonts w:ascii="Arial" w:hAnsi="Arial" w:cs="Arial"/>
          <w:sz w:val="22"/>
          <w:szCs w:val="22"/>
        </w:rPr>
        <w:t xml:space="preserve">The SWOT analysis shows that although British Gas has a strong brand, a loyal customer base, and a strategy alignment with environmental aims, its competitive edge has been </w:t>
      </w:r>
      <w:r w:rsidRPr="0094390E">
        <w:rPr>
          <w:rFonts w:ascii="Arial" w:hAnsi="Arial" w:cs="Arial"/>
          <w:sz w:val="22"/>
          <w:szCs w:val="22"/>
        </w:rPr>
        <w:lastRenderedPageBreak/>
        <w:t xml:space="preserve">undermined by internal issues including low staff morale and delayed innovation. </w:t>
      </w:r>
      <w:r w:rsidR="00E52029">
        <w:rPr>
          <w:rFonts w:ascii="Arial" w:hAnsi="Arial" w:cs="Arial"/>
          <w:sz w:val="22"/>
          <w:szCs w:val="22"/>
        </w:rPr>
        <w:t xml:space="preserve">According to </w:t>
      </w:r>
      <w:proofErr w:type="spellStart"/>
      <w:r w:rsidR="00E52029">
        <w:rPr>
          <w:rFonts w:ascii="Arial" w:hAnsi="Arial" w:cs="Arial"/>
          <w:sz w:val="22"/>
          <w:szCs w:val="22"/>
        </w:rPr>
        <w:t>Tvaronaviciene</w:t>
      </w:r>
      <w:proofErr w:type="spellEnd"/>
      <w:r w:rsidR="00E52029">
        <w:rPr>
          <w:rFonts w:ascii="Arial" w:hAnsi="Arial" w:cs="Arial"/>
          <w:sz w:val="22"/>
          <w:szCs w:val="22"/>
        </w:rPr>
        <w:t xml:space="preserve"> (2023) </w:t>
      </w:r>
      <w:r w:rsidRPr="0094390E">
        <w:rPr>
          <w:rFonts w:ascii="Arial" w:hAnsi="Arial" w:cs="Arial"/>
          <w:sz w:val="22"/>
          <w:szCs w:val="22"/>
        </w:rPr>
        <w:t>The shift to cleaner, smarter energy solutions offers significant development opportunities from the outside, but rapid competition, strict laws, and reputational risk create challenges that need successful change management and cultural regeneration.</w:t>
      </w:r>
    </w:p>
    <w:p w14:paraId="7358FF8E" w14:textId="6855FB06" w:rsidR="00E705EE" w:rsidRPr="0094390E" w:rsidRDefault="006C396B" w:rsidP="007368ED">
      <w:pPr>
        <w:spacing w:line="360" w:lineRule="auto"/>
        <w:jc w:val="both"/>
        <w:rPr>
          <w:rFonts w:ascii="Arial" w:hAnsi="Arial" w:cs="Arial"/>
          <w:sz w:val="22"/>
          <w:szCs w:val="22"/>
        </w:rPr>
      </w:pPr>
      <w:r w:rsidRPr="0094390E">
        <w:rPr>
          <w:rFonts w:ascii="Arial" w:hAnsi="Arial" w:cs="Arial"/>
          <w:sz w:val="22"/>
          <w:szCs w:val="22"/>
        </w:rPr>
        <w:t xml:space="preserve">In order to address internal shortcomings, British Gas should re-establish employee trust through programs for engagement and open communication. The business would be able to take advantage of future opportunities in sustainable energy and better customer service by investing in digital platforms and green innovation. </w:t>
      </w:r>
      <w:r w:rsidR="00562920">
        <w:rPr>
          <w:rFonts w:ascii="Arial" w:hAnsi="Arial" w:cs="Arial"/>
          <w:sz w:val="22"/>
          <w:szCs w:val="22"/>
        </w:rPr>
        <w:t>According to Bampinioti</w:t>
      </w:r>
      <w:r w:rsidR="001344F2">
        <w:rPr>
          <w:rFonts w:ascii="Arial" w:hAnsi="Arial" w:cs="Arial"/>
          <w:sz w:val="22"/>
          <w:szCs w:val="22"/>
        </w:rPr>
        <w:t xml:space="preserve">, Bauer and Christakou (2022) </w:t>
      </w:r>
      <w:r w:rsidRPr="0094390E">
        <w:rPr>
          <w:rFonts w:ascii="Arial" w:hAnsi="Arial" w:cs="Arial"/>
          <w:sz w:val="22"/>
          <w:szCs w:val="22"/>
        </w:rPr>
        <w:t>broadening supply chains and increasing safety may help reduce market and regulatory risks, and promoting environmental efforts with its strong brand identity will strengthen its advantages and win back customer trust.</w:t>
      </w:r>
    </w:p>
    <w:p w14:paraId="0434A07C" w14:textId="4738A1EA" w:rsidR="003F2B00" w:rsidRPr="009C27EF" w:rsidRDefault="001062B2" w:rsidP="007368ED">
      <w:pPr>
        <w:pStyle w:val="Heading1"/>
        <w:spacing w:line="360" w:lineRule="auto"/>
        <w:rPr>
          <w:rFonts w:ascii="Baskerville Old Face" w:hAnsi="Baskerville Old Face" w:cs="Arial"/>
          <w:b/>
          <w:bCs/>
          <w:color w:val="000000" w:themeColor="text1"/>
          <w:sz w:val="32"/>
          <w:szCs w:val="32"/>
        </w:rPr>
      </w:pPr>
      <w:bookmarkStart w:id="3" w:name="_Toc212715839"/>
      <w:r w:rsidRPr="009C27EF">
        <w:rPr>
          <w:rFonts w:ascii="Baskerville Old Face" w:hAnsi="Baskerville Old Face" w:cs="Arial"/>
          <w:b/>
          <w:bCs/>
          <w:color w:val="000000" w:themeColor="text1"/>
          <w:sz w:val="32"/>
          <w:szCs w:val="32"/>
        </w:rPr>
        <w:t xml:space="preserve">CRITICAL </w:t>
      </w:r>
      <w:r w:rsidR="003F2B00" w:rsidRPr="009C27EF">
        <w:rPr>
          <w:rFonts w:ascii="Baskerville Old Face" w:hAnsi="Baskerville Old Face" w:cs="Arial"/>
          <w:b/>
          <w:bCs/>
          <w:color w:val="000000" w:themeColor="text1"/>
          <w:sz w:val="32"/>
          <w:szCs w:val="32"/>
        </w:rPr>
        <w:t>PEST</w:t>
      </w:r>
      <w:r w:rsidR="00C10222" w:rsidRPr="009C27EF">
        <w:rPr>
          <w:rFonts w:ascii="Baskerville Old Face" w:hAnsi="Baskerville Old Face" w:cs="Arial"/>
          <w:b/>
          <w:bCs/>
          <w:color w:val="000000" w:themeColor="text1"/>
          <w:sz w:val="32"/>
          <w:szCs w:val="32"/>
        </w:rPr>
        <w:t>LE</w:t>
      </w:r>
      <w:r w:rsidRPr="009C27EF">
        <w:rPr>
          <w:rFonts w:ascii="Baskerville Old Face" w:hAnsi="Baskerville Old Face" w:cs="Arial"/>
          <w:b/>
          <w:bCs/>
          <w:color w:val="000000" w:themeColor="text1"/>
          <w:sz w:val="32"/>
          <w:szCs w:val="32"/>
        </w:rPr>
        <w:t xml:space="preserve"> ANALYSIS</w:t>
      </w:r>
      <w:r w:rsidR="003F2B00" w:rsidRPr="009C27EF">
        <w:rPr>
          <w:rFonts w:ascii="Baskerville Old Face" w:hAnsi="Baskerville Old Face" w:cs="Arial"/>
          <w:b/>
          <w:bCs/>
          <w:color w:val="000000" w:themeColor="text1"/>
          <w:sz w:val="32"/>
          <w:szCs w:val="32"/>
        </w:rPr>
        <w:t>:</w:t>
      </w:r>
      <w:bookmarkEnd w:id="3"/>
    </w:p>
    <w:p w14:paraId="251A37C9" w14:textId="11C25EF7" w:rsidR="003F2B00" w:rsidRDefault="003F2B00" w:rsidP="007368ED">
      <w:pPr>
        <w:spacing w:line="360" w:lineRule="auto"/>
        <w:jc w:val="both"/>
      </w:pPr>
      <w:r>
        <w:t xml:space="preserve">POLITICAL: </w:t>
      </w:r>
    </w:p>
    <w:p w14:paraId="27776D94" w14:textId="0E6496DC" w:rsidR="003F2B00" w:rsidRDefault="003F2B00" w:rsidP="007368ED">
      <w:pPr>
        <w:spacing w:line="360" w:lineRule="auto"/>
        <w:jc w:val="both"/>
        <w:rPr>
          <w:rFonts w:ascii="Arial" w:hAnsi="Arial" w:cs="Arial"/>
          <w:sz w:val="22"/>
          <w:szCs w:val="22"/>
        </w:rPr>
      </w:pPr>
      <w:r w:rsidRPr="003F2B00">
        <w:rPr>
          <w:rFonts w:ascii="Arial" w:hAnsi="Arial" w:cs="Arial"/>
          <w:sz w:val="22"/>
          <w:szCs w:val="22"/>
        </w:rPr>
        <w:t xml:space="preserve">British Gas's profitability has been severely impacted by government actions like the energy price cap, which have limited the amount the business can charge consumers in spite of growing wholesale prices. </w:t>
      </w:r>
      <w:r w:rsidR="006845AA">
        <w:rPr>
          <w:rFonts w:ascii="Arial" w:hAnsi="Arial" w:cs="Arial"/>
          <w:sz w:val="22"/>
          <w:szCs w:val="22"/>
        </w:rPr>
        <w:t>According to Fetzer</w:t>
      </w:r>
      <w:r w:rsidR="00654437">
        <w:rPr>
          <w:rFonts w:ascii="Arial" w:hAnsi="Arial" w:cs="Arial"/>
          <w:sz w:val="22"/>
          <w:szCs w:val="22"/>
        </w:rPr>
        <w:t xml:space="preserve">, </w:t>
      </w:r>
      <w:proofErr w:type="spellStart"/>
      <w:r w:rsidR="00654437">
        <w:rPr>
          <w:rFonts w:ascii="Arial" w:hAnsi="Arial" w:cs="Arial"/>
          <w:sz w:val="22"/>
          <w:szCs w:val="22"/>
        </w:rPr>
        <w:t>Gazze</w:t>
      </w:r>
      <w:proofErr w:type="spellEnd"/>
      <w:r w:rsidR="00654437">
        <w:rPr>
          <w:rFonts w:ascii="Arial" w:hAnsi="Arial" w:cs="Arial"/>
          <w:sz w:val="22"/>
          <w:szCs w:val="22"/>
        </w:rPr>
        <w:t xml:space="preserve"> and Bishop (2024) </w:t>
      </w:r>
      <w:r w:rsidRPr="003F2B00">
        <w:rPr>
          <w:rFonts w:ascii="Arial" w:hAnsi="Arial" w:cs="Arial"/>
          <w:sz w:val="22"/>
          <w:szCs w:val="22"/>
        </w:rPr>
        <w:t>Following widespread protests over high energy bills and record business profits during the cost-of-living crisis, government and media attention has also grown. Additionally, British Gas is under increasing pressure to support national energy stability and security due to the geopolitical concerns brought on by the crisis in Ukraine, which emphasises the importance of carefully coordinating business strategy with government policy goals.</w:t>
      </w:r>
    </w:p>
    <w:p w14:paraId="70D12283" w14:textId="5835B740" w:rsidR="0072080B" w:rsidRDefault="0072080B" w:rsidP="007368ED">
      <w:pPr>
        <w:spacing w:line="360" w:lineRule="auto"/>
        <w:jc w:val="both"/>
        <w:rPr>
          <w:rFonts w:ascii="Arial" w:hAnsi="Arial" w:cs="Arial"/>
          <w:sz w:val="22"/>
          <w:szCs w:val="22"/>
        </w:rPr>
      </w:pPr>
      <w:r>
        <w:rPr>
          <w:rFonts w:ascii="Arial" w:hAnsi="Arial" w:cs="Arial"/>
          <w:sz w:val="22"/>
          <w:szCs w:val="22"/>
        </w:rPr>
        <w:t>ECONOMIC:</w:t>
      </w:r>
    </w:p>
    <w:p w14:paraId="563AF918" w14:textId="33193876" w:rsidR="003F2B00" w:rsidRPr="0042410E" w:rsidRDefault="00591707" w:rsidP="007368ED">
      <w:pPr>
        <w:spacing w:line="360" w:lineRule="auto"/>
        <w:jc w:val="both"/>
        <w:rPr>
          <w:rFonts w:ascii="Arial" w:hAnsi="Arial" w:cs="Arial"/>
          <w:sz w:val="22"/>
          <w:szCs w:val="22"/>
        </w:rPr>
      </w:pPr>
      <w:r w:rsidRPr="0042410E">
        <w:rPr>
          <w:rFonts w:ascii="Arial" w:hAnsi="Arial" w:cs="Arial"/>
          <w:sz w:val="22"/>
          <w:szCs w:val="22"/>
        </w:rPr>
        <w:t xml:space="preserve">Rising costs of wholesale energy brought on by political instability have made it more expensive for British Gas to operate and put strain on the company's and its customers' budget. </w:t>
      </w:r>
      <w:r w:rsidR="00EA781B">
        <w:rPr>
          <w:rFonts w:ascii="Arial" w:hAnsi="Arial" w:cs="Arial"/>
          <w:sz w:val="22"/>
          <w:szCs w:val="22"/>
        </w:rPr>
        <w:t>According to At</w:t>
      </w:r>
      <w:r w:rsidR="002A1F8C">
        <w:rPr>
          <w:rFonts w:ascii="Arial" w:hAnsi="Arial" w:cs="Arial"/>
          <w:sz w:val="22"/>
          <w:szCs w:val="22"/>
        </w:rPr>
        <w:t xml:space="preserve">as and Dabrowski (2025) </w:t>
      </w:r>
      <w:r w:rsidRPr="0042410E">
        <w:rPr>
          <w:rFonts w:ascii="Arial" w:hAnsi="Arial" w:cs="Arial"/>
          <w:sz w:val="22"/>
          <w:szCs w:val="22"/>
        </w:rPr>
        <w:t>The constant cost-of-living issue has made households less affordable, which has increased demand for financial services and compromised relationships with customers. Although plans for compensation have immediately increased earnings, they have also led to criticism of the business for its unfair pricing behaviour, highlighting the necessity of maintaining a balance between public perception and financial success.</w:t>
      </w:r>
      <w:r w:rsidR="00C647E3">
        <w:rPr>
          <w:rFonts w:ascii="Arial" w:hAnsi="Arial" w:cs="Arial"/>
          <w:sz w:val="22"/>
          <w:szCs w:val="22"/>
        </w:rPr>
        <w:t xml:space="preserve"> </w:t>
      </w:r>
    </w:p>
    <w:p w14:paraId="66322ED6" w14:textId="654DAE33" w:rsidR="003F2B00" w:rsidRPr="0042410E" w:rsidRDefault="00280EF0" w:rsidP="007368ED">
      <w:pPr>
        <w:spacing w:line="360" w:lineRule="auto"/>
        <w:jc w:val="both"/>
        <w:rPr>
          <w:rFonts w:ascii="Arial" w:hAnsi="Arial" w:cs="Arial"/>
          <w:sz w:val="22"/>
          <w:szCs w:val="22"/>
        </w:rPr>
      </w:pPr>
      <w:r w:rsidRPr="0042410E">
        <w:rPr>
          <w:rFonts w:ascii="Arial" w:hAnsi="Arial" w:cs="Arial"/>
          <w:sz w:val="22"/>
          <w:szCs w:val="22"/>
        </w:rPr>
        <w:t>SOCIAL:</w:t>
      </w:r>
    </w:p>
    <w:p w14:paraId="11ECC599" w14:textId="11CD0BE8" w:rsidR="00057895" w:rsidRPr="0042410E" w:rsidRDefault="00C8108A" w:rsidP="007368ED">
      <w:pPr>
        <w:spacing w:line="360" w:lineRule="auto"/>
        <w:jc w:val="both"/>
        <w:rPr>
          <w:rFonts w:ascii="Arial" w:hAnsi="Arial" w:cs="Arial"/>
          <w:sz w:val="22"/>
          <w:szCs w:val="22"/>
        </w:rPr>
      </w:pPr>
      <w:r>
        <w:rPr>
          <w:rFonts w:ascii="Arial" w:hAnsi="Arial" w:cs="Arial"/>
          <w:sz w:val="22"/>
          <w:szCs w:val="22"/>
        </w:rPr>
        <w:t xml:space="preserve">According to Khalufi er al. (2025) </w:t>
      </w:r>
      <w:r w:rsidR="00C71B67" w:rsidRPr="0042410E">
        <w:rPr>
          <w:rFonts w:ascii="Arial" w:hAnsi="Arial" w:cs="Arial"/>
          <w:sz w:val="22"/>
          <w:szCs w:val="22"/>
        </w:rPr>
        <w:t xml:space="preserve">Customer loyalty and brand reputation have been impacted by the increased public expectations for honest, transparent and reasonably priced energy services. Following labour conflicts and rising energy costs, consumer trust decreased, highlighting the significance of proactive communication and staff involvement. Need for </w:t>
      </w:r>
      <w:r w:rsidR="00C71B67" w:rsidRPr="0042410E">
        <w:rPr>
          <w:rFonts w:ascii="Arial" w:hAnsi="Arial" w:cs="Arial"/>
          <w:sz w:val="22"/>
          <w:szCs w:val="22"/>
        </w:rPr>
        <w:lastRenderedPageBreak/>
        <w:t>sustainability and online convenience is rising, and consumers are choosing service providers who share their values and deliver advanced, user-friendly solutions.</w:t>
      </w:r>
    </w:p>
    <w:p w14:paraId="08595313" w14:textId="20779B35" w:rsidR="00BE21B6" w:rsidRPr="0042410E" w:rsidRDefault="00BE21B6" w:rsidP="007368ED">
      <w:pPr>
        <w:spacing w:line="360" w:lineRule="auto"/>
        <w:jc w:val="both"/>
        <w:rPr>
          <w:rFonts w:ascii="Arial" w:hAnsi="Arial" w:cs="Arial"/>
          <w:sz w:val="22"/>
          <w:szCs w:val="22"/>
        </w:rPr>
      </w:pPr>
      <w:r w:rsidRPr="0042410E">
        <w:rPr>
          <w:rFonts w:ascii="Arial" w:hAnsi="Arial" w:cs="Arial"/>
          <w:sz w:val="22"/>
          <w:szCs w:val="22"/>
        </w:rPr>
        <w:t>TECHNOLOGICAL:</w:t>
      </w:r>
    </w:p>
    <w:p w14:paraId="76BC0C09" w14:textId="7BB0CA15" w:rsidR="00BE21B6" w:rsidRDefault="00A5372C" w:rsidP="007368ED">
      <w:pPr>
        <w:spacing w:line="360" w:lineRule="auto"/>
        <w:jc w:val="both"/>
        <w:rPr>
          <w:rFonts w:ascii="Arial" w:hAnsi="Arial" w:cs="Arial"/>
          <w:sz w:val="22"/>
          <w:szCs w:val="22"/>
        </w:rPr>
      </w:pPr>
      <w:r>
        <w:rPr>
          <w:rFonts w:ascii="Arial" w:hAnsi="Arial" w:cs="Arial"/>
          <w:sz w:val="22"/>
          <w:szCs w:val="22"/>
        </w:rPr>
        <w:t xml:space="preserve">According to Cespedes-Cubides and </w:t>
      </w:r>
      <w:r w:rsidR="00DD6D12">
        <w:rPr>
          <w:rFonts w:ascii="Arial" w:hAnsi="Arial" w:cs="Arial"/>
          <w:sz w:val="22"/>
          <w:szCs w:val="22"/>
        </w:rPr>
        <w:t xml:space="preserve">Jradi (2024) </w:t>
      </w:r>
      <w:r w:rsidR="00A40959" w:rsidRPr="0042410E">
        <w:rPr>
          <w:rFonts w:ascii="Arial" w:hAnsi="Arial" w:cs="Arial"/>
          <w:sz w:val="22"/>
          <w:szCs w:val="22"/>
        </w:rPr>
        <w:t>The energy industry is undergoing significant change due to developments in digital customer platforms, smart home technologies, and renewable energy.</w:t>
      </w:r>
      <w:r w:rsidR="0042410E" w:rsidRPr="0042410E">
        <w:rPr>
          <w:rFonts w:ascii="Arial" w:hAnsi="Arial" w:cs="Arial"/>
          <w:sz w:val="22"/>
          <w:szCs w:val="22"/>
        </w:rPr>
        <w:t xml:space="preserve"> </w:t>
      </w:r>
      <w:r w:rsidR="00A40959" w:rsidRPr="0042410E">
        <w:rPr>
          <w:rFonts w:ascii="Arial" w:hAnsi="Arial" w:cs="Arial"/>
          <w:sz w:val="22"/>
          <w:szCs w:val="22"/>
        </w:rPr>
        <w:t>British Gas is under pressure to modernise as a result of competitors like Octopus Energy using technology to increase productivity, improve customer service, and draw in new business.</w:t>
      </w:r>
      <w:r w:rsidR="0042410E" w:rsidRPr="0042410E">
        <w:rPr>
          <w:rFonts w:ascii="Arial" w:hAnsi="Arial" w:cs="Arial"/>
          <w:sz w:val="22"/>
          <w:szCs w:val="22"/>
        </w:rPr>
        <w:t xml:space="preserve"> </w:t>
      </w:r>
      <w:r w:rsidR="00A40959" w:rsidRPr="0042410E">
        <w:rPr>
          <w:rFonts w:ascii="Arial" w:hAnsi="Arial" w:cs="Arial"/>
          <w:sz w:val="22"/>
          <w:szCs w:val="22"/>
        </w:rPr>
        <w:t>British Gas has the chance to enhance operations and customer satisfaction by introducing smart metering, AI-driven assistance, and new IT systems</w:t>
      </w:r>
      <w:r w:rsidR="0042410E">
        <w:rPr>
          <w:rFonts w:ascii="Arial" w:hAnsi="Arial" w:cs="Arial"/>
          <w:sz w:val="22"/>
          <w:szCs w:val="22"/>
        </w:rPr>
        <w:t>.</w:t>
      </w:r>
    </w:p>
    <w:p w14:paraId="7EC66DB4" w14:textId="1CE1562E" w:rsidR="0042410E" w:rsidRDefault="00C10222" w:rsidP="007368ED">
      <w:pPr>
        <w:spacing w:line="360" w:lineRule="auto"/>
        <w:jc w:val="both"/>
        <w:rPr>
          <w:rFonts w:ascii="Arial" w:hAnsi="Arial" w:cs="Arial"/>
          <w:sz w:val="22"/>
          <w:szCs w:val="22"/>
        </w:rPr>
      </w:pPr>
      <w:r>
        <w:rPr>
          <w:rFonts w:ascii="Arial" w:hAnsi="Arial" w:cs="Arial"/>
          <w:sz w:val="22"/>
          <w:szCs w:val="22"/>
        </w:rPr>
        <w:t>LEGAL:</w:t>
      </w:r>
    </w:p>
    <w:p w14:paraId="0ECAAE7D" w14:textId="218366D1" w:rsidR="00C10222" w:rsidRDefault="00C10222" w:rsidP="007368ED">
      <w:pPr>
        <w:spacing w:line="360" w:lineRule="auto"/>
        <w:jc w:val="both"/>
        <w:rPr>
          <w:rFonts w:ascii="Arial" w:hAnsi="Arial" w:cs="Arial"/>
          <w:sz w:val="22"/>
          <w:szCs w:val="22"/>
        </w:rPr>
      </w:pPr>
      <w:r w:rsidRPr="00C10222">
        <w:rPr>
          <w:rFonts w:ascii="Arial" w:hAnsi="Arial" w:cs="Arial"/>
          <w:sz w:val="22"/>
          <w:szCs w:val="22"/>
        </w:rPr>
        <w:t>British Gas has to operate by consumer protection rules, employment laws, and regulatory standards, which include resolving conflicts like the "fire and rehire" scandal of 2021. Increased emissions and environmental restrictions are impacting business operations and demanding investments in greener technology. </w:t>
      </w:r>
      <w:r w:rsidR="003345F3">
        <w:rPr>
          <w:rFonts w:ascii="Arial" w:hAnsi="Arial" w:cs="Arial"/>
          <w:sz w:val="22"/>
          <w:szCs w:val="22"/>
        </w:rPr>
        <w:t xml:space="preserve">According to Giles (2022) </w:t>
      </w:r>
      <w:r w:rsidRPr="00C10222">
        <w:rPr>
          <w:rFonts w:ascii="Arial" w:hAnsi="Arial" w:cs="Arial"/>
          <w:sz w:val="22"/>
          <w:szCs w:val="22"/>
        </w:rPr>
        <w:t>Financial fines and additional harm to one's reputation are possible outcomes of noncompliance with legal regulations.</w:t>
      </w:r>
    </w:p>
    <w:p w14:paraId="01CE3B81" w14:textId="6A8E8EDB" w:rsidR="00C10222" w:rsidRDefault="00E25181" w:rsidP="007368ED">
      <w:pPr>
        <w:spacing w:line="360" w:lineRule="auto"/>
        <w:jc w:val="both"/>
        <w:rPr>
          <w:rFonts w:ascii="Arial" w:hAnsi="Arial" w:cs="Arial"/>
          <w:sz w:val="22"/>
          <w:szCs w:val="22"/>
        </w:rPr>
      </w:pPr>
      <w:r>
        <w:rPr>
          <w:rFonts w:ascii="Arial" w:hAnsi="Arial" w:cs="Arial"/>
          <w:sz w:val="22"/>
          <w:szCs w:val="22"/>
        </w:rPr>
        <w:t>ENVIRONMENTAL:</w:t>
      </w:r>
    </w:p>
    <w:p w14:paraId="45DD7A0A" w14:textId="3E19BAFF" w:rsidR="009D2615" w:rsidRDefault="007C11A3" w:rsidP="0054533E">
      <w:pPr>
        <w:spacing w:line="360" w:lineRule="auto"/>
        <w:jc w:val="both"/>
      </w:pPr>
      <w:r w:rsidRPr="007C11A3">
        <w:rPr>
          <w:rFonts w:ascii="Arial" w:hAnsi="Arial" w:cs="Arial"/>
          <w:sz w:val="22"/>
          <w:szCs w:val="22"/>
        </w:rPr>
        <w:t>Business planning and investment choices are being shaped by pressure to lower carbon emissions and achieve the UK's Net Zero 2050 targets. Opportunities to improve environmental standards and consumer trust are created by expanding energy efficiency measures and renewable energy offers.</w:t>
      </w:r>
      <w:r w:rsidR="00C26362">
        <w:rPr>
          <w:rFonts w:ascii="Arial" w:hAnsi="Arial" w:cs="Arial"/>
          <w:sz w:val="22"/>
          <w:szCs w:val="22"/>
        </w:rPr>
        <w:t xml:space="preserve"> According to Munari</w:t>
      </w:r>
      <w:r w:rsidR="004D52EA">
        <w:rPr>
          <w:rFonts w:ascii="Arial" w:hAnsi="Arial" w:cs="Arial"/>
          <w:sz w:val="22"/>
          <w:szCs w:val="22"/>
        </w:rPr>
        <w:t xml:space="preserve"> (2019)</w:t>
      </w:r>
      <w:r w:rsidRPr="007C11A3">
        <w:rPr>
          <w:rFonts w:ascii="Arial" w:hAnsi="Arial" w:cs="Arial"/>
          <w:sz w:val="22"/>
          <w:szCs w:val="22"/>
        </w:rPr>
        <w:t> In a market that is becoming more environmentally concerned, failing to live up to environmental standards might damage your reputation and make you less competitive.</w:t>
      </w:r>
      <w:bookmarkStart w:id="4" w:name="_Toc212715840"/>
    </w:p>
    <w:p w14:paraId="055BE700" w14:textId="38EF2348" w:rsidR="002E5B88" w:rsidRDefault="00231295" w:rsidP="0054533E">
      <w:pPr>
        <w:rPr>
          <w:rFonts w:ascii="Baskerville Old Face" w:hAnsi="Baskerville Old Face"/>
          <w:b/>
          <w:bCs/>
          <w:color w:val="000000" w:themeColor="text1"/>
          <w:sz w:val="32"/>
          <w:szCs w:val="32"/>
        </w:rPr>
      </w:pPr>
      <w:r w:rsidRPr="00231295">
        <w:rPr>
          <w:rFonts w:ascii="Baskerville Old Face" w:hAnsi="Baskerville Old Face"/>
          <w:b/>
          <w:bCs/>
          <w:color w:val="000000" w:themeColor="text1"/>
          <w:sz w:val="32"/>
          <w:szCs w:val="32"/>
        </w:rPr>
        <w:t>RECENT HISTORY AND IMPACT OF INTERNAL &amp; E</w:t>
      </w:r>
      <w:r w:rsidR="00E13240">
        <w:rPr>
          <w:rFonts w:ascii="Baskerville Old Face" w:hAnsi="Baskerville Old Face"/>
          <w:b/>
          <w:bCs/>
          <w:color w:val="000000" w:themeColor="text1"/>
          <w:sz w:val="32"/>
          <w:szCs w:val="32"/>
        </w:rPr>
        <w:t>X</w:t>
      </w:r>
      <w:r w:rsidRPr="00231295">
        <w:rPr>
          <w:rFonts w:ascii="Baskerville Old Face" w:hAnsi="Baskerville Old Face"/>
          <w:b/>
          <w:bCs/>
          <w:color w:val="000000" w:themeColor="text1"/>
          <w:sz w:val="32"/>
          <w:szCs w:val="32"/>
        </w:rPr>
        <w:t>TERNAL CHANGES:</w:t>
      </w:r>
      <w:bookmarkEnd w:id="4"/>
    </w:p>
    <w:p w14:paraId="38F9650D" w14:textId="77777777" w:rsidR="0054533E" w:rsidRPr="0054533E" w:rsidRDefault="0054533E" w:rsidP="0054533E">
      <w:pPr>
        <w:rPr>
          <w:rFonts w:ascii="Baskerville Old Face" w:hAnsi="Baskerville Old Face"/>
          <w:b/>
          <w:bCs/>
          <w:color w:val="000000" w:themeColor="text1"/>
          <w:sz w:val="32"/>
          <w:szCs w:val="32"/>
        </w:rPr>
      </w:pPr>
    </w:p>
    <w:p w14:paraId="5CB4BA61" w14:textId="1AEC344F" w:rsidR="00E21A7D" w:rsidRPr="008A2A38" w:rsidRDefault="002C3B5E" w:rsidP="0054533E">
      <w:pPr>
        <w:spacing w:line="360" w:lineRule="auto"/>
        <w:jc w:val="both"/>
        <w:rPr>
          <w:rFonts w:ascii="Arial" w:hAnsi="Arial" w:cs="Arial"/>
          <w:sz w:val="22"/>
          <w:szCs w:val="22"/>
        </w:rPr>
      </w:pPr>
      <w:r w:rsidRPr="008A2A38">
        <w:rPr>
          <w:rFonts w:ascii="Arial" w:hAnsi="Arial" w:cs="Arial"/>
          <w:sz w:val="22"/>
          <w:szCs w:val="22"/>
        </w:rPr>
        <w:t>A significant internal issue for British Gas was the 'fire and rehire' disagreement with engineers in 2021. Although the organisation sought to improve its operations and save expenses, the strategy demoralised employees and led to a surge in strike action. The negative public and political reaction damaged the brand's image and brought attention to the dangers of such cost-cutting measures in a sector that provides vital services to customers.</w:t>
      </w:r>
    </w:p>
    <w:p w14:paraId="49B3651A" w14:textId="36829665" w:rsidR="00A021F0" w:rsidRPr="00B54980" w:rsidRDefault="00E21A7D" w:rsidP="00B54980">
      <w:pPr>
        <w:spacing w:line="360" w:lineRule="auto"/>
        <w:jc w:val="both"/>
        <w:rPr>
          <w:rFonts w:ascii="Arial" w:hAnsi="Arial" w:cs="Arial"/>
          <w:sz w:val="22"/>
          <w:szCs w:val="22"/>
        </w:rPr>
      </w:pPr>
      <w:r w:rsidRPr="008A2A38">
        <w:rPr>
          <w:rFonts w:ascii="Arial" w:hAnsi="Arial" w:cs="Arial"/>
          <w:sz w:val="22"/>
          <w:szCs w:val="22"/>
        </w:rPr>
        <w:t xml:space="preserve">The invasion of Ukraine in 2022 had a significant effect on the world's energy markets, causing wholesale petrol prices in the UK and Europe to hit all-time highs. </w:t>
      </w:r>
      <w:r w:rsidR="001D1B13">
        <w:rPr>
          <w:rFonts w:ascii="Arial" w:hAnsi="Arial" w:cs="Arial"/>
          <w:sz w:val="22"/>
          <w:szCs w:val="22"/>
        </w:rPr>
        <w:t xml:space="preserve">According to Althaqafi (2023) </w:t>
      </w:r>
      <w:r w:rsidRPr="008A2A38">
        <w:rPr>
          <w:rFonts w:ascii="Arial" w:hAnsi="Arial" w:cs="Arial"/>
          <w:sz w:val="22"/>
          <w:szCs w:val="22"/>
        </w:rPr>
        <w:t xml:space="preserve">The UK does not directly rely on Russian gas, but British Gas and other UK providers were under tremendous pricing pressure because of the interdependence of European supply networks. British Gas responded strategically to this global shock by negotiating long-term </w:t>
      </w:r>
      <w:r w:rsidRPr="008A2A38">
        <w:rPr>
          <w:rFonts w:ascii="Arial" w:hAnsi="Arial" w:cs="Arial"/>
          <w:sz w:val="22"/>
          <w:szCs w:val="22"/>
        </w:rPr>
        <w:lastRenderedPageBreak/>
        <w:t>supply contracts and extending its energy assistance trust for vulnerable homes, which caused supplier failures and increased consumer distress.</w:t>
      </w:r>
    </w:p>
    <w:p w14:paraId="4AD2D486" w14:textId="7884E2E5" w:rsidR="005D0741" w:rsidRPr="008A2A38" w:rsidRDefault="001A7FB4" w:rsidP="007368ED">
      <w:pPr>
        <w:spacing w:line="360" w:lineRule="auto"/>
        <w:jc w:val="both"/>
        <w:rPr>
          <w:rFonts w:ascii="Arial" w:hAnsi="Arial" w:cs="Arial"/>
          <w:sz w:val="22"/>
          <w:szCs w:val="22"/>
        </w:rPr>
      </w:pPr>
      <w:r>
        <w:rPr>
          <w:rFonts w:ascii="Arial" w:hAnsi="Arial" w:cs="Arial"/>
          <w:sz w:val="22"/>
          <w:szCs w:val="22"/>
        </w:rPr>
        <w:t xml:space="preserve">According to Waddams Price (2023) </w:t>
      </w:r>
      <w:r w:rsidR="00A021F0" w:rsidRPr="008A2A38">
        <w:rPr>
          <w:rFonts w:ascii="Arial" w:hAnsi="Arial" w:cs="Arial"/>
          <w:sz w:val="22"/>
          <w:szCs w:val="22"/>
        </w:rPr>
        <w:t xml:space="preserve">The cost compensation system of the Energy Market Operator, which enabled energy suppliers to recover losses from prior years when the price cap drove them to sell energy less than cost during the energy crisis, was a major factor in British Gas's (through its parent company Centrica) reported rapid increase in profits in its commercial energy division in 2023. The consequence was a one-time increase in British Gas's earnings, which increased from £72 million to £751 million. </w:t>
      </w:r>
      <w:r w:rsidR="00F179FA">
        <w:rPr>
          <w:rFonts w:ascii="Arial" w:hAnsi="Arial" w:cs="Arial"/>
          <w:sz w:val="22"/>
          <w:szCs w:val="22"/>
        </w:rPr>
        <w:t xml:space="preserve">According to Snell et al. (2025) </w:t>
      </w:r>
      <w:r w:rsidR="00A021F0" w:rsidRPr="008A2A38">
        <w:rPr>
          <w:rFonts w:ascii="Arial" w:hAnsi="Arial" w:cs="Arial"/>
          <w:sz w:val="22"/>
          <w:szCs w:val="22"/>
        </w:rPr>
        <w:t xml:space="preserve">The UK had a sharp rise in fuel poverty at the same period due to growing energy costs and a deteriorating cost-of-living issue. </w:t>
      </w:r>
      <w:r w:rsidR="00491922" w:rsidRPr="008A2A38">
        <w:rPr>
          <w:rFonts w:ascii="Arial" w:hAnsi="Arial" w:cs="Arial"/>
          <w:sz w:val="22"/>
          <w:szCs w:val="22"/>
        </w:rPr>
        <w:t>British Gas responded by increasing its social impact initiatives through the British Gas Energy Trust, which helped more than 61,000 homes in need by giving them more than £20 million. This helped to establish the business as socially conscious in the face of growing criticism of energy affordability and business ethics. It included repayment of debts, revenue maximisation, and energy guidance.</w:t>
      </w:r>
    </w:p>
    <w:p w14:paraId="6A86FB6F" w14:textId="6628FD4C" w:rsidR="001013B8" w:rsidRDefault="005D0741" w:rsidP="007368ED">
      <w:pPr>
        <w:spacing w:line="360" w:lineRule="auto"/>
        <w:rPr>
          <w:rFonts w:ascii="Arial" w:hAnsi="Arial" w:cs="Arial"/>
          <w:sz w:val="22"/>
          <w:szCs w:val="22"/>
        </w:rPr>
      </w:pPr>
      <w:r w:rsidRPr="008A2A38">
        <w:rPr>
          <w:rFonts w:ascii="Arial" w:hAnsi="Arial" w:cs="Arial"/>
          <w:sz w:val="22"/>
          <w:szCs w:val="22"/>
        </w:rPr>
        <w:t>British Gas lost its long-standing leadership in the UK residential energy market when Octopus Energy surpassed it in January 2024 to become the country's largest provider</w:t>
      </w:r>
      <w:r w:rsidR="002931E0">
        <w:rPr>
          <w:rFonts w:ascii="Arial" w:hAnsi="Arial" w:cs="Arial"/>
          <w:sz w:val="22"/>
          <w:szCs w:val="22"/>
        </w:rPr>
        <w:t xml:space="preserve"> (UK Investing Stock Market 2024).</w:t>
      </w:r>
      <w:r w:rsidRPr="008A2A38">
        <w:rPr>
          <w:rFonts w:ascii="Arial" w:hAnsi="Arial" w:cs="Arial"/>
          <w:sz w:val="22"/>
          <w:szCs w:val="22"/>
        </w:rPr>
        <w:t xml:space="preserve"> About 12.9 million energy customers were reached by Octopus, which was about 320,000 more than British Gas. A significant shift in consumer preferences and business rivalry was brought to light by this transformation. With an emphasis on technological advancement, affordable green energy, and excellent customer service—areas which traditional providers like British Gas have found it difficult to stay up—Octopus has grown significantly.</w:t>
      </w:r>
      <w:r w:rsidR="00705552" w:rsidRPr="008A2A38">
        <w:rPr>
          <w:rFonts w:ascii="Arial" w:hAnsi="Arial" w:cs="Arial"/>
          <w:sz w:val="22"/>
          <w:szCs w:val="22"/>
        </w:rPr>
        <w:t xml:space="preserve"> In the face of growing consumer expectations and mounting pressure from more flexible, customer-focused competitors, the incident marked a shift in the market and put pressure on British Gas to upgrade its services, keep customers, and restore its position.</w:t>
      </w:r>
    </w:p>
    <w:p w14:paraId="6707EA15" w14:textId="77777777" w:rsidR="001013B8" w:rsidRDefault="001013B8" w:rsidP="007368ED">
      <w:pPr>
        <w:spacing w:line="360" w:lineRule="auto"/>
        <w:rPr>
          <w:rFonts w:ascii="Arial" w:hAnsi="Arial" w:cs="Arial"/>
          <w:sz w:val="22"/>
          <w:szCs w:val="22"/>
        </w:rPr>
      </w:pPr>
    </w:p>
    <w:p w14:paraId="28A65CFF" w14:textId="5768B581" w:rsidR="00567EF4" w:rsidRPr="008A2A38" w:rsidRDefault="00231295" w:rsidP="007368ED">
      <w:pPr>
        <w:spacing w:line="360" w:lineRule="auto"/>
        <w:rPr>
          <w:rFonts w:ascii="Arial" w:hAnsi="Arial" w:cs="Arial"/>
          <w:sz w:val="22"/>
          <w:szCs w:val="22"/>
        </w:rPr>
      </w:pPr>
      <w:r w:rsidRPr="00231295">
        <w:rPr>
          <w:rFonts w:ascii="Baskerville Old Face" w:hAnsi="Baskerville Old Face"/>
          <w:b/>
          <w:bCs/>
          <w:color w:val="000000" w:themeColor="text1"/>
          <w:sz w:val="32"/>
          <w:szCs w:val="32"/>
        </w:rPr>
        <w:t>EVALUATION OF CHANGE MANAGEMENT MODELS:</w:t>
      </w:r>
    </w:p>
    <w:p w14:paraId="6E10CB69" w14:textId="77777777" w:rsidR="00F2455A" w:rsidRDefault="00F2455A" w:rsidP="007368ED">
      <w:pPr>
        <w:spacing w:line="360" w:lineRule="auto"/>
        <w:jc w:val="both"/>
        <w:rPr>
          <w:rFonts w:ascii="Arial" w:hAnsi="Arial" w:cs="Arial"/>
          <w:sz w:val="22"/>
          <w:szCs w:val="22"/>
        </w:rPr>
      </w:pPr>
      <w:r w:rsidRPr="001013B8">
        <w:rPr>
          <w:rFonts w:ascii="Arial" w:hAnsi="Arial" w:cs="Arial"/>
          <w:sz w:val="22"/>
          <w:szCs w:val="22"/>
        </w:rPr>
        <w:t xml:space="preserve">A clear and organised framework is offered </w:t>
      </w:r>
      <w:r w:rsidRPr="001013B8">
        <w:rPr>
          <w:rFonts w:ascii="Arial" w:hAnsi="Arial" w:cs="Arial"/>
          <w:b/>
          <w:bCs/>
          <w:sz w:val="22"/>
          <w:szCs w:val="22"/>
        </w:rPr>
        <w:t>by Kotter's 8-Step Change Model</w:t>
      </w:r>
      <w:r w:rsidRPr="001013B8">
        <w:rPr>
          <w:rFonts w:ascii="Arial" w:hAnsi="Arial" w:cs="Arial"/>
          <w:sz w:val="22"/>
          <w:szCs w:val="22"/>
        </w:rPr>
        <w:t xml:space="preserve"> for evaluating British Gas's recent organisational changes. In managing significant change, this model highlights the value of establishing urgency, gaining support from stakeholders, expressing a clear vision, and reinforcing new habits. Major shortcomings in management, interaction, and alignment with culture are shown when Kotter's model is applied to the company's recent market losses, "fire and rehire" approach, and attitude towards the energy crisis. The analysis afterward shows how British Gas's change activities may have been more successful if they had been informed by Kotter's ideas.</w:t>
      </w:r>
    </w:p>
    <w:p w14:paraId="5E8F134B" w14:textId="77777777" w:rsidR="00DE5BBD" w:rsidRPr="001013B8" w:rsidRDefault="00DE5BBD" w:rsidP="007368ED">
      <w:pPr>
        <w:spacing w:line="360" w:lineRule="auto"/>
        <w:jc w:val="both"/>
        <w:rPr>
          <w:rFonts w:ascii="Arial" w:hAnsi="Arial" w:cs="Arial"/>
          <w:sz w:val="22"/>
          <w:szCs w:val="22"/>
        </w:rPr>
      </w:pPr>
    </w:p>
    <w:p w14:paraId="5AB7A9E0" w14:textId="77777777" w:rsidR="00587EA2" w:rsidRPr="001013B8" w:rsidRDefault="00587EA2"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lastRenderedPageBreak/>
        <w:t>CREATE A SENSE OF URGENCY:</w:t>
      </w:r>
    </w:p>
    <w:p w14:paraId="32D7A0D9" w14:textId="16B7B863" w:rsidR="00C04839" w:rsidRPr="001013B8" w:rsidRDefault="00420129" w:rsidP="007368ED">
      <w:pPr>
        <w:spacing w:line="360" w:lineRule="auto"/>
        <w:jc w:val="both"/>
        <w:rPr>
          <w:rFonts w:ascii="Arial" w:hAnsi="Arial" w:cs="Arial"/>
          <w:sz w:val="22"/>
          <w:szCs w:val="22"/>
        </w:rPr>
      </w:pPr>
      <w:r w:rsidRPr="00420129">
        <w:rPr>
          <w:rFonts w:ascii="Arial" w:hAnsi="Arial" w:cs="Arial"/>
          <w:sz w:val="22"/>
          <w:szCs w:val="22"/>
        </w:rPr>
        <w:t xml:space="preserve">In order to remain competitive in a shifting energy market, British Gas implemented an unpopular "fire and rehire" program in 2021 as part of its cost-cutting and upgrading strategy. </w:t>
      </w:r>
      <w:r w:rsidR="009F59D9">
        <w:rPr>
          <w:rFonts w:ascii="Arial" w:hAnsi="Arial" w:cs="Arial"/>
          <w:sz w:val="22"/>
          <w:szCs w:val="22"/>
        </w:rPr>
        <w:t xml:space="preserve">According to Blom (2018) </w:t>
      </w:r>
      <w:r w:rsidRPr="00420129">
        <w:rPr>
          <w:rFonts w:ascii="Arial" w:hAnsi="Arial" w:cs="Arial"/>
          <w:sz w:val="22"/>
          <w:szCs w:val="22"/>
        </w:rPr>
        <w:t>Employees were not adequately informed and saw the move as a threat rather than a necessary shift, even though leadership acknowledged the need. The company's reputation was harmed both internally and globally as a result of public outrage and widespread strikes brought on by the unclear communication.</w:t>
      </w:r>
    </w:p>
    <w:p w14:paraId="7A179688" w14:textId="77777777" w:rsidR="00F00624" w:rsidRPr="001013B8" w:rsidRDefault="00F00624" w:rsidP="007368ED">
      <w:pPr>
        <w:pStyle w:val="ListParagraph"/>
        <w:numPr>
          <w:ilvl w:val="0"/>
          <w:numId w:val="1"/>
        </w:numPr>
        <w:spacing w:line="360" w:lineRule="auto"/>
        <w:jc w:val="both"/>
        <w:rPr>
          <w:rFonts w:ascii="Arial" w:hAnsi="Arial" w:cs="Arial"/>
          <w:sz w:val="22"/>
          <w:szCs w:val="22"/>
        </w:rPr>
      </w:pPr>
      <w:r w:rsidRPr="001013B8">
        <w:rPr>
          <w:rFonts w:ascii="Arial" w:hAnsi="Arial" w:cs="Arial"/>
          <w:sz w:val="22"/>
          <w:szCs w:val="22"/>
          <w:u w:val="single"/>
        </w:rPr>
        <w:t>BUILD A GUIDING COALITION:</w:t>
      </w:r>
    </w:p>
    <w:p w14:paraId="27FCA3E3" w14:textId="116E95AC" w:rsidR="00410114" w:rsidRPr="001013B8" w:rsidRDefault="00EE4F0D" w:rsidP="007368ED">
      <w:pPr>
        <w:spacing w:line="360" w:lineRule="auto"/>
        <w:jc w:val="both"/>
        <w:rPr>
          <w:rFonts w:ascii="Arial" w:hAnsi="Arial" w:cs="Arial"/>
          <w:sz w:val="22"/>
          <w:szCs w:val="22"/>
        </w:rPr>
      </w:pPr>
      <w:r w:rsidRPr="00EE4F0D">
        <w:rPr>
          <w:rFonts w:ascii="Arial" w:hAnsi="Arial" w:cs="Arial"/>
          <w:sz w:val="22"/>
          <w:szCs w:val="22"/>
        </w:rPr>
        <w:t xml:space="preserve">With minimal consultation from important stakeholders like organisations and employee groups, British Gas's organisational reforms for 2021 were implemented top-down. </w:t>
      </w:r>
      <w:r w:rsidR="00982C1D">
        <w:rPr>
          <w:rFonts w:ascii="Arial" w:hAnsi="Arial" w:cs="Arial"/>
          <w:sz w:val="22"/>
          <w:szCs w:val="22"/>
        </w:rPr>
        <w:t xml:space="preserve">According to Bahrain, Sakrani and Maidin </w:t>
      </w:r>
      <w:r w:rsidR="002722AF">
        <w:rPr>
          <w:rFonts w:ascii="Arial" w:hAnsi="Arial" w:cs="Arial"/>
          <w:sz w:val="22"/>
          <w:szCs w:val="22"/>
        </w:rPr>
        <w:t xml:space="preserve">(2023) </w:t>
      </w:r>
      <w:r w:rsidRPr="00EE4F0D">
        <w:rPr>
          <w:rFonts w:ascii="Arial" w:hAnsi="Arial" w:cs="Arial"/>
          <w:sz w:val="22"/>
          <w:szCs w:val="22"/>
        </w:rPr>
        <w:t>Internal support was undermined by th</w:t>
      </w:r>
      <w:r w:rsidR="002722AF">
        <w:rPr>
          <w:rFonts w:ascii="Arial" w:hAnsi="Arial" w:cs="Arial"/>
          <w:sz w:val="22"/>
          <w:szCs w:val="22"/>
        </w:rPr>
        <w:t>e</w:t>
      </w:r>
      <w:r w:rsidRPr="00EE4F0D">
        <w:rPr>
          <w:rFonts w:ascii="Arial" w:hAnsi="Arial" w:cs="Arial"/>
          <w:sz w:val="22"/>
          <w:szCs w:val="22"/>
        </w:rPr>
        <w:t xml:space="preserve"> lack of cooperation, which resulted in low morale and communication failures. In the end, the company's reputation suffered, alignment was delayed, and public criticism escalated due to the inability to form a strong steering coalition.</w:t>
      </w:r>
    </w:p>
    <w:p w14:paraId="0B564742" w14:textId="608C5ACD" w:rsidR="00472899" w:rsidRPr="001013B8" w:rsidRDefault="001C0EE1"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t>FORM A STR</w:t>
      </w:r>
      <w:r w:rsidR="00472899" w:rsidRPr="001013B8">
        <w:rPr>
          <w:rFonts w:ascii="Arial" w:hAnsi="Arial" w:cs="Arial"/>
          <w:sz w:val="22"/>
          <w:szCs w:val="22"/>
          <w:u w:val="single"/>
        </w:rPr>
        <w:t>ATEGIC VISION AND INITIATIVES:</w:t>
      </w:r>
    </w:p>
    <w:p w14:paraId="259F9683" w14:textId="7686D9C0" w:rsidR="00F1709F" w:rsidRPr="001013B8" w:rsidRDefault="002722AF" w:rsidP="007368ED">
      <w:pPr>
        <w:spacing w:line="360" w:lineRule="auto"/>
        <w:jc w:val="both"/>
        <w:rPr>
          <w:rFonts w:ascii="Arial" w:hAnsi="Arial" w:cs="Arial"/>
          <w:sz w:val="22"/>
          <w:szCs w:val="22"/>
        </w:rPr>
      </w:pPr>
      <w:r>
        <w:rPr>
          <w:rFonts w:ascii="Arial" w:hAnsi="Arial" w:cs="Arial"/>
          <w:sz w:val="22"/>
          <w:szCs w:val="22"/>
        </w:rPr>
        <w:t xml:space="preserve">According to Ajayi and Pollitt (2025) </w:t>
      </w:r>
      <w:r w:rsidR="00D10C50" w:rsidRPr="001013B8">
        <w:rPr>
          <w:rFonts w:ascii="Arial" w:hAnsi="Arial" w:cs="Arial"/>
          <w:sz w:val="22"/>
          <w:szCs w:val="22"/>
        </w:rPr>
        <w:t xml:space="preserve">In order to save expenses and modernise operations, British Gas could not effectively convey a strategic goal that employees and consumers could adopt.   Without an established motif, customers noticed little advantage and staff lacked desire and direction. On the other hand, competitors like Octopus Energy had a compelling, customer-focused vision that earned acceptance and market share. A decrease in public trust and a lack of internal commitment </w:t>
      </w:r>
      <w:r w:rsidR="00F1709F" w:rsidRPr="001013B8">
        <w:rPr>
          <w:rFonts w:ascii="Arial" w:hAnsi="Arial" w:cs="Arial"/>
          <w:sz w:val="22"/>
          <w:szCs w:val="22"/>
        </w:rPr>
        <w:t>was</w:t>
      </w:r>
      <w:r w:rsidR="00D10C50" w:rsidRPr="001013B8">
        <w:rPr>
          <w:rFonts w:ascii="Arial" w:hAnsi="Arial" w:cs="Arial"/>
          <w:sz w:val="22"/>
          <w:szCs w:val="22"/>
        </w:rPr>
        <w:t xml:space="preserve"> caused by British Gas's uncertainty.</w:t>
      </w:r>
    </w:p>
    <w:p w14:paraId="40A8E697" w14:textId="38CFFE44" w:rsidR="00215DB5" w:rsidRPr="001013B8" w:rsidRDefault="00215DB5" w:rsidP="007368ED">
      <w:pPr>
        <w:pStyle w:val="ListParagraph"/>
        <w:numPr>
          <w:ilvl w:val="0"/>
          <w:numId w:val="1"/>
        </w:numPr>
        <w:spacing w:line="360" w:lineRule="auto"/>
        <w:jc w:val="both"/>
        <w:rPr>
          <w:rFonts w:ascii="Arial" w:hAnsi="Arial" w:cs="Arial"/>
          <w:sz w:val="22"/>
          <w:szCs w:val="22"/>
          <w:u w:val="single"/>
        </w:rPr>
      </w:pPr>
      <w:r w:rsidRPr="001013B8">
        <w:rPr>
          <w:rFonts w:ascii="Arial" w:hAnsi="Arial" w:cs="Arial"/>
          <w:sz w:val="22"/>
          <w:szCs w:val="22"/>
          <w:u w:val="single"/>
        </w:rPr>
        <w:t>COMMUNICATE THE VISION:</w:t>
      </w:r>
    </w:p>
    <w:p w14:paraId="4176603E" w14:textId="69F636B4" w:rsidR="008A2A38" w:rsidRDefault="00215DB5" w:rsidP="007368ED">
      <w:pPr>
        <w:spacing w:line="360" w:lineRule="auto"/>
        <w:jc w:val="both"/>
        <w:rPr>
          <w:rFonts w:ascii="Arial" w:hAnsi="Arial" w:cs="Arial"/>
          <w:sz w:val="22"/>
          <w:szCs w:val="22"/>
        </w:rPr>
      </w:pPr>
      <w:r w:rsidRPr="001013B8">
        <w:rPr>
          <w:rFonts w:ascii="Arial" w:hAnsi="Arial" w:cs="Arial"/>
          <w:sz w:val="22"/>
          <w:szCs w:val="22"/>
        </w:rPr>
        <w:t xml:space="preserve">British Gas's communication throughout the "fire and rehire" process was mostly commercial and immediate, concentrating on contract modifications and job losses rather than a clear, optimistic goal. </w:t>
      </w:r>
      <w:r w:rsidR="00B86F39">
        <w:rPr>
          <w:rFonts w:ascii="Arial" w:hAnsi="Arial" w:cs="Arial"/>
          <w:sz w:val="22"/>
          <w:szCs w:val="22"/>
        </w:rPr>
        <w:t>According to Chandra and Hendra</w:t>
      </w:r>
      <w:r w:rsidR="000B7333">
        <w:rPr>
          <w:rFonts w:ascii="Arial" w:hAnsi="Arial" w:cs="Arial"/>
          <w:sz w:val="22"/>
          <w:szCs w:val="22"/>
        </w:rPr>
        <w:t xml:space="preserve">tmoko (2024) </w:t>
      </w:r>
      <w:r w:rsidRPr="001013B8">
        <w:rPr>
          <w:rFonts w:ascii="Arial" w:hAnsi="Arial" w:cs="Arial"/>
          <w:sz w:val="22"/>
          <w:szCs w:val="22"/>
        </w:rPr>
        <w:t>This strategy weakened resistance and undermined trust by raising staff stress and drawing public criticism.   British Gas lost a vital opportunity to build internal support and unite stakeholders behind its objectives by neglecting explaining the adjustments as part of a long-term transition.</w:t>
      </w:r>
    </w:p>
    <w:p w14:paraId="22356CF4" w14:textId="39EE1BFA" w:rsidR="009D7C44" w:rsidRPr="00715E3F" w:rsidRDefault="00D37241"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EMPOWER BROAD-BASED ACTION:</w:t>
      </w:r>
    </w:p>
    <w:p w14:paraId="4BB1EF4F" w14:textId="77F6CDB3" w:rsidR="00D37241" w:rsidRDefault="00CE0874" w:rsidP="007368ED">
      <w:pPr>
        <w:spacing w:line="360" w:lineRule="auto"/>
        <w:jc w:val="both"/>
        <w:rPr>
          <w:rFonts w:ascii="Arial" w:hAnsi="Arial" w:cs="Arial"/>
          <w:sz w:val="22"/>
          <w:szCs w:val="22"/>
        </w:rPr>
      </w:pPr>
      <w:r w:rsidRPr="00CE0874">
        <w:rPr>
          <w:rFonts w:ascii="Arial" w:hAnsi="Arial" w:cs="Arial"/>
          <w:sz w:val="22"/>
          <w:szCs w:val="22"/>
        </w:rPr>
        <w:t xml:space="preserve">British Gas's use of termination warnings throughout the reorganisation restricted employee engagement and undermined confidence, rather than empowering workers. This strategy produced a toxic workplace where workers felt inflexible and disengaged, which lowered morale and reduced output. </w:t>
      </w:r>
      <w:r w:rsidR="00A417AB">
        <w:rPr>
          <w:rFonts w:ascii="Arial" w:hAnsi="Arial" w:cs="Arial"/>
          <w:sz w:val="22"/>
          <w:szCs w:val="22"/>
        </w:rPr>
        <w:t xml:space="preserve">According to Pittard and Ewing (2024) </w:t>
      </w:r>
      <w:r w:rsidRPr="00CE0874">
        <w:rPr>
          <w:rFonts w:ascii="Arial" w:hAnsi="Arial" w:cs="Arial"/>
          <w:sz w:val="22"/>
          <w:szCs w:val="22"/>
        </w:rPr>
        <w:t>The company's enforcement strategies offended the staff and prevented successful transformation rather than encouraging innovation.</w:t>
      </w:r>
    </w:p>
    <w:p w14:paraId="6D4C00E8" w14:textId="77777777" w:rsidR="00832D9F" w:rsidRDefault="00832D9F" w:rsidP="007368ED">
      <w:pPr>
        <w:spacing w:line="360" w:lineRule="auto"/>
        <w:jc w:val="both"/>
        <w:rPr>
          <w:rFonts w:ascii="Arial" w:hAnsi="Arial" w:cs="Arial"/>
          <w:sz w:val="22"/>
          <w:szCs w:val="22"/>
        </w:rPr>
      </w:pPr>
    </w:p>
    <w:p w14:paraId="7B668705" w14:textId="77777777" w:rsidR="00832D9F" w:rsidRDefault="00832D9F" w:rsidP="007368ED">
      <w:pPr>
        <w:spacing w:line="360" w:lineRule="auto"/>
        <w:jc w:val="both"/>
        <w:rPr>
          <w:rFonts w:ascii="Arial" w:hAnsi="Arial" w:cs="Arial"/>
          <w:sz w:val="22"/>
          <w:szCs w:val="22"/>
        </w:rPr>
      </w:pPr>
    </w:p>
    <w:p w14:paraId="210B116C" w14:textId="1BE3FE9A" w:rsidR="00CE0874" w:rsidRPr="00715E3F" w:rsidRDefault="0009348F"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lastRenderedPageBreak/>
        <w:t>GENERATE SHORT-TERM WINS:</w:t>
      </w:r>
    </w:p>
    <w:p w14:paraId="01E0F1E4" w14:textId="39266715" w:rsidR="0009348F" w:rsidRDefault="0009348F" w:rsidP="007368ED">
      <w:pPr>
        <w:spacing w:line="360" w:lineRule="auto"/>
        <w:jc w:val="both"/>
        <w:rPr>
          <w:rFonts w:ascii="Arial" w:hAnsi="Arial" w:cs="Arial"/>
          <w:sz w:val="22"/>
          <w:szCs w:val="22"/>
        </w:rPr>
      </w:pPr>
      <w:r w:rsidRPr="0009348F">
        <w:rPr>
          <w:rFonts w:ascii="Arial" w:hAnsi="Arial" w:cs="Arial"/>
          <w:sz w:val="22"/>
          <w:szCs w:val="22"/>
        </w:rPr>
        <w:t>British Gas' internal cost-cutting strategies suffered from through early failures, which undermined staff trust and change enthusiasm.  The company's expanded assistance through its Energy Trust, which helped 61,000 homes in need during the global energy crisis</w:t>
      </w:r>
      <w:r w:rsidR="00832D9F">
        <w:rPr>
          <w:rFonts w:ascii="Arial" w:hAnsi="Arial" w:cs="Arial"/>
          <w:sz w:val="22"/>
          <w:szCs w:val="22"/>
        </w:rPr>
        <w:t xml:space="preserve"> (British Gas energy trust, Impact Report </w:t>
      </w:r>
      <w:r w:rsidR="005B694B">
        <w:rPr>
          <w:rFonts w:ascii="Arial" w:hAnsi="Arial" w:cs="Arial"/>
          <w:sz w:val="22"/>
          <w:szCs w:val="22"/>
        </w:rPr>
        <w:t>(</w:t>
      </w:r>
      <w:r w:rsidR="00832D9F">
        <w:rPr>
          <w:rFonts w:ascii="Arial" w:hAnsi="Arial" w:cs="Arial"/>
          <w:sz w:val="22"/>
          <w:szCs w:val="22"/>
        </w:rPr>
        <w:t>2023)</w:t>
      </w:r>
      <w:r w:rsidRPr="0009348F">
        <w:rPr>
          <w:rFonts w:ascii="Arial" w:hAnsi="Arial" w:cs="Arial"/>
          <w:sz w:val="22"/>
          <w:szCs w:val="22"/>
        </w:rPr>
        <w:t>, failed to result in a short-term victory. Even though this restored some of the consumer's trust, the corporation continued to be criticised for its excessive earnings in the context of the cost-of-living issue.</w:t>
      </w:r>
    </w:p>
    <w:p w14:paraId="2A7D86F9" w14:textId="257B6ACB" w:rsidR="0009348F" w:rsidRPr="00715E3F" w:rsidRDefault="00430FCD"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SUSTAIN ACCELERATION:</w:t>
      </w:r>
    </w:p>
    <w:p w14:paraId="0502B108" w14:textId="1BBD56F3" w:rsidR="00430FCD" w:rsidRDefault="00EF20CC" w:rsidP="007368ED">
      <w:pPr>
        <w:spacing w:line="360" w:lineRule="auto"/>
        <w:jc w:val="both"/>
        <w:rPr>
          <w:rFonts w:ascii="Arial" w:hAnsi="Arial" w:cs="Arial"/>
          <w:sz w:val="22"/>
          <w:szCs w:val="22"/>
        </w:rPr>
      </w:pPr>
      <w:r w:rsidRPr="00EF20CC">
        <w:rPr>
          <w:rFonts w:ascii="Arial" w:hAnsi="Arial" w:cs="Arial"/>
          <w:sz w:val="22"/>
          <w:szCs w:val="22"/>
        </w:rPr>
        <w:t xml:space="preserve">By ignoring continuous operational and cultural changes, British Gas was unable to maintain progress following the internal reorganisation. Due to a lack of consistent effort, rivals such as Octopus Energy were able to innovate and improve customer service, eventually overtaking British Gas in terms of market share. </w:t>
      </w:r>
      <w:r w:rsidR="00921360">
        <w:rPr>
          <w:rFonts w:ascii="Arial" w:hAnsi="Arial" w:cs="Arial"/>
          <w:sz w:val="22"/>
          <w:szCs w:val="22"/>
        </w:rPr>
        <w:t xml:space="preserve">According to Ajayi and Pollitt (2025) </w:t>
      </w:r>
      <w:r w:rsidRPr="00EF20CC">
        <w:rPr>
          <w:rFonts w:ascii="Arial" w:hAnsi="Arial" w:cs="Arial"/>
          <w:sz w:val="22"/>
          <w:szCs w:val="22"/>
        </w:rPr>
        <w:t>The company's incapacity to consistently develop and expand upon early adjustments was brought attention by its immobility.</w:t>
      </w:r>
    </w:p>
    <w:p w14:paraId="11D2FA28" w14:textId="3D650BE9" w:rsidR="00EF20CC" w:rsidRPr="00715E3F" w:rsidRDefault="003268A8" w:rsidP="007368ED">
      <w:pPr>
        <w:pStyle w:val="ListParagraph"/>
        <w:numPr>
          <w:ilvl w:val="0"/>
          <w:numId w:val="1"/>
        </w:numPr>
        <w:spacing w:line="360" w:lineRule="auto"/>
        <w:jc w:val="both"/>
        <w:rPr>
          <w:rFonts w:ascii="Arial" w:hAnsi="Arial" w:cs="Arial"/>
          <w:sz w:val="22"/>
          <w:szCs w:val="22"/>
          <w:u w:val="single"/>
        </w:rPr>
      </w:pPr>
      <w:r w:rsidRPr="00715E3F">
        <w:rPr>
          <w:rFonts w:ascii="Arial" w:hAnsi="Arial" w:cs="Arial"/>
          <w:sz w:val="22"/>
          <w:szCs w:val="22"/>
          <w:u w:val="single"/>
        </w:rPr>
        <w:t>INSTITUTE CHANGE:</w:t>
      </w:r>
    </w:p>
    <w:p w14:paraId="126B5BBA" w14:textId="26D030B5" w:rsidR="003268A8" w:rsidRDefault="003268A8" w:rsidP="007368ED">
      <w:pPr>
        <w:spacing w:line="360" w:lineRule="auto"/>
        <w:jc w:val="both"/>
        <w:rPr>
          <w:rFonts w:ascii="Arial" w:hAnsi="Arial" w:cs="Arial"/>
          <w:sz w:val="22"/>
          <w:szCs w:val="22"/>
        </w:rPr>
      </w:pPr>
      <w:r w:rsidRPr="003268A8">
        <w:rPr>
          <w:rFonts w:ascii="Arial" w:hAnsi="Arial" w:cs="Arial"/>
          <w:sz w:val="22"/>
          <w:szCs w:val="22"/>
        </w:rPr>
        <w:t xml:space="preserve">Employee dissatisfaction and a lack of trust remained after the 2021 strikes, indicating that British Gas was unable to adequately implement the improvements into its corporate culture. Furthermore, it appeared that the brand's goals did not align with what the general public expected. </w:t>
      </w:r>
      <w:r w:rsidR="0006548E">
        <w:rPr>
          <w:rFonts w:ascii="Arial" w:hAnsi="Arial" w:cs="Arial"/>
          <w:sz w:val="22"/>
          <w:szCs w:val="22"/>
        </w:rPr>
        <w:t xml:space="preserve">According to Gigliotti and Alvarez-Robinson (2025) </w:t>
      </w:r>
      <w:r w:rsidRPr="003268A8">
        <w:rPr>
          <w:rFonts w:ascii="Arial" w:hAnsi="Arial" w:cs="Arial"/>
          <w:sz w:val="22"/>
          <w:szCs w:val="22"/>
        </w:rPr>
        <w:t>Even if the firm has achieved progress in its social impact programs, a renewed emphasis on improving communication, re-establishing a work environment, and coordinating leadership actions with its strategic goal will be necessary to achieve long-lasting transformation.</w:t>
      </w:r>
    </w:p>
    <w:p w14:paraId="35D4A3C6" w14:textId="77777777" w:rsidR="00591357" w:rsidRDefault="00591357" w:rsidP="007368ED">
      <w:pPr>
        <w:spacing w:line="360" w:lineRule="auto"/>
        <w:jc w:val="both"/>
        <w:rPr>
          <w:rFonts w:ascii="Arial" w:hAnsi="Arial" w:cs="Arial"/>
          <w:sz w:val="22"/>
          <w:szCs w:val="22"/>
        </w:rPr>
      </w:pPr>
    </w:p>
    <w:p w14:paraId="2615E9B5" w14:textId="4EC5F7F6" w:rsidR="00591357" w:rsidRDefault="00591357" w:rsidP="007368ED">
      <w:pPr>
        <w:spacing w:line="360" w:lineRule="auto"/>
        <w:jc w:val="both"/>
        <w:rPr>
          <w:rFonts w:ascii="Arial" w:hAnsi="Arial" w:cs="Arial"/>
          <w:sz w:val="22"/>
          <w:szCs w:val="22"/>
        </w:rPr>
      </w:pPr>
      <w:r w:rsidRPr="00591357">
        <w:rPr>
          <w:rFonts w:ascii="Arial" w:hAnsi="Arial" w:cs="Arial"/>
          <w:sz w:val="22"/>
          <w:szCs w:val="22"/>
        </w:rPr>
        <w:t xml:space="preserve">By using Kotter's 8-Step Change Model, British Gas's internal shifts and external issues were shown to have multiple serious flaws. </w:t>
      </w:r>
      <w:r w:rsidR="00FE5917">
        <w:rPr>
          <w:rFonts w:ascii="Arial" w:hAnsi="Arial" w:cs="Arial"/>
          <w:sz w:val="22"/>
          <w:szCs w:val="22"/>
        </w:rPr>
        <w:t xml:space="preserve">According to Albrecht (2022) </w:t>
      </w:r>
      <w:r w:rsidRPr="00591357">
        <w:rPr>
          <w:rFonts w:ascii="Arial" w:hAnsi="Arial" w:cs="Arial"/>
          <w:sz w:val="22"/>
          <w:szCs w:val="22"/>
        </w:rPr>
        <w:t>Despite having a strategic goal, the organisation lacked three essential components of Kotter's framework: a people-</w:t>
      </w:r>
      <w:r w:rsidR="00933519" w:rsidRPr="00591357">
        <w:rPr>
          <w:rFonts w:ascii="Arial" w:hAnsi="Arial" w:cs="Arial"/>
          <w:sz w:val="22"/>
          <w:szCs w:val="22"/>
        </w:rPr>
        <w:t>c</w:t>
      </w:r>
      <w:r w:rsidR="00933519">
        <w:rPr>
          <w:rFonts w:ascii="Arial" w:hAnsi="Arial" w:cs="Arial"/>
          <w:sz w:val="22"/>
          <w:szCs w:val="22"/>
        </w:rPr>
        <w:t>e</w:t>
      </w:r>
      <w:r w:rsidR="00933519" w:rsidRPr="00591357">
        <w:rPr>
          <w:rFonts w:ascii="Arial" w:hAnsi="Arial" w:cs="Arial"/>
          <w:sz w:val="22"/>
          <w:szCs w:val="22"/>
        </w:rPr>
        <w:t>ntred</w:t>
      </w:r>
      <w:r w:rsidRPr="00591357">
        <w:rPr>
          <w:rFonts w:ascii="Arial" w:hAnsi="Arial" w:cs="Arial"/>
          <w:sz w:val="22"/>
          <w:szCs w:val="22"/>
        </w:rPr>
        <w:t xml:space="preserve"> strategy, transparent communication, and employee engagement. On the other hand, its more recent initiatives towards customer service and social responsibility due to the energy crisis are more consistent with the model's more recent stages. In order to restore its corporate culture and reclaim market leadership, British Gas will need to implement a more comprehensive and broad restructuring plan in the future.</w:t>
      </w:r>
    </w:p>
    <w:p w14:paraId="11A35455" w14:textId="77777777" w:rsidR="00591357" w:rsidRPr="005E7309" w:rsidRDefault="00591357" w:rsidP="007368ED">
      <w:pPr>
        <w:spacing w:line="360" w:lineRule="auto"/>
        <w:jc w:val="both"/>
        <w:rPr>
          <w:rFonts w:ascii="Arial" w:hAnsi="Arial" w:cs="Arial"/>
          <w:b/>
          <w:bCs/>
          <w:sz w:val="22"/>
          <w:szCs w:val="22"/>
        </w:rPr>
      </w:pPr>
    </w:p>
    <w:p w14:paraId="7C0FF8FF" w14:textId="6C5137CA" w:rsidR="00600491" w:rsidRPr="00C4713C" w:rsidRDefault="00294DCC" w:rsidP="007368ED">
      <w:pPr>
        <w:spacing w:line="360" w:lineRule="auto"/>
        <w:rPr>
          <w:rFonts w:ascii="Arial" w:hAnsi="Arial" w:cs="Arial"/>
          <w:b/>
          <w:bCs/>
          <w:sz w:val="28"/>
          <w:szCs w:val="28"/>
        </w:rPr>
      </w:pPr>
      <w:r w:rsidRPr="00C4713C">
        <w:rPr>
          <w:rFonts w:ascii="Arial" w:hAnsi="Arial" w:cs="Arial"/>
          <w:b/>
          <w:bCs/>
          <w:sz w:val="28"/>
          <w:szCs w:val="28"/>
        </w:rPr>
        <w:t>ADKAR</w:t>
      </w:r>
      <w:r w:rsidR="00E65F46" w:rsidRPr="00C4713C">
        <w:rPr>
          <w:rFonts w:ascii="Arial" w:hAnsi="Arial" w:cs="Arial"/>
          <w:b/>
          <w:bCs/>
          <w:sz w:val="28"/>
          <w:szCs w:val="28"/>
        </w:rPr>
        <w:t xml:space="preserve"> MODEL</w:t>
      </w:r>
    </w:p>
    <w:p w14:paraId="697875F0" w14:textId="77777777" w:rsidR="00600491" w:rsidRDefault="00600491" w:rsidP="007368ED">
      <w:pPr>
        <w:spacing w:line="360" w:lineRule="auto"/>
        <w:jc w:val="both"/>
        <w:rPr>
          <w:rFonts w:ascii="Arial" w:hAnsi="Arial" w:cs="Arial"/>
          <w:b/>
          <w:bCs/>
          <w:sz w:val="22"/>
          <w:szCs w:val="22"/>
        </w:rPr>
      </w:pPr>
      <w:r w:rsidRPr="005E7309">
        <w:rPr>
          <w:rFonts w:ascii="Arial" w:hAnsi="Arial" w:cs="Arial"/>
          <w:b/>
          <w:bCs/>
          <w:sz w:val="22"/>
          <w:szCs w:val="22"/>
        </w:rPr>
        <w:t>AWARENESS:</w:t>
      </w:r>
    </w:p>
    <w:p w14:paraId="28E4183C" w14:textId="114D6693" w:rsidR="00FE5917" w:rsidRPr="005B694B" w:rsidRDefault="00C607CF" w:rsidP="007368ED">
      <w:pPr>
        <w:spacing w:line="360" w:lineRule="auto"/>
        <w:jc w:val="both"/>
        <w:rPr>
          <w:rFonts w:ascii="Arial" w:hAnsi="Arial" w:cs="Arial"/>
          <w:sz w:val="22"/>
          <w:szCs w:val="22"/>
        </w:rPr>
      </w:pPr>
      <w:r>
        <w:rPr>
          <w:rFonts w:ascii="Arial" w:hAnsi="Arial" w:cs="Arial"/>
          <w:sz w:val="22"/>
          <w:szCs w:val="22"/>
        </w:rPr>
        <w:t xml:space="preserve">According to Fearne (2024) </w:t>
      </w:r>
      <w:r w:rsidR="00045750" w:rsidRPr="004A4D4B">
        <w:rPr>
          <w:rFonts w:ascii="Arial" w:hAnsi="Arial" w:cs="Arial"/>
          <w:sz w:val="22"/>
          <w:szCs w:val="22"/>
        </w:rPr>
        <w:t xml:space="preserve">During the energy crisis, British Gas demonstrated a strong sense of urgency by moving swiftly to stabilise operations and convey market challenges. But </w:t>
      </w:r>
      <w:r w:rsidR="00045750" w:rsidRPr="004A4D4B">
        <w:rPr>
          <w:rFonts w:ascii="Arial" w:hAnsi="Arial" w:cs="Arial"/>
          <w:sz w:val="22"/>
          <w:szCs w:val="22"/>
        </w:rPr>
        <w:lastRenderedPageBreak/>
        <w:t>because the rationale for the "fire and rehire" approach was not made transparent, it failed to raise internal knowledge during the 2021 restructure, which resulted in employee opposition and mistrust.</w:t>
      </w:r>
    </w:p>
    <w:p w14:paraId="73459C45" w14:textId="1BC67E33" w:rsidR="00630F58" w:rsidRPr="005E7309" w:rsidRDefault="00630F58" w:rsidP="007368ED">
      <w:pPr>
        <w:spacing w:line="360" w:lineRule="auto"/>
        <w:jc w:val="both"/>
        <w:rPr>
          <w:rFonts w:ascii="Arial" w:hAnsi="Arial" w:cs="Arial"/>
          <w:b/>
          <w:bCs/>
          <w:sz w:val="22"/>
          <w:szCs w:val="22"/>
        </w:rPr>
      </w:pPr>
      <w:r w:rsidRPr="005E7309">
        <w:rPr>
          <w:rFonts w:ascii="Arial" w:hAnsi="Arial" w:cs="Arial"/>
          <w:b/>
          <w:bCs/>
          <w:sz w:val="22"/>
          <w:szCs w:val="22"/>
        </w:rPr>
        <w:t>DESIRE:</w:t>
      </w:r>
    </w:p>
    <w:p w14:paraId="51986E08" w14:textId="46CDC0F2" w:rsidR="00D971E5" w:rsidRPr="005E7309" w:rsidRDefault="00BF0033" w:rsidP="007368ED">
      <w:pPr>
        <w:spacing w:line="360" w:lineRule="auto"/>
        <w:jc w:val="both"/>
        <w:rPr>
          <w:rFonts w:ascii="Arial" w:hAnsi="Arial" w:cs="Arial"/>
          <w:sz w:val="22"/>
          <w:szCs w:val="22"/>
        </w:rPr>
      </w:pPr>
      <w:r w:rsidRPr="00BF0033">
        <w:rPr>
          <w:rFonts w:ascii="Arial" w:hAnsi="Arial" w:cs="Arial"/>
          <w:sz w:val="22"/>
          <w:szCs w:val="22"/>
        </w:rPr>
        <w:t>British Gas responded to the energy crisis by demonstrating a strong commitment to helping those who are most vulnerable consumers by establishing the Energy Trust, which certainly improved corporate pride and public reputation. Employee support for the move was, however, minimal during the internal cost-cutting adjustments. Widespread industrial action, decreased motivation, and feelings of disconnection were the results of the aggressive "fire and rehire" strategy.</w:t>
      </w:r>
    </w:p>
    <w:p w14:paraId="7FB46488" w14:textId="77777777" w:rsidR="006954F8" w:rsidRPr="005E7309" w:rsidRDefault="006954F8" w:rsidP="007368ED">
      <w:pPr>
        <w:spacing w:line="360" w:lineRule="auto"/>
        <w:jc w:val="both"/>
        <w:rPr>
          <w:rFonts w:ascii="Arial" w:hAnsi="Arial" w:cs="Arial"/>
          <w:b/>
          <w:bCs/>
          <w:sz w:val="22"/>
          <w:szCs w:val="22"/>
        </w:rPr>
      </w:pPr>
      <w:r w:rsidRPr="005E7309">
        <w:rPr>
          <w:rFonts w:ascii="Arial" w:hAnsi="Arial" w:cs="Arial"/>
          <w:b/>
          <w:bCs/>
          <w:sz w:val="22"/>
          <w:szCs w:val="22"/>
        </w:rPr>
        <w:t>KNOWLEDGE:</w:t>
      </w:r>
    </w:p>
    <w:p w14:paraId="6D56CF1B" w14:textId="6206A569" w:rsidR="005B702D" w:rsidRDefault="004148E8" w:rsidP="007368ED">
      <w:pPr>
        <w:spacing w:line="360" w:lineRule="auto"/>
        <w:jc w:val="both"/>
        <w:rPr>
          <w:rFonts w:ascii="Arial" w:hAnsi="Arial" w:cs="Arial"/>
          <w:sz w:val="22"/>
          <w:szCs w:val="22"/>
        </w:rPr>
      </w:pPr>
      <w:r>
        <w:rPr>
          <w:rFonts w:ascii="Arial" w:hAnsi="Arial" w:cs="Arial"/>
          <w:sz w:val="22"/>
          <w:szCs w:val="22"/>
        </w:rPr>
        <w:t xml:space="preserve">According to Centrica Plc annual report (2024) </w:t>
      </w:r>
      <w:r w:rsidR="00565400" w:rsidRPr="00565400">
        <w:rPr>
          <w:rFonts w:ascii="Arial" w:hAnsi="Arial" w:cs="Arial"/>
          <w:sz w:val="22"/>
          <w:szCs w:val="22"/>
        </w:rPr>
        <w:t>British Gas has proven successful sharing information in its external support efforts and possesses the infrastructure and resources necessary to provide training. Many workers, however, were not given clear instructions on their new responsibilities and expectations throughout the internal reorganisation. Staff found it challenging to adjust due to this lack of guidance, which also fuelled resistance and misunderstanding.</w:t>
      </w:r>
    </w:p>
    <w:p w14:paraId="40FF30EF" w14:textId="11651156" w:rsidR="00B27A39" w:rsidRPr="005E7309" w:rsidRDefault="00B27A39" w:rsidP="007368ED">
      <w:pPr>
        <w:spacing w:line="360" w:lineRule="auto"/>
        <w:jc w:val="both"/>
        <w:rPr>
          <w:rFonts w:ascii="Arial" w:hAnsi="Arial" w:cs="Arial"/>
          <w:b/>
          <w:bCs/>
          <w:sz w:val="22"/>
          <w:szCs w:val="22"/>
        </w:rPr>
      </w:pPr>
      <w:r w:rsidRPr="005E7309">
        <w:rPr>
          <w:rFonts w:ascii="Arial" w:hAnsi="Arial" w:cs="Arial"/>
          <w:b/>
          <w:bCs/>
          <w:sz w:val="22"/>
          <w:szCs w:val="22"/>
        </w:rPr>
        <w:t>ABILITY:</w:t>
      </w:r>
    </w:p>
    <w:p w14:paraId="17034C1D" w14:textId="4DD60213" w:rsidR="00FF6783" w:rsidRDefault="00FF6783" w:rsidP="007368ED">
      <w:pPr>
        <w:spacing w:line="360" w:lineRule="auto"/>
        <w:jc w:val="both"/>
        <w:rPr>
          <w:rFonts w:ascii="Arial" w:hAnsi="Arial" w:cs="Arial"/>
          <w:sz w:val="22"/>
          <w:szCs w:val="22"/>
        </w:rPr>
      </w:pPr>
      <w:r w:rsidRPr="00FF6783">
        <w:rPr>
          <w:rFonts w:ascii="Arial" w:hAnsi="Arial" w:cs="Arial"/>
          <w:sz w:val="22"/>
          <w:szCs w:val="22"/>
        </w:rPr>
        <w:t>During the energy crisis, British Gas secured long-term supply contracts, demonstrating outstanding organisational abilities. However, at the employee level, it was challenging for personnel to acquire the skills necessary for effective adaptation due to a lack of assistance and a hostile work atmosphere brought on by the "fire and rehire" strategy.</w:t>
      </w:r>
    </w:p>
    <w:p w14:paraId="2ED67313" w14:textId="1D13ADE8" w:rsidR="004032CF" w:rsidRPr="005E7309" w:rsidRDefault="004032CF" w:rsidP="007368ED">
      <w:pPr>
        <w:spacing w:line="360" w:lineRule="auto"/>
        <w:jc w:val="both"/>
        <w:rPr>
          <w:rFonts w:ascii="Arial" w:hAnsi="Arial" w:cs="Arial"/>
          <w:b/>
          <w:bCs/>
          <w:sz w:val="22"/>
          <w:szCs w:val="22"/>
        </w:rPr>
      </w:pPr>
      <w:r w:rsidRPr="005E7309">
        <w:rPr>
          <w:rFonts w:ascii="Arial" w:hAnsi="Arial" w:cs="Arial"/>
          <w:b/>
          <w:bCs/>
          <w:sz w:val="22"/>
          <w:szCs w:val="22"/>
        </w:rPr>
        <w:t>REINFORCEMENT:</w:t>
      </w:r>
    </w:p>
    <w:p w14:paraId="5AAA726A" w14:textId="0E725600" w:rsidR="009750B5" w:rsidRDefault="00684A41" w:rsidP="007368ED">
      <w:pPr>
        <w:spacing w:line="360" w:lineRule="auto"/>
        <w:jc w:val="both"/>
        <w:rPr>
          <w:rFonts w:ascii="Arial" w:hAnsi="Arial" w:cs="Arial"/>
          <w:sz w:val="22"/>
          <w:szCs w:val="22"/>
        </w:rPr>
      </w:pPr>
      <w:r w:rsidRPr="00684A41">
        <w:rPr>
          <w:rFonts w:ascii="Arial" w:hAnsi="Arial" w:cs="Arial"/>
          <w:sz w:val="22"/>
          <w:szCs w:val="22"/>
        </w:rPr>
        <w:t>By continuing to fund the Energy Trust, British Gas strengthened its social responsibility and enhanced public awareness during difficult times. After restructuring, new ideals and behaviours were not well-received internally, nevertheless. Despite the lack of leadership attempts to maintain long-term change and the lack of acknowledgement, employee unhappiness remained high.</w:t>
      </w:r>
    </w:p>
    <w:p w14:paraId="3637C0E5" w14:textId="77777777" w:rsidR="00684A41" w:rsidRPr="005E7309" w:rsidRDefault="00684A41" w:rsidP="007368ED">
      <w:pPr>
        <w:spacing w:line="360" w:lineRule="auto"/>
        <w:jc w:val="both"/>
        <w:rPr>
          <w:rFonts w:ascii="Arial" w:hAnsi="Arial" w:cs="Arial"/>
          <w:sz w:val="22"/>
          <w:szCs w:val="22"/>
        </w:rPr>
      </w:pPr>
    </w:p>
    <w:p w14:paraId="68A13D1E" w14:textId="3281DBC3" w:rsidR="00A50588" w:rsidRDefault="008B2F68" w:rsidP="007368ED">
      <w:pPr>
        <w:spacing w:line="360" w:lineRule="auto"/>
        <w:jc w:val="both"/>
        <w:rPr>
          <w:rFonts w:ascii="Arial" w:hAnsi="Arial" w:cs="Arial"/>
          <w:sz w:val="22"/>
          <w:szCs w:val="22"/>
        </w:rPr>
      </w:pPr>
      <w:r w:rsidRPr="008B2F68">
        <w:rPr>
          <w:rFonts w:ascii="Arial" w:hAnsi="Arial" w:cs="Arial"/>
          <w:sz w:val="22"/>
          <w:szCs w:val="22"/>
        </w:rPr>
        <w:t>According to the ADKAR</w:t>
      </w:r>
      <w:r w:rsidR="00385A9D">
        <w:rPr>
          <w:rFonts w:ascii="Arial" w:hAnsi="Arial" w:cs="Arial"/>
          <w:sz w:val="22"/>
          <w:szCs w:val="22"/>
        </w:rPr>
        <w:t xml:space="preserve"> (2006)</w:t>
      </w:r>
      <w:r w:rsidRPr="008B2F68">
        <w:rPr>
          <w:rFonts w:ascii="Arial" w:hAnsi="Arial" w:cs="Arial"/>
          <w:sz w:val="22"/>
          <w:szCs w:val="22"/>
        </w:rPr>
        <w:t xml:space="preserve"> model, British Gas struggled to manage internal change even while it had excellent organisational skill in reacting to external difficulties, especially through its social impact and crisis handling actions.   During the 2021 restructure, the corporation had trouble gaining the trust, desire, and ability of its employees. However, its initiatives to stabilise supplies and assist those in need during the energy crisis demonstrate that constructive change is achievable provided actions are in line with stakeholder demands and communication is clear. Going forward, maintaining both internal and external transformation will need a more people-</w:t>
      </w:r>
      <w:r w:rsidR="004A4D4B" w:rsidRPr="008B2F68">
        <w:rPr>
          <w:rFonts w:ascii="Arial" w:hAnsi="Arial" w:cs="Arial"/>
          <w:sz w:val="22"/>
          <w:szCs w:val="22"/>
        </w:rPr>
        <w:t>centred</w:t>
      </w:r>
      <w:r w:rsidRPr="008B2F68">
        <w:rPr>
          <w:rFonts w:ascii="Arial" w:hAnsi="Arial" w:cs="Arial"/>
          <w:sz w:val="22"/>
          <w:szCs w:val="22"/>
        </w:rPr>
        <w:t xml:space="preserve"> and balanced strategy.</w:t>
      </w:r>
    </w:p>
    <w:p w14:paraId="2A0C0C1B" w14:textId="77777777" w:rsidR="00F558AA" w:rsidRPr="00BF088D" w:rsidRDefault="00CF1D87" w:rsidP="007368ED">
      <w:pPr>
        <w:pStyle w:val="Heading1"/>
        <w:spacing w:line="360" w:lineRule="auto"/>
        <w:rPr>
          <w:rFonts w:ascii="Baskerville Old Face" w:hAnsi="Baskerville Old Face"/>
          <w:b/>
          <w:bCs/>
          <w:color w:val="000000" w:themeColor="text1"/>
          <w:sz w:val="32"/>
          <w:szCs w:val="32"/>
        </w:rPr>
      </w:pPr>
      <w:bookmarkStart w:id="5" w:name="_Toc212715841"/>
      <w:r w:rsidRPr="00BF088D">
        <w:rPr>
          <w:rFonts w:ascii="Baskerville Old Face" w:hAnsi="Baskerville Old Face"/>
          <w:b/>
          <w:bCs/>
          <w:color w:val="000000" w:themeColor="text1"/>
          <w:sz w:val="32"/>
          <w:szCs w:val="32"/>
        </w:rPr>
        <w:lastRenderedPageBreak/>
        <w:t>MAIN TRIGGERS OF CHANGE AT BRITISH GAS</w:t>
      </w:r>
      <w:r w:rsidR="00F558AA" w:rsidRPr="00BF088D">
        <w:rPr>
          <w:rFonts w:ascii="Baskerville Old Face" w:hAnsi="Baskerville Old Face"/>
          <w:b/>
          <w:bCs/>
          <w:color w:val="000000" w:themeColor="text1"/>
          <w:sz w:val="32"/>
          <w:szCs w:val="32"/>
        </w:rPr>
        <w:t xml:space="preserve"> (2021-2024)</w:t>
      </w:r>
      <w:bookmarkEnd w:id="5"/>
    </w:p>
    <w:p w14:paraId="36012A50" w14:textId="7B1BB05D" w:rsidR="00F558AA" w:rsidRDefault="00A767E1" w:rsidP="007368ED">
      <w:pPr>
        <w:spacing w:line="360" w:lineRule="auto"/>
        <w:jc w:val="both"/>
        <w:rPr>
          <w:rFonts w:ascii="Arial" w:hAnsi="Arial" w:cs="Arial"/>
          <w:sz w:val="22"/>
          <w:szCs w:val="22"/>
        </w:rPr>
      </w:pPr>
      <w:r w:rsidRPr="00A767E1">
        <w:rPr>
          <w:rFonts w:ascii="Arial" w:hAnsi="Arial" w:cs="Arial"/>
          <w:sz w:val="22"/>
          <w:szCs w:val="22"/>
        </w:rPr>
        <w:t>The primary causes of British Gas's organisational transformation were an interaction of competitive, social, political, and economic forces that affected the UK energy market. Politically, the cost-of-living crisis increasing government scrutiny and the implementation of the energy price cap limited profitability and increased public responsibility</w:t>
      </w:r>
      <w:r w:rsidR="005B694B">
        <w:rPr>
          <w:rFonts w:ascii="Arial" w:hAnsi="Arial" w:cs="Arial"/>
          <w:sz w:val="22"/>
          <w:szCs w:val="22"/>
        </w:rPr>
        <w:t xml:space="preserve"> (UK Government, analysis of the impact of energy and cost 2024)</w:t>
      </w:r>
      <w:r w:rsidRPr="00A767E1">
        <w:rPr>
          <w:rFonts w:ascii="Arial" w:hAnsi="Arial" w:cs="Arial"/>
          <w:sz w:val="22"/>
          <w:szCs w:val="22"/>
        </w:rPr>
        <w:t>. The crisis in Ukraine aggravated this further by causing market instability and destabilising European gas supplies, which required British Gas to update its pricing and supply policies. A significant internal trigger for behavioural and reputational change, the "fire and rehire" restructuring was one of the urgent cost-cutting measures brought on by the economic surge in wholesale energy rates and the decline in consumer affordability.</w:t>
      </w:r>
    </w:p>
    <w:p w14:paraId="4EBB51FF" w14:textId="24E6B903" w:rsidR="00AE77FF" w:rsidRDefault="0071308C" w:rsidP="007368ED">
      <w:pPr>
        <w:spacing w:line="360" w:lineRule="auto"/>
        <w:jc w:val="both"/>
        <w:rPr>
          <w:rFonts w:ascii="Arial" w:hAnsi="Arial" w:cs="Arial"/>
          <w:sz w:val="22"/>
          <w:szCs w:val="22"/>
        </w:rPr>
      </w:pPr>
      <w:r w:rsidRPr="0071308C">
        <w:rPr>
          <w:rFonts w:ascii="Arial" w:hAnsi="Arial" w:cs="Arial"/>
          <w:sz w:val="22"/>
          <w:szCs w:val="22"/>
        </w:rPr>
        <w:t>From a social and technological angle, a business was forced to modernise through smart technology and better customer service due to growing customer demands for open communication, affordability, and digital convenience.   A competitive trigger was brought into focus by Octopus Energy's loss of market leadership, highlighting the necessity of innovation, adaptability, and customer-centric change. Long-term motivators included legislative and environmental demands to reach the UK's Net Zero 2050 targets, which pushed British Gas to increase its investments in sustainable operations and green energy.</w:t>
      </w:r>
    </w:p>
    <w:p w14:paraId="6F653677" w14:textId="77777777" w:rsidR="009D2615" w:rsidRDefault="00BF088D" w:rsidP="009D2615">
      <w:pPr>
        <w:spacing w:line="360" w:lineRule="auto"/>
        <w:jc w:val="both"/>
        <w:rPr>
          <w:rFonts w:ascii="Arial" w:hAnsi="Arial" w:cs="Arial"/>
          <w:sz w:val="22"/>
          <w:szCs w:val="22"/>
        </w:rPr>
      </w:pPr>
      <w:r w:rsidRPr="00BF088D">
        <w:rPr>
          <w:rFonts w:ascii="Arial" w:hAnsi="Arial" w:cs="Arial"/>
          <w:sz w:val="22"/>
          <w:szCs w:val="22"/>
        </w:rPr>
        <w:t>These triggers show that British Gas's problems were not only political or environmental, but also fundamentally cultural and communicative when compared to the Kotter and ADKAR models. Effective adaptation to such external triggers was made difficult by limitations in employee empowerment, vision communication, and stakeholder involvement. The models reveal that although external change was unavoidable, internal preparation was insufficient, with low morale, poor leadership alignment, and poor communication functioning as the main internal drivers that undermined transition.</w:t>
      </w:r>
      <w:bookmarkStart w:id="6" w:name="_Toc212715842"/>
    </w:p>
    <w:p w14:paraId="3FD61DC0" w14:textId="77777777" w:rsidR="00BF1875" w:rsidRDefault="00BF1875" w:rsidP="009D2615">
      <w:pPr>
        <w:spacing w:line="360" w:lineRule="auto"/>
        <w:jc w:val="both"/>
        <w:rPr>
          <w:rFonts w:ascii="Baskerville Old Face" w:hAnsi="Baskerville Old Face"/>
          <w:b/>
          <w:bCs/>
          <w:color w:val="000000" w:themeColor="text1"/>
          <w:sz w:val="32"/>
          <w:szCs w:val="32"/>
        </w:rPr>
      </w:pPr>
    </w:p>
    <w:p w14:paraId="56592DD1" w14:textId="7DDA6EB5" w:rsidR="00567EF4" w:rsidRPr="009D2615" w:rsidRDefault="00231295" w:rsidP="009D2615">
      <w:pPr>
        <w:spacing w:line="360" w:lineRule="auto"/>
        <w:jc w:val="both"/>
        <w:rPr>
          <w:rFonts w:ascii="Arial" w:hAnsi="Arial" w:cs="Arial"/>
          <w:sz w:val="22"/>
          <w:szCs w:val="22"/>
        </w:rPr>
      </w:pPr>
      <w:r w:rsidRPr="00231295">
        <w:rPr>
          <w:rFonts w:ascii="Baskerville Old Face" w:hAnsi="Baskerville Old Face"/>
          <w:b/>
          <w:bCs/>
          <w:color w:val="000000" w:themeColor="text1"/>
          <w:sz w:val="32"/>
          <w:szCs w:val="32"/>
        </w:rPr>
        <w:t>LEADERSHIP, CULTURE AND CHANGE EVALUATION:</w:t>
      </w:r>
      <w:bookmarkEnd w:id="6"/>
    </w:p>
    <w:p w14:paraId="7CEA234E" w14:textId="5E2446BD" w:rsidR="00231295" w:rsidRPr="00683F8C" w:rsidRDefault="0015016C" w:rsidP="007368ED">
      <w:pPr>
        <w:spacing w:line="360" w:lineRule="auto"/>
        <w:jc w:val="both"/>
        <w:rPr>
          <w:rFonts w:ascii="Arial" w:hAnsi="Arial" w:cs="Arial"/>
          <w:sz w:val="22"/>
          <w:szCs w:val="22"/>
        </w:rPr>
      </w:pPr>
      <w:r w:rsidRPr="00683F8C">
        <w:rPr>
          <w:rFonts w:ascii="Arial" w:hAnsi="Arial" w:cs="Arial"/>
          <w:sz w:val="22"/>
          <w:szCs w:val="22"/>
        </w:rPr>
        <w:t>The way British Gas handled a number of significant developments in recent years demonstrates a change in leadership styles over various stages. Leadership during the 2021 "fire and rehire" reorganisation was mostly transactional and concentrated on implementing cost-cutting measures with minimal involvement from employees. This top-down strategy led to strikes, poor morale, and harm to the company's brand. By responding quickly to secure supply contracts and extending the Energy Trust to serve vulnerable customers during the 2022 energy crisis, however,</w:t>
      </w:r>
      <w:r w:rsidR="00056B7D">
        <w:rPr>
          <w:rFonts w:ascii="Arial" w:hAnsi="Arial" w:cs="Arial"/>
          <w:sz w:val="22"/>
          <w:szCs w:val="22"/>
        </w:rPr>
        <w:t xml:space="preserve"> According to Ingram et al</w:t>
      </w:r>
      <w:r w:rsidR="003D3D58">
        <w:rPr>
          <w:rFonts w:ascii="Arial" w:hAnsi="Arial" w:cs="Arial"/>
          <w:sz w:val="22"/>
          <w:szCs w:val="22"/>
        </w:rPr>
        <w:t>. (2023)</w:t>
      </w:r>
      <w:r w:rsidRPr="00683F8C">
        <w:rPr>
          <w:rFonts w:ascii="Arial" w:hAnsi="Arial" w:cs="Arial"/>
          <w:sz w:val="22"/>
          <w:szCs w:val="22"/>
        </w:rPr>
        <w:t xml:space="preserve"> leadership demonstrated a more situational and responsive approach, which contributed to the rebuilding of public </w:t>
      </w:r>
      <w:r w:rsidRPr="00683F8C">
        <w:rPr>
          <w:rFonts w:ascii="Arial" w:hAnsi="Arial" w:cs="Arial"/>
          <w:sz w:val="22"/>
          <w:szCs w:val="22"/>
        </w:rPr>
        <w:lastRenderedPageBreak/>
        <w:t>confidence.</w:t>
      </w:r>
      <w:r w:rsidR="00E55D98" w:rsidRPr="00683F8C">
        <w:rPr>
          <w:rFonts w:ascii="Arial" w:hAnsi="Arial" w:cs="Arial"/>
          <w:sz w:val="22"/>
          <w:szCs w:val="22"/>
        </w:rPr>
        <w:t xml:space="preserve"> However, the leadership's answers to British Gas's increased earnings and attention from the public in 2023 came regarded as cautious and reactive, falling short of adequately addressing stakeholder concerns. The 2024 loss of market leadership to Octopus Energy brought to light the rising significance of transformative leadership, which British Gas had not yet completely adopted. Octopus' tech-driven, customer-focused business strategy revealed British Gas's cultural inflexibility, where adaptation was challenging due to a hierarchical culture and delayed innovation. All things considered, British Gas's leadership has had difficulty striking a balance between operational control, employee empowerment, and cultural change. To promote long-lasting change, a move towards more inclusive, transformational leadership and a more flexible, cooperative culture are required.</w:t>
      </w:r>
    </w:p>
    <w:p w14:paraId="704DFF52" w14:textId="77777777" w:rsidR="00345E22" w:rsidRDefault="00345E22" w:rsidP="00C26A13">
      <w:pPr>
        <w:rPr>
          <w:rFonts w:ascii="Baskerville Old Face" w:hAnsi="Baskerville Old Face"/>
          <w:b/>
          <w:bCs/>
          <w:color w:val="000000" w:themeColor="text1"/>
          <w:sz w:val="32"/>
          <w:szCs w:val="32"/>
        </w:rPr>
      </w:pPr>
      <w:bookmarkStart w:id="7" w:name="_Toc212715843"/>
    </w:p>
    <w:p w14:paraId="5010E5B2" w14:textId="3B52BDF4" w:rsidR="00567EF4" w:rsidRPr="00C26A13" w:rsidRDefault="00231295" w:rsidP="00C26A13">
      <w:r w:rsidRPr="00231295">
        <w:rPr>
          <w:rFonts w:ascii="Baskerville Old Face" w:hAnsi="Baskerville Old Face"/>
          <w:b/>
          <w:bCs/>
          <w:color w:val="000000" w:themeColor="text1"/>
          <w:sz w:val="32"/>
          <w:szCs w:val="32"/>
        </w:rPr>
        <w:t>A DEVELOPED CHANGE MANAGEMENT PLAN FOR BRITISH GAS:</w:t>
      </w:r>
      <w:bookmarkEnd w:id="7"/>
    </w:p>
    <w:p w14:paraId="019CBBE4" w14:textId="70CA99E2" w:rsidR="00466604" w:rsidRPr="00AC6D58" w:rsidRDefault="003E2549" w:rsidP="00756DC2">
      <w:pPr>
        <w:spacing w:line="360" w:lineRule="auto"/>
        <w:jc w:val="both"/>
        <w:rPr>
          <w:rFonts w:ascii="Arial" w:hAnsi="Arial" w:cs="Arial"/>
          <w:sz w:val="22"/>
          <w:szCs w:val="22"/>
        </w:rPr>
      </w:pPr>
      <w:r w:rsidRPr="00AC6D58">
        <w:rPr>
          <w:rFonts w:ascii="Arial" w:hAnsi="Arial" w:cs="Arial"/>
          <w:sz w:val="22"/>
          <w:szCs w:val="22"/>
        </w:rPr>
        <w:t>Rebuilding trust, enhancing organisational culture, and recovering market</w:t>
      </w:r>
      <w:r w:rsidR="00AC6D58" w:rsidRPr="00AC6D58">
        <w:rPr>
          <w:rFonts w:ascii="Arial" w:hAnsi="Arial" w:cs="Arial"/>
          <w:sz w:val="22"/>
          <w:szCs w:val="22"/>
        </w:rPr>
        <w:t xml:space="preserve"> </w:t>
      </w:r>
      <w:r w:rsidRPr="00AC6D58">
        <w:rPr>
          <w:rFonts w:ascii="Arial" w:hAnsi="Arial" w:cs="Arial"/>
          <w:sz w:val="22"/>
          <w:szCs w:val="22"/>
        </w:rPr>
        <w:t xml:space="preserve">competitiveness are the main objectives of this </w:t>
      </w:r>
      <w:r w:rsidR="00AC6D58" w:rsidRPr="00AC6D58">
        <w:rPr>
          <w:rFonts w:ascii="Arial" w:hAnsi="Arial" w:cs="Arial"/>
          <w:sz w:val="22"/>
          <w:szCs w:val="22"/>
        </w:rPr>
        <w:t>changed management plan</w:t>
      </w:r>
      <w:r w:rsidRPr="00AC6D58">
        <w:rPr>
          <w:rFonts w:ascii="Arial" w:hAnsi="Arial" w:cs="Arial"/>
          <w:sz w:val="22"/>
          <w:szCs w:val="22"/>
        </w:rPr>
        <w:t>, which also aligns with customer-focused and sustainable energy targets.</w:t>
      </w:r>
      <w:r w:rsidR="00466604" w:rsidRPr="00466604">
        <w:t xml:space="preserve"> </w:t>
      </w:r>
      <w:r w:rsidR="00466604" w:rsidRPr="00466604">
        <w:rPr>
          <w:rFonts w:ascii="Arial" w:hAnsi="Arial" w:cs="Arial"/>
          <w:sz w:val="22"/>
          <w:szCs w:val="22"/>
        </w:rPr>
        <w:t>Three main areas will be the focus of British Gas's Customer-focused and Employee-Driven Transformation Program:</w:t>
      </w:r>
    </w:p>
    <w:p w14:paraId="2C7192D0" w14:textId="77777777"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cultural revitalisation to restore employee confidence following the crisis in 2021.</w:t>
      </w:r>
    </w:p>
    <w:p w14:paraId="1C1A110D" w14:textId="77777777"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digital innovation to challenge tech-driven suppliers such as Octopus Energy.</w:t>
      </w:r>
    </w:p>
    <w:p w14:paraId="393385B5" w14:textId="1DCEE595" w:rsidR="00E26934" w:rsidRPr="00474303" w:rsidRDefault="00E26934" w:rsidP="00756DC2">
      <w:pPr>
        <w:pStyle w:val="ListParagraph"/>
        <w:numPr>
          <w:ilvl w:val="0"/>
          <w:numId w:val="2"/>
        </w:numPr>
        <w:spacing w:line="360" w:lineRule="auto"/>
        <w:jc w:val="both"/>
        <w:rPr>
          <w:rFonts w:ascii="Arial" w:hAnsi="Arial" w:cs="Arial"/>
          <w:sz w:val="22"/>
          <w:szCs w:val="22"/>
        </w:rPr>
      </w:pPr>
      <w:r w:rsidRPr="00474303">
        <w:rPr>
          <w:rFonts w:ascii="Arial" w:hAnsi="Arial" w:cs="Arial"/>
          <w:sz w:val="22"/>
          <w:szCs w:val="22"/>
        </w:rPr>
        <w:t>improved sustainability and customer service to reclaim position as market leader.</w:t>
      </w:r>
    </w:p>
    <w:p w14:paraId="374B62EF" w14:textId="77777777" w:rsidR="00345E22" w:rsidRDefault="00345E22" w:rsidP="00756DC2">
      <w:pPr>
        <w:spacing w:line="360" w:lineRule="auto"/>
        <w:jc w:val="both"/>
        <w:rPr>
          <w:rFonts w:ascii="Arial" w:hAnsi="Arial" w:cs="Arial"/>
          <w:b/>
          <w:bCs/>
        </w:rPr>
      </w:pPr>
    </w:p>
    <w:p w14:paraId="6E1FE505" w14:textId="7B48EA24" w:rsidR="006731C5" w:rsidRPr="00EE7229" w:rsidRDefault="00BE7141" w:rsidP="00756DC2">
      <w:pPr>
        <w:spacing w:line="360" w:lineRule="auto"/>
        <w:jc w:val="both"/>
        <w:rPr>
          <w:rFonts w:ascii="Arial" w:hAnsi="Arial" w:cs="Arial"/>
          <w:b/>
          <w:bCs/>
        </w:rPr>
      </w:pPr>
      <w:r w:rsidRPr="00EE7229">
        <w:rPr>
          <w:rFonts w:ascii="Arial" w:hAnsi="Arial" w:cs="Arial"/>
          <w:b/>
          <w:bCs/>
        </w:rPr>
        <w:t>C</w:t>
      </w:r>
      <w:r w:rsidR="006731C5" w:rsidRPr="00EE7229">
        <w:rPr>
          <w:rFonts w:ascii="Arial" w:hAnsi="Arial" w:cs="Arial"/>
          <w:b/>
          <w:bCs/>
        </w:rPr>
        <w:t>LEAR OBJECTIVES</w:t>
      </w:r>
    </w:p>
    <w:p w14:paraId="2119D08A" w14:textId="77777777" w:rsidR="003B1A0E" w:rsidRPr="00474303" w:rsidRDefault="003B1A0E" w:rsidP="00756DC2">
      <w:pPr>
        <w:spacing w:line="360" w:lineRule="auto"/>
        <w:jc w:val="both"/>
        <w:rPr>
          <w:rFonts w:ascii="Arial" w:hAnsi="Arial" w:cs="Arial"/>
          <w:sz w:val="22"/>
          <w:szCs w:val="22"/>
        </w:rPr>
      </w:pPr>
      <w:r w:rsidRPr="00474303">
        <w:rPr>
          <w:rFonts w:ascii="Arial" w:hAnsi="Arial" w:cs="Arial"/>
          <w:sz w:val="22"/>
          <w:szCs w:val="22"/>
        </w:rPr>
        <w:t>This change management plan's main objective is to make British Gas a resilient, customer-focused, and sustainable energy leader. The following detailed and measurable objectives are suggested in order to accomplish this:</w:t>
      </w:r>
    </w:p>
    <w:p w14:paraId="76620829" w14:textId="44318810" w:rsidR="003B1A0E" w:rsidRPr="00C977EF" w:rsidRDefault="003B1A0E" w:rsidP="00756DC2">
      <w:pPr>
        <w:pStyle w:val="ListParagraph"/>
        <w:numPr>
          <w:ilvl w:val="0"/>
          <w:numId w:val="4"/>
        </w:numPr>
        <w:spacing w:line="360" w:lineRule="auto"/>
        <w:jc w:val="both"/>
        <w:rPr>
          <w:rFonts w:ascii="Arial" w:hAnsi="Arial" w:cs="Arial"/>
          <w:b/>
          <w:bCs/>
        </w:rPr>
      </w:pPr>
      <w:r w:rsidRPr="00C977EF">
        <w:rPr>
          <w:rFonts w:ascii="Arial" w:hAnsi="Arial" w:cs="Arial"/>
          <w:b/>
          <w:bCs/>
        </w:rPr>
        <w:t>Improve Organisational Culture and Restore Employee Trust (2025–2026)</w:t>
      </w:r>
    </w:p>
    <w:p w14:paraId="29DFF86B" w14:textId="77777777" w:rsidR="003B1A0E"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Through open communication, equitable hiring procedures, and collaborative decision-making, all staff levels may regain trust and cooperation.</w:t>
      </w:r>
    </w:p>
    <w:p w14:paraId="1049ED87" w14:textId="77777777" w:rsidR="003B1A0E"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To boost morale after the 2021 labour issues, establish internal engagement surveys, staff development initiatives, and feedback systems.</w:t>
      </w:r>
    </w:p>
    <w:p w14:paraId="1270600E" w14:textId="7F2A008C" w:rsidR="00231295" w:rsidRPr="00474303" w:rsidRDefault="003B1A0E" w:rsidP="00756DC2">
      <w:pPr>
        <w:pStyle w:val="ListParagraph"/>
        <w:numPr>
          <w:ilvl w:val="0"/>
          <w:numId w:val="5"/>
        </w:numPr>
        <w:spacing w:line="360" w:lineRule="auto"/>
        <w:jc w:val="both"/>
        <w:rPr>
          <w:rFonts w:ascii="Arial" w:hAnsi="Arial" w:cs="Arial"/>
          <w:sz w:val="22"/>
          <w:szCs w:val="22"/>
        </w:rPr>
      </w:pPr>
      <w:r w:rsidRPr="00474303">
        <w:rPr>
          <w:rFonts w:ascii="Arial" w:hAnsi="Arial" w:cs="Arial"/>
          <w:sz w:val="22"/>
          <w:szCs w:val="22"/>
        </w:rPr>
        <w:t>Within a year, reduce absences and staff turnover by 15% by implementing focused leadership development and cultural activities.</w:t>
      </w:r>
    </w:p>
    <w:p w14:paraId="5A53976A" w14:textId="77777777" w:rsidR="008B69DE" w:rsidRPr="00C977EF" w:rsidRDefault="008B69DE" w:rsidP="00756DC2">
      <w:pPr>
        <w:pStyle w:val="ListParagraph"/>
        <w:numPr>
          <w:ilvl w:val="0"/>
          <w:numId w:val="4"/>
        </w:numPr>
        <w:spacing w:line="360" w:lineRule="auto"/>
        <w:jc w:val="both"/>
        <w:rPr>
          <w:rFonts w:ascii="Arial" w:hAnsi="Arial" w:cs="Arial"/>
          <w:b/>
          <w:bCs/>
        </w:rPr>
      </w:pPr>
      <w:r w:rsidRPr="00C977EF">
        <w:rPr>
          <w:rFonts w:ascii="Arial" w:hAnsi="Arial" w:cs="Arial"/>
          <w:b/>
          <w:bCs/>
        </w:rPr>
        <w:t>Increase Innovation and Digital Transformation (2025–2027)</w:t>
      </w:r>
    </w:p>
    <w:p w14:paraId="53E4910D" w14:textId="77777777" w:rsidR="008B69DE"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t>Update digital infrastructure to boost customer satisfaction and operational effectiveness.</w:t>
      </w:r>
    </w:p>
    <w:p w14:paraId="029D8DDF" w14:textId="77777777" w:rsidR="008B69DE"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lastRenderedPageBreak/>
        <w:t>Introduce digital self-service platforms, AI-powered customer assistance, and predictive maintenance solutions for residential services.</w:t>
      </w:r>
    </w:p>
    <w:p w14:paraId="36837858" w14:textId="715857EF" w:rsidR="00231295" w:rsidRPr="00474303" w:rsidRDefault="008B69DE" w:rsidP="00756DC2">
      <w:pPr>
        <w:pStyle w:val="ListParagraph"/>
        <w:numPr>
          <w:ilvl w:val="0"/>
          <w:numId w:val="7"/>
        </w:numPr>
        <w:spacing w:line="360" w:lineRule="auto"/>
        <w:jc w:val="both"/>
        <w:rPr>
          <w:rFonts w:ascii="Arial" w:hAnsi="Arial" w:cs="Arial"/>
          <w:sz w:val="22"/>
          <w:szCs w:val="22"/>
        </w:rPr>
      </w:pPr>
      <w:r w:rsidRPr="00474303">
        <w:rPr>
          <w:rFonts w:ascii="Arial" w:hAnsi="Arial" w:cs="Arial"/>
          <w:sz w:val="22"/>
          <w:szCs w:val="22"/>
        </w:rPr>
        <w:t>By 2027, 80% of the client base should have fully integrated smart technologies (such as EV charging, Hive, and smart meters) in order to compete with tech-led energy suppliers like Octopus Energy.</w:t>
      </w:r>
    </w:p>
    <w:p w14:paraId="43C8B792" w14:textId="4DA61087" w:rsidR="00C977EF" w:rsidRDefault="008F6D73" w:rsidP="00756DC2">
      <w:pPr>
        <w:pStyle w:val="ListParagraph"/>
        <w:numPr>
          <w:ilvl w:val="0"/>
          <w:numId w:val="4"/>
        </w:numPr>
        <w:spacing w:line="360" w:lineRule="auto"/>
        <w:jc w:val="both"/>
        <w:rPr>
          <w:rFonts w:ascii="Arial" w:hAnsi="Arial" w:cs="Arial"/>
          <w:b/>
          <w:bCs/>
        </w:rPr>
      </w:pPr>
      <w:r w:rsidRPr="00FB17B9">
        <w:rPr>
          <w:rFonts w:ascii="Arial" w:hAnsi="Arial" w:cs="Arial"/>
          <w:b/>
          <w:bCs/>
        </w:rPr>
        <w:t>Strengthen Market Position and Customer Satisfaction (2025–2026)</w:t>
      </w:r>
    </w:p>
    <w:p w14:paraId="0D769DBD" w14:textId="77777777" w:rsidR="004274FB"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Within 18 months, increase Net Promoter Score (NPS) and customer satisfaction (CSAT) by 20% by implementing clear invoicing procedures and service quality enhancements.</w:t>
      </w:r>
    </w:p>
    <w:p w14:paraId="1A8E0E8A" w14:textId="77777777" w:rsidR="004274FB"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Start a "Customer First" campaign that emphasises individualised digital support, energy-saving guidance, and empathy-driven service.</w:t>
      </w:r>
    </w:p>
    <w:p w14:paraId="3F4D13EF" w14:textId="56D0846C" w:rsidR="00FB17B9" w:rsidRPr="004274FB" w:rsidRDefault="004274FB" w:rsidP="00756DC2">
      <w:pPr>
        <w:pStyle w:val="ListParagraph"/>
        <w:numPr>
          <w:ilvl w:val="0"/>
          <w:numId w:val="8"/>
        </w:numPr>
        <w:spacing w:line="360" w:lineRule="auto"/>
        <w:jc w:val="both"/>
        <w:rPr>
          <w:rFonts w:ascii="Arial" w:hAnsi="Arial" w:cs="Arial"/>
          <w:sz w:val="22"/>
          <w:szCs w:val="22"/>
        </w:rPr>
      </w:pPr>
      <w:r w:rsidRPr="004274FB">
        <w:rPr>
          <w:rFonts w:ascii="Arial" w:hAnsi="Arial" w:cs="Arial"/>
          <w:sz w:val="22"/>
          <w:szCs w:val="22"/>
        </w:rPr>
        <w:t>Regain market dominance by growing your selection of renewable energy sources and implementing loyalty programs that encourage eco-friendly behaviours.</w:t>
      </w:r>
    </w:p>
    <w:p w14:paraId="3252FBB4" w14:textId="7F881C87" w:rsidR="00231295" w:rsidRDefault="00766D87" w:rsidP="00756DC2">
      <w:pPr>
        <w:pStyle w:val="ListParagraph"/>
        <w:numPr>
          <w:ilvl w:val="0"/>
          <w:numId w:val="4"/>
        </w:numPr>
        <w:spacing w:line="360" w:lineRule="auto"/>
        <w:jc w:val="both"/>
        <w:rPr>
          <w:rFonts w:ascii="Arial" w:hAnsi="Arial" w:cs="Arial"/>
          <w:b/>
          <w:bCs/>
        </w:rPr>
      </w:pPr>
      <w:r w:rsidRPr="00766D87">
        <w:rPr>
          <w:rFonts w:ascii="Arial" w:hAnsi="Arial" w:cs="Arial"/>
          <w:b/>
          <w:bCs/>
        </w:rPr>
        <w:t>Encourage environmental responsibility and sustainability (2025–2030)</w:t>
      </w:r>
    </w:p>
    <w:p w14:paraId="7CCF9BCD" w14:textId="77777777" w:rsidR="007C4E06"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Connect business strategy with the Net Zero 2050 agenda of the UK Government by investing more in green innovation and renewable technology.</w:t>
      </w:r>
    </w:p>
    <w:p w14:paraId="4398FCCF" w14:textId="77777777" w:rsidR="007C4E06"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 xml:space="preserve">By 2030, cut operational carbon emissions by 40% with the use of renewable supply chain management and internal sustainability evaluations.  </w:t>
      </w:r>
    </w:p>
    <w:p w14:paraId="469F51E4" w14:textId="5F277C45" w:rsidR="00EB1433" w:rsidRPr="007C4E06" w:rsidRDefault="007C4E06" w:rsidP="00756DC2">
      <w:pPr>
        <w:pStyle w:val="ListParagraph"/>
        <w:numPr>
          <w:ilvl w:val="0"/>
          <w:numId w:val="9"/>
        </w:numPr>
        <w:spacing w:line="360" w:lineRule="auto"/>
        <w:jc w:val="both"/>
        <w:rPr>
          <w:rFonts w:ascii="Arial" w:hAnsi="Arial" w:cs="Arial"/>
          <w:sz w:val="22"/>
          <w:szCs w:val="22"/>
        </w:rPr>
      </w:pPr>
      <w:r w:rsidRPr="007C4E06">
        <w:rPr>
          <w:rFonts w:ascii="Arial" w:hAnsi="Arial" w:cs="Arial"/>
          <w:sz w:val="22"/>
          <w:szCs w:val="22"/>
        </w:rPr>
        <w:t>Collaborate with green tech startups and local government agencies to advance social responsibility, community support, and energy efficiency.</w:t>
      </w:r>
    </w:p>
    <w:p w14:paraId="6F9D4A90" w14:textId="149E5F10" w:rsidR="00567EF4" w:rsidRDefault="000A002D" w:rsidP="00756DC2">
      <w:pPr>
        <w:pStyle w:val="ListParagraph"/>
        <w:numPr>
          <w:ilvl w:val="0"/>
          <w:numId w:val="4"/>
        </w:numPr>
        <w:spacing w:line="360" w:lineRule="auto"/>
        <w:jc w:val="both"/>
        <w:rPr>
          <w:rFonts w:ascii="Arial" w:hAnsi="Arial" w:cs="Arial"/>
          <w:b/>
          <w:bCs/>
        </w:rPr>
      </w:pPr>
      <w:r w:rsidRPr="000A002D">
        <w:rPr>
          <w:rFonts w:ascii="Arial" w:hAnsi="Arial" w:cs="Arial"/>
          <w:b/>
          <w:bCs/>
        </w:rPr>
        <w:t>Strengthen Organisational Adaptability and Resilience (Ongoing)</w:t>
      </w:r>
    </w:p>
    <w:p w14:paraId="02D01B62" w14:textId="77777777" w:rsidR="00EE7229" w:rsidRPr="00EE7229"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Create a special Change Management office (CMO) to oversee the transformation's advancement and integrate continuous improvement techniques.</w:t>
      </w:r>
    </w:p>
    <w:p w14:paraId="04B7408B" w14:textId="77777777" w:rsidR="00EE7229" w:rsidRPr="00EE7229"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To increase resilience for upcoming disruptions, managers and leaders should get training on Kotter's and ADKAR's change management concepts.</w:t>
      </w:r>
    </w:p>
    <w:p w14:paraId="66997549" w14:textId="1FB50591" w:rsidR="00231295" w:rsidRDefault="00EE7229" w:rsidP="00756DC2">
      <w:pPr>
        <w:pStyle w:val="ListParagraph"/>
        <w:numPr>
          <w:ilvl w:val="0"/>
          <w:numId w:val="10"/>
        </w:numPr>
        <w:spacing w:line="360" w:lineRule="auto"/>
        <w:jc w:val="both"/>
        <w:rPr>
          <w:rFonts w:ascii="Arial" w:hAnsi="Arial" w:cs="Arial"/>
          <w:sz w:val="22"/>
          <w:szCs w:val="22"/>
        </w:rPr>
      </w:pPr>
      <w:r w:rsidRPr="00EE7229">
        <w:rPr>
          <w:rFonts w:ascii="Arial" w:hAnsi="Arial" w:cs="Arial"/>
          <w:sz w:val="22"/>
          <w:szCs w:val="22"/>
        </w:rPr>
        <w:t>Make sure that strategies are regularly reviewed and adjusted in light of performance indicators, employee input, and outside market developments.</w:t>
      </w:r>
    </w:p>
    <w:p w14:paraId="66090F2F" w14:textId="77777777" w:rsidR="00BF1875" w:rsidRPr="00BF1875" w:rsidRDefault="00BF1875" w:rsidP="00BF1875">
      <w:pPr>
        <w:spacing w:line="360" w:lineRule="auto"/>
        <w:jc w:val="both"/>
        <w:rPr>
          <w:rFonts w:ascii="Arial" w:hAnsi="Arial" w:cs="Arial"/>
          <w:sz w:val="22"/>
          <w:szCs w:val="22"/>
        </w:rPr>
      </w:pPr>
    </w:p>
    <w:p w14:paraId="781811C9" w14:textId="77777777" w:rsidR="00345E22" w:rsidRDefault="00345E22">
      <w:pPr>
        <w:rPr>
          <w:rFonts w:ascii="Baskerville Old Face" w:hAnsi="Baskerville Old Face"/>
          <w:b/>
          <w:bCs/>
          <w:color w:val="000000" w:themeColor="text1"/>
          <w:sz w:val="32"/>
          <w:szCs w:val="32"/>
        </w:rPr>
      </w:pPr>
    </w:p>
    <w:p w14:paraId="1D75E7C5" w14:textId="77777777" w:rsidR="00345E22" w:rsidRDefault="00345E22">
      <w:pPr>
        <w:rPr>
          <w:rFonts w:ascii="Baskerville Old Face" w:hAnsi="Baskerville Old Face"/>
          <w:b/>
          <w:bCs/>
          <w:color w:val="000000" w:themeColor="text1"/>
          <w:sz w:val="32"/>
          <w:szCs w:val="32"/>
        </w:rPr>
      </w:pPr>
    </w:p>
    <w:p w14:paraId="4867F896" w14:textId="77777777" w:rsidR="00345E22" w:rsidRDefault="00345E22">
      <w:pPr>
        <w:rPr>
          <w:rFonts w:ascii="Baskerville Old Face" w:hAnsi="Baskerville Old Face"/>
          <w:b/>
          <w:bCs/>
          <w:color w:val="000000" w:themeColor="text1"/>
          <w:sz w:val="32"/>
          <w:szCs w:val="32"/>
        </w:rPr>
      </w:pPr>
    </w:p>
    <w:p w14:paraId="569447E8" w14:textId="77777777" w:rsidR="00345E22" w:rsidRDefault="00345E22">
      <w:pPr>
        <w:rPr>
          <w:rFonts w:ascii="Baskerville Old Face" w:hAnsi="Baskerville Old Face"/>
          <w:b/>
          <w:bCs/>
          <w:color w:val="000000" w:themeColor="text1"/>
          <w:sz w:val="32"/>
          <w:szCs w:val="32"/>
        </w:rPr>
      </w:pPr>
    </w:p>
    <w:p w14:paraId="7ACDA33B" w14:textId="77777777" w:rsidR="00345E22" w:rsidRDefault="00345E22">
      <w:pPr>
        <w:rPr>
          <w:rFonts w:ascii="Baskerville Old Face" w:hAnsi="Baskerville Old Face"/>
          <w:b/>
          <w:bCs/>
          <w:color w:val="000000" w:themeColor="text1"/>
          <w:sz w:val="32"/>
          <w:szCs w:val="32"/>
        </w:rPr>
      </w:pPr>
    </w:p>
    <w:p w14:paraId="06BF57F0" w14:textId="77777777" w:rsidR="00345E22" w:rsidRDefault="00345E22">
      <w:pPr>
        <w:rPr>
          <w:rFonts w:ascii="Baskerville Old Face" w:hAnsi="Baskerville Old Face"/>
          <w:b/>
          <w:bCs/>
          <w:color w:val="000000" w:themeColor="text1"/>
          <w:sz w:val="32"/>
          <w:szCs w:val="32"/>
        </w:rPr>
      </w:pPr>
    </w:p>
    <w:p w14:paraId="2E18F5D6" w14:textId="77777777" w:rsidR="00345E22" w:rsidRDefault="00345E22">
      <w:pPr>
        <w:rPr>
          <w:rFonts w:ascii="Baskerville Old Face" w:hAnsi="Baskerville Old Face"/>
          <w:b/>
          <w:bCs/>
          <w:color w:val="000000" w:themeColor="text1"/>
          <w:sz w:val="32"/>
          <w:szCs w:val="32"/>
        </w:rPr>
      </w:pPr>
    </w:p>
    <w:p w14:paraId="0C014223" w14:textId="77777777" w:rsidR="00345E22" w:rsidRDefault="00345E22">
      <w:pPr>
        <w:rPr>
          <w:rFonts w:ascii="Baskerville Old Face" w:hAnsi="Baskerville Old Face"/>
          <w:b/>
          <w:bCs/>
          <w:color w:val="000000" w:themeColor="text1"/>
          <w:sz w:val="32"/>
          <w:szCs w:val="32"/>
        </w:rPr>
      </w:pPr>
    </w:p>
    <w:p w14:paraId="20005571" w14:textId="0E9BD9DA" w:rsidR="00231295" w:rsidRPr="00231295" w:rsidRDefault="00231295" w:rsidP="00345E22">
      <w:pPr>
        <w:spacing w:line="360" w:lineRule="auto"/>
        <w:jc w:val="both"/>
        <w:rPr>
          <w:rFonts w:ascii="Baskerville Old Face" w:hAnsi="Baskerville Old Face"/>
          <w:b/>
          <w:bCs/>
          <w:color w:val="000000" w:themeColor="text1"/>
          <w:sz w:val="32"/>
          <w:szCs w:val="32"/>
        </w:rPr>
      </w:pPr>
      <w:r w:rsidRPr="00231295">
        <w:rPr>
          <w:rFonts w:ascii="Baskerville Old Face" w:hAnsi="Baskerville Old Face"/>
          <w:b/>
          <w:bCs/>
          <w:color w:val="000000" w:themeColor="text1"/>
          <w:sz w:val="32"/>
          <w:szCs w:val="32"/>
        </w:rPr>
        <w:lastRenderedPageBreak/>
        <w:t>CONCLUSION:</w:t>
      </w:r>
    </w:p>
    <w:p w14:paraId="5B804A20" w14:textId="77777777" w:rsidR="0021771A" w:rsidRPr="0021771A" w:rsidRDefault="0021771A" w:rsidP="00345E22">
      <w:pPr>
        <w:spacing w:line="360" w:lineRule="auto"/>
        <w:jc w:val="both"/>
        <w:rPr>
          <w:rFonts w:ascii="Arial" w:hAnsi="Arial" w:cs="Arial"/>
          <w:sz w:val="22"/>
          <w:szCs w:val="22"/>
        </w:rPr>
      </w:pPr>
      <w:r w:rsidRPr="0021771A">
        <w:rPr>
          <w:rFonts w:ascii="Arial" w:hAnsi="Arial" w:cs="Arial"/>
          <w:sz w:val="22"/>
          <w:szCs w:val="22"/>
        </w:rPr>
        <w:t>The recent history of British Gas underlines the vital connection between long-term organisational performance, employee engagement, and efficient change management. Although the need for change has been driven by external factors like fluctuations in markets and regulatory restrictions, internal problems specifically poor communication and an organisational culture have slowed down the process. In order to restore confidence and accomplish sustainable development, British Gas must integrate openness, cooperation, and innovation at every level going ahead.</w:t>
      </w:r>
    </w:p>
    <w:p w14:paraId="3D7FF762" w14:textId="63A89C24" w:rsidR="00231295" w:rsidRDefault="0021771A" w:rsidP="00345E22">
      <w:pPr>
        <w:spacing w:line="360" w:lineRule="auto"/>
        <w:jc w:val="both"/>
      </w:pPr>
      <w:r w:rsidRPr="0021771A">
        <w:rPr>
          <w:rFonts w:ascii="Arial" w:hAnsi="Arial" w:cs="Arial"/>
          <w:sz w:val="22"/>
          <w:szCs w:val="22"/>
        </w:rPr>
        <w:t>British Gas can once again establish itself as a client-focused, environmentally friendly, and resilient leader in the UK energy market by putting the suggested change management strategy into practice, giving culture renewal a top priority, and utilising digital and green technology.</w:t>
      </w:r>
      <w:r w:rsidR="00231295">
        <w:br w:type="page"/>
      </w:r>
    </w:p>
    <w:p w14:paraId="61AE2F47" w14:textId="1C248F56" w:rsidR="00917845" w:rsidRPr="00917845" w:rsidRDefault="00231295" w:rsidP="00917845">
      <w:pPr>
        <w:pStyle w:val="Heading1"/>
        <w:rPr>
          <w:rFonts w:ascii="Baskerville Old Face" w:hAnsi="Baskerville Old Face"/>
          <w:b/>
          <w:bCs/>
          <w:color w:val="000000" w:themeColor="text1"/>
          <w:sz w:val="32"/>
          <w:szCs w:val="32"/>
        </w:rPr>
      </w:pPr>
      <w:bookmarkStart w:id="8" w:name="_Toc212715845"/>
      <w:r w:rsidRPr="00231295">
        <w:rPr>
          <w:rFonts w:ascii="Baskerville Old Face" w:hAnsi="Baskerville Old Face"/>
          <w:b/>
          <w:bCs/>
          <w:color w:val="000000" w:themeColor="text1"/>
          <w:sz w:val="32"/>
          <w:szCs w:val="32"/>
        </w:rPr>
        <w:lastRenderedPageBreak/>
        <w:t>REFERENCE LIST:</w:t>
      </w:r>
      <w:bookmarkEnd w:id="8"/>
    </w:p>
    <w:p w14:paraId="7258AF5A" w14:textId="77777777"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Ajayi, V. and Pollitt, M.G. (2025) ‘Changing times: incentive regulation, corporate reorganizations, and productivity growth in the Great Britain’s gas networks’, Applied economics, 57(4), pp. 453–470. Available at: </w:t>
      </w:r>
      <w:hyperlink r:id="rId11" w:history="1">
        <w:r w:rsidRPr="00917845">
          <w:rPr>
            <w:rStyle w:val="Hyperlink"/>
            <w:rFonts w:ascii="Arial" w:hAnsi="Arial" w:cs="Arial"/>
            <w:sz w:val="22"/>
            <w:szCs w:val="22"/>
          </w:rPr>
          <w:t>https://doi.org/10.1080/00036846.2024.2305158</w:t>
        </w:r>
      </w:hyperlink>
      <w:r w:rsidRPr="00917845">
        <w:rPr>
          <w:rFonts w:ascii="Arial" w:hAnsi="Arial" w:cs="Arial"/>
          <w:color w:val="000000"/>
          <w:sz w:val="22"/>
          <w:szCs w:val="22"/>
        </w:rPr>
        <w:t xml:space="preserve">. </w:t>
      </w:r>
    </w:p>
    <w:p w14:paraId="3E500CF2" w14:textId="77777777" w:rsidR="00FE5917" w:rsidRDefault="00FE5917" w:rsidP="00917845">
      <w:pPr>
        <w:spacing w:line="360" w:lineRule="auto"/>
        <w:rPr>
          <w:rFonts w:ascii="Arial" w:hAnsi="Arial" w:cs="Arial"/>
          <w:color w:val="222222"/>
          <w:sz w:val="20"/>
          <w:szCs w:val="20"/>
          <w:shd w:val="clear" w:color="auto" w:fill="FFFFFF"/>
        </w:rPr>
      </w:pPr>
    </w:p>
    <w:p w14:paraId="48CA8386" w14:textId="2FC6558C" w:rsidR="00917845" w:rsidRPr="00FE5917" w:rsidRDefault="00FE5917" w:rsidP="00917845">
      <w:pPr>
        <w:spacing w:line="360" w:lineRule="auto"/>
        <w:rPr>
          <w:rFonts w:ascii="Arial" w:hAnsi="Arial" w:cs="Arial"/>
          <w:sz w:val="28"/>
          <w:szCs w:val="28"/>
        </w:rPr>
      </w:pPr>
      <w:r w:rsidRPr="00FE5917">
        <w:rPr>
          <w:rFonts w:ascii="Arial" w:hAnsi="Arial" w:cs="Arial"/>
          <w:color w:val="222222"/>
          <w:sz w:val="22"/>
          <w:szCs w:val="22"/>
          <w:shd w:val="clear" w:color="auto" w:fill="FFFFFF"/>
        </w:rPr>
        <w:t>Albrecht, S.L., Connaughton, S. and Leiter, M.P., 2022. The influence of change-related organizational and job resources on employee change engagement.</w:t>
      </w:r>
      <w:r w:rsidRPr="00FE5917">
        <w:rPr>
          <w:rStyle w:val="apple-converted-space"/>
          <w:rFonts w:ascii="Arial" w:hAnsi="Arial" w:cs="Arial"/>
          <w:color w:val="222222"/>
          <w:sz w:val="22"/>
          <w:szCs w:val="22"/>
          <w:shd w:val="clear" w:color="auto" w:fill="FFFFFF"/>
        </w:rPr>
        <w:t> </w:t>
      </w:r>
      <w:r w:rsidRPr="00FE5917">
        <w:rPr>
          <w:rFonts w:ascii="Arial" w:hAnsi="Arial" w:cs="Arial"/>
          <w:color w:val="222222"/>
          <w:sz w:val="22"/>
          <w:szCs w:val="22"/>
        </w:rPr>
        <w:t>Frontiers in Psychology</w:t>
      </w:r>
      <w:r w:rsidRPr="00FE5917">
        <w:rPr>
          <w:rFonts w:ascii="Arial" w:hAnsi="Arial" w:cs="Arial"/>
          <w:color w:val="222222"/>
          <w:sz w:val="22"/>
          <w:szCs w:val="22"/>
          <w:shd w:val="clear" w:color="auto" w:fill="FFFFFF"/>
        </w:rPr>
        <w:t>,</w:t>
      </w:r>
      <w:r w:rsidRPr="00FE5917">
        <w:rPr>
          <w:rStyle w:val="apple-converted-space"/>
          <w:rFonts w:ascii="Arial" w:hAnsi="Arial" w:cs="Arial"/>
          <w:color w:val="222222"/>
          <w:sz w:val="22"/>
          <w:szCs w:val="22"/>
          <w:shd w:val="clear" w:color="auto" w:fill="FFFFFF"/>
        </w:rPr>
        <w:t> </w:t>
      </w:r>
      <w:r w:rsidRPr="00FE5917">
        <w:rPr>
          <w:rFonts w:ascii="Arial" w:hAnsi="Arial" w:cs="Arial"/>
          <w:color w:val="222222"/>
          <w:sz w:val="22"/>
          <w:szCs w:val="22"/>
        </w:rPr>
        <w:t>13</w:t>
      </w:r>
      <w:r w:rsidRPr="00FE5917">
        <w:rPr>
          <w:rFonts w:ascii="Arial" w:hAnsi="Arial" w:cs="Arial"/>
          <w:color w:val="222222"/>
          <w:sz w:val="22"/>
          <w:szCs w:val="22"/>
          <w:shd w:val="clear" w:color="auto" w:fill="FFFFFF"/>
        </w:rPr>
        <w:t>, p.910206.</w:t>
      </w:r>
    </w:p>
    <w:p w14:paraId="0911A643" w14:textId="77777777" w:rsidR="00FE5917" w:rsidRDefault="00FE5917" w:rsidP="00917845">
      <w:pPr>
        <w:spacing w:line="360" w:lineRule="auto"/>
        <w:rPr>
          <w:rFonts w:ascii="Arial" w:hAnsi="Arial" w:cs="Arial"/>
          <w:sz w:val="22"/>
          <w:szCs w:val="22"/>
        </w:rPr>
      </w:pPr>
    </w:p>
    <w:p w14:paraId="4F4BF380" w14:textId="1FB54B2C" w:rsidR="00917845" w:rsidRDefault="00917845" w:rsidP="00917845">
      <w:pPr>
        <w:spacing w:line="360" w:lineRule="auto"/>
        <w:rPr>
          <w:rFonts w:ascii="Arial" w:hAnsi="Arial" w:cs="Arial"/>
          <w:sz w:val="22"/>
          <w:szCs w:val="22"/>
        </w:rPr>
      </w:pPr>
      <w:r w:rsidRPr="00917845">
        <w:rPr>
          <w:rFonts w:ascii="Arial" w:hAnsi="Arial" w:cs="Arial"/>
          <w:sz w:val="22"/>
          <w:szCs w:val="22"/>
        </w:rPr>
        <w:t>Atas, N. and Dabrowski, V. (2025) ‘Understanding the Cost</w:t>
      </w:r>
      <w:r w:rsidRPr="00917845">
        <w:rPr>
          <w:rFonts w:ascii="Cambria Math" w:hAnsi="Cambria Math" w:cs="Cambria Math"/>
          <w:sz w:val="22"/>
          <w:szCs w:val="22"/>
        </w:rPr>
        <w:t>‐</w:t>
      </w:r>
      <w:r w:rsidRPr="00917845">
        <w:rPr>
          <w:rFonts w:ascii="Arial" w:hAnsi="Arial" w:cs="Arial"/>
          <w:sz w:val="22"/>
          <w:szCs w:val="22"/>
        </w:rPr>
        <w:t>of</w:t>
      </w:r>
      <w:r w:rsidRPr="00917845">
        <w:rPr>
          <w:rFonts w:ascii="Cambria Math" w:hAnsi="Cambria Math" w:cs="Cambria Math"/>
          <w:sz w:val="22"/>
          <w:szCs w:val="22"/>
        </w:rPr>
        <w:t>‐</w:t>
      </w:r>
      <w:r w:rsidRPr="00917845">
        <w:rPr>
          <w:rFonts w:ascii="Arial" w:hAnsi="Arial" w:cs="Arial"/>
          <w:sz w:val="22"/>
          <w:szCs w:val="22"/>
        </w:rPr>
        <w:t xml:space="preserve">Living Crisis in the United Kingdom’, Social policy &amp; administration, 59(2), pp. 195–196. Available at: </w:t>
      </w:r>
      <w:hyperlink r:id="rId12" w:history="1">
        <w:r w:rsidRPr="00917845">
          <w:rPr>
            <w:rStyle w:val="Hyperlink"/>
            <w:rFonts w:ascii="Arial" w:hAnsi="Arial" w:cs="Arial"/>
            <w:sz w:val="22"/>
            <w:szCs w:val="22"/>
          </w:rPr>
          <w:t>https://doi.org/10.1111/spol.13124</w:t>
        </w:r>
      </w:hyperlink>
      <w:r w:rsidRPr="00917845">
        <w:rPr>
          <w:rFonts w:ascii="Arial" w:hAnsi="Arial" w:cs="Arial"/>
          <w:sz w:val="22"/>
          <w:szCs w:val="22"/>
        </w:rPr>
        <w:t xml:space="preserve">. </w:t>
      </w:r>
    </w:p>
    <w:p w14:paraId="5DD932D6" w14:textId="77777777" w:rsidR="002722AF" w:rsidRPr="00917845" w:rsidRDefault="002722AF" w:rsidP="00917845">
      <w:pPr>
        <w:spacing w:line="360" w:lineRule="auto"/>
        <w:rPr>
          <w:rFonts w:ascii="Arial" w:hAnsi="Arial" w:cs="Arial"/>
          <w:sz w:val="22"/>
          <w:szCs w:val="22"/>
        </w:rPr>
      </w:pPr>
    </w:p>
    <w:p w14:paraId="0A57C2FB" w14:textId="7C4627F4" w:rsidR="00917845" w:rsidRPr="002722AF" w:rsidRDefault="002722AF" w:rsidP="00917845">
      <w:pPr>
        <w:spacing w:line="360" w:lineRule="auto"/>
        <w:rPr>
          <w:rFonts w:ascii="Arial" w:hAnsi="Arial" w:cs="Arial"/>
          <w:color w:val="222222"/>
          <w:sz w:val="22"/>
          <w:szCs w:val="22"/>
          <w:shd w:val="clear" w:color="auto" w:fill="FFFFFF"/>
        </w:rPr>
      </w:pPr>
      <w:r w:rsidRPr="002722AF">
        <w:rPr>
          <w:rFonts w:ascii="Arial" w:hAnsi="Arial" w:cs="Arial"/>
          <w:color w:val="222222"/>
          <w:sz w:val="22"/>
          <w:szCs w:val="22"/>
          <w:shd w:val="clear" w:color="auto" w:fill="FFFFFF"/>
        </w:rPr>
        <w:t>Bahrain, N.K., Sakrani, S.R. and Maidin, A., 2023. Communication barriers in work environment: understanding impact and challenges.</w:t>
      </w:r>
      <w:r w:rsidRPr="002722AF">
        <w:rPr>
          <w:rStyle w:val="apple-converted-space"/>
          <w:rFonts w:ascii="Arial" w:hAnsi="Arial" w:cs="Arial"/>
          <w:color w:val="222222"/>
          <w:sz w:val="22"/>
          <w:szCs w:val="22"/>
          <w:shd w:val="clear" w:color="auto" w:fill="FFFFFF"/>
        </w:rPr>
        <w:t> </w:t>
      </w:r>
      <w:r w:rsidRPr="002722AF">
        <w:rPr>
          <w:rFonts w:ascii="Arial" w:hAnsi="Arial" w:cs="Arial"/>
          <w:color w:val="222222"/>
          <w:sz w:val="22"/>
          <w:szCs w:val="22"/>
        </w:rPr>
        <w:t>International Journal of Academic Research in Business and Social Sciences</w:t>
      </w:r>
      <w:r w:rsidRPr="002722AF">
        <w:rPr>
          <w:rFonts w:ascii="Arial" w:hAnsi="Arial" w:cs="Arial"/>
          <w:color w:val="222222"/>
          <w:sz w:val="22"/>
          <w:szCs w:val="22"/>
          <w:shd w:val="clear" w:color="auto" w:fill="FFFFFF"/>
        </w:rPr>
        <w:t>,</w:t>
      </w:r>
      <w:r w:rsidRPr="002722AF">
        <w:rPr>
          <w:rStyle w:val="apple-converted-space"/>
          <w:rFonts w:ascii="Arial" w:hAnsi="Arial" w:cs="Arial"/>
          <w:color w:val="222222"/>
          <w:sz w:val="22"/>
          <w:szCs w:val="22"/>
          <w:shd w:val="clear" w:color="auto" w:fill="FFFFFF"/>
        </w:rPr>
        <w:t> </w:t>
      </w:r>
      <w:r w:rsidRPr="002722AF">
        <w:rPr>
          <w:rFonts w:ascii="Arial" w:hAnsi="Arial" w:cs="Arial"/>
          <w:color w:val="222222"/>
          <w:sz w:val="22"/>
          <w:szCs w:val="22"/>
        </w:rPr>
        <w:t>13</w:t>
      </w:r>
      <w:r w:rsidRPr="002722AF">
        <w:rPr>
          <w:rFonts w:ascii="Arial" w:hAnsi="Arial" w:cs="Arial"/>
          <w:color w:val="222222"/>
          <w:sz w:val="22"/>
          <w:szCs w:val="22"/>
          <w:shd w:val="clear" w:color="auto" w:fill="FFFFFF"/>
        </w:rPr>
        <w:t>(11), pp.1489-1503.</w:t>
      </w:r>
    </w:p>
    <w:p w14:paraId="3E191F49" w14:textId="77777777" w:rsidR="002722AF" w:rsidRDefault="002722AF" w:rsidP="00917845">
      <w:pPr>
        <w:spacing w:line="360" w:lineRule="auto"/>
        <w:rPr>
          <w:rFonts w:ascii="Arial" w:hAnsi="Arial" w:cs="Arial"/>
          <w:color w:val="222222"/>
          <w:sz w:val="22"/>
          <w:szCs w:val="22"/>
          <w:shd w:val="clear" w:color="auto" w:fill="FFFFFF"/>
        </w:rPr>
      </w:pPr>
    </w:p>
    <w:p w14:paraId="2FC94D3E" w14:textId="419BA00C"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Bampinioti, S., Bauer, H. and Christakou, N. (2022) Building resilient supply chains for the European energy transition.</w:t>
      </w:r>
    </w:p>
    <w:p w14:paraId="1B4C089F" w14:textId="77777777" w:rsidR="00917845" w:rsidRDefault="00917845" w:rsidP="00917845">
      <w:pPr>
        <w:spacing w:line="360" w:lineRule="auto"/>
        <w:rPr>
          <w:rFonts w:ascii="Arial" w:hAnsi="Arial" w:cs="Arial"/>
          <w:color w:val="000000"/>
          <w:sz w:val="22"/>
          <w:szCs w:val="22"/>
        </w:rPr>
      </w:pPr>
    </w:p>
    <w:p w14:paraId="58A511E6" w14:textId="63DFC9C2" w:rsid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Blom, T. (2018) ‘Organisational wellness: Human reaction to change’, South African journal of business management, 49(1), pp. 1–10. Available at: </w:t>
      </w:r>
      <w:hyperlink r:id="rId13" w:history="1">
        <w:r w:rsidRPr="00917845">
          <w:rPr>
            <w:rStyle w:val="Hyperlink"/>
            <w:rFonts w:ascii="Arial" w:hAnsi="Arial" w:cs="Arial"/>
            <w:sz w:val="22"/>
            <w:szCs w:val="22"/>
          </w:rPr>
          <w:t>https://doi.org/10.4102/sajbm.v49i1.2</w:t>
        </w:r>
      </w:hyperlink>
      <w:r w:rsidRPr="00917845">
        <w:rPr>
          <w:rFonts w:ascii="Arial" w:hAnsi="Arial" w:cs="Arial"/>
          <w:color w:val="000000"/>
          <w:sz w:val="22"/>
          <w:szCs w:val="22"/>
        </w:rPr>
        <w:t xml:space="preserve">. </w:t>
      </w:r>
    </w:p>
    <w:p w14:paraId="1F8FFD9A" w14:textId="77777777" w:rsidR="004148E8" w:rsidRPr="00917845" w:rsidRDefault="004148E8" w:rsidP="00917845">
      <w:pPr>
        <w:spacing w:line="360" w:lineRule="auto"/>
        <w:rPr>
          <w:rFonts w:ascii="Arial" w:hAnsi="Arial" w:cs="Arial"/>
          <w:color w:val="000000"/>
          <w:sz w:val="22"/>
          <w:szCs w:val="22"/>
        </w:rPr>
      </w:pPr>
    </w:p>
    <w:p w14:paraId="37F6A91D" w14:textId="7919AC5D" w:rsidR="00832D9F" w:rsidRDefault="004148E8" w:rsidP="00917845">
      <w:pPr>
        <w:spacing w:line="360" w:lineRule="auto"/>
        <w:rPr>
          <w:rFonts w:ascii="Arial" w:hAnsi="Arial" w:cs="Arial"/>
          <w:sz w:val="22"/>
          <w:szCs w:val="22"/>
        </w:rPr>
      </w:pPr>
      <w:r>
        <w:rPr>
          <w:rFonts w:ascii="Arial" w:hAnsi="Arial" w:cs="Arial"/>
          <w:sz w:val="22"/>
          <w:szCs w:val="22"/>
        </w:rPr>
        <w:t>Centrica Plc Annual report (2024).</w:t>
      </w:r>
      <w:r w:rsidR="005B694B">
        <w:rPr>
          <w:rFonts w:ascii="Arial" w:hAnsi="Arial" w:cs="Arial"/>
          <w:sz w:val="22"/>
          <w:szCs w:val="22"/>
        </w:rPr>
        <w:t xml:space="preserve"> Available at:</w:t>
      </w:r>
    </w:p>
    <w:p w14:paraId="092ACC37" w14:textId="10D9945D" w:rsidR="004148E8" w:rsidRDefault="004148E8" w:rsidP="00917845">
      <w:pPr>
        <w:spacing w:line="360" w:lineRule="auto"/>
        <w:rPr>
          <w:rFonts w:ascii="Arial" w:hAnsi="Arial" w:cs="Arial"/>
          <w:sz w:val="22"/>
          <w:szCs w:val="22"/>
        </w:rPr>
      </w:pPr>
      <w:hyperlink r:id="rId14" w:history="1">
        <w:r w:rsidRPr="00E36EB6">
          <w:rPr>
            <w:rStyle w:val="Hyperlink"/>
            <w:rFonts w:ascii="Arial" w:hAnsi="Arial" w:cs="Arial"/>
            <w:sz w:val="22"/>
            <w:szCs w:val="22"/>
          </w:rPr>
          <w:t>https://www.centrica.com/media/2pjoazw0/annual-report-and-accounts-2024-untagged.pdf</w:t>
        </w:r>
      </w:hyperlink>
      <w:r>
        <w:rPr>
          <w:rFonts w:ascii="Arial" w:hAnsi="Arial" w:cs="Arial"/>
          <w:sz w:val="22"/>
          <w:szCs w:val="22"/>
        </w:rPr>
        <w:t xml:space="preserve"> </w:t>
      </w:r>
    </w:p>
    <w:p w14:paraId="5D2F9A72" w14:textId="77777777" w:rsidR="004148E8" w:rsidRDefault="004148E8" w:rsidP="00917845">
      <w:pPr>
        <w:spacing w:line="360" w:lineRule="auto"/>
        <w:rPr>
          <w:rFonts w:ascii="Arial" w:hAnsi="Arial" w:cs="Arial"/>
          <w:sz w:val="22"/>
          <w:szCs w:val="22"/>
        </w:rPr>
      </w:pPr>
    </w:p>
    <w:p w14:paraId="4FAC7E3E" w14:textId="00F451E7"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Cespedes-Cubides, A.S. and </w:t>
      </w:r>
      <w:proofErr w:type="spellStart"/>
      <w:r w:rsidRPr="00917845">
        <w:rPr>
          <w:rFonts w:ascii="Arial" w:hAnsi="Arial" w:cs="Arial"/>
          <w:sz w:val="22"/>
          <w:szCs w:val="22"/>
        </w:rPr>
        <w:t>Jradi</w:t>
      </w:r>
      <w:proofErr w:type="spellEnd"/>
      <w:r w:rsidRPr="00917845">
        <w:rPr>
          <w:rFonts w:ascii="Arial" w:hAnsi="Arial" w:cs="Arial"/>
          <w:sz w:val="22"/>
          <w:szCs w:val="22"/>
        </w:rPr>
        <w:t xml:space="preserve">, M. (2024) ‘A review of building digital twins to improve energy efficiency in the building operational stage’, Energy Informatics, 7(1). Available at: </w:t>
      </w:r>
      <w:hyperlink r:id="rId15" w:history="1">
        <w:r w:rsidRPr="00917845">
          <w:rPr>
            <w:rStyle w:val="Hyperlink"/>
            <w:rFonts w:ascii="Arial" w:hAnsi="Arial" w:cs="Arial"/>
            <w:sz w:val="22"/>
            <w:szCs w:val="22"/>
          </w:rPr>
          <w:t>https://doi.org/10.1186/s42162-024-00313-7</w:t>
        </w:r>
      </w:hyperlink>
      <w:r w:rsidRPr="00917845">
        <w:rPr>
          <w:rFonts w:ascii="Arial" w:hAnsi="Arial" w:cs="Arial"/>
          <w:sz w:val="22"/>
          <w:szCs w:val="22"/>
        </w:rPr>
        <w:t xml:space="preserve">. </w:t>
      </w:r>
    </w:p>
    <w:p w14:paraId="6F718CA8" w14:textId="77777777" w:rsidR="00917845" w:rsidRDefault="00917845" w:rsidP="00917845">
      <w:pPr>
        <w:spacing w:line="360" w:lineRule="auto"/>
        <w:rPr>
          <w:rFonts w:ascii="Arial" w:hAnsi="Arial" w:cs="Arial"/>
          <w:color w:val="222222"/>
          <w:sz w:val="22"/>
          <w:szCs w:val="22"/>
          <w:shd w:val="clear" w:color="auto" w:fill="FFFFFF"/>
        </w:rPr>
      </w:pPr>
    </w:p>
    <w:p w14:paraId="2773FAA0" w14:textId="66A8A93E"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 xml:space="preserve">Chandra, K.A. and </w:t>
      </w:r>
      <w:proofErr w:type="spellStart"/>
      <w:r w:rsidRPr="00917845">
        <w:rPr>
          <w:rFonts w:ascii="Arial" w:hAnsi="Arial" w:cs="Arial"/>
          <w:color w:val="222222"/>
          <w:sz w:val="22"/>
          <w:szCs w:val="22"/>
          <w:shd w:val="clear" w:color="auto" w:fill="FFFFFF"/>
        </w:rPr>
        <w:t>Hendratmoko</w:t>
      </w:r>
      <w:proofErr w:type="spellEnd"/>
      <w:r w:rsidRPr="00917845">
        <w:rPr>
          <w:rFonts w:ascii="Arial" w:hAnsi="Arial" w:cs="Arial"/>
          <w:color w:val="222222"/>
          <w:sz w:val="22"/>
          <w:szCs w:val="22"/>
          <w:shd w:val="clear" w:color="auto" w:fill="FFFFFF"/>
        </w:rPr>
        <w:t>, H., (2024) The Impact of Organizational Change on Organizational Commitment and The Mediation Effect of Job Security, Trust and Justice in Pharmaceutical Industry in Indonesia.</w:t>
      </w:r>
      <w:r w:rsidRPr="00917845">
        <w:rPr>
          <w:rStyle w:val="apple-converted-space"/>
          <w:rFonts w:ascii="Arial" w:hAnsi="Arial" w:cs="Arial"/>
          <w:color w:val="222222"/>
          <w:sz w:val="22"/>
          <w:szCs w:val="22"/>
          <w:shd w:val="clear" w:color="auto" w:fill="FFFFFF"/>
        </w:rPr>
        <w:t> </w:t>
      </w:r>
      <w:proofErr w:type="spellStart"/>
      <w:r w:rsidRPr="00917845">
        <w:rPr>
          <w:rFonts w:ascii="Arial" w:hAnsi="Arial" w:cs="Arial"/>
          <w:color w:val="222222"/>
          <w:sz w:val="22"/>
          <w:szCs w:val="22"/>
        </w:rPr>
        <w:t>Jurnal</w:t>
      </w:r>
      <w:proofErr w:type="spellEnd"/>
      <w:r w:rsidRPr="00917845">
        <w:rPr>
          <w:rFonts w:ascii="Arial" w:hAnsi="Arial" w:cs="Arial"/>
          <w:color w:val="222222"/>
          <w:sz w:val="22"/>
          <w:szCs w:val="22"/>
        </w:rPr>
        <w:t xml:space="preserve"> </w:t>
      </w:r>
      <w:proofErr w:type="spellStart"/>
      <w:r w:rsidRPr="00917845">
        <w:rPr>
          <w:rFonts w:ascii="Arial" w:hAnsi="Arial" w:cs="Arial"/>
          <w:color w:val="222222"/>
          <w:sz w:val="22"/>
          <w:szCs w:val="22"/>
        </w:rPr>
        <w:t>Komunikasi</w:t>
      </w:r>
      <w:proofErr w:type="spellEnd"/>
      <w:r w:rsidRPr="00917845">
        <w:rPr>
          <w:rFonts w:ascii="Arial" w:hAnsi="Arial" w:cs="Arial"/>
          <w:color w:val="222222"/>
          <w:sz w:val="22"/>
          <w:szCs w:val="22"/>
        </w:rPr>
        <w:t xml:space="preserve"> dan </w:t>
      </w:r>
      <w:proofErr w:type="spellStart"/>
      <w:r w:rsidRPr="00917845">
        <w:rPr>
          <w:rFonts w:ascii="Arial" w:hAnsi="Arial" w:cs="Arial"/>
          <w:color w:val="222222"/>
          <w:sz w:val="22"/>
          <w:szCs w:val="22"/>
        </w:rPr>
        <w:t>Bisnis</w:t>
      </w:r>
      <w:proofErr w:type="spellEnd"/>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12</w:t>
      </w:r>
      <w:r w:rsidRPr="00917845">
        <w:rPr>
          <w:rFonts w:ascii="Arial" w:hAnsi="Arial" w:cs="Arial"/>
          <w:color w:val="222222"/>
          <w:sz w:val="22"/>
          <w:szCs w:val="22"/>
          <w:shd w:val="clear" w:color="auto" w:fill="FFFFFF"/>
        </w:rPr>
        <w:t xml:space="preserve">(1), pp.148-165. </w:t>
      </w:r>
    </w:p>
    <w:p w14:paraId="69E04315" w14:textId="77777777" w:rsidR="00917845" w:rsidRDefault="00917845" w:rsidP="00917845">
      <w:pPr>
        <w:spacing w:line="360" w:lineRule="auto"/>
        <w:rPr>
          <w:rFonts w:ascii="Arial" w:hAnsi="Arial" w:cs="Arial"/>
          <w:color w:val="222222"/>
          <w:sz w:val="22"/>
          <w:szCs w:val="22"/>
          <w:shd w:val="clear" w:color="auto" w:fill="FFFFFF"/>
        </w:rPr>
      </w:pPr>
    </w:p>
    <w:p w14:paraId="27628765" w14:textId="722E00C4" w:rsid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lastRenderedPageBreak/>
        <w:t xml:space="preserve">Eddleston, K.A., Sieger, P. and Bernhard, F. (2019) ‘From suffering firm to suffering family? How perceived firm performance relates to managers’ work-to-family conflict’, Journal of business research, 104, pp. 307–321. Available at: </w:t>
      </w:r>
      <w:hyperlink r:id="rId16" w:history="1">
        <w:r w:rsidRPr="00917845">
          <w:rPr>
            <w:rStyle w:val="Hyperlink"/>
            <w:rFonts w:ascii="Arial" w:hAnsi="Arial" w:cs="Arial"/>
            <w:sz w:val="22"/>
            <w:szCs w:val="22"/>
            <w:shd w:val="clear" w:color="auto" w:fill="FFFFFF"/>
          </w:rPr>
          <w:t>https://doi.org/10.1016/j.jbusres.2019.07.024</w:t>
        </w:r>
      </w:hyperlink>
      <w:r w:rsidRPr="00917845">
        <w:rPr>
          <w:rFonts w:ascii="Arial" w:hAnsi="Arial" w:cs="Arial"/>
          <w:color w:val="222222"/>
          <w:sz w:val="22"/>
          <w:szCs w:val="22"/>
          <w:shd w:val="clear" w:color="auto" w:fill="FFFFFF"/>
        </w:rPr>
        <w:t xml:space="preserve">. </w:t>
      </w:r>
    </w:p>
    <w:p w14:paraId="0A2C2A47" w14:textId="77777777" w:rsidR="00C607CF" w:rsidRPr="00C607CF" w:rsidRDefault="00C607CF" w:rsidP="00C607CF">
      <w:pPr>
        <w:spacing w:line="360" w:lineRule="auto"/>
        <w:rPr>
          <w:rFonts w:ascii="Arial" w:hAnsi="Arial" w:cs="Arial"/>
          <w:color w:val="222222"/>
          <w:sz w:val="22"/>
          <w:szCs w:val="22"/>
          <w:shd w:val="clear" w:color="auto" w:fill="FFFFFF"/>
        </w:rPr>
      </w:pPr>
    </w:p>
    <w:p w14:paraId="23C94389" w14:textId="3F3A78E8" w:rsidR="00C607CF" w:rsidRPr="00917845" w:rsidRDefault="00C607CF" w:rsidP="00C607CF">
      <w:pPr>
        <w:spacing w:line="360" w:lineRule="auto"/>
        <w:rPr>
          <w:rFonts w:ascii="Arial" w:hAnsi="Arial" w:cs="Arial"/>
          <w:color w:val="222222"/>
          <w:sz w:val="22"/>
          <w:szCs w:val="22"/>
          <w:shd w:val="clear" w:color="auto" w:fill="FFFFFF"/>
        </w:rPr>
      </w:pPr>
      <w:r w:rsidRPr="00C607CF">
        <w:rPr>
          <w:rFonts w:ascii="Arial" w:hAnsi="Arial" w:cs="Arial"/>
          <w:color w:val="222222"/>
          <w:sz w:val="22"/>
          <w:szCs w:val="22"/>
          <w:shd w:val="clear" w:color="auto" w:fill="FFFFFF"/>
        </w:rPr>
        <w:t xml:space="preserve">Fearn, G. (2024) ‘The end of the experiment? The energy crisis, neoliberal energy, and the limits to a socio-ecological fix’, Environment and planning. E, Nature and space (Print), 7(1), pp. 212–233. Available at: </w:t>
      </w:r>
      <w:hyperlink r:id="rId17" w:history="1">
        <w:r w:rsidRPr="00E36EB6">
          <w:rPr>
            <w:rStyle w:val="Hyperlink"/>
            <w:rFonts w:ascii="Arial" w:hAnsi="Arial" w:cs="Arial"/>
            <w:sz w:val="22"/>
            <w:szCs w:val="22"/>
            <w:shd w:val="clear" w:color="auto" w:fill="FFFFFF"/>
          </w:rPr>
          <w:t>https://doi.org/10.1177/25148486231172844</w:t>
        </w:r>
      </w:hyperlink>
      <w:r w:rsidRPr="00C607CF">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p>
    <w:p w14:paraId="0011C2BC" w14:textId="77777777" w:rsidR="00917845" w:rsidRDefault="00917845" w:rsidP="00917845">
      <w:pPr>
        <w:spacing w:line="360" w:lineRule="auto"/>
        <w:rPr>
          <w:rFonts w:ascii="Arial" w:hAnsi="Arial" w:cs="Arial"/>
          <w:sz w:val="22"/>
          <w:szCs w:val="22"/>
        </w:rPr>
      </w:pPr>
    </w:p>
    <w:p w14:paraId="09F0FB2C" w14:textId="5B7A5B69"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Fetzer, T., </w:t>
      </w:r>
      <w:proofErr w:type="spellStart"/>
      <w:r w:rsidRPr="00917845">
        <w:rPr>
          <w:rFonts w:ascii="Arial" w:hAnsi="Arial" w:cs="Arial"/>
          <w:sz w:val="22"/>
          <w:szCs w:val="22"/>
        </w:rPr>
        <w:t>Gazze</w:t>
      </w:r>
      <w:proofErr w:type="spellEnd"/>
      <w:r w:rsidRPr="00917845">
        <w:rPr>
          <w:rFonts w:ascii="Arial" w:hAnsi="Arial" w:cs="Arial"/>
          <w:sz w:val="22"/>
          <w:szCs w:val="22"/>
        </w:rPr>
        <w:t xml:space="preserve">, L. and Bishop, M. (2024) ‘Distributional and climate implications of policy responses to energy price shocks’, Economic policy, 39(120), pp. 711–756. Available at: </w:t>
      </w:r>
      <w:hyperlink r:id="rId18" w:history="1">
        <w:r w:rsidRPr="00917845">
          <w:rPr>
            <w:rStyle w:val="Hyperlink"/>
            <w:rFonts w:ascii="Arial" w:hAnsi="Arial" w:cs="Arial"/>
            <w:sz w:val="22"/>
            <w:szCs w:val="22"/>
          </w:rPr>
          <w:t>https://doi.org/10.1093/epolic/eiae038</w:t>
        </w:r>
      </w:hyperlink>
      <w:r w:rsidRPr="00917845">
        <w:rPr>
          <w:rFonts w:ascii="Arial" w:hAnsi="Arial" w:cs="Arial"/>
          <w:sz w:val="22"/>
          <w:szCs w:val="22"/>
        </w:rPr>
        <w:t xml:space="preserve">. </w:t>
      </w:r>
    </w:p>
    <w:p w14:paraId="71B35953" w14:textId="77777777" w:rsidR="00917845" w:rsidRDefault="00917845" w:rsidP="00917845">
      <w:pPr>
        <w:spacing w:line="360" w:lineRule="auto"/>
        <w:rPr>
          <w:rFonts w:ascii="Arial" w:hAnsi="Arial" w:cs="Arial"/>
          <w:color w:val="222222"/>
          <w:sz w:val="22"/>
          <w:szCs w:val="22"/>
          <w:shd w:val="clear" w:color="auto" w:fill="FFFFFF"/>
        </w:rPr>
      </w:pPr>
    </w:p>
    <w:p w14:paraId="7CE0736A" w14:textId="446855E0"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Gigliotti, R.A. and Alvarez-Robinson, S., (2025) The Role of Leadership Communication in Building Crisis Readiness and Resilient Leadership in Times of Disruption: An Exploratory Study.</w:t>
      </w:r>
      <w:r w:rsidRPr="00917845">
        <w:rPr>
          <w:rStyle w:val="apple-converted-space"/>
          <w:rFonts w:ascii="Arial" w:hAnsi="Arial" w:cs="Arial"/>
          <w:color w:val="222222"/>
          <w:sz w:val="22"/>
          <w:szCs w:val="22"/>
          <w:shd w:val="clear" w:color="auto" w:fill="FFFFFF"/>
        </w:rPr>
        <w:t> </w:t>
      </w:r>
      <w:proofErr w:type="spellStart"/>
      <w:r w:rsidRPr="00917845">
        <w:rPr>
          <w:rFonts w:ascii="Arial" w:hAnsi="Arial" w:cs="Arial"/>
          <w:color w:val="222222"/>
          <w:sz w:val="22"/>
          <w:szCs w:val="22"/>
        </w:rPr>
        <w:t>Behavioral</w:t>
      </w:r>
      <w:proofErr w:type="spellEnd"/>
      <w:r w:rsidRPr="00917845">
        <w:rPr>
          <w:rFonts w:ascii="Arial" w:hAnsi="Arial" w:cs="Arial"/>
          <w:color w:val="222222"/>
          <w:sz w:val="22"/>
          <w:szCs w:val="22"/>
        </w:rPr>
        <w:t xml:space="preserve"> Sciences</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15</w:t>
      </w:r>
      <w:r w:rsidRPr="00917845">
        <w:rPr>
          <w:rFonts w:ascii="Arial" w:hAnsi="Arial" w:cs="Arial"/>
          <w:color w:val="222222"/>
          <w:sz w:val="22"/>
          <w:szCs w:val="22"/>
          <w:shd w:val="clear" w:color="auto" w:fill="FFFFFF"/>
        </w:rPr>
        <w:t xml:space="preserve">(9), p.1260. </w:t>
      </w:r>
    </w:p>
    <w:p w14:paraId="4F168A76" w14:textId="77777777" w:rsidR="00917845" w:rsidRDefault="00917845" w:rsidP="00917845">
      <w:pPr>
        <w:spacing w:line="360" w:lineRule="auto"/>
        <w:rPr>
          <w:rFonts w:ascii="Arial" w:hAnsi="Arial" w:cs="Arial"/>
          <w:color w:val="000000"/>
          <w:sz w:val="22"/>
          <w:szCs w:val="22"/>
        </w:rPr>
      </w:pPr>
    </w:p>
    <w:p w14:paraId="49B89EB2" w14:textId="0876C2A9"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Giles, C. (2022) Next Generation Compliance: Environmental Regulation for the Modern Era. 1st </w:t>
      </w:r>
      <w:proofErr w:type="spellStart"/>
      <w:r w:rsidRPr="00917845">
        <w:rPr>
          <w:rFonts w:ascii="Arial" w:hAnsi="Arial" w:cs="Arial"/>
          <w:color w:val="000000"/>
          <w:sz w:val="22"/>
          <w:szCs w:val="22"/>
        </w:rPr>
        <w:t>edn</w:t>
      </w:r>
      <w:proofErr w:type="spellEnd"/>
      <w:r w:rsidRPr="00917845">
        <w:rPr>
          <w:rFonts w:ascii="Arial" w:hAnsi="Arial" w:cs="Arial"/>
          <w:color w:val="000000"/>
          <w:sz w:val="22"/>
          <w:szCs w:val="22"/>
        </w:rPr>
        <w:t xml:space="preserve">. New York: Oxford University Press. Available at: </w:t>
      </w:r>
      <w:hyperlink r:id="rId19" w:history="1">
        <w:r w:rsidRPr="00917845">
          <w:rPr>
            <w:rStyle w:val="Hyperlink"/>
            <w:rFonts w:ascii="Arial" w:hAnsi="Arial" w:cs="Arial"/>
            <w:sz w:val="22"/>
            <w:szCs w:val="22"/>
          </w:rPr>
          <w:t>https://doi.org/10.1093/oso/9780197656747.001.0001</w:t>
        </w:r>
      </w:hyperlink>
      <w:r w:rsidRPr="00917845">
        <w:rPr>
          <w:rFonts w:ascii="Arial" w:hAnsi="Arial" w:cs="Arial"/>
          <w:color w:val="000000"/>
          <w:sz w:val="22"/>
          <w:szCs w:val="22"/>
        </w:rPr>
        <w:t xml:space="preserve">. </w:t>
      </w:r>
    </w:p>
    <w:p w14:paraId="303A50F8" w14:textId="77777777" w:rsidR="00917845" w:rsidRDefault="00917845" w:rsidP="00917845">
      <w:pPr>
        <w:spacing w:line="360" w:lineRule="auto"/>
        <w:rPr>
          <w:rFonts w:ascii="Arial" w:hAnsi="Arial" w:cs="Arial"/>
          <w:sz w:val="22"/>
          <w:szCs w:val="22"/>
        </w:rPr>
      </w:pPr>
    </w:p>
    <w:p w14:paraId="4AACEFCD" w14:textId="2ECAAC22" w:rsidR="00917845" w:rsidRPr="00917845" w:rsidRDefault="00917845" w:rsidP="00917845">
      <w:pPr>
        <w:spacing w:line="360" w:lineRule="auto"/>
        <w:rPr>
          <w:rFonts w:ascii="Arial" w:hAnsi="Arial" w:cs="Arial"/>
          <w:sz w:val="22"/>
          <w:szCs w:val="22"/>
        </w:rPr>
      </w:pPr>
      <w:r w:rsidRPr="00917845">
        <w:rPr>
          <w:rFonts w:ascii="Arial" w:hAnsi="Arial" w:cs="Arial"/>
          <w:sz w:val="22"/>
          <w:szCs w:val="22"/>
        </w:rPr>
        <w:t xml:space="preserve">Gov.UK (2022). Net Zero Strategy: Build Back Greener. Available at: </w:t>
      </w:r>
    </w:p>
    <w:p w14:paraId="67785CD8" w14:textId="77777777" w:rsidR="00917845" w:rsidRDefault="00917845" w:rsidP="00917845">
      <w:pPr>
        <w:spacing w:line="360" w:lineRule="auto"/>
        <w:rPr>
          <w:rFonts w:ascii="Arial" w:hAnsi="Arial" w:cs="Arial"/>
          <w:color w:val="222222"/>
          <w:sz w:val="22"/>
          <w:szCs w:val="22"/>
          <w:shd w:val="clear" w:color="auto" w:fill="FFFFFF"/>
        </w:rPr>
      </w:pPr>
      <w:hyperlink r:id="rId20" w:history="1">
        <w:r w:rsidRPr="00917845">
          <w:rPr>
            <w:rStyle w:val="Hyperlink"/>
            <w:rFonts w:ascii="Arial" w:hAnsi="Arial" w:cs="Arial"/>
            <w:sz w:val="22"/>
            <w:szCs w:val="22"/>
            <w:shd w:val="clear" w:color="auto" w:fill="FFFFFF"/>
          </w:rPr>
          <w:t>https://publications.parliament.uk/pa/cm5803/cmselect/cmbeis/236/summary.html</w:t>
        </w:r>
      </w:hyperlink>
      <w:r w:rsidRPr="00917845">
        <w:rPr>
          <w:rFonts w:ascii="Arial" w:hAnsi="Arial" w:cs="Arial"/>
          <w:color w:val="222222"/>
          <w:sz w:val="22"/>
          <w:szCs w:val="22"/>
          <w:shd w:val="clear" w:color="auto" w:fill="FFFFFF"/>
        </w:rPr>
        <w:t xml:space="preserve"> (accessed on 25/10/2025) </w:t>
      </w:r>
    </w:p>
    <w:p w14:paraId="080BA702" w14:textId="77777777" w:rsidR="003D3D58" w:rsidRDefault="003D3D58" w:rsidP="00917845">
      <w:pPr>
        <w:spacing w:line="360" w:lineRule="auto"/>
        <w:rPr>
          <w:rFonts w:ascii="Arial" w:hAnsi="Arial" w:cs="Arial"/>
          <w:color w:val="222222"/>
          <w:sz w:val="22"/>
          <w:szCs w:val="22"/>
          <w:shd w:val="clear" w:color="auto" w:fill="FFFFFF"/>
        </w:rPr>
      </w:pPr>
    </w:p>
    <w:p w14:paraId="62472FAA" w14:textId="1904C9CF" w:rsidR="003D3D58" w:rsidRPr="003D3D58" w:rsidRDefault="003D3D58" w:rsidP="00917845">
      <w:pPr>
        <w:spacing w:line="360" w:lineRule="auto"/>
        <w:rPr>
          <w:rFonts w:ascii="Arial" w:hAnsi="Arial" w:cs="Arial"/>
          <w:sz w:val="22"/>
          <w:szCs w:val="22"/>
        </w:rPr>
      </w:pPr>
      <w:r w:rsidRPr="003D3D58">
        <w:rPr>
          <w:rFonts w:ascii="Arial" w:hAnsi="Arial" w:cs="Arial"/>
          <w:color w:val="000000"/>
          <w:sz w:val="22"/>
          <w:szCs w:val="22"/>
        </w:rPr>
        <w:t>In APA: Ingram, T., Wieczorek-Kosmala, M., &amp; Hlaváček, K. (2023).</w:t>
      </w:r>
      <w:r w:rsidRPr="003D3D58">
        <w:rPr>
          <w:rStyle w:val="apple-converted-space"/>
          <w:rFonts w:ascii="Arial" w:hAnsi="Arial" w:cs="Arial"/>
          <w:color w:val="000000"/>
          <w:sz w:val="22"/>
          <w:szCs w:val="22"/>
        </w:rPr>
        <w:t> </w:t>
      </w:r>
      <w:r w:rsidRPr="003D3D58">
        <w:rPr>
          <w:rStyle w:val="Emphasis"/>
          <w:rFonts w:ascii="Arial" w:hAnsi="Arial" w:cs="Arial"/>
          <w:color w:val="000000"/>
          <w:sz w:val="22"/>
          <w:szCs w:val="22"/>
        </w:rPr>
        <w:t>Organizational resilience as a response to the energy crisis: Systematic literature review.</w:t>
      </w:r>
      <w:r w:rsidRPr="003D3D58">
        <w:rPr>
          <w:rStyle w:val="apple-converted-space"/>
          <w:rFonts w:ascii="Arial" w:hAnsi="Arial" w:cs="Arial"/>
          <w:color w:val="000000"/>
          <w:sz w:val="22"/>
          <w:szCs w:val="22"/>
        </w:rPr>
        <w:t> </w:t>
      </w:r>
      <w:r w:rsidRPr="003D3D58">
        <w:rPr>
          <w:rFonts w:ascii="Arial" w:hAnsi="Arial" w:cs="Arial"/>
          <w:color w:val="000000"/>
          <w:sz w:val="22"/>
          <w:szCs w:val="22"/>
        </w:rPr>
        <w:t>Energies, 16(2), 702.</w:t>
      </w:r>
      <w:r w:rsidRPr="003D3D58">
        <w:rPr>
          <w:rStyle w:val="apple-converted-space"/>
          <w:rFonts w:ascii="Arial" w:hAnsi="Arial" w:cs="Arial"/>
          <w:color w:val="000000"/>
          <w:sz w:val="22"/>
          <w:szCs w:val="22"/>
        </w:rPr>
        <w:t> </w:t>
      </w:r>
      <w:hyperlink r:id="rId21" w:history="1">
        <w:r w:rsidRPr="00E36EB6">
          <w:rPr>
            <w:rStyle w:val="Hyperlink"/>
            <w:rFonts w:ascii="Arial" w:hAnsi="Arial" w:cs="Arial"/>
            <w:sz w:val="22"/>
            <w:szCs w:val="22"/>
          </w:rPr>
          <w:t>https://doi.org/10.3390/en16020702</w:t>
        </w:r>
      </w:hyperlink>
      <w:r>
        <w:rPr>
          <w:rFonts w:ascii="Arial" w:hAnsi="Arial" w:cs="Arial"/>
          <w:sz w:val="22"/>
          <w:szCs w:val="22"/>
        </w:rPr>
        <w:t xml:space="preserve"> </w:t>
      </w:r>
    </w:p>
    <w:p w14:paraId="72696261" w14:textId="77777777" w:rsidR="005B694B" w:rsidRDefault="005B694B" w:rsidP="00917845">
      <w:pPr>
        <w:spacing w:line="360" w:lineRule="auto"/>
        <w:rPr>
          <w:rFonts w:ascii="Arial" w:hAnsi="Arial" w:cs="Arial"/>
          <w:color w:val="000000"/>
          <w:sz w:val="22"/>
          <w:szCs w:val="22"/>
        </w:rPr>
      </w:pPr>
    </w:p>
    <w:p w14:paraId="4989FBF4" w14:textId="327FF867" w:rsidR="00917845" w:rsidRDefault="005B694B" w:rsidP="00917845">
      <w:pPr>
        <w:spacing w:line="360" w:lineRule="auto"/>
        <w:rPr>
          <w:rFonts w:ascii="Arial" w:hAnsi="Arial" w:cs="Arial"/>
          <w:color w:val="000000"/>
          <w:sz w:val="22"/>
          <w:szCs w:val="22"/>
        </w:rPr>
      </w:pPr>
      <w:r>
        <w:rPr>
          <w:rFonts w:ascii="Arial" w:hAnsi="Arial" w:cs="Arial"/>
          <w:color w:val="000000"/>
          <w:sz w:val="22"/>
          <w:szCs w:val="22"/>
        </w:rPr>
        <w:t>UK Government analysis of the impact of energy and costs report (2024). Available at:</w:t>
      </w:r>
    </w:p>
    <w:p w14:paraId="01E4289B" w14:textId="7C36DD38" w:rsidR="005B694B" w:rsidRDefault="005B694B" w:rsidP="00917845">
      <w:pPr>
        <w:spacing w:line="360" w:lineRule="auto"/>
        <w:rPr>
          <w:rFonts w:ascii="Arial" w:hAnsi="Arial" w:cs="Arial"/>
          <w:color w:val="000000"/>
          <w:sz w:val="22"/>
          <w:szCs w:val="22"/>
        </w:rPr>
      </w:pPr>
      <w:hyperlink r:id="rId22" w:history="1">
        <w:r w:rsidRPr="005B694B">
          <w:rPr>
            <w:rStyle w:val="Hyperlink"/>
            <w:rFonts w:ascii="Arial" w:hAnsi="Arial" w:cs="Arial"/>
            <w:sz w:val="22"/>
            <w:szCs w:val="22"/>
          </w:rPr>
          <w:t>https://www.gov.uk/government/publications/impact-of-uk-government-energy-and-cost-of-living-support-measures-on-households-across-the-uk/analysis-of-the-impact-of-uk-government-energy-and-cost-of-living-support-measures-on-households-in-scotland-northern-ireland-and-wales</w:t>
        </w:r>
      </w:hyperlink>
      <w:r w:rsidRPr="005B694B">
        <w:rPr>
          <w:rFonts w:ascii="Arial" w:hAnsi="Arial" w:cs="Arial"/>
          <w:color w:val="000000"/>
          <w:sz w:val="22"/>
          <w:szCs w:val="22"/>
        </w:rPr>
        <w:t xml:space="preserve"> </w:t>
      </w:r>
    </w:p>
    <w:p w14:paraId="660FAE9E" w14:textId="77777777" w:rsidR="00345E22" w:rsidRDefault="00345E22" w:rsidP="00917845">
      <w:pPr>
        <w:spacing w:line="360" w:lineRule="auto"/>
        <w:rPr>
          <w:rFonts w:ascii="Arial" w:hAnsi="Arial" w:cs="Arial"/>
          <w:color w:val="000000"/>
          <w:sz w:val="22"/>
          <w:szCs w:val="22"/>
        </w:rPr>
      </w:pPr>
    </w:p>
    <w:p w14:paraId="6B4D1D47" w14:textId="77777777" w:rsidR="00345E22" w:rsidRDefault="00345E22" w:rsidP="00917845">
      <w:pPr>
        <w:spacing w:line="360" w:lineRule="auto"/>
        <w:rPr>
          <w:rFonts w:ascii="Arial" w:hAnsi="Arial" w:cs="Arial"/>
          <w:color w:val="000000"/>
          <w:sz w:val="22"/>
          <w:szCs w:val="22"/>
        </w:rPr>
      </w:pPr>
    </w:p>
    <w:p w14:paraId="44356F3A" w14:textId="77777777" w:rsidR="00345E22" w:rsidRDefault="00345E22" w:rsidP="00917845">
      <w:pPr>
        <w:spacing w:line="360" w:lineRule="auto"/>
        <w:rPr>
          <w:rFonts w:ascii="Arial" w:hAnsi="Arial" w:cs="Arial"/>
          <w:color w:val="000000"/>
          <w:sz w:val="22"/>
          <w:szCs w:val="22"/>
        </w:rPr>
      </w:pPr>
    </w:p>
    <w:p w14:paraId="0358ECFE" w14:textId="08692176"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lastRenderedPageBreak/>
        <w:t>UK Investing Stock Market (2024). Available at:</w:t>
      </w:r>
    </w:p>
    <w:p w14:paraId="0F8EAE5A" w14:textId="56EEDBF0" w:rsidR="00917845" w:rsidRPr="00917845" w:rsidRDefault="00917845" w:rsidP="00917845">
      <w:pPr>
        <w:spacing w:line="360" w:lineRule="auto"/>
        <w:rPr>
          <w:rFonts w:ascii="Arial" w:hAnsi="Arial" w:cs="Arial"/>
          <w:color w:val="000000"/>
          <w:sz w:val="22"/>
          <w:szCs w:val="22"/>
        </w:rPr>
      </w:pPr>
      <w:hyperlink r:id="rId23" w:history="1">
        <w:r w:rsidRPr="001C2F64">
          <w:rPr>
            <w:rStyle w:val="Hyperlink"/>
            <w:rFonts w:ascii="Arial" w:hAnsi="Arial" w:cs="Arial"/>
            <w:sz w:val="22"/>
            <w:szCs w:val="22"/>
          </w:rPr>
          <w:t>https://uk.investing.com/news/stock-market-news/octopus-energy-becomes-britains-largest-home-electricity-supplier-3459446</w:t>
        </w:r>
      </w:hyperlink>
      <w:r w:rsidRPr="00917845">
        <w:rPr>
          <w:rFonts w:ascii="Arial" w:hAnsi="Arial" w:cs="Arial"/>
          <w:color w:val="000000"/>
          <w:sz w:val="22"/>
          <w:szCs w:val="22"/>
        </w:rPr>
        <w:t xml:space="preserve"> </w:t>
      </w:r>
    </w:p>
    <w:p w14:paraId="6374887B" w14:textId="77777777" w:rsidR="00917845" w:rsidRDefault="00917845" w:rsidP="00917845">
      <w:pPr>
        <w:spacing w:line="360" w:lineRule="auto"/>
        <w:rPr>
          <w:rFonts w:ascii="Arial" w:hAnsi="Arial" w:cs="Arial"/>
          <w:sz w:val="22"/>
          <w:szCs w:val="22"/>
        </w:rPr>
      </w:pPr>
    </w:p>
    <w:p w14:paraId="3314CE1D" w14:textId="77777777"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 xml:space="preserve">UK Parliament (2022). Energy Pricing. Available at: </w:t>
      </w:r>
    </w:p>
    <w:p w14:paraId="6140E481" w14:textId="77777777" w:rsidR="00917845" w:rsidRPr="00917845" w:rsidRDefault="00917845" w:rsidP="00917845">
      <w:pPr>
        <w:spacing w:line="360" w:lineRule="auto"/>
        <w:rPr>
          <w:rFonts w:ascii="Arial" w:hAnsi="Arial" w:cs="Arial"/>
          <w:color w:val="222222"/>
          <w:sz w:val="22"/>
          <w:szCs w:val="22"/>
          <w:shd w:val="clear" w:color="auto" w:fill="FFFFFF"/>
        </w:rPr>
      </w:pPr>
      <w:hyperlink r:id="rId24" w:history="1">
        <w:r w:rsidRPr="001C2F64">
          <w:rPr>
            <w:rStyle w:val="Hyperlink"/>
            <w:rFonts w:ascii="Arial" w:hAnsi="Arial" w:cs="Arial"/>
            <w:sz w:val="22"/>
            <w:szCs w:val="22"/>
            <w:shd w:val="clear" w:color="auto" w:fill="FFFFFF"/>
          </w:rPr>
          <w:t>https://www.britishgas.co.uk/the-source/making-a-difference/our-story.html</w:t>
        </w:r>
      </w:hyperlink>
    </w:p>
    <w:p w14:paraId="3AFDCC0F" w14:textId="77777777" w:rsidR="00917845" w:rsidRDefault="00917845" w:rsidP="00917845">
      <w:pPr>
        <w:spacing w:line="360" w:lineRule="auto"/>
        <w:rPr>
          <w:rFonts w:ascii="Arial" w:hAnsi="Arial" w:cs="Arial"/>
          <w:sz w:val="22"/>
          <w:szCs w:val="22"/>
        </w:rPr>
      </w:pPr>
    </w:p>
    <w:p w14:paraId="36EE4F40" w14:textId="240CABF8" w:rsidR="00917845" w:rsidRPr="00917845" w:rsidRDefault="00917845" w:rsidP="00917845">
      <w:pPr>
        <w:spacing w:line="360" w:lineRule="auto"/>
        <w:rPr>
          <w:rFonts w:ascii="Arial" w:hAnsi="Arial" w:cs="Arial"/>
          <w:sz w:val="22"/>
          <w:szCs w:val="22"/>
        </w:rPr>
      </w:pPr>
      <w:hyperlink r:id="rId25" w:history="1">
        <w:r w:rsidRPr="001C2F64">
          <w:rPr>
            <w:rStyle w:val="Hyperlink"/>
            <w:rFonts w:ascii="Arial" w:hAnsi="Arial" w:cs="Arial"/>
            <w:sz w:val="22"/>
            <w:szCs w:val="22"/>
          </w:rPr>
          <w:t>https://www.gov.uk/government/publications/net-zero-strategy</w:t>
        </w:r>
      </w:hyperlink>
      <w:r w:rsidRPr="00917845">
        <w:rPr>
          <w:rFonts w:ascii="Arial" w:hAnsi="Arial" w:cs="Arial"/>
          <w:sz w:val="22"/>
          <w:szCs w:val="22"/>
        </w:rPr>
        <w:t xml:space="preserve">  (accessed on 09/10/2025) </w:t>
      </w:r>
    </w:p>
    <w:p w14:paraId="478B271D" w14:textId="77777777" w:rsidR="00832D9F" w:rsidRDefault="00832D9F" w:rsidP="00917845">
      <w:pPr>
        <w:spacing w:line="360" w:lineRule="auto"/>
        <w:rPr>
          <w:rFonts w:ascii="Arial" w:hAnsi="Arial" w:cs="Arial"/>
          <w:color w:val="000000"/>
          <w:sz w:val="22"/>
          <w:szCs w:val="22"/>
        </w:rPr>
      </w:pPr>
    </w:p>
    <w:p w14:paraId="3B020CB8" w14:textId="6F37578B" w:rsidR="00917845" w:rsidRDefault="00832D9F" w:rsidP="00917845">
      <w:pPr>
        <w:spacing w:line="360" w:lineRule="auto"/>
        <w:rPr>
          <w:rFonts w:ascii="Arial" w:hAnsi="Arial" w:cs="Arial"/>
          <w:color w:val="000000"/>
          <w:sz w:val="22"/>
          <w:szCs w:val="22"/>
        </w:rPr>
      </w:pPr>
      <w:r>
        <w:rPr>
          <w:rFonts w:ascii="Arial" w:hAnsi="Arial" w:cs="Arial"/>
          <w:color w:val="000000"/>
          <w:sz w:val="22"/>
          <w:szCs w:val="22"/>
        </w:rPr>
        <w:t>British Gas Energy Trust impact Report (2023)</w:t>
      </w:r>
      <w:r w:rsidR="005B694B">
        <w:rPr>
          <w:rFonts w:ascii="Arial" w:hAnsi="Arial" w:cs="Arial"/>
          <w:color w:val="000000"/>
          <w:sz w:val="22"/>
          <w:szCs w:val="22"/>
        </w:rPr>
        <w:t>. Available at:</w:t>
      </w:r>
    </w:p>
    <w:p w14:paraId="350BAE34" w14:textId="6F323BB2" w:rsidR="00832D9F" w:rsidRDefault="00832D9F" w:rsidP="00832D9F">
      <w:pPr>
        <w:spacing w:line="360" w:lineRule="auto"/>
        <w:rPr>
          <w:rFonts w:ascii="Arial" w:hAnsi="Arial" w:cs="Arial"/>
          <w:sz w:val="22"/>
          <w:szCs w:val="22"/>
        </w:rPr>
      </w:pPr>
      <w:hyperlink r:id="rId26" w:history="1">
        <w:r w:rsidRPr="00E36EB6">
          <w:rPr>
            <w:rStyle w:val="Hyperlink"/>
            <w:rFonts w:ascii="Arial" w:hAnsi="Arial" w:cs="Arial"/>
            <w:sz w:val="22"/>
            <w:szCs w:val="22"/>
          </w:rPr>
          <w:t>https://britishgasenergytrust.org.uk/wp-content/uploads/2024/01/Download-the-2023-Impact-Report.pdf</w:t>
        </w:r>
      </w:hyperlink>
      <w:r>
        <w:rPr>
          <w:rFonts w:ascii="Arial" w:hAnsi="Arial" w:cs="Arial"/>
          <w:sz w:val="22"/>
          <w:szCs w:val="22"/>
        </w:rPr>
        <w:t xml:space="preserve"> </w:t>
      </w:r>
    </w:p>
    <w:p w14:paraId="215E2DB1" w14:textId="77777777" w:rsidR="00832D9F" w:rsidRDefault="00832D9F" w:rsidP="00917845">
      <w:pPr>
        <w:spacing w:line="360" w:lineRule="auto"/>
        <w:rPr>
          <w:rFonts w:ascii="Arial" w:hAnsi="Arial" w:cs="Arial"/>
          <w:color w:val="000000"/>
          <w:sz w:val="22"/>
          <w:szCs w:val="22"/>
        </w:rPr>
      </w:pPr>
    </w:p>
    <w:p w14:paraId="6F632463" w14:textId="7A2D682A"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Munari, F. (2019) ‘Do Environmental Rules and Standards Affect Firms’ Competitive Ability?’, European papers (Online. </w:t>
      </w:r>
      <w:proofErr w:type="spellStart"/>
      <w:r w:rsidRPr="00917845">
        <w:rPr>
          <w:rFonts w:ascii="Arial" w:hAnsi="Arial" w:cs="Arial"/>
          <w:color w:val="000000"/>
          <w:sz w:val="22"/>
          <w:szCs w:val="22"/>
        </w:rPr>
        <w:t>periodico</w:t>
      </w:r>
      <w:proofErr w:type="spellEnd"/>
      <w:r w:rsidRPr="00917845">
        <w:rPr>
          <w:rFonts w:ascii="Arial" w:hAnsi="Arial" w:cs="Arial"/>
          <w:color w:val="000000"/>
          <w:sz w:val="22"/>
          <w:szCs w:val="22"/>
        </w:rPr>
        <w:t xml:space="preserve">), 4(1), pp. 207–224. Available at: </w:t>
      </w:r>
      <w:hyperlink r:id="rId27" w:history="1">
        <w:r w:rsidRPr="00917845">
          <w:rPr>
            <w:rStyle w:val="Hyperlink"/>
            <w:rFonts w:ascii="Arial" w:hAnsi="Arial" w:cs="Arial"/>
            <w:sz w:val="22"/>
            <w:szCs w:val="22"/>
          </w:rPr>
          <w:t>https://doi.org/10.15166/2499-8249/301</w:t>
        </w:r>
      </w:hyperlink>
      <w:r w:rsidRPr="00917845">
        <w:rPr>
          <w:rFonts w:ascii="Arial" w:hAnsi="Arial" w:cs="Arial"/>
          <w:color w:val="000000"/>
          <w:sz w:val="22"/>
          <w:szCs w:val="22"/>
        </w:rPr>
        <w:t xml:space="preserve">. </w:t>
      </w:r>
    </w:p>
    <w:p w14:paraId="411F983C" w14:textId="77777777" w:rsidR="00917845" w:rsidRDefault="00917845" w:rsidP="00917845">
      <w:pPr>
        <w:spacing w:line="360" w:lineRule="auto"/>
        <w:rPr>
          <w:rFonts w:ascii="Arial" w:hAnsi="Arial" w:cs="Arial"/>
          <w:color w:val="222222"/>
          <w:sz w:val="22"/>
          <w:szCs w:val="22"/>
          <w:shd w:val="clear" w:color="auto" w:fill="FFFFFF"/>
        </w:rPr>
      </w:pPr>
    </w:p>
    <w:p w14:paraId="4977D782" w14:textId="58AEB341"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Nolden, C. and Sorrell, S., 2016. The UK market for energy service contracts in 2014–2015.</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Energy efficiency</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9</w:t>
      </w:r>
      <w:r w:rsidRPr="00917845">
        <w:rPr>
          <w:rFonts w:ascii="Arial" w:hAnsi="Arial" w:cs="Arial"/>
          <w:color w:val="222222"/>
          <w:sz w:val="22"/>
          <w:szCs w:val="22"/>
          <w:shd w:val="clear" w:color="auto" w:fill="FFFFFF"/>
        </w:rPr>
        <w:t>(6), pp.1405-1420.</w:t>
      </w:r>
    </w:p>
    <w:p w14:paraId="0B5B4508" w14:textId="77777777" w:rsidR="00917845" w:rsidRDefault="00917845" w:rsidP="00917845">
      <w:pPr>
        <w:spacing w:line="360" w:lineRule="auto"/>
        <w:rPr>
          <w:rFonts w:ascii="Arial" w:hAnsi="Arial" w:cs="Arial"/>
          <w:color w:val="222222"/>
          <w:sz w:val="22"/>
          <w:szCs w:val="22"/>
          <w:shd w:val="clear" w:color="auto" w:fill="FFFFFF"/>
        </w:rPr>
      </w:pPr>
    </w:p>
    <w:p w14:paraId="1593857F" w14:textId="7420048B" w:rsidR="00917845" w:rsidRPr="00917845" w:rsidRDefault="00917845" w:rsidP="00917845">
      <w:pPr>
        <w:spacing w:line="360" w:lineRule="auto"/>
        <w:rPr>
          <w:rFonts w:ascii="Arial" w:hAnsi="Arial" w:cs="Arial"/>
          <w:color w:val="222222"/>
          <w:sz w:val="22"/>
          <w:szCs w:val="22"/>
          <w:shd w:val="clear" w:color="auto" w:fill="FFFFFF"/>
        </w:rPr>
      </w:pPr>
      <w:r w:rsidRPr="00917845">
        <w:rPr>
          <w:rFonts w:ascii="Arial" w:hAnsi="Arial" w:cs="Arial"/>
          <w:color w:val="222222"/>
          <w:sz w:val="22"/>
          <w:szCs w:val="22"/>
          <w:shd w:val="clear" w:color="auto" w:fill="FFFFFF"/>
        </w:rPr>
        <w:t>Pittard, M.J. and Ewing, K.D., (2024) ‘Fire and Rehire’: Four Lessons from Australia.</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Industrial Law Journal</w:t>
      </w:r>
      <w:r w:rsidRPr="00917845">
        <w:rPr>
          <w:rFonts w:ascii="Arial" w:hAnsi="Arial" w:cs="Arial"/>
          <w:color w:val="222222"/>
          <w:sz w:val="22"/>
          <w:szCs w:val="22"/>
          <w:shd w:val="clear" w:color="auto" w:fill="FFFFFF"/>
        </w:rPr>
        <w:t>,</w:t>
      </w:r>
      <w:r w:rsidRPr="00917845">
        <w:rPr>
          <w:rStyle w:val="apple-converted-space"/>
          <w:rFonts w:ascii="Arial" w:hAnsi="Arial" w:cs="Arial"/>
          <w:color w:val="222222"/>
          <w:sz w:val="22"/>
          <w:szCs w:val="22"/>
          <w:shd w:val="clear" w:color="auto" w:fill="FFFFFF"/>
        </w:rPr>
        <w:t> </w:t>
      </w:r>
      <w:r w:rsidRPr="00917845">
        <w:rPr>
          <w:rFonts w:ascii="Arial" w:hAnsi="Arial" w:cs="Arial"/>
          <w:color w:val="222222"/>
          <w:sz w:val="22"/>
          <w:szCs w:val="22"/>
        </w:rPr>
        <w:t>53</w:t>
      </w:r>
      <w:r w:rsidRPr="00917845">
        <w:rPr>
          <w:rFonts w:ascii="Arial" w:hAnsi="Arial" w:cs="Arial"/>
          <w:color w:val="222222"/>
          <w:sz w:val="22"/>
          <w:szCs w:val="22"/>
          <w:shd w:val="clear" w:color="auto" w:fill="FFFFFF"/>
        </w:rPr>
        <w:t>(3), pp.331-369.</w:t>
      </w:r>
    </w:p>
    <w:p w14:paraId="463F83C6" w14:textId="77777777" w:rsidR="00917845" w:rsidRDefault="00917845" w:rsidP="00917845">
      <w:pPr>
        <w:spacing w:line="360" w:lineRule="auto"/>
        <w:rPr>
          <w:rFonts w:ascii="Arial" w:hAnsi="Arial" w:cs="Arial"/>
          <w:color w:val="000000"/>
          <w:sz w:val="22"/>
          <w:szCs w:val="22"/>
        </w:rPr>
      </w:pPr>
    </w:p>
    <w:p w14:paraId="577528DC" w14:textId="4773F309" w:rsidR="00917845" w:rsidRPr="00917845" w:rsidRDefault="00917845" w:rsidP="00917845">
      <w:pPr>
        <w:spacing w:line="360" w:lineRule="auto"/>
        <w:rPr>
          <w:rFonts w:ascii="Arial" w:hAnsi="Arial" w:cs="Arial"/>
          <w:color w:val="000000"/>
          <w:sz w:val="22"/>
          <w:szCs w:val="22"/>
        </w:rPr>
      </w:pPr>
      <w:r w:rsidRPr="00917845">
        <w:rPr>
          <w:rFonts w:ascii="Arial" w:hAnsi="Arial" w:cs="Arial"/>
          <w:color w:val="000000"/>
          <w:sz w:val="22"/>
          <w:szCs w:val="22"/>
        </w:rPr>
        <w:t xml:space="preserve">Snell, C. et al. (2025) ‘The energy crisis, homelessness and fuel poverty’, The journal of poverty and social </w:t>
      </w:r>
      <w:proofErr w:type="gramStart"/>
      <w:r w:rsidRPr="00917845">
        <w:rPr>
          <w:rFonts w:ascii="Arial" w:hAnsi="Arial" w:cs="Arial"/>
          <w:color w:val="000000"/>
          <w:sz w:val="22"/>
          <w:szCs w:val="22"/>
        </w:rPr>
        <w:t>justice :</w:t>
      </w:r>
      <w:proofErr w:type="gramEnd"/>
      <w:r w:rsidRPr="00917845">
        <w:rPr>
          <w:rFonts w:ascii="Arial" w:hAnsi="Arial" w:cs="Arial"/>
          <w:color w:val="000000"/>
          <w:sz w:val="22"/>
          <w:szCs w:val="22"/>
        </w:rPr>
        <w:t xml:space="preserve"> research, policy, practice, 33(3), pp. 282–304. Available at: </w:t>
      </w:r>
      <w:hyperlink r:id="rId28" w:history="1">
        <w:r w:rsidRPr="00917845">
          <w:rPr>
            <w:rStyle w:val="Hyperlink"/>
            <w:rFonts w:ascii="Arial" w:hAnsi="Arial" w:cs="Arial"/>
            <w:sz w:val="22"/>
            <w:szCs w:val="22"/>
          </w:rPr>
          <w:t>https://doi.org/10.1332/17598273Y2025D000000048</w:t>
        </w:r>
      </w:hyperlink>
      <w:r w:rsidRPr="00917845">
        <w:rPr>
          <w:rFonts w:ascii="Arial" w:hAnsi="Arial" w:cs="Arial"/>
          <w:color w:val="000000"/>
          <w:sz w:val="22"/>
          <w:szCs w:val="22"/>
        </w:rPr>
        <w:t xml:space="preserve">. </w:t>
      </w:r>
    </w:p>
    <w:p w14:paraId="133174C2" w14:textId="77777777" w:rsidR="00917845" w:rsidRDefault="00917845" w:rsidP="00917845">
      <w:pPr>
        <w:spacing w:line="360" w:lineRule="auto"/>
        <w:rPr>
          <w:rFonts w:ascii="Arial" w:hAnsi="Arial" w:cs="Arial"/>
          <w:color w:val="000000"/>
          <w:sz w:val="22"/>
          <w:szCs w:val="22"/>
        </w:rPr>
      </w:pPr>
    </w:p>
    <w:p w14:paraId="186C68CB" w14:textId="61556DC1" w:rsidR="00E52029" w:rsidRDefault="00E52029" w:rsidP="00E52029">
      <w:pPr>
        <w:spacing w:line="360" w:lineRule="auto"/>
        <w:rPr>
          <w:rFonts w:ascii="Arial" w:hAnsi="Arial" w:cs="Arial"/>
          <w:color w:val="000000"/>
          <w:sz w:val="22"/>
          <w:szCs w:val="22"/>
        </w:rPr>
      </w:pPr>
      <w:proofErr w:type="spellStart"/>
      <w:r w:rsidRPr="00E52029">
        <w:rPr>
          <w:rFonts w:ascii="Arial" w:hAnsi="Arial" w:cs="Arial"/>
          <w:color w:val="000000"/>
          <w:sz w:val="22"/>
          <w:szCs w:val="22"/>
        </w:rPr>
        <w:t>Tvaronavičienė</w:t>
      </w:r>
      <w:proofErr w:type="spellEnd"/>
      <w:r w:rsidRPr="00E52029">
        <w:rPr>
          <w:rFonts w:ascii="Arial" w:hAnsi="Arial" w:cs="Arial"/>
          <w:color w:val="000000"/>
          <w:sz w:val="22"/>
          <w:szCs w:val="22"/>
        </w:rPr>
        <w:t xml:space="preserve">, M. (2023) ‘Towards Renewable Energy: Opportunities and Challenges’, Energies (Basel), 16(5), p. 2269. Available at: </w:t>
      </w:r>
      <w:hyperlink r:id="rId29" w:history="1">
        <w:r w:rsidRPr="00E36EB6">
          <w:rPr>
            <w:rStyle w:val="Hyperlink"/>
            <w:rFonts w:ascii="Arial" w:hAnsi="Arial" w:cs="Arial"/>
            <w:sz w:val="22"/>
            <w:szCs w:val="22"/>
          </w:rPr>
          <w:t>https://doi.org/10.3390/en16052269</w:t>
        </w:r>
      </w:hyperlink>
      <w:r w:rsidRPr="00E52029">
        <w:rPr>
          <w:rFonts w:ascii="Arial" w:hAnsi="Arial" w:cs="Arial"/>
          <w:color w:val="000000"/>
          <w:sz w:val="22"/>
          <w:szCs w:val="22"/>
        </w:rPr>
        <w:t>.</w:t>
      </w:r>
    </w:p>
    <w:p w14:paraId="382BC7C7" w14:textId="77777777" w:rsidR="00E52029" w:rsidRDefault="00E52029" w:rsidP="00E52029">
      <w:pPr>
        <w:spacing w:line="360" w:lineRule="auto"/>
        <w:rPr>
          <w:rFonts w:ascii="Arial" w:hAnsi="Arial" w:cs="Arial"/>
          <w:color w:val="000000"/>
          <w:sz w:val="22"/>
          <w:szCs w:val="22"/>
        </w:rPr>
      </w:pPr>
    </w:p>
    <w:p w14:paraId="49B3E7D2" w14:textId="085A677C" w:rsidR="0006548E" w:rsidRDefault="00917845" w:rsidP="00DD4F50">
      <w:pPr>
        <w:spacing w:line="360" w:lineRule="auto"/>
        <w:rPr>
          <w:rFonts w:ascii="Arial" w:hAnsi="Arial" w:cs="Arial"/>
          <w:color w:val="000000"/>
          <w:sz w:val="22"/>
          <w:szCs w:val="22"/>
        </w:rPr>
      </w:pPr>
      <w:proofErr w:type="spellStart"/>
      <w:r w:rsidRPr="00917845">
        <w:rPr>
          <w:rFonts w:ascii="Arial" w:hAnsi="Arial" w:cs="Arial"/>
          <w:color w:val="000000"/>
          <w:sz w:val="22"/>
          <w:szCs w:val="22"/>
        </w:rPr>
        <w:t>Waddams</w:t>
      </w:r>
      <w:proofErr w:type="spellEnd"/>
      <w:r w:rsidRPr="00917845">
        <w:rPr>
          <w:rFonts w:ascii="Arial" w:hAnsi="Arial" w:cs="Arial"/>
          <w:color w:val="000000"/>
          <w:sz w:val="22"/>
          <w:szCs w:val="22"/>
        </w:rPr>
        <w:t xml:space="preserve"> Price, C.M. (2023) ‘The UK Energy Price Guarantee’, Inter economics, 58(1), pp. 22–26. Available at: </w:t>
      </w:r>
      <w:hyperlink r:id="rId30" w:history="1">
        <w:r w:rsidRPr="00917845">
          <w:rPr>
            <w:rStyle w:val="Hyperlink"/>
            <w:rFonts w:ascii="Arial" w:hAnsi="Arial" w:cs="Arial"/>
            <w:sz w:val="22"/>
            <w:szCs w:val="22"/>
          </w:rPr>
          <w:t>https://doi.org/10.2478/ie-2023-0006</w:t>
        </w:r>
      </w:hyperlink>
      <w:r w:rsidRPr="00917845">
        <w:rPr>
          <w:rFonts w:ascii="Arial" w:hAnsi="Arial" w:cs="Arial"/>
          <w:color w:val="000000"/>
          <w:sz w:val="22"/>
          <w:szCs w:val="22"/>
        </w:rPr>
        <w:t xml:space="preserve">. </w:t>
      </w:r>
    </w:p>
    <w:p w14:paraId="7DF95EDE" w14:textId="77777777" w:rsidR="00E52029" w:rsidRDefault="00E52029" w:rsidP="00DD4F50">
      <w:pPr>
        <w:spacing w:line="360" w:lineRule="auto"/>
        <w:rPr>
          <w:rFonts w:ascii="Arial" w:hAnsi="Arial" w:cs="Arial"/>
          <w:color w:val="000000"/>
          <w:sz w:val="22"/>
          <w:szCs w:val="22"/>
        </w:rPr>
      </w:pPr>
    </w:p>
    <w:p w14:paraId="7F1C952A" w14:textId="77777777" w:rsidR="00E52029" w:rsidRDefault="00E52029" w:rsidP="00DD4F50">
      <w:pPr>
        <w:spacing w:line="360" w:lineRule="auto"/>
        <w:rPr>
          <w:rFonts w:ascii="Arial" w:hAnsi="Arial" w:cs="Arial"/>
          <w:color w:val="000000"/>
          <w:sz w:val="22"/>
          <w:szCs w:val="22"/>
        </w:rPr>
      </w:pPr>
    </w:p>
    <w:p w14:paraId="52475508" w14:textId="77777777" w:rsidR="00FE5917" w:rsidRDefault="00FE5917" w:rsidP="00DD4F50">
      <w:pPr>
        <w:spacing w:line="360" w:lineRule="auto"/>
        <w:rPr>
          <w:rFonts w:ascii="Arial" w:hAnsi="Arial" w:cs="Arial"/>
          <w:color w:val="000000"/>
          <w:sz w:val="22"/>
          <w:szCs w:val="22"/>
        </w:rPr>
      </w:pPr>
    </w:p>
    <w:p w14:paraId="358EF5E2" w14:textId="77777777" w:rsidR="00FE5917" w:rsidRDefault="00FE5917" w:rsidP="00DD4F50">
      <w:pPr>
        <w:spacing w:line="360" w:lineRule="auto"/>
        <w:rPr>
          <w:rFonts w:ascii="Arial" w:hAnsi="Arial" w:cs="Arial"/>
          <w:color w:val="000000"/>
          <w:sz w:val="22"/>
          <w:szCs w:val="22"/>
        </w:rPr>
      </w:pPr>
    </w:p>
    <w:p w14:paraId="1D739105" w14:textId="77777777" w:rsidR="003D3D58" w:rsidRDefault="003D3D58" w:rsidP="00DD4F50">
      <w:pPr>
        <w:spacing w:line="360" w:lineRule="auto"/>
        <w:rPr>
          <w:rFonts w:ascii="Arial" w:hAnsi="Arial" w:cs="Arial"/>
          <w:color w:val="000000"/>
          <w:sz w:val="22"/>
          <w:szCs w:val="22"/>
        </w:rPr>
      </w:pPr>
    </w:p>
    <w:p w14:paraId="7BA5D728" w14:textId="77777777" w:rsidR="003D3D58" w:rsidRPr="003D3D58" w:rsidRDefault="003D3D58" w:rsidP="00DD4F50">
      <w:pPr>
        <w:spacing w:line="360" w:lineRule="auto"/>
        <w:rPr>
          <w:rFonts w:ascii="Arial" w:hAnsi="Arial" w:cs="Arial"/>
          <w:color w:val="000000"/>
          <w:sz w:val="22"/>
          <w:szCs w:val="22"/>
        </w:rPr>
      </w:pPr>
    </w:p>
    <w:sectPr w:rsidR="003D3D58" w:rsidRPr="003D3D58" w:rsidSect="00567EF4">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1C470" w14:textId="77777777" w:rsidR="00F64925" w:rsidRDefault="00F64925" w:rsidP="00DE5BBD">
      <w:r>
        <w:separator/>
      </w:r>
    </w:p>
  </w:endnote>
  <w:endnote w:type="continuationSeparator" w:id="0">
    <w:p w14:paraId="595CCBF0" w14:textId="77777777" w:rsidR="00F64925" w:rsidRDefault="00F64925" w:rsidP="00DE5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skerville">
    <w:panose1 w:val="02020502070401020303"/>
    <w:charset w:val="00"/>
    <w:family w:val="roman"/>
    <w:pitch w:val="variable"/>
    <w:sig w:usb0="80000067" w:usb1="02000000" w:usb2="00000000" w:usb3="00000000" w:csb0="0000019F" w:csb1="00000000"/>
  </w:font>
  <w:font w:name="AkayaKanadaka">
    <w:panose1 w:val="02010502080401010103"/>
    <w:charset w:val="4D"/>
    <w:family w:val="auto"/>
    <w:pitch w:val="variable"/>
    <w:sig w:usb0="00400007" w:usb1="00000000" w:usb2="00000000" w:usb3="00000000" w:csb0="00000093"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1344898"/>
      <w:docPartObj>
        <w:docPartGallery w:val="Page Numbers (Bottom of Page)"/>
        <w:docPartUnique/>
      </w:docPartObj>
    </w:sdtPr>
    <w:sdtContent>
      <w:p w14:paraId="54B30A5F" w14:textId="1FE7B253" w:rsidR="00DE5BBD" w:rsidRDefault="00DE5BBD" w:rsidP="001C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BA509B" w14:textId="77777777" w:rsidR="00DE5BBD" w:rsidRDefault="00DE5BBD" w:rsidP="00DE5B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7830479"/>
      <w:docPartObj>
        <w:docPartGallery w:val="Page Numbers (Bottom of Page)"/>
        <w:docPartUnique/>
      </w:docPartObj>
    </w:sdtPr>
    <w:sdtContent>
      <w:p w14:paraId="675A5858" w14:textId="039A4F04" w:rsidR="00DE5BBD" w:rsidRDefault="00DE5BBD" w:rsidP="001C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D88B07" w14:textId="77777777" w:rsidR="00DE5BBD" w:rsidRDefault="00DE5BBD" w:rsidP="00DE5B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CFF13" w14:textId="77777777" w:rsidR="00F64925" w:rsidRDefault="00F64925" w:rsidP="00DE5BBD">
      <w:r>
        <w:separator/>
      </w:r>
    </w:p>
  </w:footnote>
  <w:footnote w:type="continuationSeparator" w:id="0">
    <w:p w14:paraId="70CFB9B7" w14:textId="77777777" w:rsidR="00F64925" w:rsidRDefault="00F64925" w:rsidP="00DE5B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2F7D"/>
    <w:multiLevelType w:val="hybridMultilevel"/>
    <w:tmpl w:val="08BC6D3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874CE"/>
    <w:multiLevelType w:val="hybridMultilevel"/>
    <w:tmpl w:val="9B3CECB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1633D"/>
    <w:multiLevelType w:val="hybridMultilevel"/>
    <w:tmpl w:val="A1E2C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052DA"/>
    <w:multiLevelType w:val="hybridMultilevel"/>
    <w:tmpl w:val="18143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1632D8"/>
    <w:multiLevelType w:val="hybridMultilevel"/>
    <w:tmpl w:val="677098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831815"/>
    <w:multiLevelType w:val="hybridMultilevel"/>
    <w:tmpl w:val="318E9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8B6AA0"/>
    <w:multiLevelType w:val="hybridMultilevel"/>
    <w:tmpl w:val="9AFEA7E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B2E02"/>
    <w:multiLevelType w:val="hybridMultilevel"/>
    <w:tmpl w:val="FB7C49F4"/>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5F86500E"/>
    <w:multiLevelType w:val="hybridMultilevel"/>
    <w:tmpl w:val="C5640BA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C33DC3"/>
    <w:multiLevelType w:val="hybridMultilevel"/>
    <w:tmpl w:val="D666A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973213">
    <w:abstractNumId w:val="3"/>
  </w:num>
  <w:num w:numId="2" w16cid:durableId="54008461">
    <w:abstractNumId w:val="5"/>
  </w:num>
  <w:num w:numId="3" w16cid:durableId="1380788387">
    <w:abstractNumId w:val="2"/>
  </w:num>
  <w:num w:numId="4" w16cid:durableId="1665815363">
    <w:abstractNumId w:val="9"/>
  </w:num>
  <w:num w:numId="5" w16cid:durableId="1620263522">
    <w:abstractNumId w:val="8"/>
  </w:num>
  <w:num w:numId="6" w16cid:durableId="1005211784">
    <w:abstractNumId w:val="4"/>
  </w:num>
  <w:num w:numId="7" w16cid:durableId="833881454">
    <w:abstractNumId w:val="7"/>
  </w:num>
  <w:num w:numId="8" w16cid:durableId="1662386551">
    <w:abstractNumId w:val="6"/>
  </w:num>
  <w:num w:numId="9" w16cid:durableId="344331701">
    <w:abstractNumId w:val="0"/>
  </w:num>
  <w:num w:numId="10" w16cid:durableId="14768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EF4"/>
    <w:rsid w:val="00014A02"/>
    <w:rsid w:val="000209CF"/>
    <w:rsid w:val="00045750"/>
    <w:rsid w:val="000532CE"/>
    <w:rsid w:val="00056B7D"/>
    <w:rsid w:val="00057895"/>
    <w:rsid w:val="0006548E"/>
    <w:rsid w:val="0009348F"/>
    <w:rsid w:val="00093DBE"/>
    <w:rsid w:val="000A002D"/>
    <w:rsid w:val="000B7333"/>
    <w:rsid w:val="000D0D94"/>
    <w:rsid w:val="000E3D2B"/>
    <w:rsid w:val="000F09EF"/>
    <w:rsid w:val="001013B8"/>
    <w:rsid w:val="00101463"/>
    <w:rsid w:val="001062B2"/>
    <w:rsid w:val="001236CC"/>
    <w:rsid w:val="001344F2"/>
    <w:rsid w:val="00142561"/>
    <w:rsid w:val="0015016C"/>
    <w:rsid w:val="00153F41"/>
    <w:rsid w:val="00156F12"/>
    <w:rsid w:val="00182DDE"/>
    <w:rsid w:val="0018559C"/>
    <w:rsid w:val="001A374E"/>
    <w:rsid w:val="001A7FB4"/>
    <w:rsid w:val="001B1737"/>
    <w:rsid w:val="001C0EE1"/>
    <w:rsid w:val="001D1B13"/>
    <w:rsid w:val="001D2E61"/>
    <w:rsid w:val="001E2E6E"/>
    <w:rsid w:val="001F34C9"/>
    <w:rsid w:val="00215178"/>
    <w:rsid w:val="00215DB5"/>
    <w:rsid w:val="0021771A"/>
    <w:rsid w:val="00231295"/>
    <w:rsid w:val="00264A95"/>
    <w:rsid w:val="002701DF"/>
    <w:rsid w:val="002722AF"/>
    <w:rsid w:val="00280EF0"/>
    <w:rsid w:val="002931E0"/>
    <w:rsid w:val="00294DCC"/>
    <w:rsid w:val="002965E9"/>
    <w:rsid w:val="002A1F8C"/>
    <w:rsid w:val="002A3C5E"/>
    <w:rsid w:val="002B46C2"/>
    <w:rsid w:val="002C3B5E"/>
    <w:rsid w:val="002D5EA9"/>
    <w:rsid w:val="002E5B88"/>
    <w:rsid w:val="00306383"/>
    <w:rsid w:val="003268A8"/>
    <w:rsid w:val="003345F3"/>
    <w:rsid w:val="00345E22"/>
    <w:rsid w:val="003714AB"/>
    <w:rsid w:val="003728AE"/>
    <w:rsid w:val="0037304E"/>
    <w:rsid w:val="00385A9D"/>
    <w:rsid w:val="003A0A8B"/>
    <w:rsid w:val="003B1A0E"/>
    <w:rsid w:val="003B3767"/>
    <w:rsid w:val="003D3D58"/>
    <w:rsid w:val="003E2549"/>
    <w:rsid w:val="003E45E4"/>
    <w:rsid w:val="003F2B00"/>
    <w:rsid w:val="003F2B36"/>
    <w:rsid w:val="004032CF"/>
    <w:rsid w:val="004070F0"/>
    <w:rsid w:val="00410114"/>
    <w:rsid w:val="00412EFD"/>
    <w:rsid w:val="004148E8"/>
    <w:rsid w:val="00420129"/>
    <w:rsid w:val="0042410E"/>
    <w:rsid w:val="004274FB"/>
    <w:rsid w:val="00430FCD"/>
    <w:rsid w:val="00452820"/>
    <w:rsid w:val="00466604"/>
    <w:rsid w:val="00472899"/>
    <w:rsid w:val="00472B9E"/>
    <w:rsid w:val="00474303"/>
    <w:rsid w:val="00491922"/>
    <w:rsid w:val="004A4D4B"/>
    <w:rsid w:val="004C2CF7"/>
    <w:rsid w:val="004C3E24"/>
    <w:rsid w:val="004D27BD"/>
    <w:rsid w:val="004D5064"/>
    <w:rsid w:val="004D52EA"/>
    <w:rsid w:val="004E259D"/>
    <w:rsid w:val="004E7B3B"/>
    <w:rsid w:val="00511EC9"/>
    <w:rsid w:val="005235FB"/>
    <w:rsid w:val="0054533E"/>
    <w:rsid w:val="00546BB5"/>
    <w:rsid w:val="00562920"/>
    <w:rsid w:val="00565400"/>
    <w:rsid w:val="00567EF4"/>
    <w:rsid w:val="00587EA2"/>
    <w:rsid w:val="00591357"/>
    <w:rsid w:val="00591707"/>
    <w:rsid w:val="00596485"/>
    <w:rsid w:val="005B694B"/>
    <w:rsid w:val="005B702D"/>
    <w:rsid w:val="005D0741"/>
    <w:rsid w:val="005E1F8E"/>
    <w:rsid w:val="005E7309"/>
    <w:rsid w:val="005F4F62"/>
    <w:rsid w:val="00600491"/>
    <w:rsid w:val="00607951"/>
    <w:rsid w:val="00630F58"/>
    <w:rsid w:val="00654198"/>
    <w:rsid w:val="00654437"/>
    <w:rsid w:val="0065590B"/>
    <w:rsid w:val="006647F4"/>
    <w:rsid w:val="00666874"/>
    <w:rsid w:val="00671AC5"/>
    <w:rsid w:val="006731C5"/>
    <w:rsid w:val="006732D3"/>
    <w:rsid w:val="00683F8C"/>
    <w:rsid w:val="006845AA"/>
    <w:rsid w:val="00684A41"/>
    <w:rsid w:val="006954F8"/>
    <w:rsid w:val="0069752E"/>
    <w:rsid w:val="006A3AF4"/>
    <w:rsid w:val="006B2D3C"/>
    <w:rsid w:val="006C396B"/>
    <w:rsid w:val="006C571B"/>
    <w:rsid w:val="006D64F1"/>
    <w:rsid w:val="006E37B3"/>
    <w:rsid w:val="006F475E"/>
    <w:rsid w:val="00705552"/>
    <w:rsid w:val="007121E6"/>
    <w:rsid w:val="0071308C"/>
    <w:rsid w:val="00713144"/>
    <w:rsid w:val="00713474"/>
    <w:rsid w:val="00715E3F"/>
    <w:rsid w:val="0072080B"/>
    <w:rsid w:val="00721A3F"/>
    <w:rsid w:val="00731526"/>
    <w:rsid w:val="007368ED"/>
    <w:rsid w:val="00753585"/>
    <w:rsid w:val="00756DC2"/>
    <w:rsid w:val="00764D1C"/>
    <w:rsid w:val="00766D87"/>
    <w:rsid w:val="0076722B"/>
    <w:rsid w:val="00767C0B"/>
    <w:rsid w:val="00796D54"/>
    <w:rsid w:val="007B270E"/>
    <w:rsid w:val="007B5CEE"/>
    <w:rsid w:val="007C11A3"/>
    <w:rsid w:val="007C4E06"/>
    <w:rsid w:val="007D47B0"/>
    <w:rsid w:val="007E1865"/>
    <w:rsid w:val="007F477A"/>
    <w:rsid w:val="008147EA"/>
    <w:rsid w:val="00816AAB"/>
    <w:rsid w:val="00832D9F"/>
    <w:rsid w:val="00843234"/>
    <w:rsid w:val="00856CC4"/>
    <w:rsid w:val="008604B1"/>
    <w:rsid w:val="00867EB0"/>
    <w:rsid w:val="008769CD"/>
    <w:rsid w:val="00876CC7"/>
    <w:rsid w:val="00891188"/>
    <w:rsid w:val="008953F6"/>
    <w:rsid w:val="008A2A38"/>
    <w:rsid w:val="008B2F68"/>
    <w:rsid w:val="008B69DE"/>
    <w:rsid w:val="008D760D"/>
    <w:rsid w:val="008E33EB"/>
    <w:rsid w:val="008F6D73"/>
    <w:rsid w:val="00917845"/>
    <w:rsid w:val="00921360"/>
    <w:rsid w:val="00930539"/>
    <w:rsid w:val="00933519"/>
    <w:rsid w:val="0094390E"/>
    <w:rsid w:val="0095444D"/>
    <w:rsid w:val="009750B5"/>
    <w:rsid w:val="00982C1D"/>
    <w:rsid w:val="00985735"/>
    <w:rsid w:val="009B28CA"/>
    <w:rsid w:val="009C27EF"/>
    <w:rsid w:val="009C2981"/>
    <w:rsid w:val="009D2615"/>
    <w:rsid w:val="009D7C44"/>
    <w:rsid w:val="009D7D96"/>
    <w:rsid w:val="009E5CA8"/>
    <w:rsid w:val="009F59D9"/>
    <w:rsid w:val="00A021F0"/>
    <w:rsid w:val="00A04744"/>
    <w:rsid w:val="00A063DD"/>
    <w:rsid w:val="00A26D7A"/>
    <w:rsid w:val="00A362BC"/>
    <w:rsid w:val="00A40959"/>
    <w:rsid w:val="00A417AB"/>
    <w:rsid w:val="00A423F4"/>
    <w:rsid w:val="00A4441F"/>
    <w:rsid w:val="00A50588"/>
    <w:rsid w:val="00A5372C"/>
    <w:rsid w:val="00A62B0F"/>
    <w:rsid w:val="00A767E1"/>
    <w:rsid w:val="00A826B4"/>
    <w:rsid w:val="00AA2829"/>
    <w:rsid w:val="00AC6D58"/>
    <w:rsid w:val="00AC6FA5"/>
    <w:rsid w:val="00AE77FF"/>
    <w:rsid w:val="00B0432B"/>
    <w:rsid w:val="00B27A39"/>
    <w:rsid w:val="00B54980"/>
    <w:rsid w:val="00B561C3"/>
    <w:rsid w:val="00B86F39"/>
    <w:rsid w:val="00B978F1"/>
    <w:rsid w:val="00BA07F8"/>
    <w:rsid w:val="00BB488C"/>
    <w:rsid w:val="00BC6398"/>
    <w:rsid w:val="00BE21B6"/>
    <w:rsid w:val="00BE4549"/>
    <w:rsid w:val="00BE7121"/>
    <w:rsid w:val="00BE7141"/>
    <w:rsid w:val="00BF0033"/>
    <w:rsid w:val="00BF088D"/>
    <w:rsid w:val="00BF0A27"/>
    <w:rsid w:val="00BF1875"/>
    <w:rsid w:val="00C04839"/>
    <w:rsid w:val="00C04F4B"/>
    <w:rsid w:val="00C10222"/>
    <w:rsid w:val="00C11625"/>
    <w:rsid w:val="00C26362"/>
    <w:rsid w:val="00C26A13"/>
    <w:rsid w:val="00C302E4"/>
    <w:rsid w:val="00C3209B"/>
    <w:rsid w:val="00C37F70"/>
    <w:rsid w:val="00C4713C"/>
    <w:rsid w:val="00C607CF"/>
    <w:rsid w:val="00C647E3"/>
    <w:rsid w:val="00C71B67"/>
    <w:rsid w:val="00C77F04"/>
    <w:rsid w:val="00C8108A"/>
    <w:rsid w:val="00C93E36"/>
    <w:rsid w:val="00C977EF"/>
    <w:rsid w:val="00C97A9E"/>
    <w:rsid w:val="00CA1547"/>
    <w:rsid w:val="00CE0874"/>
    <w:rsid w:val="00CE4CA1"/>
    <w:rsid w:val="00CF1D87"/>
    <w:rsid w:val="00D000B1"/>
    <w:rsid w:val="00D10C50"/>
    <w:rsid w:val="00D271B5"/>
    <w:rsid w:val="00D33DFF"/>
    <w:rsid w:val="00D37241"/>
    <w:rsid w:val="00D37B6C"/>
    <w:rsid w:val="00D556BA"/>
    <w:rsid w:val="00D578AE"/>
    <w:rsid w:val="00D971E5"/>
    <w:rsid w:val="00DA3C3A"/>
    <w:rsid w:val="00DA4225"/>
    <w:rsid w:val="00DC2134"/>
    <w:rsid w:val="00DD4F50"/>
    <w:rsid w:val="00DD6D12"/>
    <w:rsid w:val="00DE5BBD"/>
    <w:rsid w:val="00E00859"/>
    <w:rsid w:val="00E13240"/>
    <w:rsid w:val="00E21A7D"/>
    <w:rsid w:val="00E236EE"/>
    <w:rsid w:val="00E25000"/>
    <w:rsid w:val="00E25181"/>
    <w:rsid w:val="00E26934"/>
    <w:rsid w:val="00E37F0B"/>
    <w:rsid w:val="00E52029"/>
    <w:rsid w:val="00E531E8"/>
    <w:rsid w:val="00E55D98"/>
    <w:rsid w:val="00E65F46"/>
    <w:rsid w:val="00E705EE"/>
    <w:rsid w:val="00E7774F"/>
    <w:rsid w:val="00E77923"/>
    <w:rsid w:val="00E94F67"/>
    <w:rsid w:val="00EA781B"/>
    <w:rsid w:val="00EB1433"/>
    <w:rsid w:val="00EC36D4"/>
    <w:rsid w:val="00EE4F0D"/>
    <w:rsid w:val="00EE7229"/>
    <w:rsid w:val="00EF20CC"/>
    <w:rsid w:val="00F00624"/>
    <w:rsid w:val="00F13ED6"/>
    <w:rsid w:val="00F1709F"/>
    <w:rsid w:val="00F179FA"/>
    <w:rsid w:val="00F2455A"/>
    <w:rsid w:val="00F30AA0"/>
    <w:rsid w:val="00F558AA"/>
    <w:rsid w:val="00F64925"/>
    <w:rsid w:val="00F90740"/>
    <w:rsid w:val="00FB17B9"/>
    <w:rsid w:val="00FC0D17"/>
    <w:rsid w:val="00FD5757"/>
    <w:rsid w:val="00FD64C2"/>
    <w:rsid w:val="00FD7420"/>
    <w:rsid w:val="00FE239F"/>
    <w:rsid w:val="00FE5917"/>
    <w:rsid w:val="00FF6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45E22"/>
  <w15:chartTrackingRefBased/>
  <w15:docId w15:val="{34AC067D-A0E6-B747-B415-55656E73E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E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E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E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E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EF4"/>
    <w:rPr>
      <w:rFonts w:eastAsiaTheme="majorEastAsia" w:cstheme="majorBidi"/>
      <w:color w:val="272727" w:themeColor="text1" w:themeTint="D8"/>
    </w:rPr>
  </w:style>
  <w:style w:type="paragraph" w:styleId="Title">
    <w:name w:val="Title"/>
    <w:basedOn w:val="Normal"/>
    <w:next w:val="Normal"/>
    <w:link w:val="TitleChar"/>
    <w:uiPriority w:val="10"/>
    <w:qFormat/>
    <w:rsid w:val="00567E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E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E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7EF4"/>
    <w:rPr>
      <w:i/>
      <w:iCs/>
      <w:color w:val="404040" w:themeColor="text1" w:themeTint="BF"/>
    </w:rPr>
  </w:style>
  <w:style w:type="paragraph" w:styleId="ListParagraph">
    <w:name w:val="List Paragraph"/>
    <w:basedOn w:val="Normal"/>
    <w:uiPriority w:val="34"/>
    <w:qFormat/>
    <w:rsid w:val="00567EF4"/>
    <w:pPr>
      <w:ind w:left="720"/>
      <w:contextualSpacing/>
    </w:pPr>
  </w:style>
  <w:style w:type="character" w:styleId="IntenseEmphasis">
    <w:name w:val="Intense Emphasis"/>
    <w:basedOn w:val="DefaultParagraphFont"/>
    <w:uiPriority w:val="21"/>
    <w:qFormat/>
    <w:rsid w:val="00567EF4"/>
    <w:rPr>
      <w:i/>
      <w:iCs/>
      <w:color w:val="0F4761" w:themeColor="accent1" w:themeShade="BF"/>
    </w:rPr>
  </w:style>
  <w:style w:type="paragraph" w:styleId="IntenseQuote">
    <w:name w:val="Intense Quote"/>
    <w:basedOn w:val="Normal"/>
    <w:next w:val="Normal"/>
    <w:link w:val="IntenseQuoteChar"/>
    <w:uiPriority w:val="30"/>
    <w:qFormat/>
    <w:rsid w:val="00567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EF4"/>
    <w:rPr>
      <w:i/>
      <w:iCs/>
      <w:color w:val="0F4761" w:themeColor="accent1" w:themeShade="BF"/>
    </w:rPr>
  </w:style>
  <w:style w:type="character" w:styleId="IntenseReference">
    <w:name w:val="Intense Reference"/>
    <w:basedOn w:val="DefaultParagraphFont"/>
    <w:uiPriority w:val="32"/>
    <w:qFormat/>
    <w:rsid w:val="00567EF4"/>
    <w:rPr>
      <w:b/>
      <w:bCs/>
      <w:smallCaps/>
      <w:color w:val="0F4761" w:themeColor="accent1" w:themeShade="BF"/>
      <w:spacing w:val="5"/>
    </w:rPr>
  </w:style>
  <w:style w:type="paragraph" w:styleId="NoSpacing">
    <w:name w:val="No Spacing"/>
    <w:link w:val="NoSpacingChar"/>
    <w:uiPriority w:val="1"/>
    <w:qFormat/>
    <w:rsid w:val="00567EF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67EF4"/>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3129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31295"/>
    <w:pPr>
      <w:spacing w:before="240" w:after="120"/>
    </w:pPr>
    <w:rPr>
      <w:b/>
      <w:bCs/>
      <w:sz w:val="20"/>
      <w:szCs w:val="20"/>
    </w:rPr>
  </w:style>
  <w:style w:type="character" w:styleId="Hyperlink">
    <w:name w:val="Hyperlink"/>
    <w:basedOn w:val="DefaultParagraphFont"/>
    <w:uiPriority w:val="99"/>
    <w:unhideWhenUsed/>
    <w:rsid w:val="00231295"/>
    <w:rPr>
      <w:color w:val="467886" w:themeColor="hyperlink"/>
      <w:u w:val="single"/>
    </w:rPr>
  </w:style>
  <w:style w:type="paragraph" w:styleId="TOC2">
    <w:name w:val="toc 2"/>
    <w:basedOn w:val="Normal"/>
    <w:next w:val="Normal"/>
    <w:autoRedefine/>
    <w:uiPriority w:val="39"/>
    <w:semiHidden/>
    <w:unhideWhenUsed/>
    <w:rsid w:val="00231295"/>
    <w:pPr>
      <w:spacing w:before="120"/>
      <w:ind w:left="240"/>
    </w:pPr>
    <w:rPr>
      <w:i/>
      <w:iCs/>
      <w:sz w:val="20"/>
      <w:szCs w:val="20"/>
    </w:rPr>
  </w:style>
  <w:style w:type="paragraph" w:styleId="TOC3">
    <w:name w:val="toc 3"/>
    <w:basedOn w:val="Normal"/>
    <w:next w:val="Normal"/>
    <w:autoRedefine/>
    <w:uiPriority w:val="39"/>
    <w:semiHidden/>
    <w:unhideWhenUsed/>
    <w:rsid w:val="00231295"/>
    <w:pPr>
      <w:ind w:left="480"/>
    </w:pPr>
    <w:rPr>
      <w:sz w:val="20"/>
      <w:szCs w:val="20"/>
    </w:rPr>
  </w:style>
  <w:style w:type="paragraph" w:styleId="TOC4">
    <w:name w:val="toc 4"/>
    <w:basedOn w:val="Normal"/>
    <w:next w:val="Normal"/>
    <w:autoRedefine/>
    <w:uiPriority w:val="39"/>
    <w:semiHidden/>
    <w:unhideWhenUsed/>
    <w:rsid w:val="00231295"/>
    <w:pPr>
      <w:ind w:left="720"/>
    </w:pPr>
    <w:rPr>
      <w:sz w:val="20"/>
      <w:szCs w:val="20"/>
    </w:rPr>
  </w:style>
  <w:style w:type="paragraph" w:styleId="TOC5">
    <w:name w:val="toc 5"/>
    <w:basedOn w:val="Normal"/>
    <w:next w:val="Normal"/>
    <w:autoRedefine/>
    <w:uiPriority w:val="39"/>
    <w:semiHidden/>
    <w:unhideWhenUsed/>
    <w:rsid w:val="00231295"/>
    <w:pPr>
      <w:ind w:left="960"/>
    </w:pPr>
    <w:rPr>
      <w:sz w:val="20"/>
      <w:szCs w:val="20"/>
    </w:rPr>
  </w:style>
  <w:style w:type="paragraph" w:styleId="TOC6">
    <w:name w:val="toc 6"/>
    <w:basedOn w:val="Normal"/>
    <w:next w:val="Normal"/>
    <w:autoRedefine/>
    <w:uiPriority w:val="39"/>
    <w:semiHidden/>
    <w:unhideWhenUsed/>
    <w:rsid w:val="00231295"/>
    <w:pPr>
      <w:ind w:left="1200"/>
    </w:pPr>
    <w:rPr>
      <w:sz w:val="20"/>
      <w:szCs w:val="20"/>
    </w:rPr>
  </w:style>
  <w:style w:type="paragraph" w:styleId="TOC7">
    <w:name w:val="toc 7"/>
    <w:basedOn w:val="Normal"/>
    <w:next w:val="Normal"/>
    <w:autoRedefine/>
    <w:uiPriority w:val="39"/>
    <w:semiHidden/>
    <w:unhideWhenUsed/>
    <w:rsid w:val="00231295"/>
    <w:pPr>
      <w:ind w:left="1440"/>
    </w:pPr>
    <w:rPr>
      <w:sz w:val="20"/>
      <w:szCs w:val="20"/>
    </w:rPr>
  </w:style>
  <w:style w:type="paragraph" w:styleId="TOC8">
    <w:name w:val="toc 8"/>
    <w:basedOn w:val="Normal"/>
    <w:next w:val="Normal"/>
    <w:autoRedefine/>
    <w:uiPriority w:val="39"/>
    <w:semiHidden/>
    <w:unhideWhenUsed/>
    <w:rsid w:val="00231295"/>
    <w:pPr>
      <w:ind w:left="1680"/>
    </w:pPr>
    <w:rPr>
      <w:sz w:val="20"/>
      <w:szCs w:val="20"/>
    </w:rPr>
  </w:style>
  <w:style w:type="paragraph" w:styleId="TOC9">
    <w:name w:val="toc 9"/>
    <w:basedOn w:val="Normal"/>
    <w:next w:val="Normal"/>
    <w:autoRedefine/>
    <w:uiPriority w:val="39"/>
    <w:semiHidden/>
    <w:unhideWhenUsed/>
    <w:rsid w:val="00231295"/>
    <w:pPr>
      <w:ind w:left="1920"/>
    </w:pPr>
    <w:rPr>
      <w:sz w:val="20"/>
      <w:szCs w:val="20"/>
    </w:rPr>
  </w:style>
  <w:style w:type="character" w:styleId="UnresolvedMention">
    <w:name w:val="Unresolved Mention"/>
    <w:basedOn w:val="DefaultParagraphFont"/>
    <w:uiPriority w:val="99"/>
    <w:semiHidden/>
    <w:unhideWhenUsed/>
    <w:rsid w:val="00607951"/>
    <w:rPr>
      <w:color w:val="605E5C"/>
      <w:shd w:val="clear" w:color="auto" w:fill="E1DFDD"/>
    </w:rPr>
  </w:style>
  <w:style w:type="character" w:customStyle="1" w:styleId="apple-converted-space">
    <w:name w:val="apple-converted-space"/>
    <w:basedOn w:val="DefaultParagraphFont"/>
    <w:rsid w:val="00A826B4"/>
  </w:style>
  <w:style w:type="character" w:styleId="FollowedHyperlink">
    <w:name w:val="FollowedHyperlink"/>
    <w:basedOn w:val="DefaultParagraphFont"/>
    <w:uiPriority w:val="99"/>
    <w:semiHidden/>
    <w:unhideWhenUsed/>
    <w:rsid w:val="000D0D94"/>
    <w:rPr>
      <w:color w:val="96607D" w:themeColor="followedHyperlink"/>
      <w:u w:val="single"/>
    </w:rPr>
  </w:style>
  <w:style w:type="table" w:styleId="TableGrid">
    <w:name w:val="Table Grid"/>
    <w:basedOn w:val="TableNormal"/>
    <w:uiPriority w:val="39"/>
    <w:rsid w:val="00EC36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box-root">
    <w:name w:val="muibox-root"/>
    <w:basedOn w:val="DefaultParagraphFont"/>
    <w:rsid w:val="009B28CA"/>
  </w:style>
  <w:style w:type="character" w:customStyle="1" w:styleId="css-0">
    <w:name w:val="css-0"/>
    <w:basedOn w:val="DefaultParagraphFont"/>
    <w:rsid w:val="009B28CA"/>
  </w:style>
  <w:style w:type="character" w:customStyle="1" w:styleId="css-1tmeul0">
    <w:name w:val="css-1tmeul0"/>
    <w:basedOn w:val="DefaultParagraphFont"/>
    <w:rsid w:val="009B28CA"/>
  </w:style>
  <w:style w:type="character" w:customStyle="1" w:styleId="css-10o52y0">
    <w:name w:val="css-10o52y0"/>
    <w:basedOn w:val="DefaultParagraphFont"/>
    <w:rsid w:val="009B28CA"/>
  </w:style>
  <w:style w:type="character" w:customStyle="1" w:styleId="css-h5d7i9">
    <w:name w:val="css-h5d7i9"/>
    <w:basedOn w:val="DefaultParagraphFont"/>
    <w:rsid w:val="009B28CA"/>
  </w:style>
  <w:style w:type="character" w:customStyle="1" w:styleId="css-lq4jk2">
    <w:name w:val="css-lq4jk2"/>
    <w:basedOn w:val="DefaultParagraphFont"/>
    <w:rsid w:val="009B28CA"/>
  </w:style>
  <w:style w:type="character" w:styleId="Emphasis">
    <w:name w:val="Emphasis"/>
    <w:basedOn w:val="DefaultParagraphFont"/>
    <w:uiPriority w:val="20"/>
    <w:qFormat/>
    <w:rsid w:val="003345F3"/>
    <w:rPr>
      <w:i/>
      <w:iCs/>
    </w:rPr>
  </w:style>
  <w:style w:type="paragraph" w:styleId="Footer">
    <w:name w:val="footer"/>
    <w:basedOn w:val="Normal"/>
    <w:link w:val="FooterChar"/>
    <w:uiPriority w:val="99"/>
    <w:unhideWhenUsed/>
    <w:rsid w:val="00DE5BBD"/>
    <w:pPr>
      <w:tabs>
        <w:tab w:val="center" w:pos="4513"/>
        <w:tab w:val="right" w:pos="9026"/>
      </w:tabs>
    </w:pPr>
  </w:style>
  <w:style w:type="character" w:customStyle="1" w:styleId="FooterChar">
    <w:name w:val="Footer Char"/>
    <w:basedOn w:val="DefaultParagraphFont"/>
    <w:link w:val="Footer"/>
    <w:uiPriority w:val="99"/>
    <w:rsid w:val="00DE5BBD"/>
  </w:style>
  <w:style w:type="character" w:styleId="PageNumber">
    <w:name w:val="page number"/>
    <w:basedOn w:val="DefaultParagraphFont"/>
    <w:uiPriority w:val="99"/>
    <w:semiHidden/>
    <w:unhideWhenUsed/>
    <w:rsid w:val="00DE5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2/sajbm.v49i1.2" TargetMode="External"/><Relationship Id="rId18" Type="http://schemas.openxmlformats.org/officeDocument/2006/relationships/hyperlink" Target="https://doi.org/10.1093/epolic/eiae038" TargetMode="External"/><Relationship Id="rId26" Type="http://schemas.openxmlformats.org/officeDocument/2006/relationships/hyperlink" Target="https://britishgasenergytrust.org.uk/wp-content/uploads/2024/01/Download-the-2023-Impact-Report.pdf" TargetMode="External"/><Relationship Id="rId3" Type="http://schemas.openxmlformats.org/officeDocument/2006/relationships/styles" Target="styles.xml"/><Relationship Id="rId21" Type="http://schemas.openxmlformats.org/officeDocument/2006/relationships/hyperlink" Target="https://doi.org/10.3390/en1602070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1/spol.13124" TargetMode="External"/><Relationship Id="rId17" Type="http://schemas.openxmlformats.org/officeDocument/2006/relationships/hyperlink" Target="https://doi.org/10.1177/25148486231172844" TargetMode="External"/><Relationship Id="rId25" Type="http://schemas.openxmlformats.org/officeDocument/2006/relationships/hyperlink" Target="https://www.gov.uk/government/publications/net-zero-strateg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jbusres.2019.07.024" TargetMode="External"/><Relationship Id="rId20" Type="http://schemas.openxmlformats.org/officeDocument/2006/relationships/hyperlink" Target="https://publications.parliament.uk/pa/cm5803/cmselect/cmbeis/236/summary.html" TargetMode="External"/><Relationship Id="rId29" Type="http://schemas.openxmlformats.org/officeDocument/2006/relationships/hyperlink" Target="https://doi.org/10.3390/en160522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0036846.2024.2305158" TargetMode="External"/><Relationship Id="rId24" Type="http://schemas.openxmlformats.org/officeDocument/2006/relationships/hyperlink" Target="https://www.britishgas.co.uk/the-source/making-a-difference/our-story.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86/s42162-024-00313-7" TargetMode="External"/><Relationship Id="rId23" Type="http://schemas.openxmlformats.org/officeDocument/2006/relationships/hyperlink" Target="https://uk.investing.com/news/stock-market-news/octopus-energy-becomes-britains-largest-home-electricity-supplier-3459446" TargetMode="External"/><Relationship Id="rId28" Type="http://schemas.openxmlformats.org/officeDocument/2006/relationships/hyperlink" Target="https://doi.org/10.1332/17598273Y2025D000000048" TargetMode="External"/><Relationship Id="rId10" Type="http://schemas.openxmlformats.org/officeDocument/2006/relationships/image" Target="media/image2.jpeg"/><Relationship Id="rId19" Type="http://schemas.openxmlformats.org/officeDocument/2006/relationships/hyperlink" Target="https://doi.org/10.1093/oso/9780197656747.001.0001"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trica.com/media/2pjoazw0/annual-report-and-accounts-2024-untagged.pdf" TargetMode="External"/><Relationship Id="rId22" Type="http://schemas.openxmlformats.org/officeDocument/2006/relationships/hyperlink" Target="https://www.gov.uk/government/publications/impact-of-uk-government-energy-and-cost-of-living-support-measures-on-households-across-the-uk/analysis-of-the-impact-of-uk-government-energy-and-cost-of-living-support-measures-on-households-in-scotland-northern-ireland-and-wales" TargetMode="External"/><Relationship Id="rId27" Type="http://schemas.openxmlformats.org/officeDocument/2006/relationships/hyperlink" Target="https://doi.org/10.15166/2499-8249/301" TargetMode="External"/><Relationship Id="rId30" Type="http://schemas.openxmlformats.org/officeDocument/2006/relationships/hyperlink" Target="https://doi.org/10.2478/ie-2023-0006"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46EF2-D1C7-844D-912C-4BE2003B5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19</Pages>
  <Words>5880</Words>
  <Characters>33517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21</cp:revision>
  <dcterms:created xsi:type="dcterms:W3CDTF">2025-11-06T17:45:00Z</dcterms:created>
  <dcterms:modified xsi:type="dcterms:W3CDTF">2025-11-18T17:13:00Z</dcterms:modified>
</cp:coreProperties>
</file>