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325B6" w14:textId="797C8BD2" w:rsidR="00646406" w:rsidRDefault="00646406" w:rsidP="00B3315F">
      <w:pPr>
        <w:spacing w:before="120" w:after="120" w:line="360" w:lineRule="auto"/>
        <w:jc w:val="center"/>
      </w:pPr>
      <w:r>
        <w:fldChar w:fldCharType="begin"/>
      </w:r>
      <w:r>
        <w:instrText xml:space="preserve"> INCLUDEPICTURE "/Users/AzZedin01/Library/Group Containers/UBF8T346G9.ms/WebArchiveCopyPasteTempFiles/com.microsoft.Word/8P2xdp3q1g646AAAAAElFTkSuQmCC" \* MERGEFORMATINET </w:instrText>
      </w:r>
      <w:r>
        <w:fldChar w:fldCharType="separate"/>
      </w:r>
      <w:r>
        <w:rPr>
          <w:noProof/>
          <w:lang w:val="en-US"/>
        </w:rPr>
        <w:drawing>
          <wp:inline distT="0" distB="0" distL="0" distR="0" wp14:anchorId="3A0CF2D9" wp14:editId="40366469">
            <wp:extent cx="1650251" cy="1562100"/>
            <wp:effectExtent l="0" t="0" r="762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3858" cy="1593911"/>
                    </a:xfrm>
                    <a:prstGeom prst="rect">
                      <a:avLst/>
                    </a:prstGeom>
                    <a:noFill/>
                    <a:ln>
                      <a:noFill/>
                    </a:ln>
                  </pic:spPr>
                </pic:pic>
              </a:graphicData>
            </a:graphic>
          </wp:inline>
        </w:drawing>
      </w:r>
      <w:r>
        <w:fldChar w:fldCharType="end"/>
      </w:r>
    </w:p>
    <w:p w14:paraId="6D0C4720" w14:textId="77777777" w:rsidR="00646406" w:rsidRDefault="00646406" w:rsidP="00B3315F">
      <w:pPr>
        <w:spacing w:before="120" w:after="120" w:line="360" w:lineRule="auto"/>
        <w:jc w:val="center"/>
      </w:pPr>
    </w:p>
    <w:p w14:paraId="21811744" w14:textId="77777777" w:rsidR="00646406" w:rsidRDefault="00646406" w:rsidP="00B3315F">
      <w:pPr>
        <w:spacing w:before="120" w:after="120" w:line="360" w:lineRule="auto"/>
      </w:pPr>
    </w:p>
    <w:p w14:paraId="1EC34BAD" w14:textId="77777777" w:rsidR="00646406" w:rsidRDefault="00646406" w:rsidP="00B3315F">
      <w:pPr>
        <w:spacing w:before="120" w:after="120" w:line="360" w:lineRule="auto"/>
        <w:jc w:val="center"/>
      </w:pPr>
    </w:p>
    <w:p w14:paraId="106F65A8" w14:textId="77777777" w:rsidR="002902E6" w:rsidRPr="00A82BB7" w:rsidRDefault="002902E6" w:rsidP="002902E6">
      <w:pPr>
        <w:pStyle w:val="s10"/>
        <w:spacing w:before="0" w:beforeAutospacing="0" w:after="0" w:afterAutospacing="0"/>
        <w:jc w:val="center"/>
        <w:rPr>
          <w:rFonts w:ascii="Arial" w:eastAsiaTheme="minorHAnsi" w:hAnsi="Arial" w:cs="Arial"/>
          <w:b/>
          <w:bCs/>
          <w:kern w:val="2"/>
          <w:lang w:val="en-GB" w:eastAsia="en-US"/>
          <w14:ligatures w14:val="standardContextual"/>
        </w:rPr>
      </w:pPr>
      <w:r w:rsidRPr="00A82BB7">
        <w:rPr>
          <w:rFonts w:ascii="Arial" w:eastAsiaTheme="minorHAnsi" w:hAnsi="Arial" w:cs="Arial"/>
          <w:b/>
          <w:bCs/>
          <w:kern w:val="2"/>
          <w:lang w:val="en-GB" w:eastAsia="en-US"/>
          <w14:ligatures w14:val="standardContextual"/>
        </w:rPr>
        <w:t>Student Name: Amitkumar Jayantibhai Vaghela</w:t>
      </w:r>
    </w:p>
    <w:p w14:paraId="1C9B940F" w14:textId="77777777" w:rsidR="002902E6" w:rsidRPr="00A82BB7" w:rsidRDefault="002902E6" w:rsidP="002902E6">
      <w:pPr>
        <w:pStyle w:val="s10"/>
        <w:spacing w:before="0" w:beforeAutospacing="0" w:after="0" w:afterAutospacing="0"/>
        <w:jc w:val="center"/>
        <w:rPr>
          <w:rFonts w:ascii="Arial" w:eastAsiaTheme="minorHAnsi" w:hAnsi="Arial" w:cs="Arial"/>
          <w:b/>
          <w:bCs/>
          <w:kern w:val="2"/>
          <w:lang w:val="en-GB" w:eastAsia="en-US"/>
          <w14:ligatures w14:val="standardContextual"/>
        </w:rPr>
      </w:pPr>
      <w:r w:rsidRPr="00A82BB7">
        <w:rPr>
          <w:rFonts w:ascii="Arial" w:eastAsiaTheme="minorHAnsi" w:hAnsi="Arial" w:cs="Arial"/>
          <w:b/>
          <w:bCs/>
          <w:kern w:val="2"/>
          <w:lang w:val="en-GB" w:eastAsia="en-US"/>
          <w14:ligatures w14:val="standardContextual"/>
        </w:rPr>
        <w:t> </w:t>
      </w:r>
    </w:p>
    <w:p w14:paraId="709979AB" w14:textId="77777777" w:rsidR="002969C0" w:rsidRPr="00A82BB7" w:rsidRDefault="002969C0" w:rsidP="002902E6">
      <w:pPr>
        <w:pStyle w:val="s10"/>
        <w:spacing w:before="0" w:beforeAutospacing="0" w:after="0" w:afterAutospacing="0"/>
        <w:jc w:val="center"/>
        <w:rPr>
          <w:rFonts w:ascii="Arial" w:eastAsiaTheme="minorHAnsi" w:hAnsi="Arial" w:cs="Arial"/>
          <w:b/>
          <w:bCs/>
          <w:kern w:val="2"/>
          <w:lang w:val="en-GB" w:eastAsia="en-US"/>
          <w14:ligatures w14:val="standardContextual"/>
        </w:rPr>
      </w:pPr>
    </w:p>
    <w:p w14:paraId="178BB581" w14:textId="4ACB3412" w:rsidR="002902E6" w:rsidRPr="00A82BB7" w:rsidRDefault="002902E6" w:rsidP="002902E6">
      <w:pPr>
        <w:pStyle w:val="s10"/>
        <w:spacing w:before="0" w:beforeAutospacing="0" w:after="0" w:afterAutospacing="0"/>
        <w:jc w:val="center"/>
        <w:rPr>
          <w:rFonts w:ascii="Arial" w:eastAsiaTheme="minorHAnsi" w:hAnsi="Arial" w:cs="Arial"/>
          <w:b/>
          <w:bCs/>
          <w:kern w:val="2"/>
          <w:lang w:val="en-GB" w:eastAsia="en-US"/>
          <w14:ligatures w14:val="standardContextual"/>
        </w:rPr>
      </w:pPr>
      <w:r w:rsidRPr="00A82BB7">
        <w:rPr>
          <w:rFonts w:ascii="Arial" w:eastAsiaTheme="minorHAnsi" w:hAnsi="Arial" w:cs="Arial"/>
          <w:b/>
          <w:bCs/>
          <w:kern w:val="2"/>
          <w:lang w:val="en-GB" w:eastAsia="en-US"/>
          <w14:ligatures w14:val="standardContextual"/>
        </w:rPr>
        <w:t>Student ID:  2420384</w:t>
      </w:r>
    </w:p>
    <w:p w14:paraId="3D7751B6" w14:textId="77777777" w:rsidR="00646406" w:rsidRPr="00A82BB7" w:rsidRDefault="00646406" w:rsidP="002969C0">
      <w:pPr>
        <w:spacing w:before="120" w:after="120" w:line="360" w:lineRule="auto"/>
        <w:rPr>
          <w:rFonts w:cs="Arial"/>
          <w:b/>
          <w:bCs/>
        </w:rPr>
      </w:pPr>
    </w:p>
    <w:p w14:paraId="37F10C9F" w14:textId="2FF0D0FD" w:rsidR="00646406" w:rsidRPr="00A82BB7" w:rsidRDefault="00646406" w:rsidP="00B3315F">
      <w:pPr>
        <w:spacing w:before="120" w:after="120" w:line="360" w:lineRule="auto"/>
        <w:jc w:val="center"/>
        <w:rPr>
          <w:rFonts w:cs="Arial"/>
          <w:b/>
          <w:bCs/>
        </w:rPr>
      </w:pPr>
      <w:r w:rsidRPr="00A82BB7">
        <w:rPr>
          <w:rFonts w:cs="Arial"/>
          <w:b/>
          <w:bCs/>
        </w:rPr>
        <w:t>Module Name: Marketing Management</w:t>
      </w:r>
    </w:p>
    <w:p w14:paraId="1F614A44" w14:textId="77777777" w:rsidR="00646406" w:rsidRPr="00A82BB7" w:rsidRDefault="00646406" w:rsidP="00B3315F">
      <w:pPr>
        <w:spacing w:before="120" w:after="120" w:line="360" w:lineRule="auto"/>
        <w:jc w:val="center"/>
        <w:rPr>
          <w:rFonts w:cs="Arial"/>
          <w:b/>
          <w:bCs/>
        </w:rPr>
      </w:pPr>
    </w:p>
    <w:p w14:paraId="0794A99E" w14:textId="33486F0B" w:rsidR="00646406" w:rsidRPr="00A82BB7" w:rsidRDefault="00646406" w:rsidP="00B3315F">
      <w:pPr>
        <w:spacing w:before="120" w:after="120" w:line="360" w:lineRule="auto"/>
        <w:jc w:val="center"/>
        <w:rPr>
          <w:rFonts w:cs="Arial"/>
          <w:b/>
          <w:bCs/>
        </w:rPr>
      </w:pPr>
      <w:r w:rsidRPr="00A82BB7">
        <w:rPr>
          <w:rFonts w:cs="Arial"/>
          <w:b/>
          <w:bCs/>
        </w:rPr>
        <w:t>Module Code: LCMB7024</w:t>
      </w:r>
    </w:p>
    <w:p w14:paraId="7E74A1F6" w14:textId="77777777" w:rsidR="00646406" w:rsidRPr="00A82BB7" w:rsidRDefault="00646406" w:rsidP="00B3315F">
      <w:pPr>
        <w:spacing w:before="120" w:after="120" w:line="360" w:lineRule="auto"/>
        <w:rPr>
          <w:rFonts w:cs="Arial"/>
          <w:b/>
          <w:bCs/>
        </w:rPr>
      </w:pPr>
    </w:p>
    <w:p w14:paraId="1C05EEAE" w14:textId="5A534422" w:rsidR="00646406" w:rsidRPr="00A82BB7" w:rsidRDefault="00646406" w:rsidP="00B3315F">
      <w:pPr>
        <w:spacing w:before="120" w:after="120" w:line="360" w:lineRule="auto"/>
        <w:jc w:val="center"/>
        <w:rPr>
          <w:rFonts w:cs="Arial"/>
          <w:b/>
          <w:bCs/>
        </w:rPr>
      </w:pPr>
      <w:r w:rsidRPr="00A82BB7">
        <w:rPr>
          <w:rFonts w:cs="Arial"/>
          <w:b/>
          <w:bCs/>
        </w:rPr>
        <w:t>Lecturer’s Name:</w:t>
      </w:r>
      <w:r w:rsidR="00990392" w:rsidRPr="00A82BB7">
        <w:rPr>
          <w:rFonts w:cs="Arial"/>
          <w:b/>
          <w:bCs/>
        </w:rPr>
        <w:t xml:space="preserve"> </w:t>
      </w:r>
      <w:proofErr w:type="spellStart"/>
      <w:proofErr w:type="gramStart"/>
      <w:r w:rsidR="00990392" w:rsidRPr="00A82BB7">
        <w:rPr>
          <w:rFonts w:cs="Arial"/>
          <w:b/>
          <w:bCs/>
        </w:rPr>
        <w:t>Dr.Laila</w:t>
      </w:r>
      <w:proofErr w:type="spellEnd"/>
      <w:proofErr w:type="gramEnd"/>
      <w:r w:rsidR="00990392" w:rsidRPr="00A82BB7">
        <w:rPr>
          <w:rFonts w:cs="Arial"/>
          <w:b/>
          <w:bCs/>
        </w:rPr>
        <w:t xml:space="preserve"> </w:t>
      </w:r>
      <w:proofErr w:type="spellStart"/>
      <w:r w:rsidR="00990392" w:rsidRPr="00A82BB7">
        <w:rPr>
          <w:rFonts w:cs="Arial"/>
          <w:b/>
          <w:bCs/>
        </w:rPr>
        <w:t>Maazouz</w:t>
      </w:r>
      <w:proofErr w:type="spellEnd"/>
    </w:p>
    <w:p w14:paraId="2534BC8F" w14:textId="77777777" w:rsidR="00646406" w:rsidRPr="00A82BB7" w:rsidRDefault="00646406" w:rsidP="00B3315F">
      <w:pPr>
        <w:spacing w:before="120" w:after="120" w:line="360" w:lineRule="auto"/>
        <w:jc w:val="center"/>
        <w:rPr>
          <w:rFonts w:cs="Arial"/>
          <w:b/>
          <w:bCs/>
        </w:rPr>
      </w:pPr>
    </w:p>
    <w:p w14:paraId="55B10977" w14:textId="77777777" w:rsidR="00646406" w:rsidRPr="00A82BB7" w:rsidRDefault="00646406" w:rsidP="00B3315F">
      <w:pPr>
        <w:spacing w:before="120" w:after="120" w:line="360" w:lineRule="auto"/>
        <w:rPr>
          <w:rFonts w:cs="Arial"/>
          <w:b/>
          <w:bCs/>
        </w:rPr>
      </w:pPr>
    </w:p>
    <w:p w14:paraId="39FE983B" w14:textId="05F3B7A6" w:rsidR="00646406" w:rsidRPr="00A82BB7" w:rsidRDefault="00646406" w:rsidP="00B3315F">
      <w:pPr>
        <w:spacing w:before="120" w:after="120" w:line="360" w:lineRule="auto"/>
        <w:jc w:val="center"/>
        <w:rPr>
          <w:rFonts w:cs="Arial"/>
          <w:b/>
          <w:bCs/>
        </w:rPr>
      </w:pPr>
      <w:r w:rsidRPr="00A82BB7">
        <w:rPr>
          <w:rFonts w:cs="Arial"/>
          <w:b/>
          <w:bCs/>
        </w:rPr>
        <w:t>Work Count:</w:t>
      </w:r>
      <w:r w:rsidR="00A36F20" w:rsidRPr="00A82BB7">
        <w:rPr>
          <w:rFonts w:cs="Arial"/>
          <w:b/>
          <w:bCs/>
        </w:rPr>
        <w:t xml:space="preserve"> 2</w:t>
      </w:r>
      <w:r w:rsidR="00DC2671">
        <w:rPr>
          <w:rFonts w:cs="Arial"/>
          <w:b/>
          <w:bCs/>
        </w:rPr>
        <w:t>4</w:t>
      </w:r>
      <w:r w:rsidR="00705A89">
        <w:rPr>
          <w:rFonts w:cs="Arial"/>
          <w:b/>
          <w:bCs/>
        </w:rPr>
        <w:t>63</w:t>
      </w:r>
    </w:p>
    <w:p w14:paraId="5310CAA0" w14:textId="77777777" w:rsidR="000638C4" w:rsidRPr="00A82BB7" w:rsidRDefault="000638C4" w:rsidP="000638C4">
      <w:pPr>
        <w:spacing w:before="120" w:after="120" w:line="360" w:lineRule="auto"/>
        <w:jc w:val="center"/>
        <w:rPr>
          <w:rFonts w:cs="Arial"/>
          <w:b/>
          <w:bCs/>
        </w:rPr>
      </w:pPr>
      <w:r w:rsidRPr="00A82BB7">
        <w:rPr>
          <w:rFonts w:cs="Arial"/>
          <w:b/>
          <w:bCs/>
        </w:rPr>
        <w:t>Term 1</w:t>
      </w:r>
    </w:p>
    <w:p w14:paraId="3BDAC6FE" w14:textId="77777777" w:rsidR="000638C4" w:rsidRPr="008044B8" w:rsidRDefault="000638C4" w:rsidP="00B3315F">
      <w:pPr>
        <w:spacing w:before="120" w:after="120" w:line="360" w:lineRule="auto"/>
        <w:jc w:val="center"/>
        <w:rPr>
          <w:rFonts w:cs="Arial"/>
          <w:b/>
          <w:bCs/>
        </w:rPr>
      </w:pPr>
    </w:p>
    <w:p w14:paraId="3D7042D2" w14:textId="445D19A9" w:rsidR="00646406" w:rsidRPr="008044B8" w:rsidRDefault="00646406" w:rsidP="00B3315F">
      <w:pPr>
        <w:spacing w:before="120" w:after="120" w:line="360" w:lineRule="auto"/>
        <w:rPr>
          <w:rFonts w:cs="Arial"/>
          <w:b/>
          <w:bCs/>
        </w:rPr>
      </w:pPr>
    </w:p>
    <w:p w14:paraId="6FE88888" w14:textId="11EAA564" w:rsidR="00C80E2A" w:rsidRPr="00E84434" w:rsidRDefault="00C80E2A" w:rsidP="00B3315F">
      <w:pPr>
        <w:spacing w:before="120" w:after="120" w:line="360" w:lineRule="auto"/>
        <w:rPr>
          <w:rFonts w:cs="Arial"/>
          <w:b/>
          <w:bCs/>
        </w:rPr>
      </w:pPr>
      <w:r>
        <w:br w:type="page"/>
      </w:r>
    </w:p>
    <w:bookmarkStart w:id="0" w:name="_Toc192455109" w:displacedByCustomXml="next"/>
    <w:sdt>
      <w:sdtPr>
        <w:rPr>
          <w:rFonts w:ascii="Arial" w:eastAsiaTheme="minorHAnsi" w:hAnsi="Arial" w:cstheme="minorBidi"/>
          <w:color w:val="auto"/>
          <w:kern w:val="2"/>
          <w:sz w:val="24"/>
          <w:szCs w:val="24"/>
          <w:lang w:val="en-GB"/>
          <w14:ligatures w14:val="standardContextual"/>
        </w:rPr>
        <w:id w:val="245150997"/>
        <w:docPartObj>
          <w:docPartGallery w:val="Table of Contents"/>
          <w:docPartUnique/>
        </w:docPartObj>
      </w:sdtPr>
      <w:sdtEndPr>
        <w:rPr>
          <w:b/>
          <w:bCs/>
          <w:noProof/>
        </w:rPr>
      </w:sdtEndPr>
      <w:sdtContent>
        <w:p w14:paraId="548EB499" w14:textId="4F4FF615" w:rsidR="009472EE" w:rsidRDefault="009472EE" w:rsidP="00B3315F">
          <w:pPr>
            <w:pStyle w:val="TOCHeading"/>
            <w:spacing w:before="0" w:line="360" w:lineRule="auto"/>
          </w:pPr>
          <w:r>
            <w:t>Table of Contents</w:t>
          </w:r>
        </w:p>
        <w:p w14:paraId="4E0BCA3B" w14:textId="77777777" w:rsidR="00D2132F" w:rsidRPr="00D2132F" w:rsidRDefault="009472EE" w:rsidP="00B3315F">
          <w:pPr>
            <w:pStyle w:val="TOC1"/>
            <w:spacing w:line="276" w:lineRule="auto"/>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193545402" w:history="1">
            <w:r w:rsidR="00D2132F" w:rsidRPr="00D2132F">
              <w:rPr>
                <w:rStyle w:val="Hyperlink"/>
                <w:noProof/>
              </w:rPr>
              <w:t>Table of Figures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_Toc193545402 \h </w:instrText>
            </w:r>
            <w:r w:rsidR="00D2132F" w:rsidRPr="00D2132F">
              <w:rPr>
                <w:noProof/>
                <w:webHidden/>
              </w:rPr>
            </w:r>
            <w:r w:rsidR="00D2132F" w:rsidRPr="00D2132F">
              <w:rPr>
                <w:noProof/>
                <w:webHidden/>
              </w:rPr>
              <w:fldChar w:fldCharType="separate"/>
            </w:r>
            <w:r w:rsidR="00D2132F" w:rsidRPr="00D2132F">
              <w:rPr>
                <w:noProof/>
                <w:webHidden/>
              </w:rPr>
              <w:t>2</w:t>
            </w:r>
            <w:r w:rsidR="00D2132F" w:rsidRPr="00D2132F">
              <w:rPr>
                <w:noProof/>
                <w:webHidden/>
              </w:rPr>
              <w:fldChar w:fldCharType="end"/>
            </w:r>
          </w:hyperlink>
        </w:p>
        <w:p w14:paraId="355A0663" w14:textId="77777777" w:rsidR="00D2132F" w:rsidRPr="00D2132F" w:rsidRDefault="00000000" w:rsidP="00B3315F">
          <w:pPr>
            <w:pStyle w:val="TOC1"/>
            <w:spacing w:line="276" w:lineRule="auto"/>
            <w:rPr>
              <w:rFonts w:asciiTheme="minorHAnsi" w:eastAsiaTheme="minorEastAsia" w:hAnsiTheme="minorHAnsi"/>
              <w:noProof/>
              <w:kern w:val="0"/>
              <w:sz w:val="22"/>
              <w:szCs w:val="22"/>
              <w:lang w:val="en-US"/>
              <w14:ligatures w14:val="none"/>
            </w:rPr>
          </w:pPr>
          <w:hyperlink w:anchor="_Toc193545403" w:history="1">
            <w:r w:rsidR="00D2132F" w:rsidRPr="00D2132F">
              <w:rPr>
                <w:rStyle w:val="Hyperlink"/>
                <w:noProof/>
              </w:rPr>
              <w:t>Introduction</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_Toc193545403 \h </w:instrText>
            </w:r>
            <w:r w:rsidR="00D2132F" w:rsidRPr="00D2132F">
              <w:rPr>
                <w:noProof/>
                <w:webHidden/>
              </w:rPr>
            </w:r>
            <w:r w:rsidR="00D2132F" w:rsidRPr="00D2132F">
              <w:rPr>
                <w:noProof/>
                <w:webHidden/>
              </w:rPr>
              <w:fldChar w:fldCharType="separate"/>
            </w:r>
            <w:r w:rsidR="00D2132F" w:rsidRPr="00D2132F">
              <w:rPr>
                <w:noProof/>
                <w:webHidden/>
              </w:rPr>
              <w:t>3</w:t>
            </w:r>
            <w:r w:rsidR="00D2132F" w:rsidRPr="00D2132F">
              <w:rPr>
                <w:noProof/>
                <w:webHidden/>
              </w:rPr>
              <w:fldChar w:fldCharType="end"/>
            </w:r>
          </w:hyperlink>
        </w:p>
        <w:p w14:paraId="59B3CC58" w14:textId="77777777" w:rsidR="00D2132F" w:rsidRPr="00D2132F" w:rsidRDefault="00000000" w:rsidP="00B3315F">
          <w:pPr>
            <w:pStyle w:val="TOC1"/>
            <w:spacing w:line="276" w:lineRule="auto"/>
            <w:rPr>
              <w:rFonts w:asciiTheme="minorHAnsi" w:eastAsiaTheme="minorEastAsia" w:hAnsiTheme="minorHAnsi"/>
              <w:noProof/>
              <w:kern w:val="0"/>
              <w:sz w:val="22"/>
              <w:szCs w:val="22"/>
              <w:lang w:val="en-US"/>
              <w14:ligatures w14:val="none"/>
            </w:rPr>
          </w:pPr>
          <w:hyperlink w:anchor="_Toc193545404" w:history="1">
            <w:r w:rsidR="00D2132F" w:rsidRPr="00D2132F">
              <w:rPr>
                <w:rStyle w:val="Hyperlink"/>
                <w:noProof/>
              </w:rPr>
              <w:t>Advantages of being a pioneer and follower company</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_Toc193545404 \h </w:instrText>
            </w:r>
            <w:r w:rsidR="00D2132F" w:rsidRPr="00D2132F">
              <w:rPr>
                <w:noProof/>
                <w:webHidden/>
              </w:rPr>
            </w:r>
            <w:r w:rsidR="00D2132F" w:rsidRPr="00D2132F">
              <w:rPr>
                <w:noProof/>
                <w:webHidden/>
              </w:rPr>
              <w:fldChar w:fldCharType="separate"/>
            </w:r>
            <w:r w:rsidR="00D2132F" w:rsidRPr="00D2132F">
              <w:rPr>
                <w:noProof/>
                <w:webHidden/>
              </w:rPr>
              <w:t>3</w:t>
            </w:r>
            <w:r w:rsidR="00D2132F" w:rsidRPr="00D2132F">
              <w:rPr>
                <w:noProof/>
                <w:webHidden/>
              </w:rPr>
              <w:fldChar w:fldCharType="end"/>
            </w:r>
          </w:hyperlink>
        </w:p>
        <w:p w14:paraId="61B337A4"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05" w:history="1">
            <w:r w:rsidR="00D2132F" w:rsidRPr="00D2132F">
              <w:rPr>
                <w:rStyle w:val="Hyperlink"/>
                <w:noProof/>
              </w:rPr>
              <w:t>Advantages of being a pioneer company</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_Toc193545405 \h </w:instrText>
            </w:r>
            <w:r w:rsidR="00D2132F" w:rsidRPr="00D2132F">
              <w:rPr>
                <w:noProof/>
                <w:webHidden/>
              </w:rPr>
            </w:r>
            <w:r w:rsidR="00D2132F" w:rsidRPr="00D2132F">
              <w:rPr>
                <w:noProof/>
                <w:webHidden/>
              </w:rPr>
              <w:fldChar w:fldCharType="separate"/>
            </w:r>
            <w:r w:rsidR="00D2132F" w:rsidRPr="00D2132F">
              <w:rPr>
                <w:noProof/>
                <w:webHidden/>
              </w:rPr>
              <w:t>3</w:t>
            </w:r>
            <w:r w:rsidR="00D2132F" w:rsidRPr="00D2132F">
              <w:rPr>
                <w:noProof/>
                <w:webHidden/>
              </w:rPr>
              <w:fldChar w:fldCharType="end"/>
            </w:r>
          </w:hyperlink>
        </w:p>
        <w:p w14:paraId="336A6918"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06" w:history="1">
            <w:r w:rsidR="00D2132F" w:rsidRPr="00D2132F">
              <w:rPr>
                <w:rStyle w:val="Hyperlink"/>
                <w:noProof/>
              </w:rPr>
              <w:t>Examples of successful pioneer companies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_Toc193545406 \h </w:instrText>
            </w:r>
            <w:r w:rsidR="00D2132F" w:rsidRPr="00D2132F">
              <w:rPr>
                <w:noProof/>
                <w:webHidden/>
              </w:rPr>
            </w:r>
            <w:r w:rsidR="00D2132F" w:rsidRPr="00D2132F">
              <w:rPr>
                <w:noProof/>
                <w:webHidden/>
              </w:rPr>
              <w:fldChar w:fldCharType="separate"/>
            </w:r>
            <w:r w:rsidR="00D2132F" w:rsidRPr="00D2132F">
              <w:rPr>
                <w:noProof/>
                <w:webHidden/>
              </w:rPr>
              <w:t>4</w:t>
            </w:r>
            <w:r w:rsidR="00D2132F" w:rsidRPr="00D2132F">
              <w:rPr>
                <w:noProof/>
                <w:webHidden/>
              </w:rPr>
              <w:fldChar w:fldCharType="end"/>
            </w:r>
          </w:hyperlink>
        </w:p>
        <w:p w14:paraId="144E8162"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07" w:history="1">
            <w:r w:rsidR="00D2132F" w:rsidRPr="00D2132F">
              <w:rPr>
                <w:rStyle w:val="Hyperlink"/>
                <w:i/>
                <w:iCs/>
                <w:noProof/>
              </w:rPr>
              <w:t>1.</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i/>
                <w:iCs/>
                <w:noProof/>
              </w:rPr>
              <w:t>Amazon Web Services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_Toc193545407 \h </w:instrText>
            </w:r>
            <w:r w:rsidR="00D2132F" w:rsidRPr="00D2132F">
              <w:rPr>
                <w:noProof/>
                <w:webHidden/>
              </w:rPr>
            </w:r>
            <w:r w:rsidR="00D2132F" w:rsidRPr="00D2132F">
              <w:rPr>
                <w:noProof/>
                <w:webHidden/>
              </w:rPr>
              <w:fldChar w:fldCharType="separate"/>
            </w:r>
            <w:r w:rsidR="00D2132F" w:rsidRPr="00D2132F">
              <w:rPr>
                <w:noProof/>
                <w:webHidden/>
              </w:rPr>
              <w:t>4</w:t>
            </w:r>
            <w:r w:rsidR="00D2132F" w:rsidRPr="00D2132F">
              <w:rPr>
                <w:noProof/>
                <w:webHidden/>
              </w:rPr>
              <w:fldChar w:fldCharType="end"/>
            </w:r>
          </w:hyperlink>
        </w:p>
        <w:p w14:paraId="22C640E7"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08" w:history="1">
            <w:r w:rsidR="00D2132F" w:rsidRPr="00D2132F">
              <w:rPr>
                <w:rStyle w:val="Hyperlink"/>
                <w:i/>
                <w:iCs/>
                <w:noProof/>
              </w:rPr>
              <w:t>2.</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i/>
                <w:iCs/>
                <w:noProof/>
              </w:rPr>
              <w:t>Apple</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_Toc193545408 \h </w:instrText>
            </w:r>
            <w:r w:rsidR="00D2132F" w:rsidRPr="00D2132F">
              <w:rPr>
                <w:noProof/>
                <w:webHidden/>
              </w:rPr>
            </w:r>
            <w:r w:rsidR="00D2132F" w:rsidRPr="00D2132F">
              <w:rPr>
                <w:noProof/>
                <w:webHidden/>
              </w:rPr>
              <w:fldChar w:fldCharType="separate"/>
            </w:r>
            <w:r w:rsidR="00D2132F" w:rsidRPr="00D2132F">
              <w:rPr>
                <w:noProof/>
                <w:webHidden/>
              </w:rPr>
              <w:t>5</w:t>
            </w:r>
            <w:r w:rsidR="00D2132F" w:rsidRPr="00D2132F">
              <w:rPr>
                <w:noProof/>
                <w:webHidden/>
              </w:rPr>
              <w:fldChar w:fldCharType="end"/>
            </w:r>
          </w:hyperlink>
        </w:p>
        <w:p w14:paraId="2AB4AF84"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09" w:history="1">
            <w:r w:rsidR="00D2132F" w:rsidRPr="00D2132F">
              <w:rPr>
                <w:rStyle w:val="Hyperlink"/>
                <w:noProof/>
              </w:rPr>
              <w:t>Advantages of being a follower company</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_Toc193545409 \h </w:instrText>
            </w:r>
            <w:r w:rsidR="00D2132F" w:rsidRPr="00D2132F">
              <w:rPr>
                <w:noProof/>
                <w:webHidden/>
              </w:rPr>
            </w:r>
            <w:r w:rsidR="00D2132F" w:rsidRPr="00D2132F">
              <w:rPr>
                <w:noProof/>
                <w:webHidden/>
              </w:rPr>
              <w:fldChar w:fldCharType="separate"/>
            </w:r>
            <w:r w:rsidR="00D2132F" w:rsidRPr="00D2132F">
              <w:rPr>
                <w:noProof/>
                <w:webHidden/>
              </w:rPr>
              <w:t>6</w:t>
            </w:r>
            <w:r w:rsidR="00D2132F" w:rsidRPr="00D2132F">
              <w:rPr>
                <w:noProof/>
                <w:webHidden/>
              </w:rPr>
              <w:fldChar w:fldCharType="end"/>
            </w:r>
          </w:hyperlink>
        </w:p>
        <w:p w14:paraId="70BE2D5F"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0" w:history="1">
            <w:r w:rsidR="00D2132F" w:rsidRPr="00D2132F">
              <w:rPr>
                <w:rStyle w:val="Hyperlink"/>
                <w:noProof/>
              </w:rPr>
              <w:t>Examples of successful follower companies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_Toc193545410 \h </w:instrText>
            </w:r>
            <w:r w:rsidR="00D2132F" w:rsidRPr="00D2132F">
              <w:rPr>
                <w:noProof/>
                <w:webHidden/>
              </w:rPr>
            </w:r>
            <w:r w:rsidR="00D2132F" w:rsidRPr="00D2132F">
              <w:rPr>
                <w:noProof/>
                <w:webHidden/>
              </w:rPr>
              <w:fldChar w:fldCharType="separate"/>
            </w:r>
            <w:r w:rsidR="00D2132F" w:rsidRPr="00D2132F">
              <w:rPr>
                <w:noProof/>
                <w:webHidden/>
              </w:rPr>
              <w:t>6</w:t>
            </w:r>
            <w:r w:rsidR="00D2132F" w:rsidRPr="00D2132F">
              <w:rPr>
                <w:noProof/>
                <w:webHidden/>
              </w:rPr>
              <w:fldChar w:fldCharType="end"/>
            </w:r>
          </w:hyperlink>
        </w:p>
        <w:p w14:paraId="4ADF8E39"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1" w:history="1">
            <w:r w:rsidR="00D2132F" w:rsidRPr="00D2132F">
              <w:rPr>
                <w:rStyle w:val="Hyperlink"/>
                <w:i/>
                <w:iCs/>
                <w:noProof/>
              </w:rPr>
              <w:t>1.</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i/>
                <w:iCs/>
                <w:noProof/>
              </w:rPr>
              <w:t>Huawei</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_Toc193545411 \h </w:instrText>
            </w:r>
            <w:r w:rsidR="00D2132F" w:rsidRPr="00D2132F">
              <w:rPr>
                <w:noProof/>
                <w:webHidden/>
              </w:rPr>
            </w:r>
            <w:r w:rsidR="00D2132F" w:rsidRPr="00D2132F">
              <w:rPr>
                <w:noProof/>
                <w:webHidden/>
              </w:rPr>
              <w:fldChar w:fldCharType="separate"/>
            </w:r>
            <w:r w:rsidR="00D2132F" w:rsidRPr="00D2132F">
              <w:rPr>
                <w:noProof/>
                <w:webHidden/>
              </w:rPr>
              <w:t>6</w:t>
            </w:r>
            <w:r w:rsidR="00D2132F" w:rsidRPr="00D2132F">
              <w:rPr>
                <w:noProof/>
                <w:webHidden/>
              </w:rPr>
              <w:fldChar w:fldCharType="end"/>
            </w:r>
          </w:hyperlink>
        </w:p>
        <w:p w14:paraId="7D5FEC28"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2" w:history="1">
            <w:r w:rsidR="00D2132F" w:rsidRPr="00D2132F">
              <w:rPr>
                <w:rStyle w:val="Hyperlink"/>
                <w:i/>
                <w:iCs/>
                <w:noProof/>
              </w:rPr>
              <w:t>2.</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i/>
                <w:iCs/>
                <w:noProof/>
              </w:rPr>
              <w:t>Samsung</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_Toc193545412 \h </w:instrText>
            </w:r>
            <w:r w:rsidR="00D2132F" w:rsidRPr="00D2132F">
              <w:rPr>
                <w:noProof/>
                <w:webHidden/>
              </w:rPr>
            </w:r>
            <w:r w:rsidR="00D2132F" w:rsidRPr="00D2132F">
              <w:rPr>
                <w:noProof/>
                <w:webHidden/>
              </w:rPr>
              <w:fldChar w:fldCharType="separate"/>
            </w:r>
            <w:r w:rsidR="00D2132F" w:rsidRPr="00D2132F">
              <w:rPr>
                <w:noProof/>
                <w:webHidden/>
              </w:rPr>
              <w:t>7</w:t>
            </w:r>
            <w:r w:rsidR="00D2132F" w:rsidRPr="00D2132F">
              <w:rPr>
                <w:noProof/>
                <w:webHidden/>
              </w:rPr>
              <w:fldChar w:fldCharType="end"/>
            </w:r>
          </w:hyperlink>
        </w:p>
        <w:p w14:paraId="63F3B75C" w14:textId="77777777" w:rsidR="00D2132F" w:rsidRPr="00D2132F" w:rsidRDefault="00000000" w:rsidP="00B3315F">
          <w:pPr>
            <w:pStyle w:val="TOC1"/>
            <w:spacing w:line="276" w:lineRule="auto"/>
            <w:rPr>
              <w:rFonts w:asciiTheme="minorHAnsi" w:eastAsiaTheme="minorEastAsia" w:hAnsiTheme="minorHAnsi"/>
              <w:noProof/>
              <w:kern w:val="0"/>
              <w:sz w:val="22"/>
              <w:szCs w:val="22"/>
              <w:lang w:val="en-US"/>
              <w14:ligatures w14:val="none"/>
            </w:rPr>
          </w:pPr>
          <w:hyperlink w:anchor="_Toc193545413" w:history="1">
            <w:r w:rsidR="00D2132F" w:rsidRPr="00D2132F">
              <w:rPr>
                <w:rStyle w:val="Hyperlink"/>
                <w:noProof/>
              </w:rPr>
              <w:t>Product life cycle (PLC) strategies implemented by successful pioneer and follower companies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_Toc193545413 \h </w:instrText>
            </w:r>
            <w:r w:rsidR="00D2132F" w:rsidRPr="00D2132F">
              <w:rPr>
                <w:noProof/>
                <w:webHidden/>
              </w:rPr>
            </w:r>
            <w:r w:rsidR="00D2132F" w:rsidRPr="00D2132F">
              <w:rPr>
                <w:noProof/>
                <w:webHidden/>
              </w:rPr>
              <w:fldChar w:fldCharType="separate"/>
            </w:r>
            <w:r w:rsidR="00D2132F" w:rsidRPr="00D2132F">
              <w:rPr>
                <w:noProof/>
                <w:webHidden/>
              </w:rPr>
              <w:t>8</w:t>
            </w:r>
            <w:r w:rsidR="00D2132F" w:rsidRPr="00D2132F">
              <w:rPr>
                <w:noProof/>
                <w:webHidden/>
              </w:rPr>
              <w:fldChar w:fldCharType="end"/>
            </w:r>
          </w:hyperlink>
        </w:p>
        <w:p w14:paraId="17CE35F1"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4" w:history="1">
            <w:r w:rsidR="00D2132F" w:rsidRPr="00D2132F">
              <w:rPr>
                <w:rStyle w:val="Hyperlink"/>
                <w:noProof/>
              </w:rPr>
              <w:t>Growth stage strategies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_Toc193545414 \h </w:instrText>
            </w:r>
            <w:r w:rsidR="00D2132F" w:rsidRPr="00D2132F">
              <w:rPr>
                <w:noProof/>
                <w:webHidden/>
              </w:rPr>
            </w:r>
            <w:r w:rsidR="00D2132F" w:rsidRPr="00D2132F">
              <w:rPr>
                <w:noProof/>
                <w:webHidden/>
              </w:rPr>
              <w:fldChar w:fldCharType="separate"/>
            </w:r>
            <w:r w:rsidR="00D2132F" w:rsidRPr="00D2132F">
              <w:rPr>
                <w:noProof/>
                <w:webHidden/>
              </w:rPr>
              <w:t>9</w:t>
            </w:r>
            <w:r w:rsidR="00D2132F" w:rsidRPr="00D2132F">
              <w:rPr>
                <w:noProof/>
                <w:webHidden/>
              </w:rPr>
              <w:fldChar w:fldCharType="end"/>
            </w:r>
          </w:hyperlink>
        </w:p>
        <w:p w14:paraId="5CF81925" w14:textId="77777777" w:rsidR="00D2132F" w:rsidRPr="00D2132F" w:rsidRDefault="00000000" w:rsidP="00B3315F">
          <w:pPr>
            <w:pStyle w:val="TOC3"/>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5" w:history="1">
            <w:r w:rsidR="00D2132F" w:rsidRPr="00D2132F">
              <w:rPr>
                <w:rStyle w:val="Hyperlink"/>
                <w:noProof/>
              </w:rPr>
              <w:t>Pioneers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_Toc193545415 \h </w:instrText>
            </w:r>
            <w:r w:rsidR="00D2132F" w:rsidRPr="00D2132F">
              <w:rPr>
                <w:noProof/>
                <w:webHidden/>
              </w:rPr>
            </w:r>
            <w:r w:rsidR="00D2132F" w:rsidRPr="00D2132F">
              <w:rPr>
                <w:noProof/>
                <w:webHidden/>
              </w:rPr>
              <w:fldChar w:fldCharType="separate"/>
            </w:r>
            <w:r w:rsidR="00D2132F" w:rsidRPr="00D2132F">
              <w:rPr>
                <w:noProof/>
                <w:webHidden/>
              </w:rPr>
              <w:t>9</w:t>
            </w:r>
            <w:r w:rsidR="00D2132F" w:rsidRPr="00D2132F">
              <w:rPr>
                <w:noProof/>
                <w:webHidden/>
              </w:rPr>
              <w:fldChar w:fldCharType="end"/>
            </w:r>
          </w:hyperlink>
        </w:p>
        <w:p w14:paraId="34E97BEE" w14:textId="77777777" w:rsidR="00D2132F" w:rsidRPr="00D2132F" w:rsidRDefault="00000000" w:rsidP="00B3315F">
          <w:pPr>
            <w:pStyle w:val="TOC3"/>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6" w:history="1">
            <w:r w:rsidR="00D2132F" w:rsidRPr="00D2132F">
              <w:rPr>
                <w:rStyle w:val="Hyperlink"/>
                <w:noProof/>
              </w:rPr>
              <w:t>Followers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_Toc193545416 \h </w:instrText>
            </w:r>
            <w:r w:rsidR="00D2132F" w:rsidRPr="00D2132F">
              <w:rPr>
                <w:noProof/>
                <w:webHidden/>
              </w:rPr>
            </w:r>
            <w:r w:rsidR="00D2132F" w:rsidRPr="00D2132F">
              <w:rPr>
                <w:noProof/>
                <w:webHidden/>
              </w:rPr>
              <w:fldChar w:fldCharType="separate"/>
            </w:r>
            <w:r w:rsidR="00D2132F" w:rsidRPr="00D2132F">
              <w:rPr>
                <w:noProof/>
                <w:webHidden/>
              </w:rPr>
              <w:t>9</w:t>
            </w:r>
            <w:r w:rsidR="00D2132F" w:rsidRPr="00D2132F">
              <w:rPr>
                <w:noProof/>
                <w:webHidden/>
              </w:rPr>
              <w:fldChar w:fldCharType="end"/>
            </w:r>
          </w:hyperlink>
        </w:p>
        <w:p w14:paraId="7C442AFB"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7" w:history="1">
            <w:r w:rsidR="00D2132F" w:rsidRPr="00D2132F">
              <w:rPr>
                <w:rStyle w:val="Hyperlink"/>
                <w:noProof/>
              </w:rPr>
              <w:t>Maturity stage strategies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_Toc193545417 \h </w:instrText>
            </w:r>
            <w:r w:rsidR="00D2132F" w:rsidRPr="00D2132F">
              <w:rPr>
                <w:noProof/>
                <w:webHidden/>
              </w:rPr>
            </w:r>
            <w:r w:rsidR="00D2132F" w:rsidRPr="00D2132F">
              <w:rPr>
                <w:noProof/>
                <w:webHidden/>
              </w:rPr>
              <w:fldChar w:fldCharType="separate"/>
            </w:r>
            <w:r w:rsidR="00D2132F" w:rsidRPr="00D2132F">
              <w:rPr>
                <w:noProof/>
                <w:webHidden/>
              </w:rPr>
              <w:t>10</w:t>
            </w:r>
            <w:r w:rsidR="00D2132F" w:rsidRPr="00D2132F">
              <w:rPr>
                <w:noProof/>
                <w:webHidden/>
              </w:rPr>
              <w:fldChar w:fldCharType="end"/>
            </w:r>
          </w:hyperlink>
        </w:p>
        <w:p w14:paraId="5E31D100" w14:textId="77777777" w:rsidR="00D2132F" w:rsidRPr="00D2132F" w:rsidRDefault="00000000" w:rsidP="00B3315F">
          <w:pPr>
            <w:pStyle w:val="TOC3"/>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8" w:history="1">
            <w:r w:rsidR="00D2132F" w:rsidRPr="00D2132F">
              <w:rPr>
                <w:rStyle w:val="Hyperlink"/>
                <w:noProof/>
              </w:rPr>
              <w:t>Pioneers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_Toc193545418 \h </w:instrText>
            </w:r>
            <w:r w:rsidR="00D2132F" w:rsidRPr="00D2132F">
              <w:rPr>
                <w:noProof/>
                <w:webHidden/>
              </w:rPr>
            </w:r>
            <w:r w:rsidR="00D2132F" w:rsidRPr="00D2132F">
              <w:rPr>
                <w:noProof/>
                <w:webHidden/>
              </w:rPr>
              <w:fldChar w:fldCharType="separate"/>
            </w:r>
            <w:r w:rsidR="00D2132F" w:rsidRPr="00D2132F">
              <w:rPr>
                <w:noProof/>
                <w:webHidden/>
              </w:rPr>
              <w:t>10</w:t>
            </w:r>
            <w:r w:rsidR="00D2132F" w:rsidRPr="00D2132F">
              <w:rPr>
                <w:noProof/>
                <w:webHidden/>
              </w:rPr>
              <w:fldChar w:fldCharType="end"/>
            </w:r>
          </w:hyperlink>
        </w:p>
        <w:p w14:paraId="382BC38B" w14:textId="77777777" w:rsidR="00D2132F" w:rsidRPr="00D2132F" w:rsidRDefault="00000000" w:rsidP="00B3315F">
          <w:pPr>
            <w:pStyle w:val="TOC3"/>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19" w:history="1">
            <w:r w:rsidR="00D2132F" w:rsidRPr="00D2132F">
              <w:rPr>
                <w:rStyle w:val="Hyperlink"/>
                <w:noProof/>
              </w:rPr>
              <w:t>Followers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_Toc193545419 \h </w:instrText>
            </w:r>
            <w:r w:rsidR="00D2132F" w:rsidRPr="00D2132F">
              <w:rPr>
                <w:noProof/>
                <w:webHidden/>
              </w:rPr>
            </w:r>
            <w:r w:rsidR="00D2132F" w:rsidRPr="00D2132F">
              <w:rPr>
                <w:noProof/>
                <w:webHidden/>
              </w:rPr>
              <w:fldChar w:fldCharType="separate"/>
            </w:r>
            <w:r w:rsidR="00D2132F" w:rsidRPr="00D2132F">
              <w:rPr>
                <w:noProof/>
                <w:webHidden/>
              </w:rPr>
              <w:t>10</w:t>
            </w:r>
            <w:r w:rsidR="00D2132F" w:rsidRPr="00D2132F">
              <w:rPr>
                <w:noProof/>
                <w:webHidden/>
              </w:rPr>
              <w:fldChar w:fldCharType="end"/>
            </w:r>
          </w:hyperlink>
        </w:p>
        <w:p w14:paraId="01F97D79" w14:textId="77777777" w:rsidR="00D2132F" w:rsidRPr="00D2132F" w:rsidRDefault="00000000" w:rsidP="00B3315F">
          <w:pPr>
            <w:pStyle w:val="TOC2"/>
            <w:tabs>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20" w:history="1">
            <w:r w:rsidR="00D2132F" w:rsidRPr="00D2132F">
              <w:rPr>
                <w:rStyle w:val="Hyperlink"/>
                <w:noProof/>
              </w:rPr>
              <w:t>Examples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_Toc193545420 \h </w:instrText>
            </w:r>
            <w:r w:rsidR="00D2132F" w:rsidRPr="00D2132F">
              <w:rPr>
                <w:noProof/>
                <w:webHidden/>
              </w:rPr>
            </w:r>
            <w:r w:rsidR="00D2132F" w:rsidRPr="00D2132F">
              <w:rPr>
                <w:noProof/>
                <w:webHidden/>
              </w:rPr>
              <w:fldChar w:fldCharType="separate"/>
            </w:r>
            <w:r w:rsidR="00D2132F" w:rsidRPr="00D2132F">
              <w:rPr>
                <w:noProof/>
                <w:webHidden/>
              </w:rPr>
              <w:t>10</w:t>
            </w:r>
            <w:r w:rsidR="00D2132F" w:rsidRPr="00D2132F">
              <w:rPr>
                <w:noProof/>
                <w:webHidden/>
              </w:rPr>
              <w:fldChar w:fldCharType="end"/>
            </w:r>
          </w:hyperlink>
        </w:p>
        <w:p w14:paraId="5B4F337E"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21" w:history="1">
            <w:r w:rsidR="00D2132F" w:rsidRPr="00D2132F">
              <w:rPr>
                <w:rStyle w:val="Hyperlink"/>
                <w:noProof/>
              </w:rPr>
              <w:t>1.</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noProof/>
              </w:rPr>
              <w:t>Tesla as a Pioneer</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_Toc193545421 \h </w:instrText>
            </w:r>
            <w:r w:rsidR="00D2132F" w:rsidRPr="00D2132F">
              <w:rPr>
                <w:noProof/>
                <w:webHidden/>
              </w:rPr>
            </w:r>
            <w:r w:rsidR="00D2132F" w:rsidRPr="00D2132F">
              <w:rPr>
                <w:noProof/>
                <w:webHidden/>
              </w:rPr>
              <w:fldChar w:fldCharType="separate"/>
            </w:r>
            <w:r w:rsidR="00D2132F" w:rsidRPr="00D2132F">
              <w:rPr>
                <w:noProof/>
                <w:webHidden/>
              </w:rPr>
              <w:t>10</w:t>
            </w:r>
            <w:r w:rsidR="00D2132F" w:rsidRPr="00D2132F">
              <w:rPr>
                <w:noProof/>
                <w:webHidden/>
              </w:rPr>
              <w:fldChar w:fldCharType="end"/>
            </w:r>
          </w:hyperlink>
        </w:p>
        <w:p w14:paraId="08774CE2"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22" w:history="1">
            <w:r w:rsidR="00D2132F" w:rsidRPr="00D2132F">
              <w:rPr>
                <w:rStyle w:val="Hyperlink"/>
                <w:noProof/>
              </w:rPr>
              <w:t>2.</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noProof/>
              </w:rPr>
              <w:t>Netflix as a Pioneer</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_Toc193545422 \h </w:instrText>
            </w:r>
            <w:r w:rsidR="00D2132F" w:rsidRPr="00D2132F">
              <w:rPr>
                <w:noProof/>
                <w:webHidden/>
              </w:rPr>
            </w:r>
            <w:r w:rsidR="00D2132F" w:rsidRPr="00D2132F">
              <w:rPr>
                <w:noProof/>
                <w:webHidden/>
              </w:rPr>
              <w:fldChar w:fldCharType="separate"/>
            </w:r>
            <w:r w:rsidR="00D2132F" w:rsidRPr="00D2132F">
              <w:rPr>
                <w:noProof/>
                <w:webHidden/>
              </w:rPr>
              <w:t>11</w:t>
            </w:r>
            <w:r w:rsidR="00D2132F" w:rsidRPr="00D2132F">
              <w:rPr>
                <w:noProof/>
                <w:webHidden/>
              </w:rPr>
              <w:fldChar w:fldCharType="end"/>
            </w:r>
          </w:hyperlink>
        </w:p>
        <w:p w14:paraId="63CD37FE" w14:textId="77777777" w:rsidR="00D2132F" w:rsidRPr="00D2132F" w:rsidRDefault="00000000" w:rsidP="00B3315F">
          <w:pPr>
            <w:pStyle w:val="TOC3"/>
            <w:tabs>
              <w:tab w:val="left" w:pos="1100"/>
              <w:tab w:val="right" w:leader="dot" w:pos="9016"/>
            </w:tabs>
            <w:spacing w:after="0" w:line="276" w:lineRule="auto"/>
            <w:contextualSpacing/>
            <w:rPr>
              <w:rFonts w:asciiTheme="minorHAnsi" w:eastAsiaTheme="minorEastAsia" w:hAnsiTheme="minorHAnsi"/>
              <w:noProof/>
              <w:kern w:val="0"/>
              <w:sz w:val="22"/>
              <w:szCs w:val="22"/>
              <w:lang w:val="en-US"/>
              <w14:ligatures w14:val="none"/>
            </w:rPr>
          </w:pPr>
          <w:hyperlink w:anchor="_Toc193545423" w:history="1">
            <w:r w:rsidR="00D2132F" w:rsidRPr="00D2132F">
              <w:rPr>
                <w:rStyle w:val="Hyperlink"/>
                <w:noProof/>
              </w:rPr>
              <w:t>3.</w:t>
            </w:r>
            <w:r w:rsidR="00D2132F" w:rsidRPr="00D2132F">
              <w:rPr>
                <w:rFonts w:asciiTheme="minorHAnsi" w:eastAsiaTheme="minorEastAsia" w:hAnsiTheme="minorHAnsi"/>
                <w:noProof/>
                <w:kern w:val="0"/>
                <w:sz w:val="22"/>
                <w:szCs w:val="22"/>
                <w:lang w:val="en-US"/>
                <w14:ligatures w14:val="none"/>
              </w:rPr>
              <w:tab/>
            </w:r>
            <w:r w:rsidR="00D2132F" w:rsidRPr="00D2132F">
              <w:rPr>
                <w:rStyle w:val="Hyperlink"/>
                <w:noProof/>
              </w:rPr>
              <w:t>Toyota as a Follower</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_Toc193545423 \h </w:instrText>
            </w:r>
            <w:r w:rsidR="00D2132F" w:rsidRPr="00D2132F">
              <w:rPr>
                <w:noProof/>
                <w:webHidden/>
              </w:rPr>
            </w:r>
            <w:r w:rsidR="00D2132F" w:rsidRPr="00D2132F">
              <w:rPr>
                <w:noProof/>
                <w:webHidden/>
              </w:rPr>
              <w:fldChar w:fldCharType="separate"/>
            </w:r>
            <w:r w:rsidR="00D2132F" w:rsidRPr="00D2132F">
              <w:rPr>
                <w:noProof/>
                <w:webHidden/>
              </w:rPr>
              <w:t>12</w:t>
            </w:r>
            <w:r w:rsidR="00D2132F" w:rsidRPr="00D2132F">
              <w:rPr>
                <w:noProof/>
                <w:webHidden/>
              </w:rPr>
              <w:fldChar w:fldCharType="end"/>
            </w:r>
          </w:hyperlink>
        </w:p>
        <w:p w14:paraId="52E9E676" w14:textId="77777777" w:rsidR="00D2132F" w:rsidRPr="00D2132F" w:rsidRDefault="00000000" w:rsidP="00B3315F">
          <w:pPr>
            <w:pStyle w:val="TOC1"/>
            <w:spacing w:line="276" w:lineRule="auto"/>
            <w:rPr>
              <w:rFonts w:asciiTheme="minorHAnsi" w:eastAsiaTheme="minorEastAsia" w:hAnsiTheme="minorHAnsi"/>
              <w:noProof/>
              <w:kern w:val="0"/>
              <w:sz w:val="22"/>
              <w:szCs w:val="22"/>
              <w:lang w:val="en-US"/>
              <w14:ligatures w14:val="none"/>
            </w:rPr>
          </w:pPr>
          <w:hyperlink w:anchor="_Toc193545424" w:history="1">
            <w:r w:rsidR="00D2132F" w:rsidRPr="00D2132F">
              <w:rPr>
                <w:rStyle w:val="Hyperlink"/>
                <w:noProof/>
              </w:rPr>
              <w:t>Conclusion</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_Toc193545424 \h </w:instrText>
            </w:r>
            <w:r w:rsidR="00D2132F" w:rsidRPr="00D2132F">
              <w:rPr>
                <w:noProof/>
                <w:webHidden/>
              </w:rPr>
            </w:r>
            <w:r w:rsidR="00D2132F" w:rsidRPr="00D2132F">
              <w:rPr>
                <w:noProof/>
                <w:webHidden/>
              </w:rPr>
              <w:fldChar w:fldCharType="separate"/>
            </w:r>
            <w:r w:rsidR="00D2132F" w:rsidRPr="00D2132F">
              <w:rPr>
                <w:noProof/>
                <w:webHidden/>
              </w:rPr>
              <w:t>12</w:t>
            </w:r>
            <w:r w:rsidR="00D2132F" w:rsidRPr="00D2132F">
              <w:rPr>
                <w:noProof/>
                <w:webHidden/>
              </w:rPr>
              <w:fldChar w:fldCharType="end"/>
            </w:r>
          </w:hyperlink>
        </w:p>
        <w:p w14:paraId="723B18E0" w14:textId="77777777" w:rsidR="00D2132F" w:rsidRPr="00D2132F" w:rsidRDefault="00000000" w:rsidP="00B3315F">
          <w:pPr>
            <w:pStyle w:val="TOC1"/>
            <w:spacing w:line="276" w:lineRule="auto"/>
            <w:rPr>
              <w:rFonts w:asciiTheme="minorHAnsi" w:eastAsiaTheme="minorEastAsia" w:hAnsiTheme="minorHAnsi"/>
              <w:noProof/>
              <w:kern w:val="0"/>
              <w:sz w:val="22"/>
              <w:szCs w:val="22"/>
              <w:lang w:val="en-US"/>
              <w14:ligatures w14:val="none"/>
            </w:rPr>
          </w:pPr>
          <w:hyperlink w:anchor="_Toc193545425" w:history="1">
            <w:r w:rsidR="00D2132F" w:rsidRPr="00D2132F">
              <w:rPr>
                <w:rStyle w:val="Hyperlink"/>
                <w:noProof/>
                <w:shd w:val="clear" w:color="auto" w:fill="FFFFFF"/>
              </w:rPr>
              <w:t>References</w:t>
            </w:r>
            <w:r w:rsidR="00D2132F" w:rsidRPr="00D2132F">
              <w:rPr>
                <w:noProof/>
                <w:webHidden/>
              </w:rPr>
              <w:tab/>
            </w:r>
            <w:r w:rsidR="00D2132F" w:rsidRPr="00D2132F">
              <w:rPr>
                <w:noProof/>
                <w:webHidden/>
              </w:rPr>
              <w:fldChar w:fldCharType="begin"/>
            </w:r>
            <w:r w:rsidR="00D2132F" w:rsidRPr="00D2132F">
              <w:rPr>
                <w:noProof/>
                <w:webHidden/>
              </w:rPr>
              <w:instrText xml:space="preserve"> PAGEREF _Toc193545425 \h </w:instrText>
            </w:r>
            <w:r w:rsidR="00D2132F" w:rsidRPr="00D2132F">
              <w:rPr>
                <w:noProof/>
                <w:webHidden/>
              </w:rPr>
            </w:r>
            <w:r w:rsidR="00D2132F" w:rsidRPr="00D2132F">
              <w:rPr>
                <w:noProof/>
                <w:webHidden/>
              </w:rPr>
              <w:fldChar w:fldCharType="separate"/>
            </w:r>
            <w:r w:rsidR="00D2132F" w:rsidRPr="00D2132F">
              <w:rPr>
                <w:noProof/>
                <w:webHidden/>
              </w:rPr>
              <w:t>14</w:t>
            </w:r>
            <w:r w:rsidR="00D2132F" w:rsidRPr="00D2132F">
              <w:rPr>
                <w:noProof/>
                <w:webHidden/>
              </w:rPr>
              <w:fldChar w:fldCharType="end"/>
            </w:r>
          </w:hyperlink>
        </w:p>
        <w:p w14:paraId="22913BA5" w14:textId="2232DE0C" w:rsidR="009472EE" w:rsidRPr="00D2132F" w:rsidRDefault="009472EE" w:rsidP="00B3315F">
          <w:pPr>
            <w:spacing w:line="276" w:lineRule="auto"/>
          </w:pPr>
          <w:r>
            <w:rPr>
              <w:b/>
              <w:bCs/>
              <w:noProof/>
            </w:rPr>
            <w:fldChar w:fldCharType="end"/>
          </w:r>
        </w:p>
      </w:sdtContent>
    </w:sdt>
    <w:p w14:paraId="2992F42D" w14:textId="3C1AFB25" w:rsidR="009472EE" w:rsidRDefault="009472EE" w:rsidP="00B3315F">
      <w:pPr>
        <w:pStyle w:val="Heading1"/>
        <w:spacing w:before="0" w:after="0" w:line="360" w:lineRule="auto"/>
      </w:pPr>
      <w:bookmarkStart w:id="1" w:name="_Toc193545402"/>
      <w:r>
        <w:t>Table of Figures</w:t>
      </w:r>
      <w:bookmarkEnd w:id="1"/>
    </w:p>
    <w:p w14:paraId="34F1E101" w14:textId="77777777" w:rsidR="009472EE" w:rsidRDefault="009472EE" w:rsidP="00B3315F">
      <w:pPr>
        <w:pStyle w:val="TableofFigures"/>
        <w:tabs>
          <w:tab w:val="right" w:leader="dot" w:pos="9016"/>
        </w:tabs>
        <w:spacing w:line="360" w:lineRule="auto"/>
        <w:rPr>
          <w:rFonts w:asciiTheme="minorHAnsi" w:eastAsiaTheme="minorEastAsia" w:hAnsiTheme="minorHAnsi"/>
          <w:noProof/>
          <w:kern w:val="0"/>
          <w:sz w:val="22"/>
          <w:szCs w:val="22"/>
          <w:lang w:val="en-US"/>
          <w14:ligatures w14:val="none"/>
        </w:rPr>
      </w:pPr>
      <w:r>
        <w:rPr>
          <w:b/>
          <w:bCs/>
          <w:u w:val="single"/>
        </w:rPr>
        <w:fldChar w:fldCharType="begin"/>
      </w:r>
      <w:r>
        <w:rPr>
          <w:b/>
          <w:bCs/>
          <w:u w:val="single"/>
        </w:rPr>
        <w:instrText xml:space="preserve"> TOC \h \z \c "Figure" </w:instrText>
      </w:r>
      <w:r>
        <w:rPr>
          <w:b/>
          <w:bCs/>
          <w:u w:val="single"/>
        </w:rPr>
        <w:fldChar w:fldCharType="separate"/>
      </w:r>
      <w:hyperlink w:anchor="_Toc193545341" w:history="1">
        <w:r w:rsidRPr="00E142FA">
          <w:rPr>
            <w:rStyle w:val="Hyperlink"/>
            <w:noProof/>
          </w:rPr>
          <w:t>Figure 1</w:t>
        </w:r>
        <w:r w:rsidRPr="00E142FA">
          <w:rPr>
            <w:rStyle w:val="Hyperlink"/>
            <w:noProof/>
            <w:lang w:val="en-US"/>
          </w:rPr>
          <w:t>: Amazon's leading share in the Global Cloud Market (Richter, 2024)</w:t>
        </w:r>
        <w:r>
          <w:rPr>
            <w:noProof/>
            <w:webHidden/>
          </w:rPr>
          <w:tab/>
        </w:r>
        <w:r>
          <w:rPr>
            <w:noProof/>
            <w:webHidden/>
          </w:rPr>
          <w:fldChar w:fldCharType="begin"/>
        </w:r>
        <w:r>
          <w:rPr>
            <w:noProof/>
            <w:webHidden/>
          </w:rPr>
          <w:instrText xml:space="preserve"> PAGEREF _Toc193545341 \h </w:instrText>
        </w:r>
        <w:r>
          <w:rPr>
            <w:noProof/>
            <w:webHidden/>
          </w:rPr>
        </w:r>
        <w:r>
          <w:rPr>
            <w:noProof/>
            <w:webHidden/>
          </w:rPr>
          <w:fldChar w:fldCharType="separate"/>
        </w:r>
        <w:r>
          <w:rPr>
            <w:noProof/>
            <w:webHidden/>
          </w:rPr>
          <w:t>5</w:t>
        </w:r>
        <w:r>
          <w:rPr>
            <w:noProof/>
            <w:webHidden/>
          </w:rPr>
          <w:fldChar w:fldCharType="end"/>
        </w:r>
      </w:hyperlink>
    </w:p>
    <w:p w14:paraId="3E51ADEB" w14:textId="77777777" w:rsidR="009472EE" w:rsidRDefault="00000000" w:rsidP="00B3315F">
      <w:pPr>
        <w:pStyle w:val="TableofFigures"/>
        <w:tabs>
          <w:tab w:val="right" w:leader="dot" w:pos="9016"/>
        </w:tabs>
        <w:spacing w:line="360" w:lineRule="auto"/>
        <w:contextualSpacing/>
        <w:rPr>
          <w:rFonts w:asciiTheme="minorHAnsi" w:eastAsiaTheme="minorEastAsia" w:hAnsiTheme="minorHAnsi"/>
          <w:noProof/>
          <w:kern w:val="0"/>
          <w:sz w:val="22"/>
          <w:szCs w:val="22"/>
          <w:lang w:val="en-US"/>
          <w14:ligatures w14:val="none"/>
        </w:rPr>
      </w:pPr>
      <w:hyperlink w:anchor="_Toc193545342" w:history="1">
        <w:r w:rsidR="009472EE" w:rsidRPr="00E142FA">
          <w:rPr>
            <w:rStyle w:val="Hyperlink"/>
            <w:noProof/>
          </w:rPr>
          <w:t>Figure 2</w:t>
        </w:r>
        <w:r w:rsidR="009472EE" w:rsidRPr="00E142FA">
          <w:rPr>
            <w:rStyle w:val="Hyperlink"/>
            <w:noProof/>
            <w:lang w:val="en-US"/>
          </w:rPr>
          <w:t>: Ranking of telecom infrastructure companies by brand value in 2024 (Statista Research Department, 2024)</w:t>
        </w:r>
        <w:r w:rsidR="009472EE">
          <w:rPr>
            <w:noProof/>
            <w:webHidden/>
          </w:rPr>
          <w:tab/>
        </w:r>
        <w:r w:rsidR="009472EE">
          <w:rPr>
            <w:noProof/>
            <w:webHidden/>
          </w:rPr>
          <w:fldChar w:fldCharType="begin"/>
        </w:r>
        <w:r w:rsidR="009472EE">
          <w:rPr>
            <w:noProof/>
            <w:webHidden/>
          </w:rPr>
          <w:instrText xml:space="preserve"> PAGEREF _Toc193545342 \h </w:instrText>
        </w:r>
        <w:r w:rsidR="009472EE">
          <w:rPr>
            <w:noProof/>
            <w:webHidden/>
          </w:rPr>
        </w:r>
        <w:r w:rsidR="009472EE">
          <w:rPr>
            <w:noProof/>
            <w:webHidden/>
          </w:rPr>
          <w:fldChar w:fldCharType="separate"/>
        </w:r>
        <w:r w:rsidR="009472EE">
          <w:rPr>
            <w:noProof/>
            <w:webHidden/>
          </w:rPr>
          <w:t>7</w:t>
        </w:r>
        <w:r w:rsidR="009472EE">
          <w:rPr>
            <w:noProof/>
            <w:webHidden/>
          </w:rPr>
          <w:fldChar w:fldCharType="end"/>
        </w:r>
      </w:hyperlink>
    </w:p>
    <w:p w14:paraId="5E89DFF2" w14:textId="77777777" w:rsidR="009472EE" w:rsidRDefault="00000000" w:rsidP="00B3315F">
      <w:pPr>
        <w:pStyle w:val="TableofFigures"/>
        <w:tabs>
          <w:tab w:val="right" w:leader="dot" w:pos="9016"/>
        </w:tabs>
        <w:spacing w:line="360" w:lineRule="auto"/>
        <w:rPr>
          <w:rFonts w:asciiTheme="minorHAnsi" w:eastAsiaTheme="minorEastAsia" w:hAnsiTheme="minorHAnsi"/>
          <w:noProof/>
          <w:kern w:val="0"/>
          <w:sz w:val="22"/>
          <w:szCs w:val="22"/>
          <w:lang w:val="en-US"/>
          <w14:ligatures w14:val="none"/>
        </w:rPr>
      </w:pPr>
      <w:hyperlink w:anchor="_Toc193545343" w:history="1">
        <w:r w:rsidR="009472EE" w:rsidRPr="00E142FA">
          <w:rPr>
            <w:rStyle w:val="Hyperlink"/>
            <w:noProof/>
          </w:rPr>
          <w:t>Figure 3</w:t>
        </w:r>
        <w:r w:rsidR="009472EE" w:rsidRPr="00E142FA">
          <w:rPr>
            <w:rStyle w:val="Hyperlink"/>
            <w:noProof/>
            <w:lang w:val="en-US"/>
          </w:rPr>
          <w:t>: Stages of a Product Life Cycle (TWI, 2021)</w:t>
        </w:r>
        <w:r w:rsidR="009472EE">
          <w:rPr>
            <w:noProof/>
            <w:webHidden/>
          </w:rPr>
          <w:tab/>
        </w:r>
        <w:r w:rsidR="009472EE">
          <w:rPr>
            <w:noProof/>
            <w:webHidden/>
          </w:rPr>
          <w:fldChar w:fldCharType="begin"/>
        </w:r>
        <w:r w:rsidR="009472EE">
          <w:rPr>
            <w:noProof/>
            <w:webHidden/>
          </w:rPr>
          <w:instrText xml:space="preserve"> PAGEREF _Toc193545343 \h </w:instrText>
        </w:r>
        <w:r w:rsidR="009472EE">
          <w:rPr>
            <w:noProof/>
            <w:webHidden/>
          </w:rPr>
        </w:r>
        <w:r w:rsidR="009472EE">
          <w:rPr>
            <w:noProof/>
            <w:webHidden/>
          </w:rPr>
          <w:fldChar w:fldCharType="separate"/>
        </w:r>
        <w:r w:rsidR="009472EE">
          <w:rPr>
            <w:noProof/>
            <w:webHidden/>
          </w:rPr>
          <w:t>8</w:t>
        </w:r>
        <w:r w:rsidR="009472EE">
          <w:rPr>
            <w:noProof/>
            <w:webHidden/>
          </w:rPr>
          <w:fldChar w:fldCharType="end"/>
        </w:r>
      </w:hyperlink>
    </w:p>
    <w:p w14:paraId="6A611D01" w14:textId="77777777" w:rsidR="009472EE" w:rsidRDefault="00000000" w:rsidP="00B3315F">
      <w:pPr>
        <w:pStyle w:val="TableofFigures"/>
        <w:tabs>
          <w:tab w:val="right" w:leader="dot" w:pos="9016"/>
        </w:tabs>
        <w:spacing w:line="360" w:lineRule="auto"/>
        <w:rPr>
          <w:rFonts w:asciiTheme="minorHAnsi" w:eastAsiaTheme="minorEastAsia" w:hAnsiTheme="minorHAnsi"/>
          <w:noProof/>
          <w:kern w:val="0"/>
          <w:sz w:val="22"/>
          <w:szCs w:val="22"/>
          <w:lang w:val="en-US"/>
          <w14:ligatures w14:val="none"/>
        </w:rPr>
      </w:pPr>
      <w:hyperlink w:anchor="_Toc193545344" w:history="1">
        <w:r w:rsidR="009472EE" w:rsidRPr="00E142FA">
          <w:rPr>
            <w:rStyle w:val="Hyperlink"/>
            <w:noProof/>
          </w:rPr>
          <w:t>Figure 4</w:t>
        </w:r>
        <w:r w:rsidR="009472EE" w:rsidRPr="00E142FA">
          <w:rPr>
            <w:rStyle w:val="Hyperlink"/>
            <w:noProof/>
            <w:lang w:val="en-US"/>
          </w:rPr>
          <w:t>: Diffusion of innovation curve (JWPM Consulting, 2023)</w:t>
        </w:r>
        <w:r w:rsidR="009472EE">
          <w:rPr>
            <w:noProof/>
            <w:webHidden/>
          </w:rPr>
          <w:tab/>
        </w:r>
        <w:r w:rsidR="009472EE">
          <w:rPr>
            <w:noProof/>
            <w:webHidden/>
          </w:rPr>
          <w:fldChar w:fldCharType="begin"/>
        </w:r>
        <w:r w:rsidR="009472EE">
          <w:rPr>
            <w:noProof/>
            <w:webHidden/>
          </w:rPr>
          <w:instrText xml:space="preserve"> PAGEREF _Toc193545344 \h </w:instrText>
        </w:r>
        <w:r w:rsidR="009472EE">
          <w:rPr>
            <w:noProof/>
            <w:webHidden/>
          </w:rPr>
        </w:r>
        <w:r w:rsidR="009472EE">
          <w:rPr>
            <w:noProof/>
            <w:webHidden/>
          </w:rPr>
          <w:fldChar w:fldCharType="separate"/>
        </w:r>
        <w:r w:rsidR="009472EE">
          <w:rPr>
            <w:noProof/>
            <w:webHidden/>
          </w:rPr>
          <w:t>9</w:t>
        </w:r>
        <w:r w:rsidR="009472EE">
          <w:rPr>
            <w:noProof/>
            <w:webHidden/>
          </w:rPr>
          <w:fldChar w:fldCharType="end"/>
        </w:r>
      </w:hyperlink>
    </w:p>
    <w:p w14:paraId="2AA2A441" w14:textId="77777777" w:rsidR="009472EE" w:rsidRDefault="00000000" w:rsidP="00B3315F">
      <w:pPr>
        <w:pStyle w:val="TableofFigures"/>
        <w:tabs>
          <w:tab w:val="right" w:leader="dot" w:pos="9016"/>
        </w:tabs>
        <w:spacing w:line="360" w:lineRule="auto"/>
        <w:rPr>
          <w:rFonts w:asciiTheme="minorHAnsi" w:eastAsiaTheme="minorEastAsia" w:hAnsiTheme="minorHAnsi"/>
          <w:noProof/>
          <w:kern w:val="0"/>
          <w:sz w:val="22"/>
          <w:szCs w:val="22"/>
          <w:lang w:val="en-US"/>
          <w14:ligatures w14:val="none"/>
        </w:rPr>
      </w:pPr>
      <w:hyperlink w:anchor="_Toc193545345" w:history="1">
        <w:r w:rsidR="009472EE" w:rsidRPr="00E142FA">
          <w:rPr>
            <w:rStyle w:val="Hyperlink"/>
            <w:noProof/>
          </w:rPr>
          <w:t>Figure 5</w:t>
        </w:r>
        <w:r w:rsidR="009472EE" w:rsidRPr="00E142FA">
          <w:rPr>
            <w:rStyle w:val="Hyperlink"/>
            <w:noProof/>
            <w:lang w:val="en-US"/>
          </w:rPr>
          <w:t>: Tesla's share in the Global EV market (Zandt, 2025)</w:t>
        </w:r>
        <w:r w:rsidR="009472EE">
          <w:rPr>
            <w:noProof/>
            <w:webHidden/>
          </w:rPr>
          <w:tab/>
        </w:r>
        <w:r w:rsidR="009472EE">
          <w:rPr>
            <w:noProof/>
            <w:webHidden/>
          </w:rPr>
          <w:fldChar w:fldCharType="begin"/>
        </w:r>
        <w:r w:rsidR="009472EE">
          <w:rPr>
            <w:noProof/>
            <w:webHidden/>
          </w:rPr>
          <w:instrText xml:space="preserve"> PAGEREF _Toc193545345 \h </w:instrText>
        </w:r>
        <w:r w:rsidR="009472EE">
          <w:rPr>
            <w:noProof/>
            <w:webHidden/>
          </w:rPr>
        </w:r>
        <w:r w:rsidR="009472EE">
          <w:rPr>
            <w:noProof/>
            <w:webHidden/>
          </w:rPr>
          <w:fldChar w:fldCharType="separate"/>
        </w:r>
        <w:r w:rsidR="009472EE">
          <w:rPr>
            <w:noProof/>
            <w:webHidden/>
          </w:rPr>
          <w:t>11</w:t>
        </w:r>
        <w:r w:rsidR="009472EE">
          <w:rPr>
            <w:noProof/>
            <w:webHidden/>
          </w:rPr>
          <w:fldChar w:fldCharType="end"/>
        </w:r>
      </w:hyperlink>
    </w:p>
    <w:p w14:paraId="3C8412E0" w14:textId="77777777" w:rsidR="009472EE" w:rsidRDefault="00000000" w:rsidP="00B3315F">
      <w:pPr>
        <w:pStyle w:val="TableofFigures"/>
        <w:tabs>
          <w:tab w:val="right" w:leader="dot" w:pos="9016"/>
        </w:tabs>
        <w:spacing w:line="360" w:lineRule="auto"/>
        <w:rPr>
          <w:rFonts w:asciiTheme="minorHAnsi" w:eastAsiaTheme="minorEastAsia" w:hAnsiTheme="minorHAnsi"/>
          <w:noProof/>
          <w:kern w:val="0"/>
          <w:sz w:val="22"/>
          <w:szCs w:val="22"/>
          <w:lang w:val="en-US"/>
          <w14:ligatures w14:val="none"/>
        </w:rPr>
      </w:pPr>
      <w:hyperlink w:anchor="_Toc193545346" w:history="1">
        <w:r w:rsidR="009472EE" w:rsidRPr="00E142FA">
          <w:rPr>
            <w:rStyle w:val="Hyperlink"/>
            <w:noProof/>
          </w:rPr>
          <w:t>Figure 6</w:t>
        </w:r>
        <w:r w:rsidR="009472EE" w:rsidRPr="00E142FA">
          <w:rPr>
            <w:rStyle w:val="Hyperlink"/>
            <w:noProof/>
            <w:lang w:val="en-US"/>
          </w:rPr>
          <w:t>: Netflix, Amazon Prime and Disney+: Year of launch and Current count of subscribers (Feeney, 2024)</w:t>
        </w:r>
        <w:r w:rsidR="009472EE">
          <w:rPr>
            <w:noProof/>
            <w:webHidden/>
          </w:rPr>
          <w:tab/>
        </w:r>
        <w:r w:rsidR="009472EE">
          <w:rPr>
            <w:noProof/>
            <w:webHidden/>
          </w:rPr>
          <w:fldChar w:fldCharType="begin"/>
        </w:r>
        <w:r w:rsidR="009472EE">
          <w:rPr>
            <w:noProof/>
            <w:webHidden/>
          </w:rPr>
          <w:instrText xml:space="preserve"> PAGEREF _Toc193545346 \h </w:instrText>
        </w:r>
        <w:r w:rsidR="009472EE">
          <w:rPr>
            <w:noProof/>
            <w:webHidden/>
          </w:rPr>
        </w:r>
        <w:r w:rsidR="009472EE">
          <w:rPr>
            <w:noProof/>
            <w:webHidden/>
          </w:rPr>
          <w:fldChar w:fldCharType="separate"/>
        </w:r>
        <w:r w:rsidR="009472EE">
          <w:rPr>
            <w:noProof/>
            <w:webHidden/>
          </w:rPr>
          <w:t>12</w:t>
        </w:r>
        <w:r w:rsidR="009472EE">
          <w:rPr>
            <w:noProof/>
            <w:webHidden/>
          </w:rPr>
          <w:fldChar w:fldCharType="end"/>
        </w:r>
      </w:hyperlink>
    </w:p>
    <w:p w14:paraId="52B5C2A1" w14:textId="66FA341D" w:rsidR="00646406" w:rsidRPr="0018134B" w:rsidRDefault="009472EE" w:rsidP="00B3315F">
      <w:pPr>
        <w:pStyle w:val="Heading1"/>
        <w:spacing w:before="0" w:after="0" w:line="360" w:lineRule="auto"/>
        <w:rPr>
          <w:b/>
          <w:bCs/>
          <w:u w:val="single"/>
        </w:rPr>
      </w:pPr>
      <w:r>
        <w:lastRenderedPageBreak/>
        <w:fldChar w:fldCharType="end"/>
      </w:r>
      <w:bookmarkStart w:id="2" w:name="_Toc193545403"/>
      <w:r w:rsidR="008044B8" w:rsidRPr="0018134B">
        <w:rPr>
          <w:b/>
          <w:bCs/>
          <w:u w:val="single"/>
        </w:rPr>
        <w:t>Introduction</w:t>
      </w:r>
      <w:bookmarkEnd w:id="0"/>
      <w:bookmarkEnd w:id="2"/>
    </w:p>
    <w:p w14:paraId="3CB8D8C7" w14:textId="77777777" w:rsidR="0064296C" w:rsidRDefault="007079A0" w:rsidP="00B3315F">
      <w:pPr>
        <w:spacing w:before="120" w:after="120" w:line="360" w:lineRule="auto"/>
        <w:ind w:firstLine="720"/>
        <w:jc w:val="both"/>
      </w:pPr>
      <w:r>
        <w:t xml:space="preserve">In the dynamic realm of business and market competition, established firms see </w:t>
      </w:r>
      <w:r w:rsidRPr="007079A0">
        <w:t xml:space="preserve">entrepreneurial firm-level </w:t>
      </w:r>
      <w:r w:rsidR="00862B6B" w:rsidRPr="007079A0">
        <w:t>behaviour</w:t>
      </w:r>
      <w:r w:rsidRPr="007079A0">
        <w:t xml:space="preserve"> </w:t>
      </w:r>
      <w:r>
        <w:t xml:space="preserve">as </w:t>
      </w:r>
      <w:r w:rsidRPr="007079A0">
        <w:t>a path to</w:t>
      </w:r>
      <w:r>
        <w:t xml:space="preserve"> sustainable competitive advantage.</w:t>
      </w:r>
      <w:r w:rsidR="00C55829">
        <w:t xml:space="preserve"> Two common manifestations of this behaviour </w:t>
      </w:r>
      <w:r w:rsidR="0032444F">
        <w:t xml:space="preserve">are </w:t>
      </w:r>
      <w:r w:rsidR="0032444F" w:rsidRPr="0032444F">
        <w:rPr>
          <w:i/>
          <w:iCs/>
        </w:rPr>
        <w:t>p</w:t>
      </w:r>
      <w:r w:rsidR="00B05A54" w:rsidRPr="0032444F">
        <w:rPr>
          <w:i/>
          <w:iCs/>
        </w:rPr>
        <w:t>ioneer</w:t>
      </w:r>
      <w:r w:rsidR="00862B6B" w:rsidRPr="0032444F">
        <w:rPr>
          <w:i/>
          <w:iCs/>
        </w:rPr>
        <w:t>ing</w:t>
      </w:r>
      <w:r w:rsidR="00862B6B">
        <w:t xml:space="preserve"> or </w:t>
      </w:r>
      <w:r w:rsidR="00862B6B" w:rsidRPr="0032444F">
        <w:rPr>
          <w:i/>
          <w:iCs/>
        </w:rPr>
        <w:t>following</w:t>
      </w:r>
      <w:r w:rsidR="00862B6B">
        <w:t xml:space="preserve"> which means that firms have the strategic</w:t>
      </w:r>
      <w:r w:rsidR="00B05A54">
        <w:t xml:space="preserve"> choice</w:t>
      </w:r>
      <w:r w:rsidR="00021368">
        <w:t>s</w:t>
      </w:r>
      <w:r w:rsidR="00B05A54">
        <w:t xml:space="preserve"> </w:t>
      </w:r>
      <w:r w:rsidR="00761726">
        <w:t>to</w:t>
      </w:r>
      <w:r w:rsidR="00B801A8">
        <w:t xml:space="preserve"> innovate or imitate. </w:t>
      </w:r>
      <w:r w:rsidR="00FB03F5">
        <w:t xml:space="preserve">According to Dreiling and </w:t>
      </w:r>
      <w:proofErr w:type="spellStart"/>
      <w:r w:rsidR="00FB03F5">
        <w:t>Bican</w:t>
      </w:r>
      <w:proofErr w:type="spellEnd"/>
      <w:r w:rsidR="00FB03F5">
        <w:t xml:space="preserve"> (</w:t>
      </w:r>
      <w:r w:rsidR="00FB03F5" w:rsidRPr="00B674EB">
        <w:t>2022</w:t>
      </w:r>
      <w:r w:rsidR="00FB03F5">
        <w:t>), p</w:t>
      </w:r>
      <w:r w:rsidR="00E46E27">
        <w:t>ioneers are first movers, companies that enter into a market by introducing novel products or services.</w:t>
      </w:r>
      <w:r w:rsidR="004B204B">
        <w:t xml:space="preserve"> They benefit from absence of </w:t>
      </w:r>
      <w:r w:rsidR="006956D8">
        <w:t xml:space="preserve">competition and innovative positioning, however, </w:t>
      </w:r>
      <w:r w:rsidR="004B204B">
        <w:t xml:space="preserve">market uncertainties </w:t>
      </w:r>
      <w:r w:rsidR="006956D8">
        <w:t xml:space="preserve">and high development costs </w:t>
      </w:r>
      <w:r w:rsidR="004B204B">
        <w:t>present significant</w:t>
      </w:r>
      <w:r w:rsidR="000F34D4">
        <w:t xml:space="preserve"> challenge</w:t>
      </w:r>
      <w:r w:rsidR="004B204B">
        <w:t xml:space="preserve">. </w:t>
      </w:r>
      <w:r w:rsidR="00E46E27">
        <w:t xml:space="preserve"> On the other hand, follower companies first observe the success or failure of pioneers and then enter into the market wi</w:t>
      </w:r>
      <w:r w:rsidR="00B674EB">
        <w:t>th similar or better offerings</w:t>
      </w:r>
      <w:r w:rsidR="004B204B">
        <w:t xml:space="preserve">. </w:t>
      </w:r>
      <w:r w:rsidR="000F34D4">
        <w:t>Thus, f</w:t>
      </w:r>
      <w:r w:rsidR="004B204B">
        <w:t>ollowers, or early entrants, benefit from information available on competitor performance, market demand and consumer behaviour</w:t>
      </w:r>
      <w:r w:rsidR="000F34D4">
        <w:t>. However, t</w:t>
      </w:r>
      <w:r w:rsidR="004B204B">
        <w:t>he established market share and position of pioneers can make it challenging</w:t>
      </w:r>
      <w:r w:rsidR="00B674EB">
        <w:t>.</w:t>
      </w:r>
      <w:r w:rsidR="00FB03F5">
        <w:t xml:space="preserve"> </w:t>
      </w:r>
    </w:p>
    <w:p w14:paraId="41652FCA" w14:textId="0CE12026" w:rsidR="00F916C5" w:rsidRPr="00F916C5" w:rsidRDefault="009E5A4C" w:rsidP="00B3315F">
      <w:pPr>
        <w:spacing w:before="120" w:after="120" w:line="360" w:lineRule="auto"/>
        <w:ind w:firstLine="720"/>
        <w:jc w:val="both"/>
      </w:pPr>
      <w:r>
        <w:t xml:space="preserve">The relevance and suitability of any of these two choices depends on a firm’s internal capabilities as well as external industry environment. </w:t>
      </w:r>
      <w:r w:rsidR="00623090">
        <w:t xml:space="preserve">This report presents the relative advantages of being a pioneer and a follower company along with successful examples of both. Furthermore, </w:t>
      </w:r>
      <w:r w:rsidR="00A10462">
        <w:t>the product life cycle strategies adopted by both companies, particularly during growth and maturity stages, are also discussed.</w:t>
      </w:r>
      <w:r w:rsidR="004471C7">
        <w:t xml:space="preserve"> Theoretical frameworks such as Porter’s five forces, Ansoff matrix and Resource-Based View will be used to support the analysis. </w:t>
      </w:r>
    </w:p>
    <w:p w14:paraId="799025C2" w14:textId="4A53B012" w:rsidR="008044B8" w:rsidRPr="00C244E9" w:rsidRDefault="00BF2BF7" w:rsidP="00B3315F">
      <w:pPr>
        <w:pStyle w:val="Heading1"/>
        <w:spacing w:before="120" w:after="120" w:line="360" w:lineRule="auto"/>
        <w:rPr>
          <w:b/>
          <w:bCs/>
          <w:u w:val="single"/>
        </w:rPr>
      </w:pPr>
      <w:bookmarkStart w:id="3" w:name="_Toc192455110"/>
      <w:bookmarkStart w:id="4" w:name="_Toc193545404"/>
      <w:r w:rsidRPr="00C244E9">
        <w:rPr>
          <w:b/>
          <w:bCs/>
          <w:u w:val="single"/>
        </w:rPr>
        <w:t>Advantages of being a pioneer and follower company</w:t>
      </w:r>
      <w:bookmarkEnd w:id="3"/>
      <w:bookmarkEnd w:id="4"/>
    </w:p>
    <w:p w14:paraId="578ACD51" w14:textId="4648B73C" w:rsidR="00F72D37" w:rsidRDefault="00F72D37" w:rsidP="00B3315F">
      <w:pPr>
        <w:pStyle w:val="Heading2"/>
        <w:spacing w:before="120" w:after="120" w:line="360" w:lineRule="auto"/>
      </w:pPr>
      <w:bookmarkStart w:id="5" w:name="_Toc192455111"/>
      <w:bookmarkStart w:id="6" w:name="_Toc193545405"/>
      <w:r>
        <w:t xml:space="preserve">Advantages </w:t>
      </w:r>
      <w:r w:rsidR="00B52FE8">
        <w:t>o</w:t>
      </w:r>
      <w:r>
        <w:t>f being a pioneer company</w:t>
      </w:r>
      <w:bookmarkEnd w:id="5"/>
      <w:bookmarkEnd w:id="6"/>
    </w:p>
    <w:p w14:paraId="1B95B1F7" w14:textId="04C37A5C" w:rsidR="00A64F74" w:rsidRDefault="007B6BEF" w:rsidP="00B3315F">
      <w:pPr>
        <w:spacing w:before="120" w:after="120" w:line="360" w:lineRule="auto"/>
        <w:ind w:firstLine="720"/>
        <w:jc w:val="both"/>
      </w:pPr>
      <w:r>
        <w:t>Fischer, Henkel and Stern (</w:t>
      </w:r>
      <w:r w:rsidRPr="007B6BEF">
        <w:t>2019)</w:t>
      </w:r>
      <w:r>
        <w:t xml:space="preserve"> </w:t>
      </w:r>
      <w:r w:rsidR="007F208C">
        <w:t>a</w:t>
      </w:r>
      <w:r>
        <w:t>rgue</w:t>
      </w:r>
      <w:r w:rsidR="007F208C">
        <w:t xml:space="preserve"> that pioneers</w:t>
      </w:r>
      <w:r w:rsidR="002F6E9F">
        <w:t xml:space="preserve"> often enjoy sustainable market share and pricing advantages. First, they can build a</w:t>
      </w:r>
      <w:r w:rsidR="007F208C">
        <w:t xml:space="preserve"> strong brand reputa</w:t>
      </w:r>
      <w:r w:rsidR="00082AE9">
        <w:t xml:space="preserve">tion for being the first-mover and capture a large market share as they face little to no competition. Similarly, they are also able to develop a loyal customer base as when information about a product is limited, customers usually tend to stick with the brand that was the first to introduce that product. </w:t>
      </w:r>
      <w:r w:rsidR="002F6E9F">
        <w:t>Second, due to the limited number of brands offering the product, pioneers can maximize</w:t>
      </w:r>
      <w:r w:rsidR="007F208C">
        <w:t xml:space="preserve"> revenues through higher prices during the </w:t>
      </w:r>
      <w:r w:rsidR="007F208C">
        <w:lastRenderedPageBreak/>
        <w:t>initial</w:t>
      </w:r>
      <w:r w:rsidR="003A0803">
        <w:t xml:space="preserve"> stages</w:t>
      </w:r>
      <w:r w:rsidR="00BE451D">
        <w:t xml:space="preserve">, </w:t>
      </w:r>
      <w:r w:rsidR="002F6E9F">
        <w:t>even though the sales volume is generally low. T</w:t>
      </w:r>
      <w:r w:rsidR="00BE451D">
        <w:t>hus</w:t>
      </w:r>
      <w:r w:rsidR="002F6E9F">
        <w:t>, they can</w:t>
      </w:r>
      <w:r w:rsidR="00BE451D">
        <w:t xml:space="preserve"> achieve a temporary monopoly</w:t>
      </w:r>
      <w:r w:rsidR="003A0803">
        <w:t xml:space="preserve">. </w:t>
      </w:r>
    </w:p>
    <w:p w14:paraId="525B3EFC" w14:textId="665E866E" w:rsidR="00F72D37" w:rsidRDefault="003A0803" w:rsidP="00B3315F">
      <w:pPr>
        <w:spacing w:before="120" w:after="120" w:line="360" w:lineRule="auto"/>
        <w:ind w:firstLine="720"/>
        <w:jc w:val="both"/>
      </w:pPr>
      <w:r>
        <w:t xml:space="preserve">Furthermore, from the lens of the Porter’s five forces framework, </w:t>
      </w:r>
      <w:r w:rsidR="002B4F4B">
        <w:t xml:space="preserve">Srinivas, </w:t>
      </w:r>
      <w:proofErr w:type="spellStart"/>
      <w:r w:rsidR="002B4F4B">
        <w:t>Zagone</w:t>
      </w:r>
      <w:proofErr w:type="spellEnd"/>
      <w:r w:rsidR="002B4F4B">
        <w:t xml:space="preserve"> and </w:t>
      </w:r>
      <w:proofErr w:type="spellStart"/>
      <w:r w:rsidR="002B4F4B">
        <w:t>Therattil</w:t>
      </w:r>
      <w:proofErr w:type="spellEnd"/>
      <w:r w:rsidR="002B4F4B">
        <w:t xml:space="preserve"> (</w:t>
      </w:r>
      <w:r w:rsidR="002B4F4B" w:rsidRPr="002B4F4B">
        <w:t>2014)</w:t>
      </w:r>
      <w:r w:rsidR="002B4F4B">
        <w:t xml:space="preserve"> argue that pioneers also have the advantage to raise barr</w:t>
      </w:r>
      <w:r w:rsidR="00BF3722">
        <w:t>iers to entry for other rivals. This can be done by maintaining technology leadership, controlling market resources such a</w:t>
      </w:r>
      <w:r w:rsidR="00A64F74">
        <w:t xml:space="preserve">s access to suppliers and </w:t>
      </w:r>
      <w:r w:rsidR="00A52480">
        <w:t>k</w:t>
      </w:r>
      <w:r w:rsidR="00BF3722">
        <w:t>eeping the switching costs high</w:t>
      </w:r>
      <w:r w:rsidR="005C35EC">
        <w:t>.</w:t>
      </w:r>
      <w:r w:rsidR="00503641">
        <w:t xml:space="preserve"> Pioneers may use patents and intellectual property rights to maintain technology leadership and control resources. </w:t>
      </w:r>
      <w:r w:rsidR="005C527E">
        <w:t xml:space="preserve">In the consumer goods industry, pioneers also enjoy high </w:t>
      </w:r>
      <w:r w:rsidR="00DB666C">
        <w:t xml:space="preserve">buyer loyalty. </w:t>
      </w:r>
      <w:r w:rsidR="00751787">
        <w:t>Fischer, Henkel and Stern (</w:t>
      </w:r>
      <w:r w:rsidR="00751787" w:rsidRPr="007B6BEF">
        <w:t>2019)</w:t>
      </w:r>
      <w:r w:rsidR="00751787">
        <w:t xml:space="preserve"> support this with the example of medical device space as they found that when buyers are deciding to switch to a new (different) technology, they are often</w:t>
      </w:r>
      <w:r w:rsidR="002C23D3">
        <w:t xml:space="preserve"> resisted by </w:t>
      </w:r>
      <w:r w:rsidR="00751787">
        <w:t>pushbacks from the user (surgeon)</w:t>
      </w:r>
      <w:r w:rsidR="002B315F">
        <w:t>.</w:t>
      </w:r>
    </w:p>
    <w:p w14:paraId="5F6A93F1" w14:textId="5B4DD304" w:rsidR="00F72D37" w:rsidRPr="004B0E3D" w:rsidRDefault="00F72D37" w:rsidP="00B3315F">
      <w:pPr>
        <w:pStyle w:val="Heading2"/>
        <w:spacing w:before="120" w:after="120" w:line="360" w:lineRule="auto"/>
      </w:pPr>
      <w:bookmarkStart w:id="7" w:name="_Toc192455112"/>
      <w:bookmarkStart w:id="8" w:name="_Toc193545406"/>
      <w:r w:rsidRPr="004B0E3D">
        <w:t>Examples of successful pioneer companies</w:t>
      </w:r>
      <w:bookmarkEnd w:id="7"/>
      <w:bookmarkEnd w:id="8"/>
    </w:p>
    <w:p w14:paraId="623D96F9" w14:textId="3E2B9A64" w:rsidR="004B0E3D" w:rsidRPr="0056444E" w:rsidRDefault="004B0E3D" w:rsidP="00B3315F">
      <w:pPr>
        <w:pStyle w:val="Heading3"/>
        <w:numPr>
          <w:ilvl w:val="0"/>
          <w:numId w:val="6"/>
        </w:numPr>
        <w:spacing w:before="120" w:after="120" w:line="360" w:lineRule="auto"/>
        <w:rPr>
          <w:i/>
          <w:iCs/>
        </w:rPr>
      </w:pPr>
      <w:bookmarkStart w:id="9" w:name="_Toc193545407"/>
      <w:r w:rsidRPr="0056444E">
        <w:rPr>
          <w:i/>
          <w:iCs/>
        </w:rPr>
        <w:t>Amazon Web Services</w:t>
      </w:r>
      <w:bookmarkEnd w:id="9"/>
    </w:p>
    <w:p w14:paraId="51F1C647" w14:textId="152607C6" w:rsidR="004B0E3D" w:rsidRDefault="00BC290E" w:rsidP="00B3315F">
      <w:pPr>
        <w:spacing w:before="120" w:after="120" w:line="360" w:lineRule="auto"/>
        <w:ind w:firstLine="720"/>
        <w:jc w:val="both"/>
      </w:pPr>
      <w:r>
        <w:t>According to Trainer (</w:t>
      </w:r>
      <w:r w:rsidRPr="00BC290E">
        <w:t>2022)</w:t>
      </w:r>
      <w:r>
        <w:t xml:space="preserve">, Amazon pioneered the cloud services market with Amazon Web Services (AWS) and gained a huge first-mover advantage even before most of the investors knew of its existence, and once it became well-known, the firm </w:t>
      </w:r>
      <w:r w:rsidR="00EC729A">
        <w:t xml:space="preserve">was successful in gaining the most out of its pioneering strategy. </w:t>
      </w:r>
      <w:r w:rsidR="00C133B1">
        <w:t>Leavy and Zhao (</w:t>
      </w:r>
      <w:r w:rsidR="00C133B1" w:rsidRPr="00591AD6">
        <w:t>2021)</w:t>
      </w:r>
      <w:r w:rsidR="00C133B1">
        <w:t xml:space="preserve"> argue that capitalizing on this first-mover advantage has </w:t>
      </w:r>
      <w:r w:rsidR="00984B77">
        <w:t>allowed the firm to dominate the market</w:t>
      </w:r>
      <w:r w:rsidR="00C133B1">
        <w:t xml:space="preserve"> </w:t>
      </w:r>
      <w:r w:rsidR="00984B77">
        <w:t>with a market share of 40.8%</w:t>
      </w:r>
      <w:r w:rsidR="002A2AA9">
        <w:t xml:space="preserve"> as of 2020 </w:t>
      </w:r>
      <w:r w:rsidR="002A2AA9" w:rsidRPr="002A2AA9">
        <w:t>(Gartner, 2021)</w:t>
      </w:r>
      <w:r>
        <w:t xml:space="preserve">. </w:t>
      </w:r>
      <w:r w:rsidR="009E460A">
        <w:t xml:space="preserve">Figure </w:t>
      </w:r>
      <w:r w:rsidR="00FD44D6">
        <w:t xml:space="preserve">1 </w:t>
      </w:r>
      <w:r w:rsidR="009E460A">
        <w:t xml:space="preserve">shows that as of the end of 2024, Amazon continues to hold the largest share in the cloud services market. </w:t>
      </w:r>
    </w:p>
    <w:p w14:paraId="0EA8F7EB" w14:textId="77777777" w:rsidR="00DB039E" w:rsidRDefault="00DB039E" w:rsidP="00B3315F">
      <w:pPr>
        <w:keepNext/>
        <w:spacing w:before="120" w:after="120" w:line="360" w:lineRule="auto"/>
        <w:jc w:val="center"/>
      </w:pPr>
      <w:r>
        <w:rPr>
          <w:noProof/>
          <w:lang w:val="en-US"/>
        </w:rPr>
        <w:lastRenderedPageBreak/>
        <w:drawing>
          <wp:inline distT="0" distB="0" distL="0" distR="0" wp14:anchorId="6E1F9DCC" wp14:editId="4D769A89">
            <wp:extent cx="4505325" cy="4505325"/>
            <wp:effectExtent l="0" t="0" r="9525" b="9525"/>
            <wp:docPr id="3" name="Picture 3" descr="Infographic: Amazon and Microsoft Stay Ahead in Global Cloud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Amazon and Microsoft Stay Ahead in Global Cloud Market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05325" cy="4505325"/>
                    </a:xfrm>
                    <a:prstGeom prst="rect">
                      <a:avLst/>
                    </a:prstGeom>
                    <a:noFill/>
                    <a:ln>
                      <a:noFill/>
                    </a:ln>
                  </pic:spPr>
                </pic:pic>
              </a:graphicData>
            </a:graphic>
          </wp:inline>
        </w:drawing>
      </w:r>
    </w:p>
    <w:p w14:paraId="74250865" w14:textId="11A7441F" w:rsidR="00DB039E" w:rsidRDefault="00DB039E" w:rsidP="00B3315F">
      <w:pPr>
        <w:pStyle w:val="Caption"/>
        <w:spacing w:before="120" w:after="120" w:line="360" w:lineRule="auto"/>
        <w:jc w:val="center"/>
      </w:pPr>
      <w:bookmarkStart w:id="10" w:name="_Toc192454987"/>
      <w:bookmarkStart w:id="11" w:name="_Toc193545341"/>
      <w:r>
        <w:t xml:space="preserve">Figure </w:t>
      </w:r>
      <w:r>
        <w:fldChar w:fldCharType="begin"/>
      </w:r>
      <w:r>
        <w:instrText xml:space="preserve"> SEQ Figure \* ARABIC </w:instrText>
      </w:r>
      <w:r>
        <w:fldChar w:fldCharType="separate"/>
      </w:r>
      <w:r w:rsidR="008804F0">
        <w:rPr>
          <w:noProof/>
        </w:rPr>
        <w:t>1</w:t>
      </w:r>
      <w:r>
        <w:fldChar w:fldCharType="end"/>
      </w:r>
      <w:r>
        <w:rPr>
          <w:lang w:val="en-US"/>
        </w:rPr>
        <w:t xml:space="preserve">: Amazon's leading share in the Global Cloud Market </w:t>
      </w:r>
      <w:r w:rsidRPr="00B61839">
        <w:rPr>
          <w:lang w:val="en-US"/>
        </w:rPr>
        <w:t>(Richter, 2024)</w:t>
      </w:r>
      <w:bookmarkEnd w:id="10"/>
      <w:bookmarkEnd w:id="11"/>
    </w:p>
    <w:p w14:paraId="104F30C8" w14:textId="601D57D5" w:rsidR="00E9010D" w:rsidRPr="0056444E" w:rsidRDefault="004C7B01" w:rsidP="00B3315F">
      <w:pPr>
        <w:pStyle w:val="Heading3"/>
        <w:numPr>
          <w:ilvl w:val="0"/>
          <w:numId w:val="6"/>
        </w:numPr>
        <w:spacing w:before="120" w:after="120" w:line="360" w:lineRule="auto"/>
        <w:rPr>
          <w:i/>
          <w:iCs/>
        </w:rPr>
      </w:pPr>
      <w:bookmarkStart w:id="12" w:name="_Toc193545408"/>
      <w:bookmarkStart w:id="13" w:name="_Toc192455113"/>
      <w:r w:rsidRPr="0056444E">
        <w:rPr>
          <w:i/>
          <w:iCs/>
        </w:rPr>
        <w:t>A</w:t>
      </w:r>
      <w:r w:rsidR="00DA601D">
        <w:rPr>
          <w:i/>
          <w:iCs/>
        </w:rPr>
        <w:t>pple</w:t>
      </w:r>
      <w:bookmarkEnd w:id="12"/>
    </w:p>
    <w:p w14:paraId="1052D3DB" w14:textId="558E92A5" w:rsidR="004C7B01" w:rsidRDefault="004C7B01" w:rsidP="00B3315F">
      <w:pPr>
        <w:spacing w:before="120" w:after="120" w:line="360" w:lineRule="auto"/>
        <w:ind w:firstLine="720"/>
        <w:jc w:val="both"/>
      </w:pPr>
      <w:r>
        <w:t>Another example of pioneer strategy is Apple’s launch of iPhone. According to Park (</w:t>
      </w:r>
      <w:r w:rsidRPr="00AE3BDE">
        <w:t>2021)</w:t>
      </w:r>
      <w:r>
        <w:t xml:space="preserve">, Apple’s introduction of iPhone is a successful example of pioneer strategy or first mover advantage. The firm leveraged its technological innovation and premium branding capabilities to create a new segment in the smartphone market. Additionally, </w:t>
      </w:r>
      <w:r w:rsidRPr="00ED056F">
        <w:t>product-level determinant</w:t>
      </w:r>
      <w:r>
        <w:t xml:space="preserve">s such as the control over </w:t>
      </w:r>
      <w:r w:rsidRPr="00ED056F">
        <w:t>iOS operating system and the App Store ecosystem</w:t>
      </w:r>
      <w:r>
        <w:t xml:space="preserve"> helped Apple increase the switching costs, thus maintaining a strong competitive position. While maintaining this competitive advantage has brought its own challenges for the company such as the need to continuously invest in Research and Development (R&amp;D), Ansari (</w:t>
      </w:r>
      <w:r w:rsidRPr="00A91687">
        <w:t>2024)</w:t>
      </w:r>
      <w:r>
        <w:t xml:space="preserve"> states that Apple has been successful in completely transforming the mobile market for the good of consumers. Statistics suggest that </w:t>
      </w:r>
      <w:r w:rsidRPr="00250930">
        <w:t xml:space="preserve">Apple’s iOS has a loyalty rate </w:t>
      </w:r>
      <w:r>
        <w:t>of 90% as compared to that of its competitor Samsung which is</w:t>
      </w:r>
      <w:r w:rsidRPr="00250930">
        <w:t xml:space="preserve"> 70%.</w:t>
      </w:r>
      <w:r>
        <w:t xml:space="preserve"> This loyalty rate has helped Apple maintain its originality and pioneer status. </w:t>
      </w:r>
    </w:p>
    <w:p w14:paraId="281509F5" w14:textId="1878BA25" w:rsidR="00B70211" w:rsidRDefault="00B70211" w:rsidP="00B3315F">
      <w:pPr>
        <w:pStyle w:val="Heading2"/>
        <w:spacing w:before="120" w:after="120" w:line="360" w:lineRule="auto"/>
      </w:pPr>
      <w:bookmarkStart w:id="14" w:name="_Toc193545409"/>
      <w:r>
        <w:lastRenderedPageBreak/>
        <w:t xml:space="preserve">Advantages </w:t>
      </w:r>
      <w:r w:rsidR="00B52FE8">
        <w:t>o</w:t>
      </w:r>
      <w:r>
        <w:t>f being a follower company</w:t>
      </w:r>
      <w:bookmarkEnd w:id="13"/>
      <w:bookmarkEnd w:id="14"/>
    </w:p>
    <w:p w14:paraId="50F85972" w14:textId="7E024D08" w:rsidR="00AE3E05" w:rsidRDefault="00ED53BB" w:rsidP="00B3315F">
      <w:pPr>
        <w:spacing w:before="120" w:after="120" w:line="360" w:lineRule="auto"/>
        <w:ind w:firstLine="720"/>
        <w:jc w:val="both"/>
      </w:pPr>
      <w:r>
        <w:t>Rao (</w:t>
      </w:r>
      <w:r w:rsidRPr="00ED53BB">
        <w:t>2016)</w:t>
      </w:r>
      <w:r>
        <w:t xml:space="preserve"> </w:t>
      </w:r>
      <w:r w:rsidR="00065B38">
        <w:t>argue that f</w:t>
      </w:r>
      <w:r w:rsidR="00AA0AB7">
        <w:t xml:space="preserve">ollowers can learn from the experience of pioneers and thus avoid many of the costs or challenges faced by the latter. </w:t>
      </w:r>
      <w:r w:rsidR="001C7F3C">
        <w:t xml:space="preserve">Some of the main advantages for follower companies are that they can have a </w:t>
      </w:r>
      <w:r w:rsidR="00D32B61">
        <w:t>‘</w:t>
      </w:r>
      <w:r w:rsidR="001C7F3C" w:rsidRPr="001C7F3C">
        <w:rPr>
          <w:i/>
          <w:iCs/>
        </w:rPr>
        <w:t>free-ride</w:t>
      </w:r>
      <w:r w:rsidR="00D32B61">
        <w:rPr>
          <w:i/>
          <w:iCs/>
        </w:rPr>
        <w:t xml:space="preserve">’ </w:t>
      </w:r>
      <w:r w:rsidR="00D32B61" w:rsidRPr="00D32B61">
        <w:t>on</w:t>
      </w:r>
      <w:r w:rsidR="00D32B61">
        <w:t xml:space="preserve"> the followers’ technology and then surpass them through incremental innovation. </w:t>
      </w:r>
      <w:r w:rsidR="00AE3E05">
        <w:t xml:space="preserve">By the time followers enter the market, some of the technological improvements have already been made available in the general market which they can integrate into their products. Thus, followers have the opportunity to combine Porter’s cost leadership strategy with natural technological improvements to strengthen their positioning and gain better growth than those focusing only on cost leadership. </w:t>
      </w:r>
    </w:p>
    <w:p w14:paraId="4A2BB33A" w14:textId="58840B8A" w:rsidR="00B70211" w:rsidRDefault="009C46E2" w:rsidP="00B3315F">
      <w:pPr>
        <w:spacing w:before="120" w:after="120" w:line="360" w:lineRule="auto"/>
        <w:ind w:firstLine="720"/>
        <w:jc w:val="both"/>
      </w:pPr>
      <w:r>
        <w:t xml:space="preserve">Similarly, </w:t>
      </w:r>
      <w:r w:rsidR="008F1918">
        <w:t>Kamp and Ruiz (</w:t>
      </w:r>
      <w:r w:rsidR="008F1918" w:rsidRPr="00604D74">
        <w:t>2023)</w:t>
      </w:r>
      <w:r>
        <w:t xml:space="preserve"> found that </w:t>
      </w:r>
      <w:r w:rsidR="006A7931">
        <w:t xml:space="preserve">Pioneers may get onto a wrong product course as consumer preferences are usually not clear in the beginning. They are also required to invest their resources on educating the customers about the product. On the contrary, followers </w:t>
      </w:r>
      <w:r>
        <w:t>can avoid these challenges as by the time they enter the market, customer preferences are already much clearer and understanding of the product has been widely established. Thus, followers take benefit from observing the change in consumer preferences and, upon their entry into the market, focusing on the major segment of routine buyers rather than a small segment of early adopters.</w:t>
      </w:r>
      <w:r w:rsidR="00082984">
        <w:t xml:space="preserve"> </w:t>
      </w:r>
    </w:p>
    <w:p w14:paraId="42723EAC" w14:textId="0248321E" w:rsidR="00EE226A" w:rsidRPr="0056444E" w:rsidRDefault="00B70211" w:rsidP="00B3315F">
      <w:pPr>
        <w:pStyle w:val="Heading2"/>
        <w:spacing w:before="120" w:after="120" w:line="360" w:lineRule="auto"/>
      </w:pPr>
      <w:bookmarkStart w:id="15" w:name="_Toc192455114"/>
      <w:bookmarkStart w:id="16" w:name="_Toc193545410"/>
      <w:r w:rsidRPr="0056444E">
        <w:t>Examples of successful follower companies</w:t>
      </w:r>
      <w:bookmarkEnd w:id="15"/>
      <w:bookmarkEnd w:id="16"/>
    </w:p>
    <w:p w14:paraId="4D341D42" w14:textId="295F5011" w:rsidR="0056444E" w:rsidRPr="0056444E" w:rsidRDefault="00DA601D" w:rsidP="00B3315F">
      <w:pPr>
        <w:pStyle w:val="Heading3"/>
        <w:numPr>
          <w:ilvl w:val="0"/>
          <w:numId w:val="7"/>
        </w:numPr>
        <w:spacing w:before="120" w:after="120" w:line="360" w:lineRule="auto"/>
        <w:rPr>
          <w:i/>
          <w:iCs/>
        </w:rPr>
      </w:pPr>
      <w:bookmarkStart w:id="17" w:name="_Toc193545411"/>
      <w:r>
        <w:rPr>
          <w:i/>
          <w:iCs/>
        </w:rPr>
        <w:t>Huawei</w:t>
      </w:r>
      <w:bookmarkEnd w:id="17"/>
    </w:p>
    <w:p w14:paraId="27B5CB95" w14:textId="0B96CB9E" w:rsidR="0056444E" w:rsidRDefault="00E925F3" w:rsidP="00B3315F">
      <w:pPr>
        <w:spacing w:before="120" w:after="120" w:line="360" w:lineRule="auto"/>
        <w:ind w:firstLine="720"/>
        <w:jc w:val="both"/>
      </w:pPr>
      <w:r>
        <w:t>Guo et al. (</w:t>
      </w:r>
      <w:r w:rsidRPr="00C753D3">
        <w:t>2019)</w:t>
      </w:r>
      <w:r>
        <w:t xml:space="preserve"> argue that during the evolution of telecommunications industry in </w:t>
      </w:r>
      <w:r w:rsidR="00327075">
        <w:t>C</w:t>
      </w:r>
      <w:r>
        <w:t xml:space="preserve">hina from 1980s to 2014, Huawei presents a prominent example of successful follower strategy. During this time period, the firm capitalized on the market opportunities by </w:t>
      </w:r>
      <w:r w:rsidR="002430E9">
        <w:t xml:space="preserve">developing its own market-seeking and technology-building capabilities. As a latecomer in the telecom market, Huawei </w:t>
      </w:r>
      <w:r w:rsidR="00677F19">
        <w:t>gradually accumulated capabilities in both technology and marketing, learning from the established foreign firms in the market, and eventually gained the position of a market leader in both dom</w:t>
      </w:r>
      <w:r w:rsidR="008667E8">
        <w:t xml:space="preserve">estic and global markets, as evident from its brand value of 31.1 billion US Dollars – highest in the telecommunication market – </w:t>
      </w:r>
      <w:r w:rsidR="00B3047C">
        <w:t xml:space="preserve">illustrated in figure </w:t>
      </w:r>
      <w:r w:rsidR="00C55956">
        <w:t>2.</w:t>
      </w:r>
      <w:r w:rsidR="008667E8">
        <w:t xml:space="preserve"> </w:t>
      </w:r>
    </w:p>
    <w:p w14:paraId="4DBE479F" w14:textId="77777777" w:rsidR="00E925F3" w:rsidRDefault="00E925F3" w:rsidP="00B3315F">
      <w:pPr>
        <w:keepNext/>
        <w:spacing w:before="120" w:after="120" w:line="360" w:lineRule="auto"/>
        <w:jc w:val="center"/>
      </w:pPr>
      <w:r>
        <w:rPr>
          <w:noProof/>
          <w:lang w:val="en-US"/>
        </w:rPr>
        <w:lastRenderedPageBreak/>
        <w:drawing>
          <wp:inline distT="0" distB="0" distL="0" distR="0" wp14:anchorId="6A709586" wp14:editId="7C2529E4">
            <wp:extent cx="5581650" cy="3631845"/>
            <wp:effectExtent l="19050" t="19050" r="19050" b="260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anking of telecom infrastructure companies by brand value in 2024.jpg"/>
                    <pic:cNvPicPr/>
                  </pic:nvPicPr>
                  <pic:blipFill>
                    <a:blip r:embed="rId10">
                      <a:extLst>
                        <a:ext uri="{28A0092B-C50C-407E-A947-70E740481C1C}">
                          <a14:useLocalDpi xmlns:a14="http://schemas.microsoft.com/office/drawing/2010/main" val="0"/>
                        </a:ext>
                      </a:extLst>
                    </a:blip>
                    <a:stretch>
                      <a:fillRect/>
                    </a:stretch>
                  </pic:blipFill>
                  <pic:spPr>
                    <a:xfrm>
                      <a:off x="0" y="0"/>
                      <a:ext cx="5594284" cy="3640066"/>
                    </a:xfrm>
                    <a:prstGeom prst="rect">
                      <a:avLst/>
                    </a:prstGeom>
                    <a:ln w="3175">
                      <a:solidFill>
                        <a:schemeClr val="tx1"/>
                      </a:solidFill>
                    </a:ln>
                  </pic:spPr>
                </pic:pic>
              </a:graphicData>
            </a:graphic>
          </wp:inline>
        </w:drawing>
      </w:r>
    </w:p>
    <w:p w14:paraId="20ED4B8A" w14:textId="38C50577" w:rsidR="00E925F3" w:rsidRDefault="00E925F3" w:rsidP="00B3315F">
      <w:pPr>
        <w:pStyle w:val="Caption"/>
        <w:spacing w:before="120" w:after="120" w:line="360" w:lineRule="auto"/>
        <w:jc w:val="center"/>
      </w:pPr>
      <w:bookmarkStart w:id="18" w:name="_Toc192454988"/>
      <w:bookmarkStart w:id="19" w:name="_Toc193545342"/>
      <w:r>
        <w:t xml:space="preserve">Figure </w:t>
      </w:r>
      <w:r>
        <w:fldChar w:fldCharType="begin"/>
      </w:r>
      <w:r>
        <w:instrText xml:space="preserve"> SEQ Figure \* ARABIC </w:instrText>
      </w:r>
      <w:r>
        <w:fldChar w:fldCharType="separate"/>
      </w:r>
      <w:r w:rsidR="008804F0">
        <w:rPr>
          <w:noProof/>
        </w:rPr>
        <w:t>2</w:t>
      </w:r>
      <w:r>
        <w:fldChar w:fldCharType="end"/>
      </w:r>
      <w:r>
        <w:rPr>
          <w:lang w:val="en-US"/>
        </w:rPr>
        <w:t xml:space="preserve">: </w:t>
      </w:r>
      <w:r w:rsidRPr="009A6625">
        <w:rPr>
          <w:lang w:val="en-US"/>
        </w:rPr>
        <w:t>Ranking of telecom infrastructure companies by brand value in 2024</w:t>
      </w:r>
      <w:r>
        <w:rPr>
          <w:lang w:val="en-US"/>
        </w:rPr>
        <w:t xml:space="preserve"> </w:t>
      </w:r>
      <w:r w:rsidRPr="0060062B">
        <w:rPr>
          <w:lang w:val="en-US"/>
        </w:rPr>
        <w:t>(Statista Research Department, 2024)</w:t>
      </w:r>
      <w:bookmarkEnd w:id="18"/>
      <w:bookmarkEnd w:id="19"/>
    </w:p>
    <w:p w14:paraId="48DB1E0D" w14:textId="42984DE3" w:rsidR="0056444E" w:rsidRPr="0056444E" w:rsidRDefault="0056444E" w:rsidP="00B3315F">
      <w:pPr>
        <w:pStyle w:val="Heading3"/>
        <w:numPr>
          <w:ilvl w:val="0"/>
          <w:numId w:val="7"/>
        </w:numPr>
        <w:spacing w:before="120" w:after="120" w:line="360" w:lineRule="auto"/>
        <w:rPr>
          <w:i/>
          <w:iCs/>
        </w:rPr>
      </w:pPr>
      <w:bookmarkStart w:id="20" w:name="_Toc193545412"/>
      <w:r w:rsidRPr="0056444E">
        <w:rPr>
          <w:i/>
          <w:iCs/>
        </w:rPr>
        <w:t>S</w:t>
      </w:r>
      <w:r w:rsidR="00DA601D">
        <w:rPr>
          <w:i/>
          <w:iCs/>
        </w:rPr>
        <w:t>amsung</w:t>
      </w:r>
      <w:bookmarkEnd w:id="20"/>
    </w:p>
    <w:p w14:paraId="07617C9A" w14:textId="6F0504A1" w:rsidR="008E41FF" w:rsidRDefault="00FC01E0" w:rsidP="00B3315F">
      <w:pPr>
        <w:spacing w:before="120" w:after="120" w:line="360" w:lineRule="auto"/>
        <w:ind w:firstLine="720"/>
        <w:jc w:val="both"/>
      </w:pPr>
      <w:r>
        <w:t>Park (</w:t>
      </w:r>
      <w:r w:rsidR="00B1079D" w:rsidRPr="00B1079D">
        <w:t>2021)</w:t>
      </w:r>
      <w:r>
        <w:t xml:space="preserve"> highlights Samsung’s successful fast follower strategy in the smartphone market. While Apple had the first mover advantages, Samsung was able to differentiate itself by leveraging its manufacturing capabilities and offering products for a large consumer base. Tan (</w:t>
      </w:r>
      <w:r w:rsidRPr="00FC01E0">
        <w:t>2023)</w:t>
      </w:r>
      <w:r>
        <w:t xml:space="preserve"> found that while Apple, being the pioneer, retained its leadership position in the high-end smartphone market, Samsung identified the consumer need for mid-range and low-end smartphones and offered competitive prices to dominate these markets and generate revenues. Table </w:t>
      </w:r>
      <w:r w:rsidR="00FD44D6">
        <w:t xml:space="preserve">1 </w:t>
      </w:r>
      <w:r>
        <w:t>shows their relative shares in these market segments.</w:t>
      </w:r>
    </w:p>
    <w:tbl>
      <w:tblPr>
        <w:tblStyle w:val="TableGrid"/>
        <w:tblW w:w="0" w:type="auto"/>
        <w:tblCellMar>
          <w:left w:w="0" w:type="dxa"/>
          <w:right w:w="0" w:type="dxa"/>
        </w:tblCellMar>
        <w:tblLook w:val="04A0" w:firstRow="1" w:lastRow="0" w:firstColumn="1" w:lastColumn="0" w:noHBand="0" w:noVBand="1"/>
      </w:tblPr>
      <w:tblGrid>
        <w:gridCol w:w="3415"/>
        <w:gridCol w:w="2700"/>
        <w:gridCol w:w="2901"/>
      </w:tblGrid>
      <w:tr w:rsidR="002420EE" w14:paraId="09CFB531" w14:textId="77777777" w:rsidTr="00043CAE">
        <w:trPr>
          <w:trHeight w:val="576"/>
        </w:trPr>
        <w:tc>
          <w:tcPr>
            <w:tcW w:w="3415" w:type="dxa"/>
            <w:shd w:val="clear" w:color="auto" w:fill="DAE9F7" w:themeFill="text2" w:themeFillTint="1A"/>
            <w:vAlign w:val="center"/>
          </w:tcPr>
          <w:p w14:paraId="31326A79" w14:textId="52CF7D41" w:rsidR="002420EE" w:rsidRPr="00043CAE" w:rsidRDefault="002420EE" w:rsidP="00B3315F">
            <w:pPr>
              <w:spacing w:before="120" w:after="120" w:line="360" w:lineRule="auto"/>
              <w:jc w:val="center"/>
              <w:rPr>
                <w:b/>
                <w:bCs/>
              </w:rPr>
            </w:pPr>
            <w:r w:rsidRPr="00043CAE">
              <w:rPr>
                <w:b/>
                <w:bCs/>
              </w:rPr>
              <w:t>Smartphone Market Segment</w:t>
            </w:r>
          </w:p>
        </w:tc>
        <w:tc>
          <w:tcPr>
            <w:tcW w:w="2700" w:type="dxa"/>
            <w:shd w:val="clear" w:color="auto" w:fill="DAE9F7" w:themeFill="text2" w:themeFillTint="1A"/>
            <w:vAlign w:val="center"/>
          </w:tcPr>
          <w:p w14:paraId="762B6464" w14:textId="58855185" w:rsidR="002420EE" w:rsidRPr="00043CAE" w:rsidRDefault="002420EE" w:rsidP="00B3315F">
            <w:pPr>
              <w:spacing w:before="120" w:after="120" w:line="360" w:lineRule="auto"/>
              <w:jc w:val="center"/>
              <w:rPr>
                <w:b/>
                <w:bCs/>
              </w:rPr>
            </w:pPr>
            <w:r w:rsidRPr="00043CAE">
              <w:rPr>
                <w:b/>
                <w:bCs/>
              </w:rPr>
              <w:t>Market Share - Apple</w:t>
            </w:r>
          </w:p>
        </w:tc>
        <w:tc>
          <w:tcPr>
            <w:tcW w:w="2901" w:type="dxa"/>
            <w:shd w:val="clear" w:color="auto" w:fill="DAE9F7" w:themeFill="text2" w:themeFillTint="1A"/>
            <w:vAlign w:val="center"/>
          </w:tcPr>
          <w:p w14:paraId="79B7589F" w14:textId="0AFD38F6" w:rsidR="002420EE" w:rsidRPr="00043CAE" w:rsidRDefault="002420EE" w:rsidP="00B3315F">
            <w:pPr>
              <w:spacing w:before="120" w:after="120" w:line="360" w:lineRule="auto"/>
              <w:jc w:val="center"/>
              <w:rPr>
                <w:b/>
                <w:bCs/>
              </w:rPr>
            </w:pPr>
            <w:r w:rsidRPr="00043CAE">
              <w:rPr>
                <w:b/>
                <w:bCs/>
              </w:rPr>
              <w:t>Market Share - Samsung</w:t>
            </w:r>
          </w:p>
        </w:tc>
      </w:tr>
      <w:tr w:rsidR="002420EE" w14:paraId="04B6D2C2" w14:textId="77777777" w:rsidTr="00043CAE">
        <w:trPr>
          <w:trHeight w:val="576"/>
        </w:trPr>
        <w:tc>
          <w:tcPr>
            <w:tcW w:w="3415" w:type="dxa"/>
            <w:vAlign w:val="center"/>
          </w:tcPr>
          <w:p w14:paraId="0066BBCC" w14:textId="2646CADF" w:rsidR="002420EE" w:rsidRDefault="002420EE" w:rsidP="00B3315F">
            <w:pPr>
              <w:spacing w:before="120" w:after="120" w:line="360" w:lineRule="auto"/>
              <w:jc w:val="center"/>
            </w:pPr>
            <w:r>
              <w:t>High-end</w:t>
            </w:r>
          </w:p>
        </w:tc>
        <w:tc>
          <w:tcPr>
            <w:tcW w:w="2700" w:type="dxa"/>
            <w:vAlign w:val="center"/>
          </w:tcPr>
          <w:p w14:paraId="003F2DEC" w14:textId="7EE28C60" w:rsidR="002420EE" w:rsidRDefault="002420EE" w:rsidP="00B3315F">
            <w:pPr>
              <w:spacing w:before="120" w:after="120" w:line="360" w:lineRule="auto"/>
              <w:jc w:val="center"/>
            </w:pPr>
            <w:r>
              <w:t>66%</w:t>
            </w:r>
          </w:p>
        </w:tc>
        <w:tc>
          <w:tcPr>
            <w:tcW w:w="2901" w:type="dxa"/>
            <w:vAlign w:val="center"/>
          </w:tcPr>
          <w:p w14:paraId="12D15BAE" w14:textId="5B1BA690" w:rsidR="002420EE" w:rsidRDefault="002420EE" w:rsidP="00B3315F">
            <w:pPr>
              <w:spacing w:before="120" w:after="120" w:line="360" w:lineRule="auto"/>
              <w:jc w:val="center"/>
            </w:pPr>
            <w:r>
              <w:t>32%</w:t>
            </w:r>
          </w:p>
        </w:tc>
      </w:tr>
      <w:tr w:rsidR="002420EE" w14:paraId="33059120" w14:textId="77777777" w:rsidTr="00043CAE">
        <w:trPr>
          <w:trHeight w:val="576"/>
        </w:trPr>
        <w:tc>
          <w:tcPr>
            <w:tcW w:w="3415" w:type="dxa"/>
            <w:vAlign w:val="center"/>
          </w:tcPr>
          <w:p w14:paraId="74BFFEEC" w14:textId="35FACE98" w:rsidR="002420EE" w:rsidRDefault="002420EE" w:rsidP="00B3315F">
            <w:pPr>
              <w:spacing w:before="120" w:after="120" w:line="360" w:lineRule="auto"/>
              <w:jc w:val="center"/>
            </w:pPr>
            <w:r>
              <w:t>Mid-range and Low priced</w:t>
            </w:r>
          </w:p>
        </w:tc>
        <w:tc>
          <w:tcPr>
            <w:tcW w:w="2700" w:type="dxa"/>
            <w:vAlign w:val="center"/>
          </w:tcPr>
          <w:p w14:paraId="04A39AB5" w14:textId="5F2915F8" w:rsidR="002420EE" w:rsidRDefault="002420EE" w:rsidP="00B3315F">
            <w:pPr>
              <w:spacing w:before="120" w:after="120" w:line="360" w:lineRule="auto"/>
              <w:jc w:val="center"/>
            </w:pPr>
            <w:r>
              <w:t>6%</w:t>
            </w:r>
          </w:p>
        </w:tc>
        <w:tc>
          <w:tcPr>
            <w:tcW w:w="2901" w:type="dxa"/>
            <w:vAlign w:val="center"/>
          </w:tcPr>
          <w:p w14:paraId="1372B7E5" w14:textId="201D1029" w:rsidR="002420EE" w:rsidRDefault="002420EE" w:rsidP="00B3315F">
            <w:pPr>
              <w:keepNext/>
              <w:spacing w:before="120" w:after="120" w:line="360" w:lineRule="auto"/>
              <w:jc w:val="center"/>
            </w:pPr>
            <w:r>
              <w:t>44%</w:t>
            </w:r>
          </w:p>
        </w:tc>
      </w:tr>
    </w:tbl>
    <w:p w14:paraId="22AD744D" w14:textId="613E1EAA" w:rsidR="00FC01E0" w:rsidRDefault="0049614A" w:rsidP="00B3315F">
      <w:pPr>
        <w:pStyle w:val="Caption"/>
        <w:spacing w:before="120" w:after="120" w:line="360" w:lineRule="auto"/>
        <w:jc w:val="center"/>
      </w:pPr>
      <w:r>
        <w:t xml:space="preserve">Table </w:t>
      </w:r>
      <w:r>
        <w:fldChar w:fldCharType="begin"/>
      </w:r>
      <w:r>
        <w:instrText xml:space="preserve"> SEQ Table \* ARABIC </w:instrText>
      </w:r>
      <w:r>
        <w:fldChar w:fldCharType="separate"/>
      </w:r>
      <w:r w:rsidR="00853793">
        <w:rPr>
          <w:noProof/>
        </w:rPr>
        <w:t>1</w:t>
      </w:r>
      <w:r>
        <w:fldChar w:fldCharType="end"/>
      </w:r>
      <w:r>
        <w:rPr>
          <w:lang w:val="en-US"/>
        </w:rPr>
        <w:t>: Source: Tan (2023)</w:t>
      </w:r>
    </w:p>
    <w:p w14:paraId="45E2E381" w14:textId="2DFEEF20" w:rsidR="008044B8" w:rsidRDefault="00145EC8" w:rsidP="00B3315F">
      <w:pPr>
        <w:pStyle w:val="Heading1"/>
        <w:spacing w:before="120" w:after="120" w:line="360" w:lineRule="auto"/>
        <w:rPr>
          <w:b/>
          <w:bCs/>
          <w:u w:val="single"/>
        </w:rPr>
      </w:pPr>
      <w:bookmarkStart w:id="21" w:name="_Toc192455115"/>
      <w:bookmarkStart w:id="22" w:name="_Toc193545413"/>
      <w:r w:rsidRPr="00C244E9">
        <w:rPr>
          <w:b/>
          <w:bCs/>
          <w:u w:val="single"/>
        </w:rPr>
        <w:lastRenderedPageBreak/>
        <w:t>Product life cycle (PLC) strategies implemented by successful pioneer and follower companies</w:t>
      </w:r>
      <w:bookmarkEnd w:id="21"/>
      <w:bookmarkEnd w:id="22"/>
    </w:p>
    <w:p w14:paraId="28285BC5" w14:textId="468DA161" w:rsidR="00145EC8" w:rsidRDefault="00FD3993" w:rsidP="00B3315F">
      <w:pPr>
        <w:spacing w:before="120" w:after="120" w:line="360" w:lineRule="auto"/>
        <w:ind w:firstLine="720"/>
        <w:jc w:val="both"/>
      </w:pPr>
      <w:r>
        <w:t>A produc</w:t>
      </w:r>
      <w:r w:rsidR="00E72298">
        <w:t>t life cycle consists of</w:t>
      </w:r>
      <w:r>
        <w:t xml:space="preserve"> four stages through which </w:t>
      </w:r>
      <w:r w:rsidR="00E72298">
        <w:t>a product flows</w:t>
      </w:r>
      <w:r>
        <w:t xml:space="preserve">. These stages are illustrated </w:t>
      </w:r>
      <w:r w:rsidR="00E44371">
        <w:t>in figure 3</w:t>
      </w:r>
      <w:r w:rsidR="00BD1965">
        <w:t xml:space="preserve">. According to </w:t>
      </w:r>
      <w:proofErr w:type="spellStart"/>
      <w:r w:rsidR="00BD1965">
        <w:t>Udokporo</w:t>
      </w:r>
      <w:proofErr w:type="spellEnd"/>
      <w:r w:rsidR="00BD1965">
        <w:t xml:space="preserve"> (</w:t>
      </w:r>
      <w:r w:rsidR="00BD1965" w:rsidRPr="00BD1965">
        <w:t>2021)</w:t>
      </w:r>
      <w:r w:rsidR="00BD1965">
        <w:t>, the introduction stage is when a p</w:t>
      </w:r>
      <w:r w:rsidR="00277677">
        <w:t xml:space="preserve">roduct is introduced in the market. </w:t>
      </w:r>
      <w:r w:rsidR="00E72298">
        <w:t>This stag</w:t>
      </w:r>
      <w:r w:rsidR="00514FC4">
        <w:t xml:space="preserve">e may be </w:t>
      </w:r>
      <w:r w:rsidR="00B81E07">
        <w:t xml:space="preserve">characterized by substantial </w:t>
      </w:r>
      <w:r w:rsidR="00514FC4">
        <w:t>investment</w:t>
      </w:r>
      <w:r w:rsidR="00B81E07">
        <w:t>s</w:t>
      </w:r>
      <w:r w:rsidR="00514FC4">
        <w:t xml:space="preserve">, high R&amp;D costs, </w:t>
      </w:r>
      <w:r w:rsidR="00B81E07">
        <w:t xml:space="preserve">a relatively </w:t>
      </w:r>
      <w:r w:rsidR="00514FC4">
        <w:t xml:space="preserve">small market </w:t>
      </w:r>
      <w:r w:rsidR="00B81E07">
        <w:t xml:space="preserve">share and low sales. Depending on the product category, this stage may also be marked by </w:t>
      </w:r>
      <w:r w:rsidR="00514FC4">
        <w:t>less competition</w:t>
      </w:r>
      <w:r w:rsidR="00B81E07">
        <w:t xml:space="preserve"> and high prices</w:t>
      </w:r>
      <w:r w:rsidR="00514FC4">
        <w:t xml:space="preserve">. </w:t>
      </w:r>
      <w:r w:rsidR="004B274B">
        <w:t xml:space="preserve">On the contrary, the decline stage is marked by market </w:t>
      </w:r>
      <w:r w:rsidR="000D22C9">
        <w:t>saturation</w:t>
      </w:r>
      <w:r w:rsidR="004B274B">
        <w:t xml:space="preserve"> which is followed by a reduction in product demand and sales. Depending on the product category, during this stage, sales may either becomes zero or stay at a very low level for longer periods. T</w:t>
      </w:r>
      <w:r w:rsidR="006D35AA">
        <w:t>he key characteristics of the decline stag</w:t>
      </w:r>
      <w:r w:rsidR="004B274B">
        <w:t xml:space="preserve">e are decreasing </w:t>
      </w:r>
      <w:r w:rsidR="006D35AA">
        <w:t xml:space="preserve">market share and profits until ultimately the product is withdrawn from the market. </w:t>
      </w:r>
    </w:p>
    <w:p w14:paraId="14FEEDF1" w14:textId="77777777" w:rsidR="002E6997" w:rsidRDefault="002E6997" w:rsidP="00B3315F">
      <w:pPr>
        <w:keepNext/>
        <w:spacing w:before="120" w:after="120" w:line="360" w:lineRule="auto"/>
        <w:jc w:val="center"/>
      </w:pPr>
      <w:r>
        <w:rPr>
          <w:noProof/>
          <w:lang w:val="en-US"/>
        </w:rPr>
        <w:drawing>
          <wp:inline distT="0" distB="0" distL="0" distR="0" wp14:anchorId="59AC61BD" wp14:editId="35FF64AD">
            <wp:extent cx="4448175" cy="2691084"/>
            <wp:effectExtent l="19050" t="19050" r="9525" b="14605"/>
            <wp:docPr id="2" name="Picture 2" descr="Product Lif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Life Cycle Diagram"/>
                    <pic:cNvPicPr>
                      <a:picLocks noChangeAspect="1" noChangeArrowheads="1"/>
                    </pic:cNvPicPr>
                  </pic:nvPicPr>
                  <pic:blipFill rotWithShape="1">
                    <a:blip r:embed="rId11">
                      <a:extLst>
                        <a:ext uri="{28A0092B-C50C-407E-A947-70E740481C1C}">
                          <a14:useLocalDpi xmlns:a14="http://schemas.microsoft.com/office/drawing/2010/main" val="0"/>
                        </a:ext>
                      </a:extLst>
                    </a:blip>
                    <a:srcRect t="10663" b="10125"/>
                    <a:stretch/>
                  </pic:blipFill>
                  <pic:spPr bwMode="auto">
                    <a:xfrm>
                      <a:off x="0" y="0"/>
                      <a:ext cx="4455798" cy="269569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A86BE2F" w14:textId="518EEC25" w:rsidR="002237A2" w:rsidRDefault="002E6997" w:rsidP="00B3315F">
      <w:pPr>
        <w:pStyle w:val="Caption"/>
        <w:spacing w:before="120" w:after="120" w:line="360" w:lineRule="auto"/>
        <w:jc w:val="center"/>
      </w:pPr>
      <w:bookmarkStart w:id="23" w:name="_Toc192454989"/>
      <w:bookmarkStart w:id="24" w:name="_Toc193545343"/>
      <w:r>
        <w:t xml:space="preserve">Figure </w:t>
      </w:r>
      <w:r>
        <w:fldChar w:fldCharType="begin"/>
      </w:r>
      <w:r>
        <w:instrText xml:space="preserve"> SEQ Figure \* ARABIC </w:instrText>
      </w:r>
      <w:r>
        <w:fldChar w:fldCharType="separate"/>
      </w:r>
      <w:r w:rsidR="008804F0">
        <w:rPr>
          <w:noProof/>
        </w:rPr>
        <w:t>3</w:t>
      </w:r>
      <w:r>
        <w:fldChar w:fldCharType="end"/>
      </w:r>
      <w:r>
        <w:rPr>
          <w:lang w:val="en-US"/>
        </w:rPr>
        <w:t xml:space="preserve">: Stages of a Product Life Cycle </w:t>
      </w:r>
      <w:r w:rsidRPr="00556006">
        <w:rPr>
          <w:lang w:val="en-US"/>
        </w:rPr>
        <w:t>(TWI, 2021)</w:t>
      </w:r>
      <w:bookmarkEnd w:id="23"/>
      <w:bookmarkEnd w:id="24"/>
    </w:p>
    <w:p w14:paraId="35AC59EA" w14:textId="1AB285CD" w:rsidR="006F59F6" w:rsidRDefault="00600896" w:rsidP="00B3315F">
      <w:pPr>
        <w:spacing w:before="120" w:after="120" w:line="360" w:lineRule="auto"/>
        <w:ind w:firstLine="720"/>
        <w:jc w:val="both"/>
      </w:pPr>
      <w:r>
        <w:t>The diffusion of innovation theory</w:t>
      </w:r>
      <w:r w:rsidR="00EE1F87">
        <w:t>, as illustrated in figure 4 by JWPM Consulting (</w:t>
      </w:r>
      <w:r w:rsidR="00EE1F87" w:rsidRPr="00304B54">
        <w:t>2023)</w:t>
      </w:r>
      <w:r w:rsidR="00EE1F87">
        <w:t>,</w:t>
      </w:r>
      <w:r>
        <w:t xml:space="preserve"> divides customers into five categories of innovators, early adopters, early majority, late majority and laggards. </w:t>
      </w:r>
      <w:r w:rsidR="00EE1F87">
        <w:t>Their r</w:t>
      </w:r>
      <w:r w:rsidR="006F59F6">
        <w:t>esearch suggests that, from the perspec</w:t>
      </w:r>
      <w:r w:rsidR="005B3FB4">
        <w:t xml:space="preserve">tive of this </w:t>
      </w:r>
      <w:r w:rsidR="000D6D2C">
        <w:t xml:space="preserve">theory, pioneers usually appeal to innovators and early adopters that usually have a high socio-economic status and openness to take risks and try out new and innovative offerings. On the contrary, the population usually targeted by followers are </w:t>
      </w:r>
      <w:r w:rsidR="00304B54">
        <w:t>early a</w:t>
      </w:r>
      <w:r w:rsidR="00FD44D6">
        <w:t>nd lat</w:t>
      </w:r>
      <w:r w:rsidR="000D6D2C">
        <w:t xml:space="preserve">e majority and laggards. </w:t>
      </w:r>
      <w:r w:rsidR="00744DBC">
        <w:t xml:space="preserve">These segments are price sensitive and less </w:t>
      </w:r>
      <w:r w:rsidR="00744DBC">
        <w:lastRenderedPageBreak/>
        <w:t xml:space="preserve">willing to </w:t>
      </w:r>
      <w:r w:rsidR="00EE1F87">
        <w:t>take risks with novel products. Thus, they</w:t>
      </w:r>
      <w:r w:rsidR="0056304E">
        <w:t xml:space="preserve"> adopt products only when their performance has been guaranteed. </w:t>
      </w:r>
      <w:r w:rsidR="00C7739E">
        <w:t xml:space="preserve">Based on these target populations, pioneers and followers adopt different strategies during their growth and maturity stages. These strategies are explained in detail below. </w:t>
      </w:r>
    </w:p>
    <w:p w14:paraId="0104DB6A" w14:textId="77777777" w:rsidR="006F59F6" w:rsidRDefault="006F59F6" w:rsidP="00B3315F">
      <w:pPr>
        <w:keepNext/>
        <w:spacing w:before="120" w:after="120" w:line="360" w:lineRule="auto"/>
        <w:jc w:val="center"/>
      </w:pPr>
      <w:r>
        <w:rPr>
          <w:noProof/>
          <w:lang w:val="en-US"/>
        </w:rPr>
        <w:drawing>
          <wp:inline distT="0" distB="0" distL="0" distR="0" wp14:anchorId="1911B87F" wp14:editId="71070734">
            <wp:extent cx="5276850" cy="2957813"/>
            <wp:effectExtent l="19050" t="19050" r="19050" b="14605"/>
            <wp:docPr id="5" name="Picture 5" descr="https://jwpm.com.au/media/pages/reference/product-lifecycle-and-the-diffusion-of-innovation/79d909bd7e-1693451086/product-lifecycle-difusion-of-innov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jwpm.com.au/media/pages/reference/product-lifecycle-and-the-diffusion-of-innovation/79d909bd7e-1693451086/product-lifecycle-difusion-of-innovation.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81431" cy="2960381"/>
                    </a:xfrm>
                    <a:prstGeom prst="rect">
                      <a:avLst/>
                    </a:prstGeom>
                    <a:noFill/>
                    <a:ln>
                      <a:solidFill>
                        <a:schemeClr val="tx1"/>
                      </a:solidFill>
                    </a:ln>
                  </pic:spPr>
                </pic:pic>
              </a:graphicData>
            </a:graphic>
          </wp:inline>
        </w:drawing>
      </w:r>
    </w:p>
    <w:p w14:paraId="7F630ECC" w14:textId="53640A33" w:rsidR="006F59F6" w:rsidRDefault="006F59F6" w:rsidP="00B3315F">
      <w:pPr>
        <w:pStyle w:val="Caption"/>
        <w:spacing w:before="120" w:after="120" w:line="360" w:lineRule="auto"/>
        <w:jc w:val="center"/>
      </w:pPr>
      <w:bookmarkStart w:id="25" w:name="_Toc192454990"/>
      <w:bookmarkStart w:id="26" w:name="_Toc193545344"/>
      <w:r>
        <w:t xml:space="preserve">Figure </w:t>
      </w:r>
      <w:r>
        <w:fldChar w:fldCharType="begin"/>
      </w:r>
      <w:r>
        <w:instrText xml:space="preserve"> SEQ Figure \* ARABIC </w:instrText>
      </w:r>
      <w:r>
        <w:fldChar w:fldCharType="separate"/>
      </w:r>
      <w:r w:rsidR="008804F0">
        <w:rPr>
          <w:noProof/>
        </w:rPr>
        <w:t>4</w:t>
      </w:r>
      <w:r>
        <w:fldChar w:fldCharType="end"/>
      </w:r>
      <w:r>
        <w:rPr>
          <w:lang w:val="en-US"/>
        </w:rPr>
        <w:t>: D</w:t>
      </w:r>
      <w:r w:rsidRPr="00256D44">
        <w:rPr>
          <w:lang w:val="en-US"/>
        </w:rPr>
        <w:t>iffusion of innovation curve</w:t>
      </w:r>
      <w:r>
        <w:rPr>
          <w:noProof/>
          <w:lang w:val="en-US"/>
        </w:rPr>
        <w:t xml:space="preserve"> (JWPM Consulting, </w:t>
      </w:r>
      <w:r w:rsidRPr="00256D44">
        <w:rPr>
          <w:noProof/>
          <w:lang w:val="en-US"/>
        </w:rPr>
        <w:t>2023)</w:t>
      </w:r>
      <w:bookmarkEnd w:id="25"/>
      <w:bookmarkEnd w:id="26"/>
    </w:p>
    <w:p w14:paraId="09803AED" w14:textId="2E38D8A7" w:rsidR="007F468B" w:rsidRDefault="007F468B" w:rsidP="00B3315F">
      <w:pPr>
        <w:pStyle w:val="Heading2"/>
        <w:spacing w:before="120" w:after="120" w:line="360" w:lineRule="auto"/>
      </w:pPr>
      <w:bookmarkStart w:id="27" w:name="_Toc192455116"/>
      <w:bookmarkStart w:id="28" w:name="_Toc193545414"/>
      <w:r>
        <w:t>Growth stage strategies</w:t>
      </w:r>
      <w:bookmarkEnd w:id="27"/>
      <w:bookmarkEnd w:id="28"/>
    </w:p>
    <w:p w14:paraId="0098BE9C" w14:textId="04D18279" w:rsidR="00EF0B48" w:rsidRDefault="001D1027" w:rsidP="00B3315F">
      <w:pPr>
        <w:pStyle w:val="Heading3"/>
        <w:spacing w:before="120" w:after="120" w:line="360" w:lineRule="auto"/>
      </w:pPr>
      <w:bookmarkStart w:id="29" w:name="_Toc192455117"/>
      <w:bookmarkStart w:id="30" w:name="_Toc193545415"/>
      <w:r>
        <w:t>Pioneers</w:t>
      </w:r>
      <w:bookmarkEnd w:id="29"/>
      <w:bookmarkEnd w:id="30"/>
    </w:p>
    <w:p w14:paraId="71B5133C" w14:textId="750021A7" w:rsidR="00C957A6" w:rsidRDefault="00C957A6" w:rsidP="00B3315F">
      <w:pPr>
        <w:spacing w:before="120" w:after="120" w:line="360" w:lineRule="auto"/>
        <w:ind w:firstLine="720"/>
        <w:jc w:val="both"/>
      </w:pPr>
      <w:bookmarkStart w:id="31" w:name="_Toc192455118"/>
      <w:r>
        <w:t xml:space="preserve">According to </w:t>
      </w:r>
      <w:r w:rsidRPr="00C957A6">
        <w:t>Gó</w:t>
      </w:r>
      <w:r>
        <w:t>mez, Pérez-</w:t>
      </w:r>
      <w:proofErr w:type="spellStart"/>
      <w:r>
        <w:t>Aradros</w:t>
      </w:r>
      <w:proofErr w:type="spellEnd"/>
      <w:r>
        <w:t xml:space="preserve"> and Salazar (</w:t>
      </w:r>
      <w:r w:rsidRPr="00C957A6">
        <w:t>2021)</w:t>
      </w:r>
      <w:r>
        <w:t xml:space="preserve">, during the growth stages pioneers benefit form an increased acceptance of innovation and diffusion of information which accelerate the rate of adoption. In this stage, pioneers </w:t>
      </w:r>
      <w:r w:rsidR="00B42910">
        <w:t xml:space="preserve">try to find the best fit among </w:t>
      </w:r>
      <w:r>
        <w:t xml:space="preserve">the three isolating mechanisms of technology leadership, pre-emption of scarce assets and switching costs/buyer choice under uncertainty. </w:t>
      </w:r>
      <w:r w:rsidR="00B42910">
        <w:t>This balance can be achieved by adopting Porter’</w:t>
      </w:r>
      <w:r w:rsidR="00046EE8">
        <w:t xml:space="preserve">s differentiation strategy and helps the firms increase their market share and revenues. </w:t>
      </w:r>
      <w:r w:rsidR="00054DEF">
        <w:t xml:space="preserve">The differentiation strategy also helps pioneers build brand name which serves a source of sustained competitive advantage during the later stages. </w:t>
      </w:r>
    </w:p>
    <w:p w14:paraId="4290DC0F" w14:textId="6A287453" w:rsidR="001D1027" w:rsidRDefault="001D1027" w:rsidP="00B3315F">
      <w:pPr>
        <w:pStyle w:val="Heading3"/>
        <w:spacing w:before="120" w:after="120" w:line="360" w:lineRule="auto"/>
      </w:pPr>
      <w:bookmarkStart w:id="32" w:name="_Toc193545416"/>
      <w:r>
        <w:t>Followers</w:t>
      </w:r>
      <w:bookmarkEnd w:id="31"/>
      <w:bookmarkEnd w:id="32"/>
    </w:p>
    <w:p w14:paraId="3CCEF20B" w14:textId="00A1F03B" w:rsidR="001D1027" w:rsidRDefault="00751998" w:rsidP="00B3315F">
      <w:pPr>
        <w:spacing w:before="120" w:after="120" w:line="360" w:lineRule="auto"/>
        <w:jc w:val="both"/>
      </w:pPr>
      <w:r>
        <w:tab/>
      </w:r>
      <w:r w:rsidR="00F10C46" w:rsidRPr="00F10C46">
        <w:t>Gó</w:t>
      </w:r>
      <w:r w:rsidR="00F10C46">
        <w:t>mez, Pérez-</w:t>
      </w:r>
      <w:proofErr w:type="spellStart"/>
      <w:r w:rsidR="00F10C46">
        <w:t>Aradros</w:t>
      </w:r>
      <w:proofErr w:type="spellEnd"/>
      <w:r w:rsidR="00F10C46">
        <w:t xml:space="preserve"> and Salazar (</w:t>
      </w:r>
      <w:r w:rsidR="00F10C46" w:rsidRPr="00F10C46">
        <w:t>2022)</w:t>
      </w:r>
      <w:r w:rsidR="00F10C46">
        <w:t xml:space="preserve"> found that d</w:t>
      </w:r>
      <w:r>
        <w:t xml:space="preserve">uring growth stages, followers confront increasing customer demand and price sensitivity as well as high competition </w:t>
      </w:r>
      <w:r w:rsidR="00B7118F">
        <w:t>from</w:t>
      </w:r>
      <w:r>
        <w:t xml:space="preserve"> established pioneers. This requires them to focus on </w:t>
      </w:r>
      <w:r w:rsidR="005E26A5">
        <w:t xml:space="preserve">market </w:t>
      </w:r>
      <w:r w:rsidR="005E26A5">
        <w:lastRenderedPageBreak/>
        <w:t xml:space="preserve">penetration strategy </w:t>
      </w:r>
      <w:r w:rsidR="00467D44">
        <w:t>driven by cost-leadership</w:t>
      </w:r>
      <w:r>
        <w:t xml:space="preserve">. They can </w:t>
      </w:r>
      <w:r w:rsidR="005E26A5">
        <w:t>achieve brand growth by p</w:t>
      </w:r>
      <w:r w:rsidR="00A00327">
        <w:t>ositioning themselves for greater</w:t>
      </w:r>
      <w:r w:rsidR="00360D40">
        <w:t xml:space="preserve"> quality or additional product features than those offered by pioneers.</w:t>
      </w:r>
      <w:r w:rsidR="00F10C46">
        <w:t xml:space="preserve"> </w:t>
      </w:r>
      <w:r w:rsidR="00360D40">
        <w:t xml:space="preserve"> </w:t>
      </w:r>
    </w:p>
    <w:p w14:paraId="3170DF3F" w14:textId="6A12FAEE" w:rsidR="007F468B" w:rsidRDefault="007F468B" w:rsidP="00B3315F">
      <w:pPr>
        <w:pStyle w:val="Heading2"/>
        <w:spacing w:before="120" w:after="120" w:line="360" w:lineRule="auto"/>
      </w:pPr>
      <w:bookmarkStart w:id="33" w:name="_Toc192455119"/>
      <w:bookmarkStart w:id="34" w:name="_Toc193545417"/>
      <w:r>
        <w:t>Maturity stage strategies</w:t>
      </w:r>
      <w:bookmarkEnd w:id="33"/>
      <w:bookmarkEnd w:id="34"/>
      <w:r>
        <w:t xml:space="preserve"> </w:t>
      </w:r>
    </w:p>
    <w:p w14:paraId="04C54584" w14:textId="77777777" w:rsidR="00E20458" w:rsidRDefault="00E20458" w:rsidP="00B3315F">
      <w:pPr>
        <w:pStyle w:val="Heading3"/>
        <w:spacing w:before="120" w:after="120" w:line="360" w:lineRule="auto"/>
      </w:pPr>
      <w:bookmarkStart w:id="35" w:name="_Toc192455120"/>
      <w:bookmarkStart w:id="36" w:name="_Toc193545418"/>
      <w:r>
        <w:t>Pioneers</w:t>
      </w:r>
      <w:bookmarkEnd w:id="35"/>
      <w:bookmarkEnd w:id="36"/>
    </w:p>
    <w:p w14:paraId="1F0893D9" w14:textId="25062B7B" w:rsidR="00E20458" w:rsidRDefault="00CD75AF" w:rsidP="00B3315F">
      <w:pPr>
        <w:spacing w:before="120" w:after="120" w:line="360" w:lineRule="auto"/>
        <w:ind w:firstLine="720"/>
        <w:jc w:val="both"/>
      </w:pPr>
      <w:r>
        <w:t>Davis and DeWitt (</w:t>
      </w:r>
      <w:r w:rsidRPr="00CD75AF">
        <w:t>2021)</w:t>
      </w:r>
      <w:r>
        <w:t xml:space="preserve"> argue that f</w:t>
      </w:r>
      <w:r w:rsidR="003A5441">
        <w:t xml:space="preserve">rom the Resource-Based View (RBV), organizations at this stage focus on gaining resources that are imperfectly imitable, before competitors can implement similar strategies. Examples of such resources may include access to extensive distribution channels or developing a complex supply chain. Such resources help raise the barriers of entry for late movers and give a sustained competitive to pioneers.  </w:t>
      </w:r>
    </w:p>
    <w:p w14:paraId="4C3AEDD2" w14:textId="77777777" w:rsidR="00E20458" w:rsidRDefault="00E20458" w:rsidP="00B3315F">
      <w:pPr>
        <w:pStyle w:val="Heading3"/>
        <w:spacing w:before="120" w:after="120" w:line="360" w:lineRule="auto"/>
      </w:pPr>
      <w:bookmarkStart w:id="37" w:name="_Toc192455121"/>
      <w:bookmarkStart w:id="38" w:name="_Toc193545419"/>
      <w:r>
        <w:t>Followers</w:t>
      </w:r>
      <w:bookmarkEnd w:id="37"/>
      <w:bookmarkEnd w:id="38"/>
    </w:p>
    <w:p w14:paraId="0BC28009" w14:textId="7B9F82FF" w:rsidR="00E20458" w:rsidRDefault="00037F88" w:rsidP="00B3315F">
      <w:pPr>
        <w:spacing w:before="120" w:after="120" w:line="360" w:lineRule="auto"/>
        <w:ind w:firstLine="720"/>
        <w:jc w:val="both"/>
      </w:pPr>
      <w:r>
        <w:t xml:space="preserve">According to </w:t>
      </w:r>
      <w:r w:rsidRPr="00037F88">
        <w:t>Gó</w:t>
      </w:r>
      <w:r>
        <w:t>mez, Pérez-</w:t>
      </w:r>
      <w:proofErr w:type="spellStart"/>
      <w:r>
        <w:t>Aradros</w:t>
      </w:r>
      <w:proofErr w:type="spellEnd"/>
      <w:r>
        <w:t xml:space="preserve"> and Salazar (</w:t>
      </w:r>
      <w:r w:rsidRPr="00037F88">
        <w:t>2022)</w:t>
      </w:r>
      <w:r>
        <w:t xml:space="preserve">, as the markets mature, </w:t>
      </w:r>
      <w:r w:rsidR="00125544">
        <w:t xml:space="preserve">the level of uncertainty reduces and more customers are willing to buy the product. However, these </w:t>
      </w:r>
      <w:r w:rsidR="00995F72">
        <w:t xml:space="preserve">customers also have a low willingness to tolerate any risks or to pay for the product if its success is not guaranteed. </w:t>
      </w:r>
      <w:r w:rsidR="00467D44">
        <w:t xml:space="preserve">Therefore, in this stage, followers combine cost-leadership strategy with </w:t>
      </w:r>
      <w:r w:rsidR="00B87A64">
        <w:t xml:space="preserve">product improvements that are not breakthrough changes but guarantee success. </w:t>
      </w:r>
      <w:r w:rsidR="005041E8">
        <w:t xml:space="preserve">However, in markets where technological change is rapid, </w:t>
      </w:r>
      <w:r w:rsidR="000C74F0">
        <w:t xml:space="preserve">followers may also have to engage in some degree of differentiation as the cost-leadership strategy alone may become of inferior effectiveness, given the rapid rate of innovative improvements. </w:t>
      </w:r>
    </w:p>
    <w:p w14:paraId="3FB69E94" w14:textId="60AD7C59" w:rsidR="00E20458" w:rsidRPr="00C40BC3" w:rsidRDefault="00E20458" w:rsidP="00B3315F">
      <w:pPr>
        <w:pStyle w:val="Heading2"/>
        <w:spacing w:before="120" w:after="120" w:line="360" w:lineRule="auto"/>
      </w:pPr>
      <w:bookmarkStart w:id="39" w:name="_Toc193545420"/>
      <w:r w:rsidRPr="00C40BC3">
        <w:t>Exam</w:t>
      </w:r>
      <w:r w:rsidRPr="00C40BC3">
        <w:rPr>
          <w:rStyle w:val="Heading2Char"/>
        </w:rPr>
        <w:t>p</w:t>
      </w:r>
      <w:r w:rsidRPr="00C40BC3">
        <w:t>le</w:t>
      </w:r>
      <w:r w:rsidR="00867F44" w:rsidRPr="00C40BC3">
        <w:t>s</w:t>
      </w:r>
      <w:bookmarkEnd w:id="39"/>
    </w:p>
    <w:p w14:paraId="6B9D73FD" w14:textId="60F03C79" w:rsidR="00AD4D65" w:rsidRPr="00EB6EF0" w:rsidRDefault="00AD4D65" w:rsidP="00B3315F">
      <w:pPr>
        <w:pStyle w:val="Heading3"/>
        <w:numPr>
          <w:ilvl w:val="0"/>
          <w:numId w:val="5"/>
        </w:numPr>
        <w:spacing w:before="120" w:after="120" w:line="360" w:lineRule="auto"/>
        <w:rPr>
          <w:i/>
          <w:iCs/>
        </w:rPr>
      </w:pPr>
      <w:bookmarkStart w:id="40" w:name="_Toc193545421"/>
      <w:r w:rsidRPr="00EB6EF0">
        <w:rPr>
          <w:i/>
          <w:iCs/>
        </w:rPr>
        <w:t>Tesla as a Pioneer</w:t>
      </w:r>
      <w:bookmarkEnd w:id="40"/>
    </w:p>
    <w:p w14:paraId="131DDF5B" w14:textId="6A89F04D" w:rsidR="005A0154" w:rsidRDefault="00AD4D65" w:rsidP="00B3315F">
      <w:pPr>
        <w:spacing w:before="120" w:after="120" w:line="360" w:lineRule="auto"/>
        <w:ind w:firstLine="720"/>
        <w:jc w:val="both"/>
      </w:pPr>
      <w:r>
        <w:t>Rowland (</w:t>
      </w:r>
      <w:r w:rsidRPr="00AD4D65">
        <w:t>2023)</w:t>
      </w:r>
      <w:r>
        <w:t xml:space="preserve"> argue</w:t>
      </w:r>
      <w:r w:rsidR="002A3ADB">
        <w:t>s</w:t>
      </w:r>
      <w:r>
        <w:t xml:space="preserve"> that adopting a differentiation strategy</w:t>
      </w:r>
      <w:r w:rsidR="00300434">
        <w:t xml:space="preserve"> had</w:t>
      </w:r>
      <w:r w:rsidR="002E0A3C">
        <w:t xml:space="preserve"> enabled </w:t>
      </w:r>
      <w:r>
        <w:t xml:space="preserve">Tesla to attract early adopters of Electric Vehicles in the global automobiles market. </w:t>
      </w:r>
      <w:r w:rsidR="002D6C3E">
        <w:t xml:space="preserve">However, </w:t>
      </w:r>
      <w:r w:rsidR="00300434">
        <w:t>with the entry of other rivals in the market and the advancement of market towards maturity stages, the competition is increasing.</w:t>
      </w:r>
      <w:r w:rsidR="002E0A3C">
        <w:t xml:space="preserve"> As illustrated in figure 5, while Tesla still holds the largest share of EV market, the gap between its own share and that of its Chinese rival BYD is closing. </w:t>
      </w:r>
      <w:r w:rsidR="002E3559">
        <w:t xml:space="preserve">At this stage, for continued market leadership, Tesla </w:t>
      </w:r>
      <w:r w:rsidR="00E36C83">
        <w:t xml:space="preserve">is adopting different strategies such as vertical integration to gain control of most </w:t>
      </w:r>
      <w:r w:rsidR="008E2EB0">
        <w:lastRenderedPageBreak/>
        <w:t xml:space="preserve">of its resources. It is bringing continuous innovation for sustained competitive </w:t>
      </w:r>
      <w:r w:rsidR="00EC6251">
        <w:t>advanta</w:t>
      </w:r>
      <w:r w:rsidR="00615AD7">
        <w:t>ge.</w:t>
      </w:r>
    </w:p>
    <w:p w14:paraId="69550828" w14:textId="77777777" w:rsidR="005A0154" w:rsidRDefault="005A0154" w:rsidP="00B3315F">
      <w:pPr>
        <w:keepNext/>
        <w:spacing w:before="120" w:after="120" w:line="360" w:lineRule="auto"/>
        <w:jc w:val="both"/>
      </w:pPr>
      <w:r>
        <w:rPr>
          <w:noProof/>
          <w:lang w:val="en-US"/>
        </w:rPr>
        <w:drawing>
          <wp:inline distT="0" distB="0" distL="0" distR="0" wp14:anchorId="7FBECC7B" wp14:editId="209C9879">
            <wp:extent cx="5731510" cy="4114800"/>
            <wp:effectExtent l="0" t="0" r="2540" b="0"/>
            <wp:docPr id="1" name="Picture 1" descr="Infographic: Tesla and BYD Claim a Third of the Global BEV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esla and BYD Claim a Third of the Global BEV Market | Statista"/>
                    <pic:cNvPicPr>
                      <a:picLocks noChangeAspect="1" noChangeArrowheads="1"/>
                    </pic:cNvPicPr>
                  </pic:nvPicPr>
                  <pic:blipFill rotWithShape="1">
                    <a:blip r:embed="rId13">
                      <a:extLst>
                        <a:ext uri="{28A0092B-C50C-407E-A947-70E740481C1C}">
                          <a14:useLocalDpi xmlns:a14="http://schemas.microsoft.com/office/drawing/2010/main" val="0"/>
                        </a:ext>
                      </a:extLst>
                    </a:blip>
                    <a:srcRect t="18447" b="9761"/>
                    <a:stretch/>
                  </pic:blipFill>
                  <pic:spPr bwMode="auto">
                    <a:xfrm>
                      <a:off x="0" y="0"/>
                      <a:ext cx="5731510" cy="4114800"/>
                    </a:xfrm>
                    <a:prstGeom prst="rect">
                      <a:avLst/>
                    </a:prstGeom>
                    <a:noFill/>
                    <a:ln>
                      <a:noFill/>
                    </a:ln>
                    <a:extLst>
                      <a:ext uri="{53640926-AAD7-44D8-BBD7-CCE9431645EC}">
                        <a14:shadowObscured xmlns:a14="http://schemas.microsoft.com/office/drawing/2010/main"/>
                      </a:ext>
                    </a:extLst>
                  </pic:spPr>
                </pic:pic>
              </a:graphicData>
            </a:graphic>
          </wp:inline>
        </w:drawing>
      </w:r>
    </w:p>
    <w:p w14:paraId="6E8928E8" w14:textId="6C5BDD75" w:rsidR="00AD4D65" w:rsidRDefault="005A0154" w:rsidP="00B3315F">
      <w:pPr>
        <w:pStyle w:val="Caption"/>
        <w:spacing w:before="120" w:after="120" w:line="360" w:lineRule="auto"/>
        <w:jc w:val="center"/>
      </w:pPr>
      <w:bookmarkStart w:id="41" w:name="_Toc193545345"/>
      <w:r>
        <w:t xml:space="preserve">Figure </w:t>
      </w:r>
      <w:r>
        <w:fldChar w:fldCharType="begin"/>
      </w:r>
      <w:r>
        <w:instrText xml:space="preserve"> SEQ Figure \* ARABIC </w:instrText>
      </w:r>
      <w:r>
        <w:fldChar w:fldCharType="separate"/>
      </w:r>
      <w:r w:rsidR="008804F0">
        <w:rPr>
          <w:noProof/>
        </w:rPr>
        <w:t>5</w:t>
      </w:r>
      <w:r>
        <w:fldChar w:fldCharType="end"/>
      </w:r>
      <w:r>
        <w:rPr>
          <w:lang w:val="en-US"/>
        </w:rPr>
        <w:t>: Tesla's share in the Global EV market</w:t>
      </w:r>
      <w:r>
        <w:rPr>
          <w:noProof/>
          <w:lang w:val="en-US"/>
        </w:rPr>
        <w:t xml:space="preserve"> </w:t>
      </w:r>
      <w:r w:rsidRPr="00912C30">
        <w:rPr>
          <w:noProof/>
          <w:lang w:val="en-US"/>
        </w:rPr>
        <w:t>(Zandt, 2025)</w:t>
      </w:r>
      <w:bookmarkEnd w:id="41"/>
    </w:p>
    <w:p w14:paraId="74AF3A40" w14:textId="137ED155" w:rsidR="00A82210" w:rsidRPr="00EB6EF0" w:rsidRDefault="00994C3A" w:rsidP="00B3315F">
      <w:pPr>
        <w:pStyle w:val="Heading3"/>
        <w:numPr>
          <w:ilvl w:val="0"/>
          <w:numId w:val="5"/>
        </w:numPr>
        <w:spacing w:before="120" w:after="120" w:line="360" w:lineRule="auto"/>
        <w:rPr>
          <w:i/>
          <w:iCs/>
        </w:rPr>
      </w:pPr>
      <w:bookmarkStart w:id="42" w:name="_Toc193545422"/>
      <w:r w:rsidRPr="00EB6EF0">
        <w:rPr>
          <w:i/>
          <w:iCs/>
        </w:rPr>
        <w:t xml:space="preserve">Netflix as a </w:t>
      </w:r>
      <w:r w:rsidR="00B62C06" w:rsidRPr="00EB6EF0">
        <w:rPr>
          <w:i/>
          <w:iCs/>
        </w:rPr>
        <w:t>P</w:t>
      </w:r>
      <w:r w:rsidRPr="00EB6EF0">
        <w:rPr>
          <w:i/>
          <w:iCs/>
        </w:rPr>
        <w:t>ioneer</w:t>
      </w:r>
      <w:bookmarkEnd w:id="42"/>
    </w:p>
    <w:p w14:paraId="266ED522" w14:textId="14972D92" w:rsidR="00994C3A" w:rsidRDefault="00994C3A" w:rsidP="00B3315F">
      <w:pPr>
        <w:spacing w:before="120" w:after="120" w:line="360" w:lineRule="auto"/>
        <w:ind w:firstLine="720"/>
        <w:jc w:val="both"/>
      </w:pPr>
      <w:r>
        <w:t>Feeney (</w:t>
      </w:r>
      <w:r w:rsidRPr="00994C3A">
        <w:t>2024)</w:t>
      </w:r>
      <w:r>
        <w:t xml:space="preserve"> states that Netflix</w:t>
      </w:r>
      <w:r w:rsidR="00B62C06">
        <w:t xml:space="preserve"> had the first-mover advantage in the streaming service. During its growth stages, </w:t>
      </w:r>
      <w:r w:rsidR="0004402F">
        <w:t xml:space="preserve">the company rapidly </w:t>
      </w:r>
      <w:r w:rsidR="00B62C06">
        <w:t>gain</w:t>
      </w:r>
      <w:r w:rsidR="0004402F">
        <w:t>ed</w:t>
      </w:r>
      <w:r w:rsidR="00B62C06">
        <w:t xml:space="preserve"> a significant marke</w:t>
      </w:r>
      <w:r w:rsidR="0004402F">
        <w:t>t share</w:t>
      </w:r>
      <w:r w:rsidR="008804F0">
        <w:t xml:space="preserve">. </w:t>
      </w:r>
      <w:r w:rsidR="007B2EB9">
        <w:t>Figure shows the year of launch of Netflix, Amazon Prime and Disney+ along with the number of their subscribers as of 2024.</w:t>
      </w:r>
      <w:r w:rsidR="00B413BE">
        <w:t xml:space="preserve"> As the streaming market has reached its maturity, Disney+ recorded net losses at the end of FY2024 while on the contrary, </w:t>
      </w:r>
      <w:r w:rsidR="0076558C">
        <w:t>Netflix reported a net income of $2.3 billion</w:t>
      </w:r>
      <w:r w:rsidR="0076558C" w:rsidRPr="0076558C">
        <w:t>.</w:t>
      </w:r>
      <w:r w:rsidR="0004402F">
        <w:t xml:space="preserve"> Part of this can be attributed to its strategy of entering into contracts and partnerships with </w:t>
      </w:r>
      <w:r w:rsidR="0004402F" w:rsidRPr="00B62C06">
        <w:t>local internet service providers and device manufacturers</w:t>
      </w:r>
      <w:r w:rsidR="0004402F">
        <w:t xml:space="preserve"> which helped it maintain its popularity and profitability. </w:t>
      </w:r>
    </w:p>
    <w:p w14:paraId="6C9D5779" w14:textId="77777777" w:rsidR="008804F0" w:rsidRDefault="008804F0" w:rsidP="00B3315F">
      <w:pPr>
        <w:keepNext/>
        <w:spacing w:before="120" w:after="120" w:line="360" w:lineRule="auto"/>
        <w:jc w:val="center"/>
      </w:pPr>
      <w:r w:rsidRPr="008804F0">
        <w:rPr>
          <w:noProof/>
        </w:rPr>
        <w:lastRenderedPageBreak/>
        <w:drawing>
          <wp:inline distT="0" distB="0" distL="0" distR="0" wp14:anchorId="66E14100" wp14:editId="5E245ECF">
            <wp:extent cx="3781953" cy="1457528"/>
            <wp:effectExtent l="19050" t="19050" r="28575"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81953" cy="1457528"/>
                    </a:xfrm>
                    <a:prstGeom prst="rect">
                      <a:avLst/>
                    </a:prstGeom>
                    <a:ln>
                      <a:solidFill>
                        <a:schemeClr val="accent1"/>
                      </a:solidFill>
                    </a:ln>
                  </pic:spPr>
                </pic:pic>
              </a:graphicData>
            </a:graphic>
          </wp:inline>
        </w:drawing>
      </w:r>
    </w:p>
    <w:p w14:paraId="3799873D" w14:textId="5294B261" w:rsidR="008804F0" w:rsidRPr="00994C3A" w:rsidRDefault="008804F0" w:rsidP="00B3315F">
      <w:pPr>
        <w:pStyle w:val="Caption"/>
        <w:spacing w:before="120" w:after="120" w:line="360" w:lineRule="auto"/>
        <w:jc w:val="center"/>
      </w:pPr>
      <w:bookmarkStart w:id="43" w:name="_Toc193545346"/>
      <w:r>
        <w:t xml:space="preserve">Figure </w:t>
      </w:r>
      <w:r>
        <w:fldChar w:fldCharType="begin"/>
      </w:r>
      <w:r>
        <w:instrText xml:space="preserve"> SEQ Figure \* ARABIC </w:instrText>
      </w:r>
      <w:r>
        <w:fldChar w:fldCharType="separate"/>
      </w:r>
      <w:r>
        <w:rPr>
          <w:noProof/>
        </w:rPr>
        <w:t>6</w:t>
      </w:r>
      <w:r>
        <w:fldChar w:fldCharType="end"/>
      </w:r>
      <w:r>
        <w:rPr>
          <w:lang w:val="en-US"/>
        </w:rPr>
        <w:t>: Ne</w:t>
      </w:r>
      <w:r w:rsidR="00186827">
        <w:rPr>
          <w:lang w:val="en-US"/>
        </w:rPr>
        <w:t>tflix, Amazon Prime and Disney+</w:t>
      </w:r>
      <w:r>
        <w:rPr>
          <w:lang w:val="en-US"/>
        </w:rPr>
        <w:t xml:space="preserve">: Year of launch and Current count of subscribers </w:t>
      </w:r>
      <w:r w:rsidRPr="008804F0">
        <w:rPr>
          <w:lang w:val="en-US"/>
        </w:rPr>
        <w:t>(Feeney, 2024)</w:t>
      </w:r>
      <w:bookmarkEnd w:id="43"/>
    </w:p>
    <w:p w14:paraId="410EA2A4" w14:textId="6A6FAC60" w:rsidR="00C40BC3" w:rsidRPr="00EB6EF0" w:rsidRDefault="00B62C06" w:rsidP="00B3315F">
      <w:pPr>
        <w:pStyle w:val="Heading3"/>
        <w:numPr>
          <w:ilvl w:val="0"/>
          <w:numId w:val="5"/>
        </w:numPr>
        <w:spacing w:before="120" w:after="120" w:line="360" w:lineRule="auto"/>
        <w:rPr>
          <w:i/>
          <w:iCs/>
        </w:rPr>
      </w:pPr>
      <w:bookmarkStart w:id="44" w:name="_Toc193545423"/>
      <w:r w:rsidRPr="00EB6EF0">
        <w:rPr>
          <w:i/>
          <w:iCs/>
        </w:rPr>
        <w:t>Toyota as a F</w:t>
      </w:r>
      <w:r w:rsidR="00C40BC3" w:rsidRPr="00EB6EF0">
        <w:rPr>
          <w:i/>
          <w:iCs/>
        </w:rPr>
        <w:t>ollower</w:t>
      </w:r>
      <w:bookmarkEnd w:id="44"/>
    </w:p>
    <w:p w14:paraId="1635028D" w14:textId="42BF9938" w:rsidR="00853793" w:rsidRDefault="00E46098" w:rsidP="00B3315F">
      <w:pPr>
        <w:spacing w:before="120" w:after="120" w:line="360" w:lineRule="auto"/>
        <w:ind w:firstLine="720"/>
        <w:jc w:val="both"/>
      </w:pPr>
      <w:r>
        <w:t>While now a major industry leader, Toyota entered the market as a follower by analysing the strategies of American competitors including Ford and General Motors.</w:t>
      </w:r>
      <w:r w:rsidR="00E455C3">
        <w:t xml:space="preserve"> Khan and Muhammad (</w:t>
      </w:r>
      <w:r w:rsidR="00E455C3" w:rsidRPr="00E455C3">
        <w:t>2022</w:t>
      </w:r>
      <w:r w:rsidR="00E455C3">
        <w:t xml:space="preserve">) state that the company has been following a cost-leadership strategy through its Toyota Production System that is built on automation, Jut-in-Time, Kanban, flexible production and Kaizen. These tools have helped it achieve </w:t>
      </w:r>
      <w:r w:rsidR="008335D9">
        <w:t xml:space="preserve">cost reduction through incremental improvements in </w:t>
      </w:r>
      <w:r w:rsidR="0081321B">
        <w:t xml:space="preserve">both </w:t>
      </w:r>
      <w:r w:rsidR="008335D9">
        <w:t xml:space="preserve">product and production </w:t>
      </w:r>
      <w:r w:rsidR="00E455C3">
        <w:t>technologies</w:t>
      </w:r>
      <w:r w:rsidR="008335D9">
        <w:t xml:space="preserve">. </w:t>
      </w:r>
      <w:r w:rsidR="00853793">
        <w:t xml:space="preserve">This production system is one of the reasons behind Toyota’s significantly higher operating margin as compared to Ford and </w:t>
      </w:r>
      <w:r w:rsidR="00D71A40">
        <w:t xml:space="preserve">General Motors, as shown in </w:t>
      </w:r>
      <w:r w:rsidR="00853793">
        <w:t>table</w:t>
      </w:r>
      <w:r w:rsidR="00D71A40">
        <w:t xml:space="preserve"> 2</w:t>
      </w:r>
      <w:r w:rsidR="00853793">
        <w:t>.</w:t>
      </w:r>
    </w:p>
    <w:tbl>
      <w:tblPr>
        <w:tblStyle w:val="TableGrid"/>
        <w:tblW w:w="0" w:type="auto"/>
        <w:tblLook w:val="04A0" w:firstRow="1" w:lastRow="0" w:firstColumn="1" w:lastColumn="0" w:noHBand="0" w:noVBand="1"/>
      </w:tblPr>
      <w:tblGrid>
        <w:gridCol w:w="4508"/>
        <w:gridCol w:w="4508"/>
      </w:tblGrid>
      <w:tr w:rsidR="00853793" w14:paraId="66EF0CA2" w14:textId="77777777" w:rsidTr="00853793">
        <w:tc>
          <w:tcPr>
            <w:tcW w:w="4508" w:type="dxa"/>
            <w:shd w:val="clear" w:color="auto" w:fill="DAE9F7" w:themeFill="text2" w:themeFillTint="1A"/>
          </w:tcPr>
          <w:p w14:paraId="2E0EE0D6" w14:textId="7A7A08D8" w:rsidR="00853793" w:rsidRPr="00853793" w:rsidRDefault="00853793" w:rsidP="00B3315F">
            <w:pPr>
              <w:spacing w:before="120" w:after="120" w:line="360" w:lineRule="auto"/>
              <w:jc w:val="center"/>
              <w:rPr>
                <w:b/>
                <w:bCs/>
              </w:rPr>
            </w:pPr>
            <w:r w:rsidRPr="00853793">
              <w:rPr>
                <w:b/>
                <w:bCs/>
              </w:rPr>
              <w:t>Company</w:t>
            </w:r>
          </w:p>
        </w:tc>
        <w:tc>
          <w:tcPr>
            <w:tcW w:w="4508" w:type="dxa"/>
            <w:shd w:val="clear" w:color="auto" w:fill="DAE9F7" w:themeFill="text2" w:themeFillTint="1A"/>
          </w:tcPr>
          <w:p w14:paraId="0BD43482" w14:textId="3B641AC1" w:rsidR="00853793" w:rsidRPr="00853793" w:rsidRDefault="00853793" w:rsidP="00B3315F">
            <w:pPr>
              <w:spacing w:before="120" w:after="120" w:line="360" w:lineRule="auto"/>
              <w:jc w:val="center"/>
              <w:rPr>
                <w:b/>
                <w:bCs/>
              </w:rPr>
            </w:pPr>
            <w:r w:rsidRPr="00853793">
              <w:rPr>
                <w:b/>
                <w:bCs/>
              </w:rPr>
              <w:t>Operating Margin (FY2024)</w:t>
            </w:r>
          </w:p>
        </w:tc>
      </w:tr>
      <w:tr w:rsidR="00853793" w14:paraId="6EABD8B0" w14:textId="77777777" w:rsidTr="00853793">
        <w:tc>
          <w:tcPr>
            <w:tcW w:w="4508" w:type="dxa"/>
          </w:tcPr>
          <w:p w14:paraId="7BC47F89" w14:textId="0F33E3A7" w:rsidR="00853793" w:rsidRDefault="00853793" w:rsidP="00B3315F">
            <w:pPr>
              <w:spacing w:before="120" w:after="120" w:line="360" w:lineRule="auto"/>
              <w:jc w:val="center"/>
            </w:pPr>
            <w:r>
              <w:t>Toyota Motor Corp</w:t>
            </w:r>
          </w:p>
        </w:tc>
        <w:tc>
          <w:tcPr>
            <w:tcW w:w="4508" w:type="dxa"/>
          </w:tcPr>
          <w:p w14:paraId="3C5D9F0F" w14:textId="2B856A19" w:rsidR="00853793" w:rsidRDefault="00853793" w:rsidP="00B3315F">
            <w:pPr>
              <w:spacing w:before="120" w:after="120" w:line="360" w:lineRule="auto"/>
              <w:jc w:val="center"/>
            </w:pPr>
            <w:r>
              <w:t>11.87%</w:t>
            </w:r>
          </w:p>
        </w:tc>
      </w:tr>
      <w:tr w:rsidR="00853793" w14:paraId="2E570F0E" w14:textId="77777777" w:rsidTr="00853793">
        <w:tc>
          <w:tcPr>
            <w:tcW w:w="4508" w:type="dxa"/>
          </w:tcPr>
          <w:p w14:paraId="51A4DAC3" w14:textId="3894DB6C" w:rsidR="00853793" w:rsidRDefault="00853793" w:rsidP="00B3315F">
            <w:pPr>
              <w:spacing w:before="120" w:after="120" w:line="360" w:lineRule="auto"/>
              <w:jc w:val="center"/>
            </w:pPr>
            <w:r>
              <w:t>General Motors Company</w:t>
            </w:r>
          </w:p>
        </w:tc>
        <w:tc>
          <w:tcPr>
            <w:tcW w:w="4508" w:type="dxa"/>
          </w:tcPr>
          <w:p w14:paraId="3C694A60" w14:textId="239F3163" w:rsidR="00853793" w:rsidRDefault="00853793" w:rsidP="00B3315F">
            <w:pPr>
              <w:spacing w:before="120" w:after="120" w:line="360" w:lineRule="auto"/>
              <w:jc w:val="center"/>
            </w:pPr>
            <w:r>
              <w:t>6.82%</w:t>
            </w:r>
          </w:p>
        </w:tc>
      </w:tr>
      <w:tr w:rsidR="00853793" w14:paraId="016752CD" w14:textId="77777777" w:rsidTr="00853793">
        <w:tc>
          <w:tcPr>
            <w:tcW w:w="4508" w:type="dxa"/>
          </w:tcPr>
          <w:p w14:paraId="5CE95F2E" w14:textId="3F53C02E" w:rsidR="00853793" w:rsidRDefault="00853793" w:rsidP="00B3315F">
            <w:pPr>
              <w:spacing w:before="120" w:after="120" w:line="360" w:lineRule="auto"/>
              <w:jc w:val="center"/>
            </w:pPr>
            <w:r>
              <w:t>Ford Motor Co</w:t>
            </w:r>
          </w:p>
        </w:tc>
        <w:tc>
          <w:tcPr>
            <w:tcW w:w="4508" w:type="dxa"/>
          </w:tcPr>
          <w:p w14:paraId="7FF55268" w14:textId="1D75E6FC" w:rsidR="00853793" w:rsidRDefault="00853793" w:rsidP="00B3315F">
            <w:pPr>
              <w:keepNext/>
              <w:spacing w:before="120" w:after="120" w:line="360" w:lineRule="auto"/>
              <w:jc w:val="center"/>
            </w:pPr>
            <w:r>
              <w:t>2.82%</w:t>
            </w:r>
          </w:p>
        </w:tc>
      </w:tr>
    </w:tbl>
    <w:p w14:paraId="0F4994F0" w14:textId="233722CF" w:rsidR="00853793" w:rsidRDefault="00853793" w:rsidP="009C6052">
      <w:pPr>
        <w:pStyle w:val="Caption"/>
        <w:spacing w:before="120" w:after="120" w:line="360" w:lineRule="auto"/>
        <w:jc w:val="center"/>
      </w:pPr>
      <w:r>
        <w:t xml:space="preserve">Table </w:t>
      </w:r>
      <w:r>
        <w:fldChar w:fldCharType="begin"/>
      </w:r>
      <w:r>
        <w:instrText xml:space="preserve"> SEQ Table \* ARABIC </w:instrText>
      </w:r>
      <w:r>
        <w:fldChar w:fldCharType="separate"/>
      </w:r>
      <w:r>
        <w:rPr>
          <w:noProof/>
        </w:rPr>
        <w:t>2</w:t>
      </w:r>
      <w:r>
        <w:fldChar w:fldCharType="end"/>
      </w:r>
      <w:r>
        <w:rPr>
          <w:lang w:val="en-US"/>
        </w:rPr>
        <w:t>: Source: CSI Market</w:t>
      </w:r>
      <w:r w:rsidRPr="001C6900">
        <w:rPr>
          <w:lang w:val="en-US"/>
        </w:rPr>
        <w:t xml:space="preserve"> </w:t>
      </w:r>
      <w:r>
        <w:rPr>
          <w:lang w:val="en-US"/>
        </w:rPr>
        <w:t>(</w:t>
      </w:r>
      <w:r w:rsidRPr="001C6900">
        <w:rPr>
          <w:lang w:val="en-US"/>
        </w:rPr>
        <w:t>2024)</w:t>
      </w:r>
    </w:p>
    <w:p w14:paraId="27486089" w14:textId="5CF1DE6C" w:rsidR="00916569" w:rsidRPr="0018134B" w:rsidRDefault="00F307CB" w:rsidP="00B3315F">
      <w:pPr>
        <w:pStyle w:val="Heading1"/>
        <w:spacing w:before="120" w:after="120" w:line="360" w:lineRule="auto"/>
        <w:rPr>
          <w:b/>
          <w:bCs/>
          <w:u w:val="single"/>
        </w:rPr>
      </w:pPr>
      <w:bookmarkStart w:id="45" w:name="_Toc193545424"/>
      <w:r w:rsidRPr="0018134B">
        <w:rPr>
          <w:b/>
          <w:bCs/>
          <w:u w:val="single"/>
        </w:rPr>
        <w:t>Conclusion</w:t>
      </w:r>
      <w:bookmarkEnd w:id="45"/>
    </w:p>
    <w:p w14:paraId="699FAAB6" w14:textId="5079AEB0" w:rsidR="00B04D7F" w:rsidRDefault="001E4C23" w:rsidP="00B3315F">
      <w:pPr>
        <w:spacing w:before="120" w:after="120" w:line="360" w:lineRule="auto"/>
        <w:ind w:firstLine="720"/>
        <w:jc w:val="both"/>
      </w:pPr>
      <w:r w:rsidRPr="001E4C23">
        <w:t xml:space="preserve">To conclude, the first section of the report discussed the </w:t>
      </w:r>
      <w:r w:rsidR="009276E9">
        <w:t xml:space="preserve">distinct </w:t>
      </w:r>
      <w:r>
        <w:t>advantages</w:t>
      </w:r>
      <w:r w:rsidR="009276E9">
        <w:t xml:space="preserve"> associated with two strategic choices of pioneering and following</w:t>
      </w:r>
      <w:r>
        <w:t xml:space="preserve">. </w:t>
      </w:r>
      <w:r w:rsidR="009276E9">
        <w:t xml:space="preserve">On one hand, pioneer, exemplified by the success of Amazon Web Services and Apple’s iPhone, capitalize on first mover advantages of establishes brand reputation, opportunity to gain a significant market share, temporary monopoly, customer loyalty, technology leadership and high switching costs. </w:t>
      </w:r>
      <w:r w:rsidR="00BE68CB">
        <w:t>However,</w:t>
      </w:r>
      <w:r w:rsidR="00B669BD">
        <w:t xml:space="preserve"> they face risks associated with high </w:t>
      </w:r>
      <w:r w:rsidR="00B669BD">
        <w:lastRenderedPageBreak/>
        <w:t xml:space="preserve">development costs and market uncertainties. On the other hand, </w:t>
      </w:r>
      <w:r w:rsidR="00167930">
        <w:t>followers</w:t>
      </w:r>
      <w:r w:rsidR="0042510E">
        <w:t xml:space="preserve"> like Huawei and Samsung</w:t>
      </w:r>
      <w:r w:rsidR="00E15A2D">
        <w:t xml:space="preserve"> can</w:t>
      </w:r>
      <w:r w:rsidR="00167930">
        <w:t xml:space="preserve"> leverage the market knowledge </w:t>
      </w:r>
      <w:r w:rsidR="00E15A2D">
        <w:t>by</w:t>
      </w:r>
      <w:r w:rsidR="00167930">
        <w:t xml:space="preserve"> observing the experiences </w:t>
      </w:r>
      <w:r w:rsidR="00E15A2D">
        <w:t xml:space="preserve">and performance of pioneers. </w:t>
      </w:r>
      <w:r w:rsidR="007A386D">
        <w:t xml:space="preserve">They can achieve </w:t>
      </w:r>
      <w:r w:rsidR="0042510E">
        <w:t>cost</w:t>
      </w:r>
      <w:r w:rsidR="007A386D">
        <w:t xml:space="preserve">-leadership by enhancing efficiencies and deploying technological improvements. Cost </w:t>
      </w:r>
      <w:r w:rsidR="004C262E">
        <w:t>leadership</w:t>
      </w:r>
      <w:r w:rsidR="007A386D">
        <w:t xml:space="preserve"> helps them </w:t>
      </w:r>
      <w:r w:rsidR="004C262E">
        <w:t xml:space="preserve">target a wider customer base, however, </w:t>
      </w:r>
      <w:r w:rsidR="0042510E">
        <w:t xml:space="preserve">they also have to face competition from already established first movers. </w:t>
      </w:r>
    </w:p>
    <w:p w14:paraId="532BFA1D" w14:textId="7F0940B9" w:rsidR="00F034B5" w:rsidRDefault="00F034B5" w:rsidP="00B3315F">
      <w:pPr>
        <w:spacing w:before="120" w:after="120" w:line="360" w:lineRule="auto"/>
        <w:ind w:firstLine="720"/>
        <w:jc w:val="both"/>
        <w:rPr>
          <w:shd w:val="clear" w:color="auto" w:fill="FFFFFF"/>
        </w:rPr>
      </w:pPr>
      <w:r>
        <w:t>The second section of the report used diffusion of innovation theory to outline the strategies implemented by pioneers and followe</w:t>
      </w:r>
      <w:r w:rsidR="00CE07D0">
        <w:t>rs throughout</w:t>
      </w:r>
      <w:r>
        <w:t xml:space="preserve"> their product life cy</w:t>
      </w:r>
      <w:r w:rsidR="00CE07D0">
        <w:t>cle</w:t>
      </w:r>
      <w:r>
        <w:t xml:space="preserve">, with a focus on growth and maturity stages. </w:t>
      </w:r>
      <w:r w:rsidR="00415F83">
        <w:t>Pioneers focus on differentiation strategy</w:t>
      </w:r>
      <w:r w:rsidR="00503DBB">
        <w:t xml:space="preserve"> for growth, while as the market matures, they try to acq</w:t>
      </w:r>
      <w:r w:rsidR="00791335">
        <w:t>uire resources that can serve a</w:t>
      </w:r>
      <w:r w:rsidR="00503DBB">
        <w:t>s</w:t>
      </w:r>
      <w:r w:rsidR="00791335">
        <w:t xml:space="preserve"> a</w:t>
      </w:r>
      <w:r w:rsidR="00503DBB">
        <w:t xml:space="preserve"> sustained competitive advantage. Conversely, </w:t>
      </w:r>
      <w:r w:rsidR="00791335">
        <w:t xml:space="preserve">followers tend to adopt cost-leadership strategies </w:t>
      </w:r>
      <w:r w:rsidR="00246514">
        <w:t xml:space="preserve">for market penetration during growth stages. As the market matures, while the focus on cost-leadership strategy is sustained, it is also combined with </w:t>
      </w:r>
      <w:r w:rsidR="00043F8C">
        <w:t xml:space="preserve">product improvements to give a perception of better quality and performance. </w:t>
      </w:r>
      <w:r w:rsidR="006D0549">
        <w:t>Examples of</w:t>
      </w:r>
      <w:r w:rsidR="00E00699">
        <w:t xml:space="preserve"> Tesla, Netflix</w:t>
      </w:r>
      <w:r w:rsidR="006D0549">
        <w:t xml:space="preserve"> and Toyota are discussed to support the relevance of these strategies.</w:t>
      </w:r>
    </w:p>
    <w:p w14:paraId="46A10BCA" w14:textId="77777777" w:rsidR="00FF20A8" w:rsidRDefault="00FF20A8" w:rsidP="00B3315F">
      <w:pPr>
        <w:spacing w:before="120" w:after="120" w:line="360" w:lineRule="auto"/>
        <w:rPr>
          <w:rFonts w:asciiTheme="majorHAnsi" w:eastAsiaTheme="majorEastAsia" w:hAnsiTheme="majorHAnsi" w:cstheme="majorBidi"/>
          <w:color w:val="0F4761" w:themeColor="accent1" w:themeShade="BF"/>
          <w:sz w:val="32"/>
          <w:szCs w:val="40"/>
          <w:shd w:val="clear" w:color="auto" w:fill="FFFFFF"/>
        </w:rPr>
      </w:pPr>
      <w:r>
        <w:rPr>
          <w:shd w:val="clear" w:color="auto" w:fill="FFFFFF"/>
        </w:rPr>
        <w:br w:type="page"/>
      </w:r>
    </w:p>
    <w:p w14:paraId="34F22704" w14:textId="38AC5762" w:rsidR="00B04D7F" w:rsidRPr="0018134B" w:rsidRDefault="00B04D7F" w:rsidP="00B3315F">
      <w:pPr>
        <w:pStyle w:val="Heading1"/>
        <w:spacing w:before="120" w:after="120" w:line="360" w:lineRule="auto"/>
        <w:rPr>
          <w:b/>
          <w:bCs/>
          <w:u w:val="single"/>
          <w:shd w:val="clear" w:color="auto" w:fill="FFFFFF"/>
        </w:rPr>
      </w:pPr>
      <w:bookmarkStart w:id="46" w:name="_Toc193545425"/>
      <w:r w:rsidRPr="0018134B">
        <w:rPr>
          <w:b/>
          <w:bCs/>
          <w:u w:val="single"/>
          <w:shd w:val="clear" w:color="auto" w:fill="FFFFFF"/>
        </w:rPr>
        <w:lastRenderedPageBreak/>
        <w:t>References</w:t>
      </w:r>
      <w:bookmarkEnd w:id="46"/>
    </w:p>
    <w:p w14:paraId="63C7879C"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Ansari, S. (2024). </w:t>
      </w:r>
      <w:r w:rsidRPr="00FF20A8">
        <w:rPr>
          <w:rFonts w:ascii="Times New Roman" w:eastAsia="Times New Roman" w:hAnsi="Times New Roman" w:cs="Times New Roman"/>
          <w:i/>
          <w:iCs/>
          <w:kern w:val="0"/>
          <w:lang w:val="en-US"/>
          <w14:ligatures w14:val="none"/>
        </w:rPr>
        <w:t>Case Study in First Mover Advantage: Domain Ownership</w:t>
      </w:r>
      <w:r w:rsidRPr="00FF20A8">
        <w:rPr>
          <w:rFonts w:ascii="Times New Roman" w:eastAsia="Times New Roman" w:hAnsi="Times New Roman" w:cs="Times New Roman"/>
          <w:kern w:val="0"/>
          <w:lang w:val="en-US"/>
          <w14:ligatures w14:val="none"/>
        </w:rPr>
        <w:t>. [online] Economics Online. Available at: https://www.economicsonline.co.uk/all/case-study-in-first-mover-advantage-domain-ownership.html/ [Accessed 20 Mar. 2025].</w:t>
      </w:r>
    </w:p>
    <w:p w14:paraId="78AA594A"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CSI Market (2024). </w:t>
      </w:r>
      <w:r w:rsidRPr="00FF20A8">
        <w:rPr>
          <w:rFonts w:ascii="Times New Roman" w:eastAsia="Times New Roman" w:hAnsi="Times New Roman" w:cs="Times New Roman"/>
          <w:i/>
          <w:iCs/>
          <w:kern w:val="0"/>
          <w:lang w:val="en-US"/>
          <w14:ligatures w14:val="none"/>
        </w:rPr>
        <w:t xml:space="preserve">General Motors Annual Operating Margin Trends, Business Profitability Ranking, Fundamental Ratios - </w:t>
      </w:r>
      <w:proofErr w:type="spellStart"/>
      <w:r w:rsidRPr="00FF20A8">
        <w:rPr>
          <w:rFonts w:ascii="Times New Roman" w:eastAsia="Times New Roman" w:hAnsi="Times New Roman" w:cs="Times New Roman"/>
          <w:i/>
          <w:iCs/>
          <w:kern w:val="0"/>
          <w:lang w:val="en-US"/>
          <w14:ligatures w14:val="none"/>
        </w:rPr>
        <w:t>CSIMarket</w:t>
      </w:r>
      <w:proofErr w:type="spellEnd"/>
      <w:r w:rsidRPr="00FF20A8">
        <w:rPr>
          <w:rFonts w:ascii="Times New Roman" w:eastAsia="Times New Roman" w:hAnsi="Times New Roman" w:cs="Times New Roman"/>
          <w:kern w:val="0"/>
          <w:lang w:val="en-US"/>
          <w14:ligatures w14:val="none"/>
        </w:rPr>
        <w:t>. [online] Csimarket.com. Available at: https://csimarket.com/stocks/singleProfitabilityRatiosy.php?code=GM&amp;oper [Accessed 21 Mar. 2025].</w:t>
      </w:r>
    </w:p>
    <w:p w14:paraId="3A30621F"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Davis, G.F. and DeWitt, T. (2021). Organization Theory and the Resource-Based View of the Firm: the Great Divide. </w:t>
      </w:r>
      <w:r w:rsidRPr="00FF20A8">
        <w:rPr>
          <w:rFonts w:ascii="Times New Roman" w:eastAsia="Times New Roman" w:hAnsi="Times New Roman" w:cs="Times New Roman"/>
          <w:i/>
          <w:iCs/>
          <w:kern w:val="0"/>
          <w:lang w:val="en-US"/>
          <w14:ligatures w14:val="none"/>
        </w:rPr>
        <w:t>Journal of Management</w:t>
      </w:r>
      <w:r w:rsidRPr="00FF20A8">
        <w:rPr>
          <w:rFonts w:ascii="Times New Roman" w:eastAsia="Times New Roman" w:hAnsi="Times New Roman" w:cs="Times New Roman"/>
          <w:kern w:val="0"/>
          <w:lang w:val="en-US"/>
          <w14:ligatures w14:val="none"/>
        </w:rPr>
        <w:t xml:space="preserve">, [online] 47(7), pp.1684–1697.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://doi.org/10.1177/0149206320982650.</w:t>
      </w:r>
    </w:p>
    <w:p w14:paraId="6D310B03"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Dreiling, A. and </w:t>
      </w:r>
      <w:proofErr w:type="spellStart"/>
      <w:r w:rsidRPr="00FF20A8">
        <w:rPr>
          <w:rFonts w:ascii="Times New Roman" w:eastAsia="Times New Roman" w:hAnsi="Times New Roman" w:cs="Times New Roman"/>
          <w:kern w:val="0"/>
          <w:lang w:val="en-US"/>
          <w14:ligatures w14:val="none"/>
        </w:rPr>
        <w:t>Bican</w:t>
      </w:r>
      <w:proofErr w:type="spellEnd"/>
      <w:r w:rsidRPr="00FF20A8">
        <w:rPr>
          <w:rFonts w:ascii="Times New Roman" w:eastAsia="Times New Roman" w:hAnsi="Times New Roman" w:cs="Times New Roman"/>
          <w:kern w:val="0"/>
          <w:lang w:val="en-US"/>
          <w14:ligatures w14:val="none"/>
        </w:rPr>
        <w:t xml:space="preserve">, P.M. (2022). Pioneer or Follower. </w:t>
      </w:r>
      <w:r w:rsidRPr="00FF20A8">
        <w:rPr>
          <w:rFonts w:ascii="Times New Roman" w:eastAsia="Times New Roman" w:hAnsi="Times New Roman" w:cs="Times New Roman"/>
          <w:i/>
          <w:iCs/>
          <w:kern w:val="0"/>
          <w:lang w:val="en-US"/>
          <w14:ligatures w14:val="none"/>
        </w:rPr>
        <w:t>Routledge eBooks</w:t>
      </w:r>
      <w:r w:rsidRPr="00FF20A8">
        <w:rPr>
          <w:rFonts w:ascii="Times New Roman" w:eastAsia="Times New Roman" w:hAnsi="Times New Roman" w:cs="Times New Roman"/>
          <w:kern w:val="0"/>
          <w:lang w:val="en-US"/>
          <w14:ligatures w14:val="none"/>
        </w:rPr>
        <w:t xml:space="preserve">, pp.100–115.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://doi.org/10.4324/9781003046899-10.</w:t>
      </w:r>
    </w:p>
    <w:p w14:paraId="0D80646F"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Feeney, M. (2024). </w:t>
      </w:r>
      <w:r w:rsidRPr="00FF20A8">
        <w:rPr>
          <w:rFonts w:ascii="Times New Roman" w:eastAsia="Times New Roman" w:hAnsi="Times New Roman" w:cs="Times New Roman"/>
          <w:i/>
          <w:iCs/>
          <w:kern w:val="0"/>
          <w:lang w:val="en-US"/>
          <w14:ligatures w14:val="none"/>
        </w:rPr>
        <w:t>Netflix: What’s the Secret to Its Continuing Popularity and profitability? - the Boston Globe</w:t>
      </w:r>
      <w:r w:rsidRPr="00FF20A8">
        <w:rPr>
          <w:rFonts w:ascii="Times New Roman" w:eastAsia="Times New Roman" w:hAnsi="Times New Roman" w:cs="Times New Roman"/>
          <w:kern w:val="0"/>
          <w:lang w:val="en-US"/>
          <w14:ligatures w14:val="none"/>
        </w:rPr>
        <w:t>. [online] BostonGlobe.com. Available at: https://www.bostonglobe.com/2024/04/28/arts/netflix-whats-secret-its-continuing-popularity-profitability/ [Accessed 22 Mar. 2025].</w:t>
      </w:r>
    </w:p>
    <w:p w14:paraId="1199B0FF"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Fischer, M., Henkel, J. and Stern, A.D. (2019). Pioneer (Dis-)advantages in Markets for Technology. </w:t>
      </w:r>
      <w:r w:rsidRPr="00FF20A8">
        <w:rPr>
          <w:rFonts w:ascii="Times New Roman" w:eastAsia="Times New Roman" w:hAnsi="Times New Roman" w:cs="Times New Roman"/>
          <w:i/>
          <w:iCs/>
          <w:kern w:val="0"/>
          <w:lang w:val="en-US"/>
          <w14:ligatures w14:val="none"/>
        </w:rPr>
        <w:t>SSRN Electronic Journal</w:t>
      </w:r>
      <w:r w:rsidRPr="00FF20A8">
        <w:rPr>
          <w:rFonts w:ascii="Times New Roman" w:eastAsia="Times New Roman" w:hAnsi="Times New Roman" w:cs="Times New Roman"/>
          <w:kern w:val="0"/>
          <w:lang w:val="en-US"/>
          <w14:ligatures w14:val="none"/>
        </w:rPr>
        <w:t xml:space="preserve">. [online] </w:t>
      </w:r>
      <w:proofErr w:type="spellStart"/>
      <w:proofErr w:type="gram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://doi.org/10.2139/ssrn.3362959</w:t>
      </w:r>
      <w:proofErr w:type="gramEnd"/>
      <w:r w:rsidRPr="00FF20A8">
        <w:rPr>
          <w:rFonts w:ascii="Times New Roman" w:eastAsia="Times New Roman" w:hAnsi="Times New Roman" w:cs="Times New Roman"/>
          <w:kern w:val="0"/>
          <w:lang w:val="en-US"/>
          <w14:ligatures w14:val="none"/>
        </w:rPr>
        <w:t>.</w:t>
      </w:r>
    </w:p>
    <w:p w14:paraId="5027E2BB"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Gartner (2021). </w:t>
      </w:r>
      <w:r w:rsidRPr="00FF20A8">
        <w:rPr>
          <w:rFonts w:ascii="Times New Roman" w:eastAsia="Times New Roman" w:hAnsi="Times New Roman" w:cs="Times New Roman"/>
          <w:i/>
          <w:iCs/>
          <w:kern w:val="0"/>
          <w:lang w:val="en-US"/>
          <w14:ligatures w14:val="none"/>
        </w:rPr>
        <w:t>Gartner Says Worldwide IaaS Public Cloud Services Market Grew 40.7% in 2020</w:t>
      </w:r>
      <w:r w:rsidRPr="00FF20A8">
        <w:rPr>
          <w:rFonts w:ascii="Times New Roman" w:eastAsia="Times New Roman" w:hAnsi="Times New Roman" w:cs="Times New Roman"/>
          <w:kern w:val="0"/>
          <w:lang w:val="en-US"/>
          <w14:ligatures w14:val="none"/>
        </w:rPr>
        <w:t>. [online] Gartner. Available at: https://www.gartner.com/en/newsroom/press-releases/2021-06-28-gartner-says-worldwide-iaas-public-cloud-services-market-grew-40-7-percent-in-2020 [Accessed 20 Mar. 2025].</w:t>
      </w:r>
    </w:p>
    <w:p w14:paraId="2531ED56"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Gómez, J., Pérez-</w:t>
      </w:r>
      <w:proofErr w:type="spellStart"/>
      <w:r w:rsidRPr="00FF20A8">
        <w:rPr>
          <w:rFonts w:ascii="Times New Roman" w:eastAsia="Times New Roman" w:hAnsi="Times New Roman" w:cs="Times New Roman"/>
          <w:kern w:val="0"/>
          <w:lang w:val="en-US"/>
          <w14:ligatures w14:val="none"/>
        </w:rPr>
        <w:t>Aradros</w:t>
      </w:r>
      <w:proofErr w:type="spellEnd"/>
      <w:r w:rsidRPr="00FF20A8">
        <w:rPr>
          <w:rFonts w:ascii="Times New Roman" w:eastAsia="Times New Roman" w:hAnsi="Times New Roman" w:cs="Times New Roman"/>
          <w:kern w:val="0"/>
          <w:lang w:val="en-US"/>
          <w14:ligatures w14:val="none"/>
        </w:rPr>
        <w:t xml:space="preserve">, B. and Salazar, I. (2021). Does Order of Entry Shape Competitive strategies? an Analysis of European Mobile Operators. </w:t>
      </w:r>
      <w:r w:rsidRPr="00FF20A8">
        <w:rPr>
          <w:rFonts w:ascii="Times New Roman" w:eastAsia="Times New Roman" w:hAnsi="Times New Roman" w:cs="Times New Roman"/>
          <w:i/>
          <w:iCs/>
          <w:kern w:val="0"/>
          <w:lang w:val="en-US"/>
          <w14:ligatures w14:val="none"/>
        </w:rPr>
        <w:t>Long Range Planning</w:t>
      </w:r>
      <w:r w:rsidRPr="00FF20A8">
        <w:rPr>
          <w:rFonts w:ascii="Times New Roman" w:eastAsia="Times New Roman" w:hAnsi="Times New Roman" w:cs="Times New Roman"/>
          <w:kern w:val="0"/>
          <w:lang w:val="en-US"/>
          <w14:ligatures w14:val="none"/>
        </w:rPr>
        <w:t xml:space="preserve">, 54(2), p.101874.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://doi.org/10.1016/j.lrp.2019.02.007.</w:t>
      </w:r>
    </w:p>
    <w:p w14:paraId="076AC813"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Gómez, J., Pérez-</w:t>
      </w:r>
      <w:proofErr w:type="spellStart"/>
      <w:r w:rsidRPr="00FF20A8">
        <w:rPr>
          <w:rFonts w:ascii="Times New Roman" w:eastAsia="Times New Roman" w:hAnsi="Times New Roman" w:cs="Times New Roman"/>
          <w:kern w:val="0"/>
          <w:lang w:val="en-US"/>
          <w14:ligatures w14:val="none"/>
        </w:rPr>
        <w:t>Aradros</w:t>
      </w:r>
      <w:proofErr w:type="spellEnd"/>
      <w:r w:rsidRPr="00FF20A8">
        <w:rPr>
          <w:rFonts w:ascii="Times New Roman" w:eastAsia="Times New Roman" w:hAnsi="Times New Roman" w:cs="Times New Roman"/>
          <w:kern w:val="0"/>
          <w:lang w:val="en-US"/>
          <w14:ligatures w14:val="none"/>
        </w:rPr>
        <w:t xml:space="preserve">, B. and Salazar, I. (2022). How to Beat Early movers: the Role of Competitive Strategy and Industry Dynamism on Followers’ Performance in the Telecommunications Industry. </w:t>
      </w:r>
      <w:r w:rsidRPr="00FF20A8">
        <w:rPr>
          <w:rFonts w:ascii="Times New Roman" w:eastAsia="Times New Roman" w:hAnsi="Times New Roman" w:cs="Times New Roman"/>
          <w:i/>
          <w:iCs/>
          <w:kern w:val="0"/>
          <w:lang w:val="en-US"/>
          <w14:ligatures w14:val="none"/>
        </w:rPr>
        <w:t>Long Range Planning</w:t>
      </w:r>
      <w:r w:rsidRPr="00FF20A8">
        <w:rPr>
          <w:rFonts w:ascii="Times New Roman" w:eastAsia="Times New Roman" w:hAnsi="Times New Roman" w:cs="Times New Roman"/>
          <w:kern w:val="0"/>
          <w:lang w:val="en-US"/>
          <w14:ligatures w14:val="none"/>
        </w:rPr>
        <w:t xml:space="preserve">, [online] 55(5), p.102244.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://doi.org/10.1016/j.lrp.2022.102244.</w:t>
      </w:r>
    </w:p>
    <w:p w14:paraId="268A2D7D"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lastRenderedPageBreak/>
        <w:t xml:space="preserve">Guo, L., Zhang, M.Y., Dodgson, M. and Gann, D. (2019). Huawei’s catch-up in the Global Telecommunication industry: Innovation Capability and Transition to Leadership. </w:t>
      </w:r>
      <w:r w:rsidRPr="00FF20A8">
        <w:rPr>
          <w:rFonts w:ascii="Times New Roman" w:eastAsia="Times New Roman" w:hAnsi="Times New Roman" w:cs="Times New Roman"/>
          <w:i/>
          <w:iCs/>
          <w:kern w:val="0"/>
          <w:lang w:val="en-US"/>
          <w14:ligatures w14:val="none"/>
        </w:rPr>
        <w:t>Technology Analysis &amp; Strategic Management</w:t>
      </w:r>
      <w:r w:rsidRPr="00FF20A8">
        <w:rPr>
          <w:rFonts w:ascii="Times New Roman" w:eastAsia="Times New Roman" w:hAnsi="Times New Roman" w:cs="Times New Roman"/>
          <w:kern w:val="0"/>
          <w:lang w:val="en-US"/>
          <w14:ligatures w14:val="none"/>
        </w:rPr>
        <w:t xml:space="preserve">, [online] 31(12), pp.1–17.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://doi.org/10.1080/09537325.2019.1615615.</w:t>
      </w:r>
    </w:p>
    <w:p w14:paraId="1DFFCACF"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JWPM Consulting (2023). </w:t>
      </w:r>
      <w:r w:rsidRPr="00FF20A8">
        <w:rPr>
          <w:rFonts w:ascii="Times New Roman" w:eastAsia="Times New Roman" w:hAnsi="Times New Roman" w:cs="Times New Roman"/>
          <w:i/>
          <w:iCs/>
          <w:kern w:val="0"/>
          <w:lang w:val="en-US"/>
          <w14:ligatures w14:val="none"/>
        </w:rPr>
        <w:t xml:space="preserve">Product Lifecycle and the </w:t>
      </w:r>
      <w:proofErr w:type="spellStart"/>
      <w:r w:rsidRPr="00FF20A8">
        <w:rPr>
          <w:rFonts w:ascii="Times New Roman" w:eastAsia="Times New Roman" w:hAnsi="Times New Roman" w:cs="Times New Roman"/>
          <w:i/>
          <w:iCs/>
          <w:kern w:val="0"/>
          <w:lang w:val="en-US"/>
          <w14:ligatures w14:val="none"/>
        </w:rPr>
        <w:t>Diffucsion</w:t>
      </w:r>
      <w:proofErr w:type="spellEnd"/>
      <w:r w:rsidRPr="00FF20A8">
        <w:rPr>
          <w:rFonts w:ascii="Times New Roman" w:eastAsia="Times New Roman" w:hAnsi="Times New Roman" w:cs="Times New Roman"/>
          <w:i/>
          <w:iCs/>
          <w:kern w:val="0"/>
          <w:lang w:val="en-US"/>
          <w14:ligatures w14:val="none"/>
        </w:rPr>
        <w:t xml:space="preserve"> of Innovation</w:t>
      </w:r>
      <w:r w:rsidRPr="00FF20A8">
        <w:rPr>
          <w:rFonts w:ascii="Times New Roman" w:eastAsia="Times New Roman" w:hAnsi="Times New Roman" w:cs="Times New Roman"/>
          <w:kern w:val="0"/>
          <w:lang w:val="en-US"/>
          <w14:ligatures w14:val="none"/>
        </w:rPr>
        <w:t>. [online] JWPM Industrial Strength Marketing. Available at: https://jwpm.com.au/reference/product-lifecycle-and-the-diffusion-of-innovation [Accessed 9 Mar. 2025].</w:t>
      </w:r>
    </w:p>
    <w:p w14:paraId="79143C17"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Kamp, B. and Ruiz, I. (2023). Leveraging (in)formal early-mover and diligent-follower Advantage Mechanisms to Attain International Niche Market leadership: Insights from Basque ‘hidden Champions’. </w:t>
      </w:r>
      <w:r w:rsidRPr="00FF20A8">
        <w:rPr>
          <w:rFonts w:ascii="Times New Roman" w:eastAsia="Times New Roman" w:hAnsi="Times New Roman" w:cs="Times New Roman"/>
          <w:i/>
          <w:iCs/>
          <w:kern w:val="0"/>
          <w:lang w:val="en-US"/>
          <w14:ligatures w14:val="none"/>
        </w:rPr>
        <w:t>Competitiveness Review</w:t>
      </w:r>
      <w:r w:rsidRPr="00FF20A8">
        <w:rPr>
          <w:rFonts w:ascii="Times New Roman" w:eastAsia="Times New Roman" w:hAnsi="Times New Roman" w:cs="Times New Roman"/>
          <w:kern w:val="0"/>
          <w:lang w:val="en-US"/>
          <w14:ligatures w14:val="none"/>
        </w:rPr>
        <w:t xml:space="preserve">. [online] </w:t>
      </w:r>
      <w:proofErr w:type="spellStart"/>
      <w:proofErr w:type="gram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://doi.org/10.1108/cr-10-2022-0158</w:t>
      </w:r>
      <w:proofErr w:type="gramEnd"/>
      <w:r w:rsidRPr="00FF20A8">
        <w:rPr>
          <w:rFonts w:ascii="Times New Roman" w:eastAsia="Times New Roman" w:hAnsi="Times New Roman" w:cs="Times New Roman"/>
          <w:kern w:val="0"/>
          <w:lang w:val="en-US"/>
          <w14:ligatures w14:val="none"/>
        </w:rPr>
        <w:t>.</w:t>
      </w:r>
    </w:p>
    <w:p w14:paraId="3C900D2A" w14:textId="158A708D" w:rsidR="00FF20A8" w:rsidRPr="00FF20A8" w:rsidRDefault="00FF20A8" w:rsidP="00705A89">
      <w:pPr>
        <w:spacing w:before="120" w:after="120" w:line="360" w:lineRule="auto"/>
        <w:jc w:val="both"/>
        <w:rPr>
          <w:rFonts w:ascii="Times New Roman" w:eastAsia="Times New Roman" w:hAnsi="Times New Roman" w:cs="Times New Roman"/>
          <w:kern w:val="0"/>
          <w14:ligatures w14:val="none"/>
        </w:rPr>
      </w:pPr>
      <w:r w:rsidRPr="00FF20A8">
        <w:rPr>
          <w:rFonts w:ascii="Times New Roman" w:eastAsia="Times New Roman" w:hAnsi="Times New Roman" w:cs="Times New Roman"/>
          <w:kern w:val="0"/>
          <w14:ligatures w14:val="none"/>
        </w:rPr>
        <w:t>Khan, M.A. and Muhammad, D.I., 2022. Toyota Production System: “Epistemology of Paradigm shift in Japan”. </w:t>
      </w:r>
      <w:r w:rsidRPr="00FF20A8">
        <w:rPr>
          <w:rFonts w:ascii="Times New Roman" w:eastAsia="Times New Roman" w:hAnsi="Times New Roman" w:cs="Times New Roman"/>
          <w:i/>
          <w:iCs/>
          <w:kern w:val="0"/>
          <w14:ligatures w14:val="none"/>
        </w:rPr>
        <w:t>Global Scientific Journal</w:t>
      </w:r>
      <w:r w:rsidRPr="00FF20A8">
        <w:rPr>
          <w:rFonts w:ascii="Times New Roman" w:eastAsia="Times New Roman" w:hAnsi="Times New Roman" w:cs="Times New Roman"/>
          <w:kern w:val="0"/>
          <w14:ligatures w14:val="none"/>
        </w:rPr>
        <w:t>, </w:t>
      </w:r>
      <w:r w:rsidRPr="00FF20A8">
        <w:rPr>
          <w:rFonts w:ascii="Times New Roman" w:eastAsia="Times New Roman" w:hAnsi="Times New Roman" w:cs="Times New Roman"/>
          <w:i/>
          <w:iCs/>
          <w:kern w:val="0"/>
          <w14:ligatures w14:val="none"/>
        </w:rPr>
        <w:t>10</w:t>
      </w:r>
      <w:r w:rsidRPr="00FF20A8">
        <w:rPr>
          <w:rFonts w:ascii="Times New Roman" w:eastAsia="Times New Roman" w:hAnsi="Times New Roman" w:cs="Times New Roman"/>
          <w:kern w:val="0"/>
          <w14:ligatures w14:val="none"/>
        </w:rPr>
        <w:t>(2).</w:t>
      </w:r>
    </w:p>
    <w:p w14:paraId="185236D8"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Leavy, J. and Zhao, S. (2021). Amazon Web Services: First-Mover Advantages and Drawbacks. In: </w:t>
      </w:r>
      <w:r w:rsidRPr="00FF20A8">
        <w:rPr>
          <w:rFonts w:ascii="Times New Roman" w:eastAsia="Times New Roman" w:hAnsi="Times New Roman" w:cs="Times New Roman"/>
          <w:i/>
          <w:iCs/>
          <w:kern w:val="0"/>
          <w:lang w:val="en-US"/>
          <w14:ligatures w14:val="none"/>
        </w:rPr>
        <w:t>Proceedings of the Northeast Business &amp; Economics Association, 2021, p138</w:t>
      </w:r>
      <w:r w:rsidRPr="00FF20A8">
        <w:rPr>
          <w:rFonts w:ascii="Times New Roman" w:eastAsia="Times New Roman" w:hAnsi="Times New Roman" w:cs="Times New Roman"/>
          <w:kern w:val="0"/>
          <w:lang w:val="en-US"/>
          <w14:ligatures w14:val="none"/>
        </w:rPr>
        <w:t>.</w:t>
      </w:r>
    </w:p>
    <w:p w14:paraId="250EB2F2"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Park, C. (2021). Different Determinants Affecting First Mover Advantage and Late Mover Advantage in a Smartphone market: a Comparative Analysis of Apple iPhone and Samsung Galaxy. </w:t>
      </w:r>
      <w:r w:rsidRPr="00FF20A8">
        <w:rPr>
          <w:rFonts w:ascii="Times New Roman" w:eastAsia="Times New Roman" w:hAnsi="Times New Roman" w:cs="Times New Roman"/>
          <w:i/>
          <w:iCs/>
          <w:kern w:val="0"/>
          <w:lang w:val="en-US"/>
          <w14:ligatures w14:val="none"/>
        </w:rPr>
        <w:t>Technology Analysis &amp; Strategic Management</w:t>
      </w:r>
      <w:r w:rsidRPr="00FF20A8">
        <w:rPr>
          <w:rFonts w:ascii="Times New Roman" w:eastAsia="Times New Roman" w:hAnsi="Times New Roman" w:cs="Times New Roman"/>
          <w:kern w:val="0"/>
          <w:lang w:val="en-US"/>
          <w14:ligatures w14:val="none"/>
        </w:rPr>
        <w:t xml:space="preserve">, 34(3), pp.1–16. </w:t>
      </w:r>
      <w:proofErr w:type="spell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://doi.org/10.1080/09537325.2021.1895104.</w:t>
      </w:r>
    </w:p>
    <w:p w14:paraId="3FF3A36A"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Rao, C.B. (2016). </w:t>
      </w:r>
      <w:r w:rsidRPr="00FF20A8">
        <w:rPr>
          <w:rFonts w:ascii="Times New Roman" w:eastAsia="Times New Roman" w:hAnsi="Times New Roman" w:cs="Times New Roman"/>
          <w:i/>
          <w:iCs/>
          <w:kern w:val="0"/>
          <w:lang w:val="en-US"/>
          <w14:ligatures w14:val="none"/>
        </w:rPr>
        <w:t>Technology and Competitive Strategy</w:t>
      </w:r>
      <w:r w:rsidRPr="00FF20A8">
        <w:rPr>
          <w:rFonts w:ascii="Times New Roman" w:eastAsia="Times New Roman" w:hAnsi="Times New Roman" w:cs="Times New Roman"/>
          <w:kern w:val="0"/>
          <w:lang w:val="en-US"/>
          <w14:ligatures w14:val="none"/>
        </w:rPr>
        <w:t>. [online] Notion Press. Available at: https://books.google.com.pk/books?hl=en&amp;lr=&amp;id=i0g8DQAAQBAJ&amp;oi=fnd&amp;pg=PT5&amp;dq=technology+and+competitive+strategy+perspectives+for&amp;ots=mjUItNvfW1&amp;sig=HJqbx8mLmp2DpO3Aw0q2Ml5GoNs&amp;redir_esc=y#v=onepage&amp;q=technology%20and%20competitive%20strategy%20perspectives%20for&amp;f=false [Accessed 22 Mar. 2025].</w:t>
      </w:r>
    </w:p>
    <w:p w14:paraId="00D0E783"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Richter, F. (2024). </w:t>
      </w:r>
      <w:r w:rsidRPr="00FF20A8">
        <w:rPr>
          <w:rFonts w:ascii="Times New Roman" w:eastAsia="Times New Roman" w:hAnsi="Times New Roman" w:cs="Times New Roman"/>
          <w:i/>
          <w:iCs/>
          <w:kern w:val="0"/>
          <w:lang w:val="en-US"/>
          <w14:ligatures w14:val="none"/>
        </w:rPr>
        <w:t>Infographic: Amazon Dominates Public Cloud Market</w:t>
      </w:r>
      <w:r w:rsidRPr="00FF20A8">
        <w:rPr>
          <w:rFonts w:ascii="Times New Roman" w:eastAsia="Times New Roman" w:hAnsi="Times New Roman" w:cs="Times New Roman"/>
          <w:kern w:val="0"/>
          <w:lang w:val="en-US"/>
          <w14:ligatures w14:val="none"/>
        </w:rPr>
        <w:t>. [online] Statista Infographics. Available at: https://www.statista.com/chart/18819/worldwide-market-share-of-leading-cloud-infrastructure-service-providers/ [Accessed 9 Mar. 2025].</w:t>
      </w:r>
    </w:p>
    <w:p w14:paraId="694E436F"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Rowland, C. (2023). </w:t>
      </w:r>
      <w:r w:rsidRPr="00FF20A8">
        <w:rPr>
          <w:rFonts w:ascii="Times New Roman" w:eastAsia="Times New Roman" w:hAnsi="Times New Roman" w:cs="Times New Roman"/>
          <w:i/>
          <w:iCs/>
          <w:kern w:val="0"/>
          <w:lang w:val="en-US"/>
          <w14:ligatures w14:val="none"/>
        </w:rPr>
        <w:t>Tesla, Inc.’s Generic Strategy &amp; Intensive Growth Strategies (Analysis)</w:t>
      </w:r>
      <w:r w:rsidRPr="00FF20A8">
        <w:rPr>
          <w:rFonts w:ascii="Times New Roman" w:eastAsia="Times New Roman" w:hAnsi="Times New Roman" w:cs="Times New Roman"/>
          <w:kern w:val="0"/>
          <w:lang w:val="en-US"/>
          <w14:ligatures w14:val="none"/>
        </w:rPr>
        <w:t xml:space="preserve">. [online] </w:t>
      </w:r>
      <w:proofErr w:type="spellStart"/>
      <w:r w:rsidRPr="00FF20A8">
        <w:rPr>
          <w:rFonts w:ascii="Times New Roman" w:eastAsia="Times New Roman" w:hAnsi="Times New Roman" w:cs="Times New Roman"/>
          <w:kern w:val="0"/>
          <w:lang w:val="en-US"/>
          <w14:ligatures w14:val="none"/>
        </w:rPr>
        <w:t>Panmore</w:t>
      </w:r>
      <w:proofErr w:type="spellEnd"/>
      <w:r w:rsidRPr="00FF20A8">
        <w:rPr>
          <w:rFonts w:ascii="Times New Roman" w:eastAsia="Times New Roman" w:hAnsi="Times New Roman" w:cs="Times New Roman"/>
          <w:kern w:val="0"/>
          <w:lang w:val="en-US"/>
          <w14:ligatures w14:val="none"/>
        </w:rPr>
        <w:t xml:space="preserve"> Institute. Available at: https://panmore.com/tesla-motors-inc-generic-strategy-intensive-growth-strategies-analysis [Accessed 22 Mar. 2025].</w:t>
      </w:r>
    </w:p>
    <w:p w14:paraId="7A7DF807"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lastRenderedPageBreak/>
        <w:t xml:space="preserve">Srinivas, V., </w:t>
      </w:r>
      <w:proofErr w:type="spellStart"/>
      <w:r w:rsidRPr="00FF20A8">
        <w:rPr>
          <w:rFonts w:ascii="Times New Roman" w:eastAsia="Times New Roman" w:hAnsi="Times New Roman" w:cs="Times New Roman"/>
          <w:kern w:val="0"/>
          <w:lang w:val="en-US"/>
          <w14:ligatures w14:val="none"/>
        </w:rPr>
        <w:t>Zagone</w:t>
      </w:r>
      <w:proofErr w:type="spellEnd"/>
      <w:r w:rsidRPr="00FF20A8">
        <w:rPr>
          <w:rFonts w:ascii="Times New Roman" w:eastAsia="Times New Roman" w:hAnsi="Times New Roman" w:cs="Times New Roman"/>
          <w:kern w:val="0"/>
          <w:lang w:val="en-US"/>
          <w14:ligatures w14:val="none"/>
        </w:rPr>
        <w:t xml:space="preserve">, R. and </w:t>
      </w:r>
      <w:proofErr w:type="spellStart"/>
      <w:r w:rsidRPr="00FF20A8">
        <w:rPr>
          <w:rFonts w:ascii="Times New Roman" w:eastAsia="Times New Roman" w:hAnsi="Times New Roman" w:cs="Times New Roman"/>
          <w:kern w:val="0"/>
          <w:lang w:val="en-US"/>
          <w14:ligatures w14:val="none"/>
        </w:rPr>
        <w:t>Therattil</w:t>
      </w:r>
      <w:proofErr w:type="spellEnd"/>
      <w:r w:rsidRPr="00FF20A8">
        <w:rPr>
          <w:rFonts w:ascii="Times New Roman" w:eastAsia="Times New Roman" w:hAnsi="Times New Roman" w:cs="Times New Roman"/>
          <w:kern w:val="0"/>
          <w:lang w:val="en-US"/>
          <w14:ligatures w14:val="none"/>
        </w:rPr>
        <w:t xml:space="preserve">, L. (2014). </w:t>
      </w:r>
      <w:r w:rsidRPr="00FF20A8">
        <w:rPr>
          <w:rFonts w:ascii="Times New Roman" w:eastAsia="Times New Roman" w:hAnsi="Times New Roman" w:cs="Times New Roman"/>
          <w:i/>
          <w:iCs/>
          <w:kern w:val="0"/>
          <w:lang w:val="en-US"/>
          <w14:ligatures w14:val="none"/>
        </w:rPr>
        <w:t>From Follower to Leader Innovation Strategies in Retail Financial Services a Research Report by the Deloitte Center for Financial Services</w:t>
      </w:r>
      <w:r w:rsidRPr="00FF20A8">
        <w:rPr>
          <w:rFonts w:ascii="Times New Roman" w:eastAsia="Times New Roman" w:hAnsi="Times New Roman" w:cs="Times New Roman"/>
          <w:kern w:val="0"/>
          <w:lang w:val="en-US"/>
          <w14:ligatures w14:val="none"/>
        </w:rPr>
        <w:t>. [online] Available at: https://www2.deloitte.com/content/dam/insights/us/articles/financial-services-innovation-strategies/DUP-694_From-follower-to-leader_vFINAL.pdf [Accessed 9 Mar. 2025].</w:t>
      </w:r>
    </w:p>
    <w:p w14:paraId="4DA10FC4"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Statista Research Department (2024). </w:t>
      </w:r>
      <w:r w:rsidRPr="00FF20A8">
        <w:rPr>
          <w:rFonts w:ascii="Times New Roman" w:eastAsia="Times New Roman" w:hAnsi="Times New Roman" w:cs="Times New Roman"/>
          <w:i/>
          <w:iCs/>
          <w:kern w:val="0"/>
          <w:lang w:val="en-US"/>
          <w14:ligatures w14:val="none"/>
        </w:rPr>
        <w:t>Telecom Infrastructure Companies Brand Value 2019 | Statista</w:t>
      </w:r>
      <w:r w:rsidRPr="00FF20A8">
        <w:rPr>
          <w:rFonts w:ascii="Times New Roman" w:eastAsia="Times New Roman" w:hAnsi="Times New Roman" w:cs="Times New Roman"/>
          <w:kern w:val="0"/>
          <w:lang w:val="en-US"/>
          <w14:ligatures w14:val="none"/>
        </w:rPr>
        <w:t>. [online] Statista. Available at: https://www.statista.com/statistics/500041/telecom-infrastructure-brand-value/ [Accessed 9 Mar. 2025].</w:t>
      </w:r>
    </w:p>
    <w:p w14:paraId="36E6A958"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Tan, C. (2023). Comparative Analysis of Market and Product Development Potential of Apple and Samsung. </w:t>
      </w:r>
      <w:r w:rsidRPr="00FF20A8">
        <w:rPr>
          <w:rFonts w:ascii="Times New Roman" w:eastAsia="Times New Roman" w:hAnsi="Times New Roman" w:cs="Times New Roman"/>
          <w:i/>
          <w:iCs/>
          <w:kern w:val="0"/>
          <w:lang w:val="en-US"/>
          <w14:ligatures w14:val="none"/>
        </w:rPr>
        <w:t>ResearchGate</w:t>
      </w:r>
      <w:r w:rsidRPr="00FF20A8">
        <w:rPr>
          <w:rFonts w:ascii="Times New Roman" w:eastAsia="Times New Roman" w:hAnsi="Times New Roman" w:cs="Times New Roman"/>
          <w:kern w:val="0"/>
          <w:lang w:val="en-US"/>
          <w14:ligatures w14:val="none"/>
        </w:rPr>
        <w:t>, [online] 3(1), pp.723–734. Available at: https://www.researchgate.net/publication/368308285 [Accessed 21 Mar. 2025].</w:t>
      </w:r>
    </w:p>
    <w:p w14:paraId="49FB7853"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Trainer, D. (2022). </w:t>
      </w:r>
      <w:r w:rsidRPr="00FF20A8">
        <w:rPr>
          <w:rFonts w:ascii="Times New Roman" w:eastAsia="Times New Roman" w:hAnsi="Times New Roman" w:cs="Times New Roman"/>
          <w:i/>
          <w:iCs/>
          <w:kern w:val="0"/>
          <w:lang w:val="en-US"/>
          <w14:ligatures w14:val="none"/>
        </w:rPr>
        <w:t>Tesla: Nothing New to See Here</w:t>
      </w:r>
      <w:r w:rsidRPr="00FF20A8">
        <w:rPr>
          <w:rFonts w:ascii="Times New Roman" w:eastAsia="Times New Roman" w:hAnsi="Times New Roman" w:cs="Times New Roman"/>
          <w:kern w:val="0"/>
          <w:lang w:val="en-US"/>
          <w14:ligatures w14:val="none"/>
        </w:rPr>
        <w:t>. [online] Forbes. Available at: https://www.forbes.com/sites/greatspeculations/2022/01/27/tesla-nothing-new-to-see-here/ [Accessed 9 Mar. 2025].</w:t>
      </w:r>
    </w:p>
    <w:p w14:paraId="4F43DC72"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TWI (2021). </w:t>
      </w:r>
      <w:r w:rsidRPr="00FF20A8">
        <w:rPr>
          <w:rFonts w:ascii="Times New Roman" w:eastAsia="Times New Roman" w:hAnsi="Times New Roman" w:cs="Times New Roman"/>
          <w:i/>
          <w:iCs/>
          <w:kern w:val="0"/>
          <w:lang w:val="en-US"/>
          <w14:ligatures w14:val="none"/>
        </w:rPr>
        <w:t>What Is a Product Life Cycle? (Definition, Stages and Examples)</w:t>
      </w:r>
      <w:r w:rsidRPr="00FF20A8">
        <w:rPr>
          <w:rFonts w:ascii="Times New Roman" w:eastAsia="Times New Roman" w:hAnsi="Times New Roman" w:cs="Times New Roman"/>
          <w:kern w:val="0"/>
          <w:lang w:val="en-US"/>
          <w14:ligatures w14:val="none"/>
        </w:rPr>
        <w:t>. [online] www.twi-global.com. Available at: https://www.twi-global.com/technical-knowledge/faqs/what-is-a-product-life-cycle [Accessed 9 Mar. 2025].</w:t>
      </w:r>
    </w:p>
    <w:p w14:paraId="796CE883" w14:textId="77777777" w:rsidR="00FF20A8" w:rsidRPr="00FF20A8" w:rsidRDefault="00FF20A8" w:rsidP="00705A89">
      <w:pPr>
        <w:spacing w:before="120" w:after="120" w:line="360" w:lineRule="auto"/>
        <w:jc w:val="both"/>
        <w:rPr>
          <w:rFonts w:ascii="Times New Roman" w:eastAsia="Times New Roman" w:hAnsi="Times New Roman" w:cs="Times New Roman"/>
          <w:kern w:val="0"/>
          <w:lang w:val="en-US"/>
          <w14:ligatures w14:val="none"/>
        </w:rPr>
      </w:pPr>
      <w:proofErr w:type="spellStart"/>
      <w:r w:rsidRPr="00FF20A8">
        <w:rPr>
          <w:rFonts w:ascii="Times New Roman" w:eastAsia="Times New Roman" w:hAnsi="Times New Roman" w:cs="Times New Roman"/>
          <w:kern w:val="0"/>
          <w:lang w:val="en-US"/>
          <w14:ligatures w14:val="none"/>
        </w:rPr>
        <w:t>Udokporo</w:t>
      </w:r>
      <w:proofErr w:type="spellEnd"/>
      <w:r w:rsidRPr="00FF20A8">
        <w:rPr>
          <w:rFonts w:ascii="Times New Roman" w:eastAsia="Times New Roman" w:hAnsi="Times New Roman" w:cs="Times New Roman"/>
          <w:kern w:val="0"/>
          <w:lang w:val="en-US"/>
          <w14:ligatures w14:val="none"/>
        </w:rPr>
        <w:t xml:space="preserve">, C.K. (2021). Understanding the Stages of the Product Life Cycle. </w:t>
      </w:r>
      <w:r w:rsidRPr="00FF20A8">
        <w:rPr>
          <w:rFonts w:ascii="Times New Roman" w:eastAsia="Times New Roman" w:hAnsi="Times New Roman" w:cs="Times New Roman"/>
          <w:i/>
          <w:iCs/>
          <w:kern w:val="0"/>
          <w:lang w:val="en-US"/>
          <w14:ligatures w14:val="none"/>
        </w:rPr>
        <w:t>Product Life Cycle - Opportunities for Digital and Sustainable Transformation [Working Title]</w:t>
      </w:r>
      <w:r w:rsidRPr="00FF20A8">
        <w:rPr>
          <w:rFonts w:ascii="Times New Roman" w:eastAsia="Times New Roman" w:hAnsi="Times New Roman" w:cs="Times New Roman"/>
          <w:kern w:val="0"/>
          <w:lang w:val="en-US"/>
          <w14:ligatures w14:val="none"/>
        </w:rPr>
        <w:t xml:space="preserve">. [online] </w:t>
      </w:r>
      <w:proofErr w:type="spellStart"/>
      <w:proofErr w:type="gramStart"/>
      <w:r w:rsidRPr="00FF20A8">
        <w:rPr>
          <w:rFonts w:ascii="Times New Roman" w:eastAsia="Times New Roman" w:hAnsi="Times New Roman" w:cs="Times New Roman"/>
          <w:kern w:val="0"/>
          <w:lang w:val="en-US"/>
          <w14:ligatures w14:val="none"/>
        </w:rPr>
        <w:t>doi:https</w:t>
      </w:r>
      <w:proofErr w:type="spellEnd"/>
      <w:r w:rsidRPr="00FF20A8">
        <w:rPr>
          <w:rFonts w:ascii="Times New Roman" w:eastAsia="Times New Roman" w:hAnsi="Times New Roman" w:cs="Times New Roman"/>
          <w:kern w:val="0"/>
          <w:lang w:val="en-US"/>
          <w14:ligatures w14:val="none"/>
        </w:rPr>
        <w:t>://doi.org/10.5772/intechopen.99036</w:t>
      </w:r>
      <w:proofErr w:type="gramEnd"/>
      <w:r w:rsidRPr="00FF20A8">
        <w:rPr>
          <w:rFonts w:ascii="Times New Roman" w:eastAsia="Times New Roman" w:hAnsi="Times New Roman" w:cs="Times New Roman"/>
          <w:kern w:val="0"/>
          <w:lang w:val="en-US"/>
          <w14:ligatures w14:val="none"/>
        </w:rPr>
        <w:t>.</w:t>
      </w:r>
    </w:p>
    <w:p w14:paraId="4403B96B" w14:textId="61AB2ED8" w:rsidR="00B04D7F" w:rsidRPr="002A2FF4" w:rsidRDefault="00FF20A8" w:rsidP="00705A89">
      <w:pPr>
        <w:spacing w:before="120" w:after="120" w:line="360" w:lineRule="auto"/>
        <w:jc w:val="both"/>
        <w:rPr>
          <w:rFonts w:ascii="Times New Roman" w:eastAsia="Times New Roman" w:hAnsi="Times New Roman" w:cs="Times New Roman"/>
          <w:kern w:val="0"/>
          <w:lang w:val="en-US"/>
          <w14:ligatures w14:val="none"/>
        </w:rPr>
      </w:pPr>
      <w:r w:rsidRPr="00FF20A8">
        <w:rPr>
          <w:rFonts w:ascii="Times New Roman" w:eastAsia="Times New Roman" w:hAnsi="Times New Roman" w:cs="Times New Roman"/>
          <w:kern w:val="0"/>
          <w:lang w:val="en-US"/>
          <w14:ligatures w14:val="none"/>
        </w:rPr>
        <w:t xml:space="preserve">Zandt, F. (2025). </w:t>
      </w:r>
      <w:r w:rsidRPr="00FF20A8">
        <w:rPr>
          <w:rFonts w:ascii="Times New Roman" w:eastAsia="Times New Roman" w:hAnsi="Times New Roman" w:cs="Times New Roman"/>
          <w:i/>
          <w:iCs/>
          <w:kern w:val="0"/>
          <w:lang w:val="en-US"/>
          <w14:ligatures w14:val="none"/>
        </w:rPr>
        <w:t>Tesla and BYD Claim a Third of the Global BEV Market</w:t>
      </w:r>
      <w:r w:rsidRPr="00FF20A8">
        <w:rPr>
          <w:rFonts w:ascii="Times New Roman" w:eastAsia="Times New Roman" w:hAnsi="Times New Roman" w:cs="Times New Roman"/>
          <w:kern w:val="0"/>
          <w:lang w:val="en-US"/>
          <w14:ligatures w14:val="none"/>
        </w:rPr>
        <w:t>. [online] Statista. Available at: https://www.statista.com/chart/27733/battery-electric-vehicles-manufacturers/ [Accessed 22 Mar. 2025].</w:t>
      </w:r>
    </w:p>
    <w:sectPr w:rsidR="00B04D7F" w:rsidRPr="002A2FF4" w:rsidSect="00CC5E10">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F659D2" w14:textId="77777777" w:rsidR="0045066E" w:rsidRDefault="0045066E" w:rsidP="00CC5E10">
      <w:r>
        <w:separator/>
      </w:r>
    </w:p>
  </w:endnote>
  <w:endnote w:type="continuationSeparator" w:id="0">
    <w:p w14:paraId="08A30A45" w14:textId="77777777" w:rsidR="0045066E" w:rsidRDefault="0045066E" w:rsidP="00CC5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9055839"/>
      <w:docPartObj>
        <w:docPartGallery w:val="Page Numbers (Bottom of Page)"/>
        <w:docPartUnique/>
      </w:docPartObj>
    </w:sdtPr>
    <w:sdtEndPr>
      <w:rPr>
        <w:noProof/>
      </w:rPr>
    </w:sdtEndPr>
    <w:sdtContent>
      <w:p w14:paraId="5830A55E" w14:textId="3891A366" w:rsidR="00CC5E10" w:rsidRDefault="00CC5E10">
        <w:pPr>
          <w:pStyle w:val="Footer"/>
          <w:jc w:val="center"/>
        </w:pPr>
        <w:r>
          <w:fldChar w:fldCharType="begin"/>
        </w:r>
        <w:r>
          <w:instrText xml:space="preserve"> PAGE   \* MERGEFORMAT </w:instrText>
        </w:r>
        <w:r>
          <w:fldChar w:fldCharType="separate"/>
        </w:r>
        <w:r w:rsidR="00A36F20">
          <w:rPr>
            <w:noProof/>
          </w:rPr>
          <w:t>16</w:t>
        </w:r>
        <w:r>
          <w:rPr>
            <w:noProof/>
          </w:rPr>
          <w:fldChar w:fldCharType="end"/>
        </w:r>
      </w:p>
    </w:sdtContent>
  </w:sdt>
  <w:p w14:paraId="7598D36A" w14:textId="77777777" w:rsidR="00CC5E10" w:rsidRDefault="00CC5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D1F4D4" w14:textId="77777777" w:rsidR="0045066E" w:rsidRDefault="0045066E" w:rsidP="00CC5E10">
      <w:r>
        <w:separator/>
      </w:r>
    </w:p>
  </w:footnote>
  <w:footnote w:type="continuationSeparator" w:id="0">
    <w:p w14:paraId="4309E3C1" w14:textId="77777777" w:rsidR="0045066E" w:rsidRDefault="0045066E" w:rsidP="00CC5E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52075"/>
    <w:multiLevelType w:val="hybridMultilevel"/>
    <w:tmpl w:val="A1720E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CE7D81"/>
    <w:multiLevelType w:val="hybridMultilevel"/>
    <w:tmpl w:val="15805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8E42F3"/>
    <w:multiLevelType w:val="hybridMultilevel"/>
    <w:tmpl w:val="AF04D2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5965E3"/>
    <w:multiLevelType w:val="hybridMultilevel"/>
    <w:tmpl w:val="F508D1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1645222">
    <w:abstractNumId w:val="1"/>
  </w:num>
  <w:num w:numId="2" w16cid:durableId="85662488">
    <w:abstractNumId w:val="3"/>
  </w:num>
  <w:num w:numId="3" w16cid:durableId="234710369">
    <w:abstractNumId w:val="5"/>
  </w:num>
  <w:num w:numId="4" w16cid:durableId="73666175">
    <w:abstractNumId w:val="0"/>
  </w:num>
  <w:num w:numId="5" w16cid:durableId="952244475">
    <w:abstractNumId w:val="6"/>
  </w:num>
  <w:num w:numId="6" w16cid:durableId="74205442">
    <w:abstractNumId w:val="2"/>
  </w:num>
  <w:num w:numId="7" w16cid:durableId="5380126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06"/>
    <w:rsid w:val="00010D83"/>
    <w:rsid w:val="00012103"/>
    <w:rsid w:val="00021368"/>
    <w:rsid w:val="000277CA"/>
    <w:rsid w:val="00037F88"/>
    <w:rsid w:val="00040631"/>
    <w:rsid w:val="0004196C"/>
    <w:rsid w:val="00043CAE"/>
    <w:rsid w:val="00043F8C"/>
    <w:rsid w:val="0004402F"/>
    <w:rsid w:val="00046EE8"/>
    <w:rsid w:val="00054DEF"/>
    <w:rsid w:val="000638C4"/>
    <w:rsid w:val="00065B38"/>
    <w:rsid w:val="00070CE6"/>
    <w:rsid w:val="00076136"/>
    <w:rsid w:val="00080E82"/>
    <w:rsid w:val="00082984"/>
    <w:rsid w:val="00082AE9"/>
    <w:rsid w:val="00091D8B"/>
    <w:rsid w:val="000B239E"/>
    <w:rsid w:val="000C6869"/>
    <w:rsid w:val="000C74F0"/>
    <w:rsid w:val="000C7821"/>
    <w:rsid w:val="000D22C9"/>
    <w:rsid w:val="000D6D2C"/>
    <w:rsid w:val="000E19FE"/>
    <w:rsid w:val="000F2DCA"/>
    <w:rsid w:val="000F34D4"/>
    <w:rsid w:val="001003E8"/>
    <w:rsid w:val="00125544"/>
    <w:rsid w:val="00136289"/>
    <w:rsid w:val="0014392C"/>
    <w:rsid w:val="00145EC8"/>
    <w:rsid w:val="00157FF1"/>
    <w:rsid w:val="00167930"/>
    <w:rsid w:val="0018134B"/>
    <w:rsid w:val="00186827"/>
    <w:rsid w:val="001B0DAE"/>
    <w:rsid w:val="001C1F9B"/>
    <w:rsid w:val="001C7F3C"/>
    <w:rsid w:val="001D1027"/>
    <w:rsid w:val="001D6C32"/>
    <w:rsid w:val="001D722F"/>
    <w:rsid w:val="001E4C23"/>
    <w:rsid w:val="001E5823"/>
    <w:rsid w:val="0020310D"/>
    <w:rsid w:val="002237A2"/>
    <w:rsid w:val="00236A41"/>
    <w:rsid w:val="002420EE"/>
    <w:rsid w:val="002430E9"/>
    <w:rsid w:val="00246514"/>
    <w:rsid w:val="00250930"/>
    <w:rsid w:val="002545C2"/>
    <w:rsid w:val="00277677"/>
    <w:rsid w:val="00285A72"/>
    <w:rsid w:val="002902E6"/>
    <w:rsid w:val="002969C0"/>
    <w:rsid w:val="002A2AA9"/>
    <w:rsid w:val="002A2FF4"/>
    <w:rsid w:val="002A3413"/>
    <w:rsid w:val="002A3ADB"/>
    <w:rsid w:val="002A6BC6"/>
    <w:rsid w:val="002B315F"/>
    <w:rsid w:val="002B4F4B"/>
    <w:rsid w:val="002C23D3"/>
    <w:rsid w:val="002D6C3E"/>
    <w:rsid w:val="002E0A3C"/>
    <w:rsid w:val="002E2BD2"/>
    <w:rsid w:val="002E3559"/>
    <w:rsid w:val="002E6997"/>
    <w:rsid w:val="002F6E9F"/>
    <w:rsid w:val="00300434"/>
    <w:rsid w:val="00304B54"/>
    <w:rsid w:val="0032444F"/>
    <w:rsid w:val="00327075"/>
    <w:rsid w:val="00333C5D"/>
    <w:rsid w:val="0034691D"/>
    <w:rsid w:val="00360D40"/>
    <w:rsid w:val="00363869"/>
    <w:rsid w:val="0038345B"/>
    <w:rsid w:val="003853F4"/>
    <w:rsid w:val="00394DCA"/>
    <w:rsid w:val="00396D4B"/>
    <w:rsid w:val="003A0803"/>
    <w:rsid w:val="003A2778"/>
    <w:rsid w:val="003A5441"/>
    <w:rsid w:val="003A71C5"/>
    <w:rsid w:val="003B7544"/>
    <w:rsid w:val="003C5C59"/>
    <w:rsid w:val="00415F83"/>
    <w:rsid w:val="0042510E"/>
    <w:rsid w:val="004471C7"/>
    <w:rsid w:val="0045066E"/>
    <w:rsid w:val="00467D44"/>
    <w:rsid w:val="004763EC"/>
    <w:rsid w:val="004830C4"/>
    <w:rsid w:val="00485AE3"/>
    <w:rsid w:val="0049614A"/>
    <w:rsid w:val="004B0E3D"/>
    <w:rsid w:val="004B204B"/>
    <w:rsid w:val="004B274B"/>
    <w:rsid w:val="004B6E84"/>
    <w:rsid w:val="004C262E"/>
    <w:rsid w:val="004C7B01"/>
    <w:rsid w:val="004F2663"/>
    <w:rsid w:val="00503641"/>
    <w:rsid w:val="00503DBB"/>
    <w:rsid w:val="005041E8"/>
    <w:rsid w:val="00514FC4"/>
    <w:rsid w:val="00521D1A"/>
    <w:rsid w:val="005239F6"/>
    <w:rsid w:val="005307B8"/>
    <w:rsid w:val="0056304E"/>
    <w:rsid w:val="0056444E"/>
    <w:rsid w:val="005817B9"/>
    <w:rsid w:val="005878F6"/>
    <w:rsid w:val="00591AD6"/>
    <w:rsid w:val="005A0154"/>
    <w:rsid w:val="005B3FB4"/>
    <w:rsid w:val="005B4255"/>
    <w:rsid w:val="005C35EC"/>
    <w:rsid w:val="005C527E"/>
    <w:rsid w:val="005E26A5"/>
    <w:rsid w:val="005F08F3"/>
    <w:rsid w:val="005F293B"/>
    <w:rsid w:val="0060062B"/>
    <w:rsid w:val="00600896"/>
    <w:rsid w:val="006021B7"/>
    <w:rsid w:val="00604D74"/>
    <w:rsid w:val="00610DB3"/>
    <w:rsid w:val="006115B7"/>
    <w:rsid w:val="00615AD7"/>
    <w:rsid w:val="00623090"/>
    <w:rsid w:val="0062666A"/>
    <w:rsid w:val="00631500"/>
    <w:rsid w:val="0064296C"/>
    <w:rsid w:val="00646406"/>
    <w:rsid w:val="00673549"/>
    <w:rsid w:val="00677F19"/>
    <w:rsid w:val="00682093"/>
    <w:rsid w:val="006956D8"/>
    <w:rsid w:val="006A2833"/>
    <w:rsid w:val="006A7931"/>
    <w:rsid w:val="006B67C4"/>
    <w:rsid w:val="006D0549"/>
    <w:rsid w:val="006D35AA"/>
    <w:rsid w:val="006E2D0F"/>
    <w:rsid w:val="006E78E1"/>
    <w:rsid w:val="006F59F6"/>
    <w:rsid w:val="006F5A4C"/>
    <w:rsid w:val="0070102C"/>
    <w:rsid w:val="00705A89"/>
    <w:rsid w:val="007079A0"/>
    <w:rsid w:val="00717E7A"/>
    <w:rsid w:val="00744DBC"/>
    <w:rsid w:val="00750D22"/>
    <w:rsid w:val="00751787"/>
    <w:rsid w:val="00751998"/>
    <w:rsid w:val="00761726"/>
    <w:rsid w:val="0076558C"/>
    <w:rsid w:val="0077713F"/>
    <w:rsid w:val="007849D5"/>
    <w:rsid w:val="00791335"/>
    <w:rsid w:val="007A185A"/>
    <w:rsid w:val="007A386D"/>
    <w:rsid w:val="007B2EB9"/>
    <w:rsid w:val="007B6BEF"/>
    <w:rsid w:val="007F208C"/>
    <w:rsid w:val="007F468B"/>
    <w:rsid w:val="007F6E65"/>
    <w:rsid w:val="00801450"/>
    <w:rsid w:val="008044B8"/>
    <w:rsid w:val="0081321B"/>
    <w:rsid w:val="0082045E"/>
    <w:rsid w:val="008335D9"/>
    <w:rsid w:val="00835830"/>
    <w:rsid w:val="008436E7"/>
    <w:rsid w:val="00853793"/>
    <w:rsid w:val="00862B6B"/>
    <w:rsid w:val="008667E8"/>
    <w:rsid w:val="00867F44"/>
    <w:rsid w:val="008714F4"/>
    <w:rsid w:val="008804F0"/>
    <w:rsid w:val="00887A15"/>
    <w:rsid w:val="00890BA4"/>
    <w:rsid w:val="008D608E"/>
    <w:rsid w:val="008E2EB0"/>
    <w:rsid w:val="008E41FF"/>
    <w:rsid w:val="008F1918"/>
    <w:rsid w:val="008F23C5"/>
    <w:rsid w:val="00900D84"/>
    <w:rsid w:val="00916569"/>
    <w:rsid w:val="009276E9"/>
    <w:rsid w:val="00931A31"/>
    <w:rsid w:val="009472EE"/>
    <w:rsid w:val="00984B77"/>
    <w:rsid w:val="00990392"/>
    <w:rsid w:val="00994C3A"/>
    <w:rsid w:val="00995F72"/>
    <w:rsid w:val="009976D2"/>
    <w:rsid w:val="009B4C60"/>
    <w:rsid w:val="009C3069"/>
    <w:rsid w:val="009C46E2"/>
    <w:rsid w:val="009C6052"/>
    <w:rsid w:val="009E460A"/>
    <w:rsid w:val="009E58AF"/>
    <w:rsid w:val="009E5A4C"/>
    <w:rsid w:val="00A00327"/>
    <w:rsid w:val="00A10462"/>
    <w:rsid w:val="00A14322"/>
    <w:rsid w:val="00A16BDE"/>
    <w:rsid w:val="00A22C2F"/>
    <w:rsid w:val="00A258DE"/>
    <w:rsid w:val="00A36F20"/>
    <w:rsid w:val="00A4003D"/>
    <w:rsid w:val="00A446F6"/>
    <w:rsid w:val="00A52480"/>
    <w:rsid w:val="00A64F74"/>
    <w:rsid w:val="00A82210"/>
    <w:rsid w:val="00A82BB7"/>
    <w:rsid w:val="00A82FE7"/>
    <w:rsid w:val="00A91687"/>
    <w:rsid w:val="00AA0AB7"/>
    <w:rsid w:val="00AB11D4"/>
    <w:rsid w:val="00AC26FE"/>
    <w:rsid w:val="00AD1825"/>
    <w:rsid w:val="00AD4D65"/>
    <w:rsid w:val="00AE3BDE"/>
    <w:rsid w:val="00AE3E05"/>
    <w:rsid w:val="00B00109"/>
    <w:rsid w:val="00B04D7F"/>
    <w:rsid w:val="00B05A54"/>
    <w:rsid w:val="00B1079D"/>
    <w:rsid w:val="00B1473E"/>
    <w:rsid w:val="00B3047C"/>
    <w:rsid w:val="00B3315F"/>
    <w:rsid w:val="00B413BE"/>
    <w:rsid w:val="00B42910"/>
    <w:rsid w:val="00B52FE8"/>
    <w:rsid w:val="00B62C06"/>
    <w:rsid w:val="00B63210"/>
    <w:rsid w:val="00B669BD"/>
    <w:rsid w:val="00B66BEA"/>
    <w:rsid w:val="00B674EB"/>
    <w:rsid w:val="00B70211"/>
    <w:rsid w:val="00B7118F"/>
    <w:rsid w:val="00B72893"/>
    <w:rsid w:val="00B801A8"/>
    <w:rsid w:val="00B81E07"/>
    <w:rsid w:val="00B87A64"/>
    <w:rsid w:val="00BC19DB"/>
    <w:rsid w:val="00BC290E"/>
    <w:rsid w:val="00BD1965"/>
    <w:rsid w:val="00BE451D"/>
    <w:rsid w:val="00BE68CB"/>
    <w:rsid w:val="00BF2BF7"/>
    <w:rsid w:val="00BF3722"/>
    <w:rsid w:val="00C1002D"/>
    <w:rsid w:val="00C133B1"/>
    <w:rsid w:val="00C244E9"/>
    <w:rsid w:val="00C27221"/>
    <w:rsid w:val="00C32025"/>
    <w:rsid w:val="00C35135"/>
    <w:rsid w:val="00C40BC3"/>
    <w:rsid w:val="00C55829"/>
    <w:rsid w:val="00C55956"/>
    <w:rsid w:val="00C753D3"/>
    <w:rsid w:val="00C7739E"/>
    <w:rsid w:val="00C80E2A"/>
    <w:rsid w:val="00C85DCA"/>
    <w:rsid w:val="00C87F0F"/>
    <w:rsid w:val="00C957A6"/>
    <w:rsid w:val="00CC459E"/>
    <w:rsid w:val="00CC5E10"/>
    <w:rsid w:val="00CD10F6"/>
    <w:rsid w:val="00CD75AF"/>
    <w:rsid w:val="00CE07D0"/>
    <w:rsid w:val="00CE5C15"/>
    <w:rsid w:val="00CE68D1"/>
    <w:rsid w:val="00D04A1A"/>
    <w:rsid w:val="00D06752"/>
    <w:rsid w:val="00D0778D"/>
    <w:rsid w:val="00D11080"/>
    <w:rsid w:val="00D144F0"/>
    <w:rsid w:val="00D2132F"/>
    <w:rsid w:val="00D224C8"/>
    <w:rsid w:val="00D32B61"/>
    <w:rsid w:val="00D71A40"/>
    <w:rsid w:val="00D841AE"/>
    <w:rsid w:val="00D869FC"/>
    <w:rsid w:val="00D90CAB"/>
    <w:rsid w:val="00DA601D"/>
    <w:rsid w:val="00DB039E"/>
    <w:rsid w:val="00DB666C"/>
    <w:rsid w:val="00DC1471"/>
    <w:rsid w:val="00DC2671"/>
    <w:rsid w:val="00DD3E15"/>
    <w:rsid w:val="00DD54C3"/>
    <w:rsid w:val="00DE2D8E"/>
    <w:rsid w:val="00E00699"/>
    <w:rsid w:val="00E15A2D"/>
    <w:rsid w:val="00E20458"/>
    <w:rsid w:val="00E225BA"/>
    <w:rsid w:val="00E3620B"/>
    <w:rsid w:val="00E36C83"/>
    <w:rsid w:val="00E40FE8"/>
    <w:rsid w:val="00E44371"/>
    <w:rsid w:val="00E455C3"/>
    <w:rsid w:val="00E46098"/>
    <w:rsid w:val="00E46E27"/>
    <w:rsid w:val="00E6609B"/>
    <w:rsid w:val="00E72298"/>
    <w:rsid w:val="00E81A7E"/>
    <w:rsid w:val="00E84434"/>
    <w:rsid w:val="00E9010D"/>
    <w:rsid w:val="00E925F3"/>
    <w:rsid w:val="00EB6EF0"/>
    <w:rsid w:val="00EC6251"/>
    <w:rsid w:val="00EC729A"/>
    <w:rsid w:val="00ED056F"/>
    <w:rsid w:val="00ED53BB"/>
    <w:rsid w:val="00EE1F87"/>
    <w:rsid w:val="00EE226A"/>
    <w:rsid w:val="00EE7908"/>
    <w:rsid w:val="00EF0B48"/>
    <w:rsid w:val="00EF1094"/>
    <w:rsid w:val="00EF2C82"/>
    <w:rsid w:val="00EF6145"/>
    <w:rsid w:val="00F00143"/>
    <w:rsid w:val="00F034B5"/>
    <w:rsid w:val="00F07B2C"/>
    <w:rsid w:val="00F10C46"/>
    <w:rsid w:val="00F307CB"/>
    <w:rsid w:val="00F40E96"/>
    <w:rsid w:val="00F72D37"/>
    <w:rsid w:val="00F865BA"/>
    <w:rsid w:val="00F916C5"/>
    <w:rsid w:val="00F9354D"/>
    <w:rsid w:val="00FA12BF"/>
    <w:rsid w:val="00FB03F5"/>
    <w:rsid w:val="00FC01E0"/>
    <w:rsid w:val="00FC15A4"/>
    <w:rsid w:val="00FD2736"/>
    <w:rsid w:val="00FD3993"/>
    <w:rsid w:val="00FD44D6"/>
    <w:rsid w:val="00FD70D4"/>
    <w:rsid w:val="00FE35E2"/>
    <w:rsid w:val="00FF1387"/>
    <w:rsid w:val="00FF20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6C5"/>
    <w:rPr>
      <w:rFonts w:ascii="Arial" w:hAnsi="Arial"/>
    </w:rPr>
  </w:style>
  <w:style w:type="paragraph" w:styleId="Heading1">
    <w:name w:val="heading 1"/>
    <w:basedOn w:val="Normal"/>
    <w:next w:val="Normal"/>
    <w:link w:val="Heading1Char"/>
    <w:uiPriority w:val="9"/>
    <w:qFormat/>
    <w:rsid w:val="0020310D"/>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20310D"/>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20310D"/>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10D"/>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rsid w:val="0020310D"/>
    <w:rPr>
      <w:rFonts w:asciiTheme="majorHAnsi" w:eastAsiaTheme="majorEastAsia" w:hAnsiTheme="majorHAnsi" w:cstheme="majorBidi"/>
      <w:color w:val="0F4761" w:themeColor="accent1" w:themeShade="BF"/>
      <w:sz w:val="28"/>
      <w:szCs w:val="32"/>
    </w:rPr>
  </w:style>
  <w:style w:type="character" w:customStyle="1" w:styleId="Heading3Char">
    <w:name w:val="Heading 3 Char"/>
    <w:basedOn w:val="DefaultParagraphFont"/>
    <w:link w:val="Heading3"/>
    <w:uiPriority w:val="9"/>
    <w:rsid w:val="0020310D"/>
    <w:rPr>
      <w:rFonts w:eastAsiaTheme="majorEastAsia" w:cstheme="majorBidi"/>
      <w:color w:val="0F4761" w:themeColor="accent1" w:themeShade="BF"/>
      <w:szCs w:val="28"/>
    </w:rPr>
  </w:style>
  <w:style w:type="character" w:customStyle="1" w:styleId="Heading4Char">
    <w:name w:val="Heading 4 Char"/>
    <w:basedOn w:val="DefaultParagraphFont"/>
    <w:link w:val="Heading4"/>
    <w:uiPriority w:val="9"/>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Caption">
    <w:name w:val="caption"/>
    <w:basedOn w:val="Normal"/>
    <w:next w:val="Normal"/>
    <w:uiPriority w:val="35"/>
    <w:unhideWhenUsed/>
    <w:qFormat/>
    <w:rsid w:val="002E6997"/>
    <w:pPr>
      <w:spacing w:after="200"/>
    </w:pPr>
    <w:rPr>
      <w:i/>
      <w:iCs/>
      <w:color w:val="0E2841" w:themeColor="text2"/>
      <w:sz w:val="18"/>
      <w:szCs w:val="18"/>
    </w:rPr>
  </w:style>
  <w:style w:type="paragraph" w:styleId="TOCHeading">
    <w:name w:val="TOC Heading"/>
    <w:basedOn w:val="Heading1"/>
    <w:next w:val="Normal"/>
    <w:uiPriority w:val="39"/>
    <w:unhideWhenUsed/>
    <w:qFormat/>
    <w:rsid w:val="00012103"/>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B3315F"/>
    <w:pPr>
      <w:tabs>
        <w:tab w:val="right" w:leader="dot" w:pos="9016"/>
      </w:tabs>
      <w:contextualSpacing/>
    </w:pPr>
  </w:style>
  <w:style w:type="paragraph" w:styleId="TOC2">
    <w:name w:val="toc 2"/>
    <w:basedOn w:val="Normal"/>
    <w:next w:val="Normal"/>
    <w:autoRedefine/>
    <w:uiPriority w:val="39"/>
    <w:unhideWhenUsed/>
    <w:rsid w:val="00012103"/>
    <w:pPr>
      <w:spacing w:after="100"/>
      <w:ind w:left="240"/>
    </w:pPr>
  </w:style>
  <w:style w:type="paragraph" w:styleId="TOC3">
    <w:name w:val="toc 3"/>
    <w:basedOn w:val="Normal"/>
    <w:next w:val="Normal"/>
    <w:autoRedefine/>
    <w:uiPriority w:val="39"/>
    <w:unhideWhenUsed/>
    <w:rsid w:val="00012103"/>
    <w:pPr>
      <w:spacing w:after="100"/>
      <w:ind w:left="480"/>
    </w:pPr>
  </w:style>
  <w:style w:type="character" w:styleId="Hyperlink">
    <w:name w:val="Hyperlink"/>
    <w:basedOn w:val="DefaultParagraphFont"/>
    <w:uiPriority w:val="99"/>
    <w:unhideWhenUsed/>
    <w:rsid w:val="00012103"/>
    <w:rPr>
      <w:color w:val="467886" w:themeColor="hyperlink"/>
      <w:u w:val="single"/>
    </w:rPr>
  </w:style>
  <w:style w:type="paragraph" w:styleId="TableofFigures">
    <w:name w:val="table of figures"/>
    <w:basedOn w:val="Normal"/>
    <w:next w:val="Normal"/>
    <w:uiPriority w:val="99"/>
    <w:unhideWhenUsed/>
    <w:rsid w:val="00012103"/>
  </w:style>
  <w:style w:type="paragraph" w:styleId="NormalWeb">
    <w:name w:val="Normal (Web)"/>
    <w:basedOn w:val="Normal"/>
    <w:uiPriority w:val="99"/>
    <w:semiHidden/>
    <w:unhideWhenUsed/>
    <w:rsid w:val="00916569"/>
    <w:pPr>
      <w:spacing w:before="100" w:beforeAutospacing="1" w:after="100" w:afterAutospacing="1"/>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CC5E10"/>
    <w:pPr>
      <w:tabs>
        <w:tab w:val="center" w:pos="4680"/>
        <w:tab w:val="right" w:pos="9360"/>
      </w:tabs>
    </w:pPr>
  </w:style>
  <w:style w:type="character" w:customStyle="1" w:styleId="HeaderChar">
    <w:name w:val="Header Char"/>
    <w:basedOn w:val="DefaultParagraphFont"/>
    <w:link w:val="Header"/>
    <w:uiPriority w:val="99"/>
    <w:rsid w:val="00CC5E10"/>
    <w:rPr>
      <w:rFonts w:ascii="Arial" w:hAnsi="Arial"/>
    </w:rPr>
  </w:style>
  <w:style w:type="paragraph" w:styleId="Footer">
    <w:name w:val="footer"/>
    <w:basedOn w:val="Normal"/>
    <w:link w:val="FooterChar"/>
    <w:uiPriority w:val="99"/>
    <w:unhideWhenUsed/>
    <w:rsid w:val="00CC5E10"/>
    <w:pPr>
      <w:tabs>
        <w:tab w:val="center" w:pos="4680"/>
        <w:tab w:val="right" w:pos="9360"/>
      </w:tabs>
    </w:pPr>
  </w:style>
  <w:style w:type="character" w:customStyle="1" w:styleId="FooterChar">
    <w:name w:val="Footer Char"/>
    <w:basedOn w:val="DefaultParagraphFont"/>
    <w:link w:val="Footer"/>
    <w:uiPriority w:val="99"/>
    <w:rsid w:val="00CC5E10"/>
    <w:rPr>
      <w:rFonts w:ascii="Arial" w:hAnsi="Arial"/>
    </w:rPr>
  </w:style>
  <w:style w:type="table" w:styleId="TableGrid">
    <w:name w:val="Table Grid"/>
    <w:basedOn w:val="TableNormal"/>
    <w:uiPriority w:val="39"/>
    <w:rsid w:val="002420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10">
    <w:name w:val="s10"/>
    <w:basedOn w:val="Normal"/>
    <w:rsid w:val="002902E6"/>
    <w:pPr>
      <w:spacing w:before="100" w:beforeAutospacing="1" w:after="100" w:afterAutospacing="1"/>
    </w:pPr>
    <w:rPr>
      <w:rFonts w:ascii="Times New Roman" w:eastAsia="Times New Roman" w:hAnsi="Times New Roman" w:cs="Times New Roman"/>
      <w:kern w:val="0"/>
      <w:lang w:val="en-PK" w:eastAsia="en-GB"/>
      <w14:ligatures w14:val="none"/>
    </w:rPr>
  </w:style>
  <w:style w:type="character" w:customStyle="1" w:styleId="s3">
    <w:name w:val="s3"/>
    <w:basedOn w:val="DefaultParagraphFont"/>
    <w:rsid w:val="002902E6"/>
  </w:style>
  <w:style w:type="character" w:customStyle="1" w:styleId="s4">
    <w:name w:val="s4"/>
    <w:basedOn w:val="DefaultParagraphFont"/>
    <w:rsid w:val="00290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0658">
      <w:bodyDiv w:val="1"/>
      <w:marLeft w:val="0"/>
      <w:marRight w:val="0"/>
      <w:marTop w:val="0"/>
      <w:marBottom w:val="0"/>
      <w:divBdr>
        <w:top w:val="none" w:sz="0" w:space="0" w:color="auto"/>
        <w:left w:val="none" w:sz="0" w:space="0" w:color="auto"/>
        <w:bottom w:val="none" w:sz="0" w:space="0" w:color="auto"/>
        <w:right w:val="none" w:sz="0" w:space="0" w:color="auto"/>
      </w:divBdr>
    </w:div>
    <w:div w:id="17508795">
      <w:bodyDiv w:val="1"/>
      <w:marLeft w:val="0"/>
      <w:marRight w:val="0"/>
      <w:marTop w:val="0"/>
      <w:marBottom w:val="0"/>
      <w:divBdr>
        <w:top w:val="none" w:sz="0" w:space="0" w:color="auto"/>
        <w:left w:val="none" w:sz="0" w:space="0" w:color="auto"/>
        <w:bottom w:val="none" w:sz="0" w:space="0" w:color="auto"/>
        <w:right w:val="none" w:sz="0" w:space="0" w:color="auto"/>
      </w:divBdr>
    </w:div>
    <w:div w:id="40709235">
      <w:bodyDiv w:val="1"/>
      <w:marLeft w:val="0"/>
      <w:marRight w:val="0"/>
      <w:marTop w:val="0"/>
      <w:marBottom w:val="0"/>
      <w:divBdr>
        <w:top w:val="none" w:sz="0" w:space="0" w:color="auto"/>
        <w:left w:val="none" w:sz="0" w:space="0" w:color="auto"/>
        <w:bottom w:val="none" w:sz="0" w:space="0" w:color="auto"/>
        <w:right w:val="none" w:sz="0" w:space="0" w:color="auto"/>
      </w:divBdr>
    </w:div>
    <w:div w:id="49766270">
      <w:bodyDiv w:val="1"/>
      <w:marLeft w:val="0"/>
      <w:marRight w:val="0"/>
      <w:marTop w:val="0"/>
      <w:marBottom w:val="0"/>
      <w:divBdr>
        <w:top w:val="none" w:sz="0" w:space="0" w:color="auto"/>
        <w:left w:val="none" w:sz="0" w:space="0" w:color="auto"/>
        <w:bottom w:val="none" w:sz="0" w:space="0" w:color="auto"/>
        <w:right w:val="none" w:sz="0" w:space="0" w:color="auto"/>
      </w:divBdr>
    </w:div>
    <w:div w:id="99032838">
      <w:bodyDiv w:val="1"/>
      <w:marLeft w:val="0"/>
      <w:marRight w:val="0"/>
      <w:marTop w:val="0"/>
      <w:marBottom w:val="0"/>
      <w:divBdr>
        <w:top w:val="none" w:sz="0" w:space="0" w:color="auto"/>
        <w:left w:val="none" w:sz="0" w:space="0" w:color="auto"/>
        <w:bottom w:val="none" w:sz="0" w:space="0" w:color="auto"/>
        <w:right w:val="none" w:sz="0" w:space="0" w:color="auto"/>
      </w:divBdr>
    </w:div>
    <w:div w:id="222564844">
      <w:bodyDiv w:val="1"/>
      <w:marLeft w:val="0"/>
      <w:marRight w:val="0"/>
      <w:marTop w:val="0"/>
      <w:marBottom w:val="0"/>
      <w:divBdr>
        <w:top w:val="none" w:sz="0" w:space="0" w:color="auto"/>
        <w:left w:val="none" w:sz="0" w:space="0" w:color="auto"/>
        <w:bottom w:val="none" w:sz="0" w:space="0" w:color="auto"/>
        <w:right w:val="none" w:sz="0" w:space="0" w:color="auto"/>
      </w:divBdr>
    </w:div>
    <w:div w:id="243493444">
      <w:bodyDiv w:val="1"/>
      <w:marLeft w:val="0"/>
      <w:marRight w:val="0"/>
      <w:marTop w:val="0"/>
      <w:marBottom w:val="0"/>
      <w:divBdr>
        <w:top w:val="none" w:sz="0" w:space="0" w:color="auto"/>
        <w:left w:val="none" w:sz="0" w:space="0" w:color="auto"/>
        <w:bottom w:val="none" w:sz="0" w:space="0" w:color="auto"/>
        <w:right w:val="none" w:sz="0" w:space="0" w:color="auto"/>
      </w:divBdr>
    </w:div>
    <w:div w:id="252932760">
      <w:bodyDiv w:val="1"/>
      <w:marLeft w:val="0"/>
      <w:marRight w:val="0"/>
      <w:marTop w:val="0"/>
      <w:marBottom w:val="0"/>
      <w:divBdr>
        <w:top w:val="none" w:sz="0" w:space="0" w:color="auto"/>
        <w:left w:val="none" w:sz="0" w:space="0" w:color="auto"/>
        <w:bottom w:val="none" w:sz="0" w:space="0" w:color="auto"/>
        <w:right w:val="none" w:sz="0" w:space="0" w:color="auto"/>
      </w:divBdr>
      <w:divsChild>
        <w:div w:id="993725851">
          <w:marLeft w:val="0"/>
          <w:marRight w:val="0"/>
          <w:marTop w:val="0"/>
          <w:marBottom w:val="0"/>
          <w:divBdr>
            <w:top w:val="none" w:sz="0" w:space="0" w:color="auto"/>
            <w:left w:val="none" w:sz="0" w:space="0" w:color="auto"/>
            <w:bottom w:val="none" w:sz="0" w:space="0" w:color="auto"/>
            <w:right w:val="none" w:sz="0" w:space="0" w:color="auto"/>
          </w:divBdr>
        </w:div>
      </w:divsChild>
    </w:div>
    <w:div w:id="302390875">
      <w:bodyDiv w:val="1"/>
      <w:marLeft w:val="0"/>
      <w:marRight w:val="0"/>
      <w:marTop w:val="0"/>
      <w:marBottom w:val="0"/>
      <w:divBdr>
        <w:top w:val="none" w:sz="0" w:space="0" w:color="auto"/>
        <w:left w:val="none" w:sz="0" w:space="0" w:color="auto"/>
        <w:bottom w:val="none" w:sz="0" w:space="0" w:color="auto"/>
        <w:right w:val="none" w:sz="0" w:space="0" w:color="auto"/>
      </w:divBdr>
    </w:div>
    <w:div w:id="327364397">
      <w:bodyDiv w:val="1"/>
      <w:marLeft w:val="0"/>
      <w:marRight w:val="0"/>
      <w:marTop w:val="0"/>
      <w:marBottom w:val="0"/>
      <w:divBdr>
        <w:top w:val="none" w:sz="0" w:space="0" w:color="auto"/>
        <w:left w:val="none" w:sz="0" w:space="0" w:color="auto"/>
        <w:bottom w:val="none" w:sz="0" w:space="0" w:color="auto"/>
        <w:right w:val="none" w:sz="0" w:space="0" w:color="auto"/>
      </w:divBdr>
    </w:div>
    <w:div w:id="434600888">
      <w:bodyDiv w:val="1"/>
      <w:marLeft w:val="0"/>
      <w:marRight w:val="0"/>
      <w:marTop w:val="0"/>
      <w:marBottom w:val="0"/>
      <w:divBdr>
        <w:top w:val="none" w:sz="0" w:space="0" w:color="auto"/>
        <w:left w:val="none" w:sz="0" w:space="0" w:color="auto"/>
        <w:bottom w:val="none" w:sz="0" w:space="0" w:color="auto"/>
        <w:right w:val="none" w:sz="0" w:space="0" w:color="auto"/>
      </w:divBdr>
    </w:div>
    <w:div w:id="642152135">
      <w:bodyDiv w:val="1"/>
      <w:marLeft w:val="0"/>
      <w:marRight w:val="0"/>
      <w:marTop w:val="0"/>
      <w:marBottom w:val="0"/>
      <w:divBdr>
        <w:top w:val="none" w:sz="0" w:space="0" w:color="auto"/>
        <w:left w:val="none" w:sz="0" w:space="0" w:color="auto"/>
        <w:bottom w:val="none" w:sz="0" w:space="0" w:color="auto"/>
        <w:right w:val="none" w:sz="0" w:space="0" w:color="auto"/>
      </w:divBdr>
    </w:div>
    <w:div w:id="677119059">
      <w:bodyDiv w:val="1"/>
      <w:marLeft w:val="0"/>
      <w:marRight w:val="0"/>
      <w:marTop w:val="0"/>
      <w:marBottom w:val="0"/>
      <w:divBdr>
        <w:top w:val="none" w:sz="0" w:space="0" w:color="auto"/>
        <w:left w:val="none" w:sz="0" w:space="0" w:color="auto"/>
        <w:bottom w:val="none" w:sz="0" w:space="0" w:color="auto"/>
        <w:right w:val="none" w:sz="0" w:space="0" w:color="auto"/>
      </w:divBdr>
    </w:div>
    <w:div w:id="677658527">
      <w:bodyDiv w:val="1"/>
      <w:marLeft w:val="0"/>
      <w:marRight w:val="0"/>
      <w:marTop w:val="0"/>
      <w:marBottom w:val="0"/>
      <w:divBdr>
        <w:top w:val="none" w:sz="0" w:space="0" w:color="auto"/>
        <w:left w:val="none" w:sz="0" w:space="0" w:color="auto"/>
        <w:bottom w:val="none" w:sz="0" w:space="0" w:color="auto"/>
        <w:right w:val="none" w:sz="0" w:space="0" w:color="auto"/>
      </w:divBdr>
    </w:div>
    <w:div w:id="729308072">
      <w:bodyDiv w:val="1"/>
      <w:marLeft w:val="0"/>
      <w:marRight w:val="0"/>
      <w:marTop w:val="0"/>
      <w:marBottom w:val="0"/>
      <w:divBdr>
        <w:top w:val="none" w:sz="0" w:space="0" w:color="auto"/>
        <w:left w:val="none" w:sz="0" w:space="0" w:color="auto"/>
        <w:bottom w:val="none" w:sz="0" w:space="0" w:color="auto"/>
        <w:right w:val="none" w:sz="0" w:space="0" w:color="auto"/>
      </w:divBdr>
    </w:div>
    <w:div w:id="747187851">
      <w:bodyDiv w:val="1"/>
      <w:marLeft w:val="0"/>
      <w:marRight w:val="0"/>
      <w:marTop w:val="0"/>
      <w:marBottom w:val="0"/>
      <w:divBdr>
        <w:top w:val="none" w:sz="0" w:space="0" w:color="auto"/>
        <w:left w:val="none" w:sz="0" w:space="0" w:color="auto"/>
        <w:bottom w:val="none" w:sz="0" w:space="0" w:color="auto"/>
        <w:right w:val="none" w:sz="0" w:space="0" w:color="auto"/>
      </w:divBdr>
    </w:div>
    <w:div w:id="850143729">
      <w:bodyDiv w:val="1"/>
      <w:marLeft w:val="0"/>
      <w:marRight w:val="0"/>
      <w:marTop w:val="0"/>
      <w:marBottom w:val="0"/>
      <w:divBdr>
        <w:top w:val="none" w:sz="0" w:space="0" w:color="auto"/>
        <w:left w:val="none" w:sz="0" w:space="0" w:color="auto"/>
        <w:bottom w:val="none" w:sz="0" w:space="0" w:color="auto"/>
        <w:right w:val="none" w:sz="0" w:space="0" w:color="auto"/>
      </w:divBdr>
    </w:div>
    <w:div w:id="850527933">
      <w:bodyDiv w:val="1"/>
      <w:marLeft w:val="0"/>
      <w:marRight w:val="0"/>
      <w:marTop w:val="0"/>
      <w:marBottom w:val="0"/>
      <w:divBdr>
        <w:top w:val="none" w:sz="0" w:space="0" w:color="auto"/>
        <w:left w:val="none" w:sz="0" w:space="0" w:color="auto"/>
        <w:bottom w:val="none" w:sz="0" w:space="0" w:color="auto"/>
        <w:right w:val="none" w:sz="0" w:space="0" w:color="auto"/>
      </w:divBdr>
    </w:div>
    <w:div w:id="102879248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145316680">
      <w:bodyDiv w:val="1"/>
      <w:marLeft w:val="0"/>
      <w:marRight w:val="0"/>
      <w:marTop w:val="0"/>
      <w:marBottom w:val="0"/>
      <w:divBdr>
        <w:top w:val="none" w:sz="0" w:space="0" w:color="auto"/>
        <w:left w:val="none" w:sz="0" w:space="0" w:color="auto"/>
        <w:bottom w:val="none" w:sz="0" w:space="0" w:color="auto"/>
        <w:right w:val="none" w:sz="0" w:space="0" w:color="auto"/>
      </w:divBdr>
    </w:div>
    <w:div w:id="1190609371">
      <w:bodyDiv w:val="1"/>
      <w:marLeft w:val="0"/>
      <w:marRight w:val="0"/>
      <w:marTop w:val="0"/>
      <w:marBottom w:val="0"/>
      <w:divBdr>
        <w:top w:val="none" w:sz="0" w:space="0" w:color="auto"/>
        <w:left w:val="none" w:sz="0" w:space="0" w:color="auto"/>
        <w:bottom w:val="none" w:sz="0" w:space="0" w:color="auto"/>
        <w:right w:val="none" w:sz="0" w:space="0" w:color="auto"/>
      </w:divBdr>
    </w:div>
    <w:div w:id="1269964596">
      <w:bodyDiv w:val="1"/>
      <w:marLeft w:val="0"/>
      <w:marRight w:val="0"/>
      <w:marTop w:val="0"/>
      <w:marBottom w:val="0"/>
      <w:divBdr>
        <w:top w:val="none" w:sz="0" w:space="0" w:color="auto"/>
        <w:left w:val="none" w:sz="0" w:space="0" w:color="auto"/>
        <w:bottom w:val="none" w:sz="0" w:space="0" w:color="auto"/>
        <w:right w:val="none" w:sz="0" w:space="0" w:color="auto"/>
      </w:divBdr>
    </w:div>
    <w:div w:id="1327436350">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57484401">
      <w:bodyDiv w:val="1"/>
      <w:marLeft w:val="0"/>
      <w:marRight w:val="0"/>
      <w:marTop w:val="0"/>
      <w:marBottom w:val="0"/>
      <w:divBdr>
        <w:top w:val="none" w:sz="0" w:space="0" w:color="auto"/>
        <w:left w:val="none" w:sz="0" w:space="0" w:color="auto"/>
        <w:bottom w:val="none" w:sz="0" w:space="0" w:color="auto"/>
        <w:right w:val="none" w:sz="0" w:space="0" w:color="auto"/>
      </w:divBdr>
    </w:div>
    <w:div w:id="1482622467">
      <w:bodyDiv w:val="1"/>
      <w:marLeft w:val="0"/>
      <w:marRight w:val="0"/>
      <w:marTop w:val="0"/>
      <w:marBottom w:val="0"/>
      <w:divBdr>
        <w:top w:val="none" w:sz="0" w:space="0" w:color="auto"/>
        <w:left w:val="none" w:sz="0" w:space="0" w:color="auto"/>
        <w:bottom w:val="none" w:sz="0" w:space="0" w:color="auto"/>
        <w:right w:val="none" w:sz="0" w:space="0" w:color="auto"/>
      </w:divBdr>
    </w:div>
    <w:div w:id="1525630770">
      <w:bodyDiv w:val="1"/>
      <w:marLeft w:val="0"/>
      <w:marRight w:val="0"/>
      <w:marTop w:val="0"/>
      <w:marBottom w:val="0"/>
      <w:divBdr>
        <w:top w:val="none" w:sz="0" w:space="0" w:color="auto"/>
        <w:left w:val="none" w:sz="0" w:space="0" w:color="auto"/>
        <w:bottom w:val="none" w:sz="0" w:space="0" w:color="auto"/>
        <w:right w:val="none" w:sz="0" w:space="0" w:color="auto"/>
      </w:divBdr>
      <w:divsChild>
        <w:div w:id="2044938985">
          <w:marLeft w:val="0"/>
          <w:marRight w:val="0"/>
          <w:marTop w:val="0"/>
          <w:marBottom w:val="0"/>
          <w:divBdr>
            <w:top w:val="none" w:sz="0" w:space="0" w:color="auto"/>
            <w:left w:val="none" w:sz="0" w:space="0" w:color="auto"/>
            <w:bottom w:val="none" w:sz="0" w:space="0" w:color="auto"/>
            <w:right w:val="none" w:sz="0" w:space="0" w:color="auto"/>
          </w:divBdr>
        </w:div>
      </w:divsChild>
    </w:div>
    <w:div w:id="1587302764">
      <w:bodyDiv w:val="1"/>
      <w:marLeft w:val="0"/>
      <w:marRight w:val="0"/>
      <w:marTop w:val="0"/>
      <w:marBottom w:val="0"/>
      <w:divBdr>
        <w:top w:val="none" w:sz="0" w:space="0" w:color="auto"/>
        <w:left w:val="none" w:sz="0" w:space="0" w:color="auto"/>
        <w:bottom w:val="none" w:sz="0" w:space="0" w:color="auto"/>
        <w:right w:val="none" w:sz="0" w:space="0" w:color="auto"/>
      </w:divBdr>
    </w:div>
    <w:div w:id="1672442111">
      <w:bodyDiv w:val="1"/>
      <w:marLeft w:val="0"/>
      <w:marRight w:val="0"/>
      <w:marTop w:val="0"/>
      <w:marBottom w:val="0"/>
      <w:divBdr>
        <w:top w:val="none" w:sz="0" w:space="0" w:color="auto"/>
        <w:left w:val="none" w:sz="0" w:space="0" w:color="auto"/>
        <w:bottom w:val="none" w:sz="0" w:space="0" w:color="auto"/>
        <w:right w:val="none" w:sz="0" w:space="0" w:color="auto"/>
      </w:divBdr>
    </w:div>
    <w:div w:id="1840806168">
      <w:bodyDiv w:val="1"/>
      <w:marLeft w:val="0"/>
      <w:marRight w:val="0"/>
      <w:marTop w:val="0"/>
      <w:marBottom w:val="0"/>
      <w:divBdr>
        <w:top w:val="none" w:sz="0" w:space="0" w:color="auto"/>
        <w:left w:val="none" w:sz="0" w:space="0" w:color="auto"/>
        <w:bottom w:val="none" w:sz="0" w:space="0" w:color="auto"/>
        <w:right w:val="none" w:sz="0" w:space="0" w:color="auto"/>
      </w:divBdr>
    </w:div>
    <w:div w:id="1882935483">
      <w:bodyDiv w:val="1"/>
      <w:marLeft w:val="0"/>
      <w:marRight w:val="0"/>
      <w:marTop w:val="0"/>
      <w:marBottom w:val="0"/>
      <w:divBdr>
        <w:top w:val="none" w:sz="0" w:space="0" w:color="auto"/>
        <w:left w:val="none" w:sz="0" w:space="0" w:color="auto"/>
        <w:bottom w:val="none" w:sz="0" w:space="0" w:color="auto"/>
        <w:right w:val="none" w:sz="0" w:space="0" w:color="auto"/>
      </w:divBdr>
    </w:div>
    <w:div w:id="1901288813">
      <w:bodyDiv w:val="1"/>
      <w:marLeft w:val="0"/>
      <w:marRight w:val="0"/>
      <w:marTop w:val="0"/>
      <w:marBottom w:val="0"/>
      <w:divBdr>
        <w:top w:val="none" w:sz="0" w:space="0" w:color="auto"/>
        <w:left w:val="none" w:sz="0" w:space="0" w:color="auto"/>
        <w:bottom w:val="none" w:sz="0" w:space="0" w:color="auto"/>
        <w:right w:val="none" w:sz="0" w:space="0" w:color="auto"/>
      </w:divBdr>
    </w:div>
    <w:div w:id="1982808992">
      <w:bodyDiv w:val="1"/>
      <w:marLeft w:val="0"/>
      <w:marRight w:val="0"/>
      <w:marTop w:val="0"/>
      <w:marBottom w:val="0"/>
      <w:divBdr>
        <w:top w:val="none" w:sz="0" w:space="0" w:color="auto"/>
        <w:left w:val="none" w:sz="0" w:space="0" w:color="auto"/>
        <w:bottom w:val="none" w:sz="0" w:space="0" w:color="auto"/>
        <w:right w:val="none" w:sz="0" w:space="0" w:color="auto"/>
      </w:divBdr>
    </w:div>
    <w:div w:id="2028866822">
      <w:bodyDiv w:val="1"/>
      <w:marLeft w:val="0"/>
      <w:marRight w:val="0"/>
      <w:marTop w:val="0"/>
      <w:marBottom w:val="0"/>
      <w:divBdr>
        <w:top w:val="none" w:sz="0" w:space="0" w:color="auto"/>
        <w:left w:val="none" w:sz="0" w:space="0" w:color="auto"/>
        <w:bottom w:val="none" w:sz="0" w:space="0" w:color="auto"/>
        <w:right w:val="none" w:sz="0" w:space="0" w:color="auto"/>
      </w:divBdr>
    </w:div>
    <w:div w:id="209708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E157C-E141-4C5A-86C2-EF47DC393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16</Pages>
  <Words>3900</Words>
  <Characters>22234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Nouman Khan</cp:lastModifiedBy>
  <cp:revision>336</cp:revision>
  <dcterms:created xsi:type="dcterms:W3CDTF">2025-03-07T15:12:00Z</dcterms:created>
  <dcterms:modified xsi:type="dcterms:W3CDTF">2025-03-27T17:42:00Z</dcterms:modified>
</cp:coreProperties>
</file>