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D4A56" w:rsidRDefault="00514C48" w:rsidP="00871C94">
      <w:pPr>
        <w:jc w:val="both"/>
      </w:pPr>
      <w:r>
        <w:rPr>
          <w:b/>
        </w:rPr>
        <w:t>Name:</w:t>
      </w:r>
      <w:r>
        <w:tab/>
      </w:r>
      <w:r>
        <w:tab/>
      </w:r>
      <w:r>
        <w:tab/>
        <w:t>Alexander Robert Moras</w:t>
      </w:r>
    </w:p>
    <w:p w:rsidR="00514C48" w:rsidRDefault="00514C48" w:rsidP="00871C94">
      <w:pPr>
        <w:jc w:val="both"/>
      </w:pPr>
      <w:r>
        <w:rPr>
          <w:b/>
        </w:rPr>
        <w:t>Force Number:</w:t>
      </w:r>
      <w:r>
        <w:rPr>
          <w:b/>
        </w:rPr>
        <w:tab/>
      </w:r>
      <w:r>
        <w:rPr>
          <w:b/>
        </w:rPr>
        <w:tab/>
      </w:r>
      <w:r>
        <w:t>6917</w:t>
      </w:r>
    </w:p>
    <w:p w:rsidR="00514C48" w:rsidRDefault="00514C48" w:rsidP="00871C94">
      <w:pPr>
        <w:jc w:val="both"/>
      </w:pPr>
      <w:r>
        <w:rPr>
          <w:b/>
        </w:rPr>
        <w:t>Student Number:</w:t>
      </w:r>
      <w:r>
        <w:tab/>
        <w:t>2029405</w:t>
      </w:r>
    </w:p>
    <w:p w:rsidR="00514C48" w:rsidRDefault="00514C48" w:rsidP="00871C94">
      <w:pPr>
        <w:jc w:val="both"/>
      </w:pPr>
      <w:r>
        <w:rPr>
          <w:b/>
        </w:rPr>
        <w:t>Exam 1:</w:t>
      </w:r>
      <w:r>
        <w:tab/>
      </w:r>
      <w:r>
        <w:tab/>
      </w:r>
      <w:r>
        <w:tab/>
        <w:t>07/06/2021</w:t>
      </w:r>
    </w:p>
    <w:p w:rsidR="00514C48" w:rsidRDefault="00514C48" w:rsidP="00871C94">
      <w:pPr>
        <w:jc w:val="both"/>
      </w:pPr>
    </w:p>
    <w:p w:rsidR="00514C48" w:rsidRDefault="00514C48" w:rsidP="00871C94">
      <w:pPr>
        <w:jc w:val="both"/>
      </w:pPr>
      <w:r>
        <w:rPr>
          <w:b/>
        </w:rPr>
        <w:t>Question 1</w:t>
      </w:r>
    </w:p>
    <w:p w:rsidR="00514C48" w:rsidRDefault="00F66677" w:rsidP="00871C94">
      <w:pPr>
        <w:jc w:val="both"/>
      </w:pPr>
      <w:r>
        <w:t>A person is guilty of an offence if they enter a premises, or part of a premises, as a trespasser with the intention to steal, commit criminal damage, or cause grievous bodily harm.</w:t>
      </w:r>
    </w:p>
    <w:p w:rsidR="00514C48" w:rsidRDefault="00514C48" w:rsidP="00871C94">
      <w:pPr>
        <w:jc w:val="both"/>
      </w:pPr>
      <w:r>
        <w:rPr>
          <w:b/>
        </w:rPr>
        <w:t>Question 2</w:t>
      </w:r>
    </w:p>
    <w:p w:rsidR="00514C48" w:rsidRDefault="00871C94" w:rsidP="00871C94">
      <w:pPr>
        <w:jc w:val="both"/>
      </w:pPr>
      <w:r>
        <w:t xml:space="preserve">When arriving at a scene, the assess; protect; communicate, method is used to ensure we respond to the incident in the correct way. The “assess” process starts as the call for assistance is received and whilst we are enroute to the call. We will be looking at warning markers, intelligence, previous incidents for people involved and the location. We can consider things such as dangers to ourselves, whether this is from people or the environment. We may also be taking note of the “text” of the incident to build a rough idea of what’s happened to start thinking about how we may deal with the scene and persons involved. The assess process continues when we’re on scene, and starts to link in with the “protect” stage. Our first priority is to safeguard people around us, the victim, and ourselves – we can’t help anyone if we get injured. Once people are “protected”, this could be by arresting an offender and securing them, or even detaining the victim if it’s mental health related, we can look at securing evidence. Areas where an offence has been committed may become crime scenes which need strict access to control to prevent the scene becoming contaminated. Evidence may need to be seized and safely bagged to prevent loss of forensics. The communicate stage is being used throughout. When we arrive and conduct our initial assessment, we may have to ask for further units to assist. This continues throughout the incident, updating supervisors, control room, etc. However, we also need to communicate with victims, witnesses, and the suspect. An arrested person may have certain medications they need. A victim may have injuries we are unaware of, we need to speak to them and establish these facts and communicate with partner agencies such as the Ambulance service. Witnesses need to be spoken with to establish circumstances. Once the initial incident is over, we will still maintain communication with all parties. The victim needs to be updated on the progress of the investigation. A suspect needs to be updated as to whether they are </w:t>
      </w:r>
      <w:r w:rsidR="00B72E71">
        <w:t>released under investigation</w:t>
      </w:r>
      <w:r>
        <w:t xml:space="preserve">, charged, bailed, or </w:t>
      </w:r>
      <w:r w:rsidR="00B72E71">
        <w:t>released no further action</w:t>
      </w:r>
      <w:bookmarkStart w:id="0" w:name="_GoBack"/>
      <w:bookmarkEnd w:id="0"/>
      <w:r>
        <w:t>. Witnesses need to be communicated with, especially if they need to attend court and witness care will provide the relevant processes there.</w:t>
      </w:r>
    </w:p>
    <w:p w:rsidR="00514C48" w:rsidRDefault="00514C48" w:rsidP="00871C94">
      <w:pPr>
        <w:jc w:val="both"/>
        <w:rPr>
          <w:b/>
        </w:rPr>
      </w:pPr>
      <w:r>
        <w:rPr>
          <w:b/>
        </w:rPr>
        <w:t>Question 3</w:t>
      </w:r>
    </w:p>
    <w:p w:rsidR="00E92259" w:rsidRPr="00E92259" w:rsidRDefault="00E92259" w:rsidP="00871C94">
      <w:pPr>
        <w:jc w:val="both"/>
      </w:pPr>
      <w:r>
        <w:t xml:space="preserve">The “Golden Hour” is a period of time following an incident where we can achieve best evidence. It is not necessarily </w:t>
      </w:r>
      <w:r>
        <w:rPr>
          <w:i/>
        </w:rPr>
        <w:t>one hour long</w:t>
      </w:r>
      <w:r>
        <w:t xml:space="preserve"> but is the immediate aftermath of an incident. During this time, it is extremely important that we inform supervisors of the incident who may task us with an action plan for the offence. These would include specific targets which need to be achieved to achieve best evidence during the Golden Hour. Examples of this can include conducting house to house enquiries, obtaining CCTV – since some CCTV systems don’t store footage for more than a couple days – and obtaining witness statements whilst the event is still fresh in their mind. It is even more important when a suspect is still outstanding since they may still be in the area and easier to locate. If we fail to adhere to the Golden Hour, evidence can be lost, which will have a negative impact on the victim and </w:t>
      </w:r>
      <w:r>
        <w:lastRenderedPageBreak/>
        <w:t xml:space="preserve">may cause a prosecution to fall through. The confidence in the police may also be impacted if communities feel that police were uninterested in dealing with incidents in their communities. It is vitally important that we secure the best evidence for prosecution to support the victim and build stronger relationships with our communities. </w:t>
      </w:r>
    </w:p>
    <w:p w:rsidR="00514C48" w:rsidRDefault="00514C48" w:rsidP="00871C94">
      <w:pPr>
        <w:jc w:val="both"/>
      </w:pPr>
      <w:r>
        <w:rPr>
          <w:b/>
        </w:rPr>
        <w:t>Question 4</w:t>
      </w:r>
    </w:p>
    <w:p w:rsidR="00514C48" w:rsidRDefault="00D75B7B" w:rsidP="00871C94">
      <w:pPr>
        <w:jc w:val="both"/>
      </w:pPr>
      <w:r>
        <w:t>A person is guilty of an offence if they commit theft, and at the time of the offence, or immediately prior to, and in order to commit the offence, they use force on any person, or put any person in fear that force may be subjected upon them.</w:t>
      </w:r>
    </w:p>
    <w:p w:rsidR="00514C48" w:rsidRDefault="00514C48" w:rsidP="00871C94">
      <w:pPr>
        <w:jc w:val="both"/>
        <w:rPr>
          <w:b/>
        </w:rPr>
      </w:pPr>
      <w:r>
        <w:rPr>
          <w:b/>
        </w:rPr>
        <w:t>Question 5</w:t>
      </w:r>
    </w:p>
    <w:p w:rsidR="00514C48" w:rsidRPr="00042FBA" w:rsidRDefault="00042FBA" w:rsidP="00871C94">
      <w:pPr>
        <w:jc w:val="both"/>
      </w:pPr>
      <w:r>
        <w:t>Officers have the ability to use discretion when dealing with policing matters. This means that they are able to use professional judgement to decide the most appropriate course of action, and outcome, when faced with an incident. Discrimination, on the other hand, is when a person acts upon a prejudice. When officers use discretion, they must first consider the National Decision Making Model. At the core of all decisions is the Code of Ethics, every outcome must comply with these. The NDM would allow you to consider all powers and policies, options and contingencies, based on the information and intelligence you have collected. When a decision to use discretion is made, it can be reviewed in the NDM. Communication is a big aspect to prevent people thinking an officer is being discriminatory. Explaining why a certain outcome is the most appropriate may help the person involved understand why they’re being dealt with in that manner.</w:t>
      </w:r>
    </w:p>
    <w:p w:rsidR="00514C48" w:rsidRDefault="00514C48" w:rsidP="00871C94">
      <w:pPr>
        <w:jc w:val="both"/>
        <w:rPr>
          <w:b/>
        </w:rPr>
      </w:pPr>
      <w:r>
        <w:rPr>
          <w:b/>
        </w:rPr>
        <w:t>Question 6</w:t>
      </w:r>
    </w:p>
    <w:p w:rsidR="00514C48" w:rsidRPr="00586C53" w:rsidRDefault="00586C53" w:rsidP="00871C94">
      <w:pPr>
        <w:jc w:val="both"/>
      </w:pPr>
      <w:r>
        <w:t>Section 24(3) Police and Criminal Evidence Act 1984 allows officers to arrest when a statutory offence has been committed.</w:t>
      </w:r>
      <w:r w:rsidR="001E2968">
        <w:t xml:space="preserve"> A constable may arrest and individual where he has committed an offence, or suspected of having committed an offence.</w:t>
      </w:r>
    </w:p>
    <w:p w:rsidR="00514C48" w:rsidRDefault="00514C48" w:rsidP="00871C94">
      <w:pPr>
        <w:jc w:val="both"/>
        <w:rPr>
          <w:b/>
        </w:rPr>
      </w:pPr>
      <w:r>
        <w:rPr>
          <w:b/>
        </w:rPr>
        <w:t>Question 7</w:t>
      </w:r>
    </w:p>
    <w:p w:rsidR="00514C48" w:rsidRDefault="007532BB" w:rsidP="00871C94">
      <w:pPr>
        <w:jc w:val="both"/>
      </w:pPr>
      <w:r>
        <w:t xml:space="preserve">PACE </w:t>
      </w:r>
      <w:r w:rsidR="000E7924">
        <w:t xml:space="preserve">Code </w:t>
      </w:r>
      <w:r w:rsidR="009B0F15">
        <w:t>G covers arrest necessities. The following are the necessities in the order of IDCOPPLAN:</w:t>
      </w:r>
    </w:p>
    <w:p w:rsidR="009B0F15" w:rsidRDefault="009B0F15" w:rsidP="009B0F15">
      <w:pPr>
        <w:pStyle w:val="ListParagraph"/>
        <w:numPr>
          <w:ilvl w:val="0"/>
          <w:numId w:val="1"/>
        </w:numPr>
        <w:jc w:val="both"/>
      </w:pPr>
      <w:r>
        <w:t>Prompt and effective investigation (usually by means of questioning)</w:t>
      </w:r>
    </w:p>
    <w:p w:rsidR="009B0F15" w:rsidRDefault="009B0F15" w:rsidP="009B0F15">
      <w:pPr>
        <w:pStyle w:val="ListParagraph"/>
        <w:numPr>
          <w:ilvl w:val="0"/>
          <w:numId w:val="1"/>
        </w:numPr>
        <w:jc w:val="both"/>
      </w:pPr>
      <w:r>
        <w:t>Prevent disappearance</w:t>
      </w:r>
    </w:p>
    <w:p w:rsidR="009B0F15" w:rsidRDefault="009B0F15" w:rsidP="009B0F15">
      <w:pPr>
        <w:pStyle w:val="ListParagraph"/>
        <w:numPr>
          <w:ilvl w:val="0"/>
          <w:numId w:val="1"/>
        </w:numPr>
        <w:jc w:val="both"/>
      </w:pPr>
      <w:r>
        <w:t>Protect a child or vulnerable person</w:t>
      </w:r>
    </w:p>
    <w:p w:rsidR="009B0F15" w:rsidRDefault="009B0F15" w:rsidP="009B0F15">
      <w:pPr>
        <w:pStyle w:val="ListParagraph"/>
        <w:numPr>
          <w:ilvl w:val="0"/>
          <w:numId w:val="1"/>
        </w:numPr>
        <w:jc w:val="both"/>
      </w:pPr>
      <w:r>
        <w:t>Prevent obstruction of the highway</w:t>
      </w:r>
    </w:p>
    <w:p w:rsidR="009B0F15" w:rsidRDefault="009B0F15" w:rsidP="009B0F15">
      <w:pPr>
        <w:pStyle w:val="ListParagraph"/>
        <w:numPr>
          <w:ilvl w:val="0"/>
          <w:numId w:val="1"/>
        </w:numPr>
        <w:jc w:val="both"/>
      </w:pPr>
      <w:r>
        <w:t>Prevent physical damage</w:t>
      </w:r>
    </w:p>
    <w:p w:rsidR="009B0F15" w:rsidRDefault="009B0F15" w:rsidP="009B0F15">
      <w:pPr>
        <w:pStyle w:val="ListParagraph"/>
        <w:numPr>
          <w:ilvl w:val="0"/>
          <w:numId w:val="1"/>
        </w:numPr>
        <w:jc w:val="both"/>
      </w:pPr>
      <w:r>
        <w:t>Preserve public decency</w:t>
      </w:r>
    </w:p>
    <w:p w:rsidR="009B0F15" w:rsidRDefault="009B0F15" w:rsidP="009B0F15">
      <w:pPr>
        <w:pStyle w:val="ListParagraph"/>
        <w:numPr>
          <w:ilvl w:val="0"/>
          <w:numId w:val="1"/>
        </w:numPr>
        <w:jc w:val="both"/>
      </w:pPr>
      <w:r>
        <w:t>Prevent loss or damage to property</w:t>
      </w:r>
    </w:p>
    <w:p w:rsidR="009B0F15" w:rsidRDefault="009B0F15" w:rsidP="009B0F15">
      <w:pPr>
        <w:pStyle w:val="ListParagraph"/>
        <w:numPr>
          <w:ilvl w:val="0"/>
          <w:numId w:val="1"/>
        </w:numPr>
        <w:jc w:val="both"/>
      </w:pPr>
      <w:r>
        <w:t>Ascertain name</w:t>
      </w:r>
    </w:p>
    <w:p w:rsidR="009B0F15" w:rsidRPr="009B0F15" w:rsidRDefault="009B0F15" w:rsidP="009B0F15">
      <w:pPr>
        <w:pStyle w:val="ListParagraph"/>
        <w:numPr>
          <w:ilvl w:val="0"/>
          <w:numId w:val="1"/>
        </w:numPr>
        <w:jc w:val="both"/>
      </w:pPr>
      <w:r>
        <w:t>Ascertain address</w:t>
      </w:r>
    </w:p>
    <w:p w:rsidR="00514C48" w:rsidRDefault="00514C48" w:rsidP="00871C94">
      <w:pPr>
        <w:jc w:val="both"/>
        <w:rPr>
          <w:b/>
        </w:rPr>
      </w:pPr>
      <w:r>
        <w:rPr>
          <w:b/>
        </w:rPr>
        <w:t>Q</w:t>
      </w:r>
      <w:r w:rsidR="007C6484">
        <w:rPr>
          <w:b/>
        </w:rPr>
        <w:t>uestion 8</w:t>
      </w:r>
    </w:p>
    <w:p w:rsidR="007C6484" w:rsidRPr="007C6484" w:rsidRDefault="007C6484" w:rsidP="00871C94">
      <w:pPr>
        <w:jc w:val="both"/>
      </w:pPr>
      <w:r>
        <w:t xml:space="preserve">When managing conflict, officers are often times required to use force. When carrying out any function under PACE; such as a S.1 search, S.32 search, S.24 arrest, etc. – Section 117 Police and Criminal Evidence Act 1984 provides the power for a constable to “use reasonable force” to affect the power conveyed within the act. When preventing crime, or to aid in arrest, a person may use reasonable force under Section 3 of the Criminal Law Act. “Reasonable force” is defined in greater </w:t>
      </w:r>
      <w:r>
        <w:lastRenderedPageBreak/>
        <w:t>deal within Section 76 of the Criminal Justice and Immigration Act. Any person also has powers under common law to use force in self defense – this is commonly referred to as a “pre-emptive strike”.</w:t>
      </w:r>
    </w:p>
    <w:p w:rsidR="00514C48" w:rsidRDefault="00514C48" w:rsidP="00871C94">
      <w:pPr>
        <w:jc w:val="both"/>
        <w:rPr>
          <w:b/>
        </w:rPr>
      </w:pPr>
      <w:r>
        <w:rPr>
          <w:b/>
        </w:rPr>
        <w:t>Question 9</w:t>
      </w:r>
    </w:p>
    <w:p w:rsidR="00514C48" w:rsidRPr="005F0A7A" w:rsidRDefault="005F0A7A" w:rsidP="00871C94">
      <w:pPr>
        <w:jc w:val="both"/>
      </w:pPr>
      <w:r>
        <w:t>Section 28 PACE 1984 defines what information must be provided to someone when arrested. They must be told that they are under arrest, and told what for. We must also caution the arrested individual and explain the necessity for their arrest.</w:t>
      </w:r>
    </w:p>
    <w:p w:rsidR="00514C48" w:rsidRDefault="00514C48" w:rsidP="00871C94">
      <w:pPr>
        <w:jc w:val="both"/>
        <w:rPr>
          <w:b/>
        </w:rPr>
      </w:pPr>
      <w:r>
        <w:rPr>
          <w:b/>
        </w:rPr>
        <w:t>Question 10</w:t>
      </w:r>
    </w:p>
    <w:p w:rsidR="00514C48" w:rsidRPr="005F0A7A" w:rsidRDefault="005F0A7A" w:rsidP="00871C94">
      <w:pPr>
        <w:jc w:val="both"/>
      </w:pPr>
      <w:r>
        <w:t>The National Decision Making Model is used when making any decision within policing. At each point of the NDM, we consider the Code of Ethics, which are at the core of policing. First we gather information and intelligence to build an picture of what is happening. We assess the threat and develop a working strategy. This allows us to understand the severity of the situation and gives a basic structure to any actions we take – although these will develop as we continue through the NDM. Next we consider powers and policies, which will determine what we can and cannot do. Having done this, we will look at options and contingencies. The purpose of this is to weigh up the options provided by our powers and policies and we determine how effective</w:t>
      </w:r>
      <w:r w:rsidR="00DF2906">
        <w:t xml:space="preserve"> each may be. We also consider </w:t>
      </w:r>
      <w:r>
        <w:t xml:space="preserve">contingencies, our backup plan, if they don’t work. Next we take action. We will review the action as it is being used, since we may have to restart the NDM and come up with a new solution if the current isn’t working well. Once the action is complete, we will review its effectiveness and plan for a better approach in the future since there is always room for improvement. </w:t>
      </w:r>
    </w:p>
    <w:p w:rsidR="00514C48" w:rsidRDefault="00514C48" w:rsidP="00871C94">
      <w:pPr>
        <w:jc w:val="both"/>
        <w:rPr>
          <w:b/>
        </w:rPr>
      </w:pPr>
      <w:r>
        <w:rPr>
          <w:b/>
        </w:rPr>
        <w:t>Question 11</w:t>
      </w:r>
    </w:p>
    <w:p w:rsidR="00884E78" w:rsidRDefault="00225BE4" w:rsidP="00871C94">
      <w:pPr>
        <w:jc w:val="both"/>
      </w:pPr>
      <w:r>
        <w:t xml:space="preserve">Section 17 PACE allows a constable to enter any premises where they believe a person </w:t>
      </w:r>
      <w:r w:rsidR="004C6984">
        <w:t>is;</w:t>
      </w:r>
      <w:r>
        <w:t xml:space="preserve"> </w:t>
      </w:r>
      <w:r w:rsidR="004C6984">
        <w:t>the person</w:t>
      </w:r>
      <w:r>
        <w:t xml:space="preserve"> is suspected of having committed an indictable offence, to locate and arrest a person unlawfully at large, and to preserve life and limb. There are also other specific </w:t>
      </w:r>
      <w:r w:rsidR="00E1341F">
        <w:t>offences that</w:t>
      </w:r>
      <w:r>
        <w:t xml:space="preserve"> have an associated S.17 power of entry such as S.4 of the Road Traffic Act where a constable needs to enter </w:t>
      </w:r>
      <w:r w:rsidR="00F6655A">
        <w:t>premises</w:t>
      </w:r>
      <w:r>
        <w:t xml:space="preserve"> to arrest a person who is suspected of having committed that offence.</w:t>
      </w:r>
    </w:p>
    <w:p w:rsidR="00514C48" w:rsidRPr="00225BE4" w:rsidRDefault="00884E78" w:rsidP="00871C94">
      <w:pPr>
        <w:jc w:val="both"/>
      </w:pPr>
      <w:r>
        <w:t>Tied in to this, force may be used to gain entry if required, this is provided by S.117 as previously discussed.</w:t>
      </w:r>
    </w:p>
    <w:p w:rsidR="00514C48" w:rsidRDefault="00514C48" w:rsidP="00871C94">
      <w:pPr>
        <w:jc w:val="both"/>
        <w:rPr>
          <w:b/>
        </w:rPr>
      </w:pPr>
      <w:r>
        <w:rPr>
          <w:b/>
        </w:rPr>
        <w:t>Question 12</w:t>
      </w:r>
    </w:p>
    <w:p w:rsidR="00514C48" w:rsidRPr="00EF34DF" w:rsidRDefault="00EF34DF" w:rsidP="00871C94">
      <w:pPr>
        <w:jc w:val="both"/>
      </w:pPr>
      <w:r>
        <w:t>A person charged with dishonesty would have the “dishonesty test” applied to them. Case law, R v Ghosh defines two specific tests – these are the subjective and objective test</w:t>
      </w:r>
      <w:r w:rsidR="006C004C">
        <w:t>s</w:t>
      </w:r>
      <w:r>
        <w:t>. Recent case law from R v Barton and Booth now only requires the objective test. The objective test is that “a reasonable and honest person would perceive the behaviour of the individual to be dishonest”.</w:t>
      </w:r>
    </w:p>
    <w:p w:rsidR="00514C48" w:rsidRDefault="00514C48" w:rsidP="00871C94">
      <w:pPr>
        <w:jc w:val="both"/>
        <w:rPr>
          <w:b/>
        </w:rPr>
      </w:pPr>
      <w:r>
        <w:rPr>
          <w:b/>
        </w:rPr>
        <w:t>Question 13</w:t>
      </w:r>
    </w:p>
    <w:p w:rsidR="006C004C" w:rsidRDefault="006C004C" w:rsidP="00871C94">
      <w:pPr>
        <w:jc w:val="both"/>
      </w:pPr>
      <w:r>
        <w:t>THRIVE is used by call handlers to determine call grading. It looks at:</w:t>
      </w:r>
    </w:p>
    <w:p w:rsidR="006C004C" w:rsidRDefault="006C004C" w:rsidP="006C004C">
      <w:pPr>
        <w:pStyle w:val="ListParagraph"/>
        <w:numPr>
          <w:ilvl w:val="0"/>
          <w:numId w:val="2"/>
        </w:numPr>
        <w:jc w:val="both"/>
      </w:pPr>
      <w:r>
        <w:t xml:space="preserve">the </w:t>
      </w:r>
      <w:r w:rsidRPr="006C004C">
        <w:rPr>
          <w:b/>
        </w:rPr>
        <w:t>threat</w:t>
      </w:r>
      <w:r>
        <w:t xml:space="preserve"> to individuals and property</w:t>
      </w:r>
    </w:p>
    <w:p w:rsidR="006C004C" w:rsidRDefault="006C004C" w:rsidP="006C004C">
      <w:pPr>
        <w:pStyle w:val="ListParagraph"/>
        <w:numPr>
          <w:ilvl w:val="0"/>
          <w:numId w:val="2"/>
        </w:numPr>
        <w:jc w:val="both"/>
      </w:pPr>
      <w:r w:rsidRPr="006C004C">
        <w:rPr>
          <w:b/>
        </w:rPr>
        <w:t>harm</w:t>
      </w:r>
      <w:r>
        <w:t xml:space="preserve"> that may be caused by the threat</w:t>
      </w:r>
    </w:p>
    <w:p w:rsidR="006C004C" w:rsidRDefault="006C004C" w:rsidP="006C004C">
      <w:pPr>
        <w:pStyle w:val="ListParagraph"/>
        <w:numPr>
          <w:ilvl w:val="0"/>
          <w:numId w:val="2"/>
        </w:numPr>
        <w:jc w:val="both"/>
      </w:pPr>
      <w:r>
        <w:t xml:space="preserve">the </w:t>
      </w:r>
      <w:r w:rsidRPr="006C004C">
        <w:rPr>
          <w:b/>
        </w:rPr>
        <w:t>risk</w:t>
      </w:r>
      <w:r>
        <w:t xml:space="preserve"> of the threat actually occurring</w:t>
      </w:r>
    </w:p>
    <w:p w:rsidR="006C004C" w:rsidRDefault="006C004C" w:rsidP="006C004C">
      <w:pPr>
        <w:pStyle w:val="ListParagraph"/>
        <w:numPr>
          <w:ilvl w:val="0"/>
          <w:numId w:val="2"/>
        </w:numPr>
        <w:jc w:val="both"/>
      </w:pPr>
      <w:r>
        <w:t xml:space="preserve">the needs of the </w:t>
      </w:r>
      <w:r w:rsidRPr="006C004C">
        <w:rPr>
          <w:b/>
        </w:rPr>
        <w:t>investigation</w:t>
      </w:r>
      <w:r>
        <w:t xml:space="preserve"> and whether different levels of response may be required to preserve evidence</w:t>
      </w:r>
    </w:p>
    <w:p w:rsidR="006C004C" w:rsidRDefault="006C004C" w:rsidP="006C004C">
      <w:pPr>
        <w:pStyle w:val="ListParagraph"/>
        <w:numPr>
          <w:ilvl w:val="0"/>
          <w:numId w:val="2"/>
        </w:numPr>
        <w:jc w:val="both"/>
      </w:pPr>
      <w:r w:rsidRPr="006C004C">
        <w:rPr>
          <w:b/>
        </w:rPr>
        <w:t>vulnerability</w:t>
      </w:r>
      <w:r>
        <w:t xml:space="preserve"> to persons involved</w:t>
      </w:r>
    </w:p>
    <w:p w:rsidR="00514C48" w:rsidRPr="006C004C" w:rsidRDefault="006C004C" w:rsidP="006C004C">
      <w:pPr>
        <w:pStyle w:val="ListParagraph"/>
        <w:numPr>
          <w:ilvl w:val="0"/>
          <w:numId w:val="2"/>
        </w:numPr>
        <w:jc w:val="both"/>
      </w:pPr>
      <w:r w:rsidRPr="006C004C">
        <w:rPr>
          <w:b/>
        </w:rPr>
        <w:lastRenderedPageBreak/>
        <w:t>engagement</w:t>
      </w:r>
      <w:r>
        <w:t xml:space="preserve"> and how the incident may have an impact on a communities perception of the police so early engagement is required. This may also be related to engaging with victims at an early stage – such as with serious offence to ensure they receive all necessary support.</w:t>
      </w:r>
    </w:p>
    <w:p w:rsidR="00514C48" w:rsidRDefault="00514C48" w:rsidP="00871C94">
      <w:pPr>
        <w:jc w:val="both"/>
        <w:rPr>
          <w:b/>
        </w:rPr>
      </w:pPr>
      <w:r>
        <w:rPr>
          <w:b/>
        </w:rPr>
        <w:t>Question 14</w:t>
      </w:r>
    </w:p>
    <w:p w:rsidR="00C8588C" w:rsidRDefault="00C8588C" w:rsidP="00871C94">
      <w:pPr>
        <w:jc w:val="both"/>
      </w:pPr>
      <w:r>
        <w:t>The police define</w:t>
      </w:r>
      <w:r w:rsidR="001944AB">
        <w:t xml:space="preserve"> vulnerability </w:t>
      </w:r>
      <w:r w:rsidR="00B85F67">
        <w:t>as: A person may be vulnerable</w:t>
      </w:r>
      <w:r w:rsidR="001944AB">
        <w:t>,</w:t>
      </w:r>
      <w:r w:rsidR="00B85F67">
        <w:t xml:space="preserve"> as a result of situation or </w:t>
      </w:r>
      <w:r w:rsidR="001944AB">
        <w:t>circumstance;</w:t>
      </w:r>
      <w:r w:rsidR="00B85F67">
        <w:t xml:space="preserve"> they are unable to protect themselves from crime or exploitation.</w:t>
      </w:r>
    </w:p>
    <w:p w:rsidR="00514C48" w:rsidRPr="006C004C" w:rsidRDefault="00C8588C" w:rsidP="00871C94">
      <w:pPr>
        <w:jc w:val="both"/>
      </w:pPr>
      <w:r>
        <w:t>These can be characteristics that mean a person is less able to fend for themselves, putting them at greater risk of exploitation.</w:t>
      </w:r>
    </w:p>
    <w:p w:rsidR="00514C48" w:rsidRDefault="00514C48" w:rsidP="00871C94">
      <w:pPr>
        <w:jc w:val="both"/>
        <w:rPr>
          <w:b/>
        </w:rPr>
      </w:pPr>
      <w:r>
        <w:rPr>
          <w:b/>
        </w:rPr>
        <w:t>Question 15</w:t>
      </w:r>
    </w:p>
    <w:p w:rsidR="00514C48" w:rsidRPr="00C8588C" w:rsidRDefault="00C8588C" w:rsidP="00871C94">
      <w:pPr>
        <w:jc w:val="both"/>
      </w:pPr>
      <w:r>
        <w:t>Anti-social behaviour is defined as any behaviour that causes a person to feel harassed, alarmed, or distressed.</w:t>
      </w:r>
      <w:r w:rsidR="008A5B3B">
        <w:t xml:space="preserve"> This behaviour may be persistent and targeted at a specific individual or place. Community triggers for these types of incidents exist to highlight a problem to police and ensure it is dealt with in a timely manner.</w:t>
      </w:r>
    </w:p>
    <w:p w:rsidR="00514C48" w:rsidRDefault="00514C48" w:rsidP="00871C94">
      <w:pPr>
        <w:jc w:val="both"/>
        <w:rPr>
          <w:b/>
        </w:rPr>
      </w:pPr>
      <w:r>
        <w:rPr>
          <w:b/>
        </w:rPr>
        <w:t>Question 16</w:t>
      </w:r>
    </w:p>
    <w:p w:rsidR="00514C48" w:rsidRPr="00C8588C" w:rsidRDefault="00C8588C" w:rsidP="00871C94">
      <w:pPr>
        <w:jc w:val="both"/>
      </w:pPr>
      <w:r>
        <w:t>A section 34 authority from an inspector must exist for a specific period of time, in a specific location. Once this is in place, a section 35 notice may be issued to any person that has been, is, or is likely to cause anti-social behaviour. This power allows a constable to exclude an individual from a specific area for up to 48hrs. If the person were to return within the exclusion period, they would be liable for arrest.</w:t>
      </w:r>
    </w:p>
    <w:p w:rsidR="00514C48" w:rsidRDefault="00514C48" w:rsidP="00871C94">
      <w:pPr>
        <w:jc w:val="both"/>
        <w:rPr>
          <w:b/>
        </w:rPr>
      </w:pPr>
      <w:r>
        <w:rPr>
          <w:b/>
        </w:rPr>
        <w:t>Question 17</w:t>
      </w:r>
    </w:p>
    <w:p w:rsidR="00514C48" w:rsidRPr="00066404" w:rsidRDefault="00066404" w:rsidP="00871C94">
      <w:pPr>
        <w:jc w:val="both"/>
      </w:pPr>
      <w:r>
        <w:t xml:space="preserve">Routine Activity Theory is a method of problem solving which looks at motivation behind crime. The theory states that for every offence, there is a suitable target. Then there must be an absence of capable guardian. And finally there must be a likely offender, the person that exploits the lack of capable guardian for the </w:t>
      </w:r>
      <w:r w:rsidR="00F13C65">
        <w:t>suitable</w:t>
      </w:r>
      <w:r>
        <w:t xml:space="preserve"> target. In a scenario, the park is the suitable target and due to the lack of maintenance (absence of capable guardian) it has become overgrown and used by drug users, our likely offender – since there is now good cover for them from the public. If the capable guardian was to maintain the park, it is likely that the offenders would find somewhere else since the motivation to commit an offence in relation to the target is too great and not worth the effort.</w:t>
      </w:r>
    </w:p>
    <w:p w:rsidR="00514C48" w:rsidRDefault="00514C48" w:rsidP="00871C94">
      <w:pPr>
        <w:jc w:val="both"/>
        <w:rPr>
          <w:b/>
        </w:rPr>
      </w:pPr>
      <w:r>
        <w:rPr>
          <w:b/>
        </w:rPr>
        <w:t>Question 18</w:t>
      </w:r>
    </w:p>
    <w:p w:rsidR="00514C48" w:rsidRPr="006D042E" w:rsidRDefault="006D042E" w:rsidP="00871C94">
      <w:pPr>
        <w:jc w:val="both"/>
      </w:pPr>
      <w:r>
        <w:t>Evidence based policing is the theory of using research materials, peer reviewed documents, and statistics when determining how to deal with incidents or when setting policies. Instead of a “trial and error” approach, we would be looking at scientific material and statistics to back up theories. We can analyse these documents to build a fact-based approach to targeting our problem.</w:t>
      </w:r>
    </w:p>
    <w:p w:rsidR="00514C48" w:rsidRDefault="00514C48" w:rsidP="00871C94">
      <w:pPr>
        <w:jc w:val="both"/>
        <w:rPr>
          <w:b/>
        </w:rPr>
      </w:pPr>
      <w:r>
        <w:rPr>
          <w:b/>
        </w:rPr>
        <w:t>Question 19</w:t>
      </w:r>
    </w:p>
    <w:p w:rsidR="00514C48" w:rsidRDefault="00655B40" w:rsidP="00871C94">
      <w:pPr>
        <w:jc w:val="both"/>
      </w:pPr>
      <w:r>
        <w:t xml:space="preserve">Multiple different problem solving approaches can be used when attempting to deal with incidents. The first and most commonly used, most of the time without officers even knowing this is what they’re doing, is POPs. This is partner oriented policing. It is the theory that a significant number of incidents can be dealt with on multiple fronts, utilising our partners within the council, social services, etc. All these partner agencies can provide support for victims and offenders in ways that police can’t. We may identify a problem that these agencies haven’t noticed, but they may have the ability to respond </w:t>
      </w:r>
      <w:r>
        <w:lastRenderedPageBreak/>
        <w:t>and prevent things escalating by implementing preventative techniques – these could be from rehousing, to drugs programs, financial support, etc.</w:t>
      </w:r>
    </w:p>
    <w:p w:rsidR="00655B40" w:rsidRDefault="00655B40" w:rsidP="00871C94">
      <w:pPr>
        <w:jc w:val="both"/>
      </w:pPr>
      <w:r>
        <w:t>Another method we could use is OSARA – this is the Object, Scanning, Analysis, Response, and Assess model. We would identify an object that we want to “fix” using a SMART target (specific, measurable, achievable, relevant, and timely/time-bound). We would scan for information relating to the issues. That could be by finding stats on crime recording systems, or conducting surveys with the public. We analyse the data we have collected and that will determine our response. We would then put our plan in to action and respond to the issues. Finally, we’d assess the outcome. Just like the NDM, if this hasn’t worked, we’d start again and include our assessment from the previous OSARA in the scanning part of the new one.</w:t>
      </w:r>
    </w:p>
    <w:p w:rsidR="00655B40" w:rsidRPr="00655B40" w:rsidRDefault="00655B40" w:rsidP="00871C94">
      <w:pPr>
        <w:jc w:val="both"/>
      </w:pPr>
      <w:r>
        <w:t>We can also use a problem analysis triange. This is a theory that every crime requires a victim, an offender, and a location. We can identify issues with each of these points and place crime prevention techniques such as target hardening, increasing visibility, etc. We can also look at the enhanced problem analysis triangle which brings in the super-controllers for the location, victim, and offender. We can implement education, etc, at the super-controller level which may have an impact on each of the points indirectly.</w:t>
      </w:r>
    </w:p>
    <w:p w:rsidR="00514C48" w:rsidRDefault="00514C48" w:rsidP="00871C94">
      <w:pPr>
        <w:jc w:val="both"/>
        <w:rPr>
          <w:b/>
        </w:rPr>
      </w:pPr>
      <w:r>
        <w:rPr>
          <w:b/>
        </w:rPr>
        <w:t>Question 20</w:t>
      </w:r>
    </w:p>
    <w:p w:rsidR="00514C48" w:rsidRPr="004F4956" w:rsidRDefault="004F4956" w:rsidP="00871C94">
      <w:pPr>
        <w:jc w:val="both"/>
      </w:pPr>
      <w:r>
        <w:rPr>
          <w:b/>
          <w:i/>
        </w:rPr>
        <w:t>Not taught this – instructed to leave blank.</w:t>
      </w:r>
    </w:p>
    <w:p w:rsidR="00514C48" w:rsidRDefault="00514C48" w:rsidP="00871C94">
      <w:pPr>
        <w:jc w:val="both"/>
        <w:rPr>
          <w:b/>
        </w:rPr>
      </w:pPr>
      <w:r>
        <w:rPr>
          <w:b/>
        </w:rPr>
        <w:t>Question 21</w:t>
      </w:r>
    </w:p>
    <w:p w:rsidR="00514C48" w:rsidRPr="004F4956" w:rsidRDefault="00B425E9" w:rsidP="00871C94">
      <w:pPr>
        <w:jc w:val="both"/>
      </w:pPr>
      <w:r>
        <w:t>Section 1 of PACE allows a constable to detain and search a person or vehicle, in any place to which the public have access by payment or otherwise, where it is suspected the person may have in their possession a prohibited article, stolen property, or illegal firework.</w:t>
      </w:r>
    </w:p>
    <w:p w:rsidR="00514C48" w:rsidRDefault="00514C48" w:rsidP="00871C94">
      <w:pPr>
        <w:jc w:val="both"/>
        <w:rPr>
          <w:b/>
        </w:rPr>
      </w:pPr>
      <w:r>
        <w:rPr>
          <w:b/>
        </w:rPr>
        <w:t>Question 22</w:t>
      </w:r>
    </w:p>
    <w:p w:rsidR="00514C48" w:rsidRDefault="001225F3" w:rsidP="00871C94">
      <w:pPr>
        <w:jc w:val="both"/>
      </w:pPr>
      <w:r>
        <w:t>PACE Code A specifies the requirements for search of persons. The searching officer must tell the person the following prior to commencing the search:</w:t>
      </w:r>
    </w:p>
    <w:p w:rsidR="001225F3" w:rsidRDefault="001225F3" w:rsidP="001225F3">
      <w:pPr>
        <w:pStyle w:val="ListParagraph"/>
        <w:numPr>
          <w:ilvl w:val="0"/>
          <w:numId w:val="3"/>
        </w:numPr>
        <w:jc w:val="both"/>
      </w:pPr>
      <w:r>
        <w:t>Grounds of the search</w:t>
      </w:r>
    </w:p>
    <w:p w:rsidR="001225F3" w:rsidRDefault="001225F3" w:rsidP="001225F3">
      <w:pPr>
        <w:pStyle w:val="ListParagraph"/>
        <w:numPr>
          <w:ilvl w:val="0"/>
          <w:numId w:val="3"/>
        </w:numPr>
        <w:jc w:val="both"/>
      </w:pPr>
      <w:r>
        <w:t>Object that the officer is looking for</w:t>
      </w:r>
    </w:p>
    <w:p w:rsidR="001225F3" w:rsidRDefault="001225F3" w:rsidP="001225F3">
      <w:pPr>
        <w:pStyle w:val="ListParagraph"/>
        <w:numPr>
          <w:ilvl w:val="0"/>
          <w:numId w:val="3"/>
        </w:numPr>
        <w:jc w:val="both"/>
      </w:pPr>
      <w:r>
        <w:t>Warrant card must be shown if in plain clothes</w:t>
      </w:r>
    </w:p>
    <w:p w:rsidR="001225F3" w:rsidRDefault="001225F3" w:rsidP="001225F3">
      <w:pPr>
        <w:pStyle w:val="ListParagraph"/>
        <w:numPr>
          <w:ilvl w:val="0"/>
          <w:numId w:val="3"/>
        </w:numPr>
        <w:jc w:val="both"/>
      </w:pPr>
      <w:r>
        <w:t>The officer’s identity – name and collar number</w:t>
      </w:r>
    </w:p>
    <w:p w:rsidR="001225F3" w:rsidRDefault="001225F3" w:rsidP="001225F3">
      <w:pPr>
        <w:pStyle w:val="ListParagraph"/>
        <w:numPr>
          <w:ilvl w:val="0"/>
          <w:numId w:val="3"/>
        </w:numPr>
        <w:jc w:val="both"/>
      </w:pPr>
      <w:r>
        <w:t>The officer’s assigned police station</w:t>
      </w:r>
    </w:p>
    <w:p w:rsidR="001225F3" w:rsidRDefault="001225F3" w:rsidP="001225F3">
      <w:pPr>
        <w:pStyle w:val="ListParagraph"/>
        <w:numPr>
          <w:ilvl w:val="0"/>
          <w:numId w:val="3"/>
        </w:numPr>
        <w:jc w:val="both"/>
      </w:pPr>
      <w:r>
        <w:t>That the subject is entitled to a copy of the search</w:t>
      </w:r>
    </w:p>
    <w:p w:rsidR="001225F3" w:rsidRDefault="001225F3" w:rsidP="001225F3">
      <w:pPr>
        <w:pStyle w:val="ListParagraph"/>
        <w:numPr>
          <w:ilvl w:val="0"/>
          <w:numId w:val="3"/>
        </w:numPr>
        <w:jc w:val="both"/>
      </w:pPr>
      <w:r>
        <w:t>The legal power being used to search</w:t>
      </w:r>
    </w:p>
    <w:p w:rsidR="001225F3" w:rsidRPr="001225F3" w:rsidRDefault="001225F3" w:rsidP="001225F3">
      <w:pPr>
        <w:pStyle w:val="ListParagraph"/>
        <w:numPr>
          <w:ilvl w:val="0"/>
          <w:numId w:val="3"/>
        </w:numPr>
        <w:jc w:val="both"/>
      </w:pPr>
      <w:r>
        <w:t>That the subject is detained for the purpose of a search</w:t>
      </w:r>
    </w:p>
    <w:p w:rsidR="00514C48" w:rsidRDefault="00514C48" w:rsidP="00871C94">
      <w:pPr>
        <w:jc w:val="both"/>
        <w:rPr>
          <w:b/>
        </w:rPr>
      </w:pPr>
      <w:r>
        <w:rPr>
          <w:b/>
        </w:rPr>
        <w:t>Question 23</w:t>
      </w:r>
    </w:p>
    <w:p w:rsidR="00514C48" w:rsidRPr="00913646" w:rsidRDefault="00913646" w:rsidP="00871C94">
      <w:pPr>
        <w:jc w:val="both"/>
      </w:pPr>
      <w:r>
        <w:t>The best use of stop search scheme was introduced to bring a national standard to stop search that matches public scrutiny. A big aspect of this is relating to the Section 60 power that an officer of the rank of inspector or higher may authorise, that allows any person within a specified area to be searched. The scheme recommends that only officers off Assistant Chief Constable should authorise the power, due to the significant public scrutiny.</w:t>
      </w:r>
    </w:p>
    <w:p w:rsidR="00514C48" w:rsidRDefault="00514C48" w:rsidP="00871C94">
      <w:pPr>
        <w:jc w:val="both"/>
        <w:rPr>
          <w:b/>
        </w:rPr>
      </w:pPr>
      <w:r>
        <w:rPr>
          <w:b/>
        </w:rPr>
        <w:t>Question 24</w:t>
      </w:r>
    </w:p>
    <w:p w:rsidR="00514C48" w:rsidRPr="007F3423" w:rsidRDefault="007F3423" w:rsidP="00871C94">
      <w:pPr>
        <w:jc w:val="both"/>
      </w:pPr>
      <w:r>
        <w:lastRenderedPageBreak/>
        <w:t>The National Intelligence Model is used to manage intelligence. There are three main levels to the NIM. The first is the local level. This is information within the local community and sector. Like all intelligence, it is stored centrally within a force so can be accessed anywhere, but likely only has relevance to that specific area. The next level is Regional. This is usually force-wide, including neighbouring forces, and is intelligence that is likely to be needed anywhere within the region. Examples of this could be county lines organised crime groups that travel across the region. Finally, we have the national level – this is all intelligence that is shared nationally. This could be specific high profile people which are wanted, but could be anywhere, and hence shared nationally. It could also be information relating to security levels such as the terrorism threat level which is applied nationally.</w:t>
      </w:r>
    </w:p>
    <w:p w:rsidR="00514C48" w:rsidRDefault="00514C48" w:rsidP="00871C94">
      <w:pPr>
        <w:jc w:val="both"/>
        <w:rPr>
          <w:b/>
        </w:rPr>
      </w:pPr>
      <w:r>
        <w:rPr>
          <w:b/>
        </w:rPr>
        <w:t>Question 25</w:t>
      </w:r>
    </w:p>
    <w:p w:rsidR="00101E0A" w:rsidRDefault="00101E0A" w:rsidP="00871C94">
      <w:pPr>
        <w:jc w:val="both"/>
      </w:pPr>
      <w:r>
        <w:t>Management of Police Information (MoPI) is the process for which data is contolled and processed by police. At its core, the information is subject to regulations under the General Data Protection Regulation that sets out specific circumstances where data can be processed. It also sets out conditions that data controllers must adhere to and rights of individuals whose data is being processed. GDPR is an EU regulation but enacted in to UK law through the Data Protection Act 2018. This gives the Information Commissioner’s Office the responsibility to oversee data management and investigate breaches of data protection. Data can also be collected through the Regulation of Investigatory Powers Act which allows for specific, intrusive means of collecting information but only when required and justified.</w:t>
      </w:r>
      <w:r w:rsidR="008A5B3B">
        <w:t xml:space="preserve"> Some legislation from DPA 1998 is still in effect but most has been replaced by GDPR/DPA 2018.</w:t>
      </w:r>
    </w:p>
    <w:p w:rsidR="00101E0A" w:rsidRPr="00101E0A" w:rsidRDefault="00101E0A" w:rsidP="00871C94">
      <w:pPr>
        <w:jc w:val="both"/>
      </w:pPr>
      <w:r>
        <w:t>The police have a lawful duty to disclose relevant information on persons when it may have a direct impact on safeguarding them, or others they may be in contact with. We routinely share information through Public Protection Notifications with partner agencies. We do not always have consent of the individual to share the information but we may still have to as the risk to safeguarding outweighs anything else. However, where the risk is minimal, we must adhere to the individual’s rights to privacy and not share the information.</w:t>
      </w:r>
    </w:p>
    <w:sectPr w:rsidR="00101E0A" w:rsidRPr="00101E0A" w:rsidSect="00514C48">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514C48" w:rsidRDefault="00514C48" w:rsidP="00514C48">
      <w:pPr>
        <w:spacing w:after="0" w:line="240" w:lineRule="auto"/>
      </w:pPr>
      <w:r>
        <w:separator/>
      </w:r>
    </w:p>
  </w:endnote>
  <w:endnote w:type="continuationSeparator" w:id="0">
    <w:p w:rsidR="00514C48" w:rsidRDefault="00514C48" w:rsidP="00514C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20CAC" w:rsidRDefault="00B72E71" w:rsidP="00B72E71">
    <w:pPr>
      <w:pStyle w:val="Footer"/>
      <w:rPr>
        <w:color w:val="000000"/>
        <w:sz w:val="17"/>
      </w:rPr>
    </w:pPr>
    <w:bookmarkStart w:id="3" w:name="TITUS1FooterEvenPages"/>
    <w:r>
      <w:rPr>
        <w:color w:val="000000"/>
        <w:sz w:val="17"/>
      </w:rPr>
      <w:t> </w:t>
    </w:r>
  </w:p>
  <w:bookmarkEnd w:id="3"/>
  <w:p w:rsidR="00E20CAC" w:rsidRDefault="00E20CAC" w:rsidP="00E20CAC">
    <w:pPr>
      <w:pStyle w:val="Footer"/>
    </w:pPr>
  </w:p>
  <w:p w:rsidR="00514C48" w:rsidRDefault="00514C4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14C48" w:rsidRDefault="00B72E71" w:rsidP="00B72E71">
    <w:pPr>
      <w:pStyle w:val="Footer"/>
      <w:rPr>
        <w:color w:val="000000"/>
        <w:sz w:val="17"/>
      </w:rPr>
    </w:pPr>
    <w:bookmarkStart w:id="4" w:name="TITUS1FooterPrimary"/>
    <w:r>
      <w:rPr>
        <w:color w:val="000000"/>
        <w:sz w:val="17"/>
      </w:rPr>
      <w:t> </w:t>
    </w:r>
  </w:p>
  <w:bookmarkEnd w:id="4"/>
  <w:p w:rsidR="00514C48" w:rsidRDefault="00514C4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14C48" w:rsidRDefault="00B72E71" w:rsidP="00B72E71">
    <w:pPr>
      <w:pStyle w:val="Footer"/>
      <w:rPr>
        <w:color w:val="000000"/>
        <w:sz w:val="17"/>
      </w:rPr>
    </w:pPr>
    <w:bookmarkStart w:id="6" w:name="TITUS1FooterFirstPage"/>
    <w:r>
      <w:rPr>
        <w:color w:val="000000"/>
        <w:sz w:val="17"/>
      </w:rPr>
      <w:t> </w:t>
    </w:r>
  </w:p>
  <w:bookmarkEnd w:id="6"/>
  <w:p w:rsidR="00514C48" w:rsidRDefault="00514C4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514C48" w:rsidRDefault="00514C48" w:rsidP="00514C48">
      <w:pPr>
        <w:spacing w:after="0" w:line="240" w:lineRule="auto"/>
      </w:pPr>
      <w:r>
        <w:separator/>
      </w:r>
    </w:p>
  </w:footnote>
  <w:footnote w:type="continuationSeparator" w:id="0">
    <w:p w:rsidR="00514C48" w:rsidRDefault="00514C48" w:rsidP="00514C4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20CAC" w:rsidRDefault="00B72E71" w:rsidP="00B72E71">
    <w:pPr>
      <w:pStyle w:val="Header"/>
      <w:rPr>
        <w:color w:val="000000"/>
        <w:sz w:val="17"/>
      </w:rPr>
    </w:pPr>
    <w:bookmarkStart w:id="1" w:name="TITUS1HeaderEvenPages"/>
    <w:r>
      <w:rPr>
        <w:color w:val="000000"/>
        <w:sz w:val="17"/>
      </w:rPr>
      <w:t> </w:t>
    </w:r>
  </w:p>
  <w:bookmarkEnd w:id="1"/>
  <w:p w:rsidR="00E20CAC" w:rsidRDefault="00E20CAC" w:rsidP="00E20CAC">
    <w:pPr>
      <w:pStyle w:val="Header"/>
    </w:pPr>
  </w:p>
  <w:p w:rsidR="00514C48" w:rsidRDefault="00514C4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14C48" w:rsidRDefault="00B72E71" w:rsidP="00B72E71">
    <w:pPr>
      <w:pStyle w:val="Header"/>
      <w:rPr>
        <w:color w:val="000000"/>
        <w:sz w:val="17"/>
      </w:rPr>
    </w:pPr>
    <w:bookmarkStart w:id="2" w:name="TITUS1HeaderPrimary"/>
    <w:r>
      <w:rPr>
        <w:color w:val="000000"/>
        <w:sz w:val="17"/>
      </w:rPr>
      <w:t> </w:t>
    </w:r>
  </w:p>
  <w:bookmarkEnd w:id="2"/>
  <w:p w:rsidR="00514C48" w:rsidRDefault="00514C4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14C48" w:rsidRDefault="00B72E71" w:rsidP="00B72E71">
    <w:pPr>
      <w:pStyle w:val="Header"/>
      <w:rPr>
        <w:color w:val="000000"/>
        <w:sz w:val="17"/>
      </w:rPr>
    </w:pPr>
    <w:bookmarkStart w:id="5" w:name="TITUS1HeaderFirstPage"/>
    <w:r>
      <w:rPr>
        <w:color w:val="000000"/>
        <w:sz w:val="17"/>
      </w:rPr>
      <w:t> </w:t>
    </w:r>
  </w:p>
  <w:bookmarkEnd w:id="5"/>
  <w:p w:rsidR="00514C48" w:rsidRDefault="00514C4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D0F382F"/>
    <w:multiLevelType w:val="hybridMultilevel"/>
    <w:tmpl w:val="449800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81E68B0"/>
    <w:multiLevelType w:val="hybridMultilevel"/>
    <w:tmpl w:val="D42AD4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1E5662C"/>
    <w:multiLevelType w:val="hybridMultilevel"/>
    <w:tmpl w:val="F7CAA1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defaultTabStop w:val="720"/>
  <w:evenAndOddHeaders/>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14C48"/>
    <w:rsid w:val="00042FBA"/>
    <w:rsid w:val="00066404"/>
    <w:rsid w:val="000E7924"/>
    <w:rsid w:val="00101E0A"/>
    <w:rsid w:val="001225F3"/>
    <w:rsid w:val="001944AB"/>
    <w:rsid w:val="001E2968"/>
    <w:rsid w:val="00225BE4"/>
    <w:rsid w:val="004C6984"/>
    <w:rsid w:val="004F4956"/>
    <w:rsid w:val="00514C48"/>
    <w:rsid w:val="00586C53"/>
    <w:rsid w:val="005F0A7A"/>
    <w:rsid w:val="006552A1"/>
    <w:rsid w:val="00655B40"/>
    <w:rsid w:val="006C004C"/>
    <w:rsid w:val="006D042E"/>
    <w:rsid w:val="007532BB"/>
    <w:rsid w:val="007C6484"/>
    <w:rsid w:val="007F3423"/>
    <w:rsid w:val="00871C94"/>
    <w:rsid w:val="00884E78"/>
    <w:rsid w:val="008A5B3B"/>
    <w:rsid w:val="00913646"/>
    <w:rsid w:val="009B0F15"/>
    <w:rsid w:val="00B425E9"/>
    <w:rsid w:val="00B72E71"/>
    <w:rsid w:val="00B85F67"/>
    <w:rsid w:val="00BD4A56"/>
    <w:rsid w:val="00C8588C"/>
    <w:rsid w:val="00D75B7B"/>
    <w:rsid w:val="00DF2906"/>
    <w:rsid w:val="00E1341F"/>
    <w:rsid w:val="00E20CAC"/>
    <w:rsid w:val="00E92259"/>
    <w:rsid w:val="00EF34DF"/>
    <w:rsid w:val="00F13C65"/>
    <w:rsid w:val="00F6655A"/>
    <w:rsid w:val="00F666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985F84A"/>
  <w15:chartTrackingRefBased/>
  <w15:docId w15:val="{94E3F2C8-C47D-4667-BD7E-66162C471C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14C48"/>
    <w:pPr>
      <w:tabs>
        <w:tab w:val="center" w:pos="4513"/>
        <w:tab w:val="right" w:pos="9026"/>
      </w:tabs>
      <w:spacing w:after="0" w:line="240" w:lineRule="auto"/>
    </w:pPr>
  </w:style>
  <w:style w:type="character" w:customStyle="1" w:styleId="HeaderChar">
    <w:name w:val="Header Char"/>
    <w:basedOn w:val="DefaultParagraphFont"/>
    <w:link w:val="Header"/>
    <w:uiPriority w:val="99"/>
    <w:rsid w:val="00514C48"/>
  </w:style>
  <w:style w:type="paragraph" w:styleId="Footer">
    <w:name w:val="footer"/>
    <w:basedOn w:val="Normal"/>
    <w:link w:val="FooterChar"/>
    <w:uiPriority w:val="99"/>
    <w:unhideWhenUsed/>
    <w:rsid w:val="00514C48"/>
    <w:pPr>
      <w:tabs>
        <w:tab w:val="center" w:pos="4513"/>
        <w:tab w:val="right" w:pos="9026"/>
      </w:tabs>
      <w:spacing w:after="0" w:line="240" w:lineRule="auto"/>
    </w:pPr>
  </w:style>
  <w:style w:type="character" w:customStyle="1" w:styleId="FooterChar">
    <w:name w:val="Footer Char"/>
    <w:basedOn w:val="DefaultParagraphFont"/>
    <w:link w:val="Footer"/>
    <w:uiPriority w:val="99"/>
    <w:rsid w:val="00514C48"/>
  </w:style>
  <w:style w:type="paragraph" w:styleId="ListParagraph">
    <w:name w:val="List Paragraph"/>
    <w:basedOn w:val="Normal"/>
    <w:uiPriority w:val="34"/>
    <w:qFormat/>
    <w:rsid w:val="009B0F1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133</TotalTime>
  <Pages>6</Pages>
  <Words>2597</Words>
  <Characters>14806</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17369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Moras,Alexander swp6917</dc:creator>
  <cp:keywords/>
  <dc:description/>
  <cp:lastModifiedBy>Moras,Alexander swp6917</cp:lastModifiedBy>
  <cp:revision>38</cp:revision>
  <dcterms:created xsi:type="dcterms:W3CDTF">2021-06-07T11:33:00Z</dcterms:created>
  <dcterms:modified xsi:type="dcterms:W3CDTF">2021-06-07T13:57:00Z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6ab2463a-fdaf-4a28-ae0f-da05a3cc54e4</vt:lpwstr>
  </property>
  <property fmtid="{D5CDD505-2E9C-101B-9397-08002B2CF9AE}" pid="3" name="Classification">
    <vt:lpwstr>OFFICIAL</vt:lpwstr>
  </property>
  <property fmtid="{D5CDD505-2E9C-101B-9397-08002B2CF9AE}" pid="4" name="Visibility">
    <vt:lpwstr>NOT VISIBLE</vt:lpwstr>
  </property>
</Properties>
</file>