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Review emerging developments to inform approaches to employee voice and engagement. (AC 1.1)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Modern developments have allowed organisations to further expand both their methods and approaches when it comes to engaging employees in the workplace and giving them a voice. </w:t>
      </w:r>
    </w:p>
    <w:p w:rsidR="00C45AC8" w:rsidRDefault="00C45AC8"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main development of the last couple decades, and its rapid evolution over the past few years, has been the introduction of the digital workplace. This has added a new dimension to both voice and engagement. Organisations are now able to instantly communicate with their entire workforce, meaning they can instantly engage the workforce in ideas for change</w:t>
      </w:r>
      <w:r w:rsidR="00C45AC8">
        <w:rPr>
          <w:rFonts w:ascii="Arial" w:eastAsia="Times New Roman" w:hAnsi="Arial" w:cs="Arial"/>
          <w:color w:val="000000"/>
          <w:sz w:val="24"/>
          <w:szCs w:val="24"/>
          <w:lang w:eastAsia="en-GB"/>
        </w:rPr>
        <w:t xml:space="preserve"> (Ellis, 2022)</w:t>
      </w:r>
      <w:r w:rsidRPr="00013CFA">
        <w:rPr>
          <w:rFonts w:ascii="Arial" w:eastAsia="Times New Roman" w:hAnsi="Arial" w:cs="Arial"/>
          <w:color w:val="000000"/>
          <w:sz w:val="24"/>
          <w:szCs w:val="24"/>
          <w:lang w:eastAsia="en-GB"/>
        </w:rPr>
        <w:t>. This coincides with the rise in direct employee voice as surveys can now be published rapidly and supply employees with an effective vehicle to voice how they feel. Social media has also played an important role in this digital evolution (Ellis, 2022). Similar to online surveys, they allow instant feedback and wider access to the workforce (Ellis, 2022). Holland et al (2016) also promote social media for its potential ability to encourage employees to speak up, where they may otherwise not.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UK specific developments have also changed the way in which organisations approach the subject of employee voice &amp; engagement. This is best represented through The Information and Consultation of Employees regulations (ICE), which were introduced in 2005 and provided a legal framework by which an employer of 50 or more employees must comply with a request by its employees to be consulted and informed (ACAS, 2022</w:t>
      </w:r>
      <w:r w:rsidR="00C45AC8">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 Therefore, in some circumstances, the consultation of employees on organisational change and other matters is subject to law (ACAS 2022</w:t>
      </w:r>
      <w:r w:rsidR="00C45AC8">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Differentiate between employee involvement and employee participation and how it buil</w:t>
      </w:r>
      <w:r w:rsidR="00236E84" w:rsidRPr="00236E84">
        <w:rPr>
          <w:rFonts w:ascii="Arial" w:eastAsia="Times New Roman" w:hAnsi="Arial" w:cs="Arial"/>
          <w:b/>
          <w:color w:val="000000"/>
          <w:sz w:val="24"/>
          <w:szCs w:val="24"/>
          <w:lang w:eastAsia="en-GB"/>
        </w:rPr>
        <w:t>ds relationships. (AC 1.2)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Employee Involvement and Participation (EIP) is a critical factor in building the relationship between employees and Go Quest. EIP comes in a variety of forms and although it’s often expressed as one term, involvement and participation remain two separate approaches to including employee voice in decision making (Armstrong, </w:t>
      </w:r>
      <w:r w:rsidR="00C45AC8">
        <w:rPr>
          <w:rFonts w:ascii="Arial" w:eastAsia="Times New Roman" w:hAnsi="Arial" w:cs="Arial"/>
          <w:color w:val="000000"/>
          <w:sz w:val="24"/>
          <w:szCs w:val="24"/>
          <w:lang w:eastAsia="en-GB"/>
        </w:rPr>
        <w:t>&amp; Taylor, 2022</w:t>
      </w:r>
      <w:r w:rsidRPr="00013CFA">
        <w:rPr>
          <w:rFonts w:ascii="Arial" w:eastAsia="Times New Roman" w:hAnsi="Arial" w:cs="Arial"/>
          <w:color w:val="000000"/>
          <w:sz w:val="24"/>
          <w:szCs w:val="24"/>
          <w:lang w:eastAsia="en-GB"/>
        </w:rPr>
        <w:t>). Participation is the approach by which employees are involved in organisational decision making through their representatives, much like a union (Ellis, 2022). Involvement describes the approach by which employees are directly communicated to in regards to changes, by which they can feedback and thus have a say in said change (Armstrong</w:t>
      </w:r>
      <w:r w:rsidR="00C45AC8">
        <w:rPr>
          <w:rFonts w:ascii="Arial" w:eastAsia="Times New Roman" w:hAnsi="Arial" w:cs="Arial"/>
          <w:color w:val="000000"/>
          <w:sz w:val="24"/>
          <w:szCs w:val="24"/>
          <w:lang w:eastAsia="en-GB"/>
        </w:rPr>
        <w:t xml:space="preserve"> &amp; Taylor</w:t>
      </w:r>
      <w:r w:rsidRPr="00013CFA">
        <w:rPr>
          <w:rFonts w:ascii="Arial" w:eastAsia="Times New Roman" w:hAnsi="Arial" w:cs="Arial"/>
          <w:color w:val="000000"/>
          <w:sz w:val="24"/>
          <w:szCs w:val="24"/>
          <w:lang w:eastAsia="en-GB"/>
        </w:rPr>
        <w:t>, 20</w:t>
      </w:r>
      <w:r w:rsidR="00C45AC8">
        <w:rPr>
          <w:rFonts w:ascii="Arial" w:eastAsia="Times New Roman" w:hAnsi="Arial" w:cs="Arial"/>
          <w:color w:val="000000"/>
          <w:sz w:val="24"/>
          <w:szCs w:val="24"/>
          <w:lang w:eastAsia="en-GB"/>
        </w:rPr>
        <w:t>22</w:t>
      </w:r>
      <w:r w:rsidRPr="00013CFA">
        <w:rPr>
          <w:rFonts w:ascii="Arial" w:eastAsia="Times New Roman" w:hAnsi="Arial" w:cs="Arial"/>
          <w:color w:val="000000"/>
          <w:sz w:val="24"/>
          <w:szCs w:val="24"/>
          <w:lang w:eastAsia="en-GB"/>
        </w:rPr>
        <w:t>). Examples of this include email communications and briefings from Go Quest’s management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As highlighted by Ellis (2022), different EIP approaches and tools will vary in their “degree, level, scope and form” and thus will provide employees with varying levels of influence in organisational change. Tools employed merely to communicate a change will be seen as (and are) shallow and provide very little opportunity for influence (Ellis, 2022). However, employee consultations through representatives are often seen as having a greater degree of influence, with more depth and wider scope (Armstrong</w:t>
      </w:r>
      <w:r w:rsidR="00C45AC8">
        <w:rPr>
          <w:rFonts w:ascii="Arial" w:eastAsia="Times New Roman" w:hAnsi="Arial" w:cs="Arial"/>
          <w:color w:val="000000"/>
          <w:sz w:val="24"/>
          <w:szCs w:val="24"/>
          <w:lang w:eastAsia="en-GB"/>
        </w:rPr>
        <w:t xml:space="preserve"> &amp; Taylor, 2022</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Through the use of a variety of EIP approaches, Go Quest can build a culture which prioritises trust, values voice and allows for more diverse views (Ellis, 2022). Not only does this help employees feel valued, but it also would allow Go Quest to develop a</w:t>
      </w:r>
      <w:r w:rsidR="00C45AC8" w:rsidRPr="00013CFA">
        <w:rPr>
          <w:rFonts w:ascii="Arial" w:eastAsia="Times New Roman" w:hAnsi="Arial" w:cs="Arial"/>
          <w:color w:val="000000"/>
          <w:sz w:val="24"/>
          <w:szCs w:val="24"/>
          <w:lang w:eastAsia="en-GB"/>
        </w:rPr>
        <w:t> greater</w:t>
      </w:r>
      <w:r w:rsidRPr="00013CFA">
        <w:rPr>
          <w:rFonts w:ascii="Arial" w:eastAsia="Times New Roman" w:hAnsi="Arial" w:cs="Arial"/>
          <w:color w:val="000000"/>
          <w:sz w:val="24"/>
          <w:szCs w:val="24"/>
          <w:lang w:eastAsia="en-GB"/>
        </w:rPr>
        <w:t>, deeper understanding of the issues &amp; risks it faces (Ellis, 2022). It also allows for wider ideas to be shared which can help to mitigate these risks. Furthermore, EIP practices that enable employees to have a say in their job design can help to improve employee confidence and provide them with greater satisfaction within their role, enhancing motivation (CIPD, 2019). It is therefore clear that EIP practices, if implemented effectively, could help to build a symbiotic relationship between Go Quest and its employees.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Assess three employee voice tools and two approaches that might be used to drive emp</w:t>
      </w:r>
      <w:r w:rsidR="00236E84" w:rsidRPr="00236E84">
        <w:rPr>
          <w:rFonts w:ascii="Arial" w:eastAsia="Times New Roman" w:hAnsi="Arial" w:cs="Arial"/>
          <w:b/>
          <w:color w:val="000000"/>
          <w:sz w:val="24"/>
          <w:szCs w:val="24"/>
          <w:lang w:eastAsia="en-GB"/>
        </w:rPr>
        <w:t xml:space="preserve">loyee engagement. (AC 1.3) </w:t>
      </w:r>
    </w:p>
    <w:p w:rsidR="007C5F9A" w:rsidRPr="00013CFA" w:rsidRDefault="007C5F9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 variety of tools can be used by Go Quest as a vehicle for employee voice. One such tool is the use of social media, which uniquely engages employees in part because it’s not controlled by the organisation. This ultimately means that employees view it as a safer and more reliable form of communication, which promotes honesty about their workplaces (Ellis, 2022). It also allows for an instant, widely accessible platform for employee voice (Ellis, 2022). However, Ellis (2022) notes that the use of this tool would require a ceding of power from management, which can be rare to find. This is why many organisations opt for tools which they have more direct control of. Perhaps the most common direct employee voice tool, 1 to 1 meetings with managers, allow employees to express their feelings and concerns directly with a decision maker (Armstrong</w:t>
      </w:r>
      <w:r w:rsidR="00C45AC8">
        <w:rPr>
          <w:rFonts w:ascii="Arial" w:eastAsia="Times New Roman" w:hAnsi="Arial" w:cs="Arial"/>
          <w:color w:val="000000"/>
          <w:sz w:val="24"/>
          <w:szCs w:val="24"/>
          <w:lang w:eastAsia="en-GB"/>
        </w:rPr>
        <w:t xml:space="preserve"> &amp; Taylor</w:t>
      </w:r>
      <w:r w:rsidRPr="00013CFA">
        <w:rPr>
          <w:rFonts w:ascii="Arial" w:eastAsia="Times New Roman" w:hAnsi="Arial" w:cs="Arial"/>
          <w:color w:val="000000"/>
          <w:sz w:val="24"/>
          <w:szCs w:val="24"/>
          <w:lang w:eastAsia="en-GB"/>
        </w:rPr>
        <w:t>, 20</w:t>
      </w:r>
      <w:r w:rsidR="00C45AC8">
        <w:rPr>
          <w:rFonts w:ascii="Arial" w:eastAsia="Times New Roman" w:hAnsi="Arial" w:cs="Arial"/>
          <w:color w:val="000000"/>
          <w:sz w:val="24"/>
          <w:szCs w:val="24"/>
          <w:lang w:eastAsia="en-GB"/>
        </w:rPr>
        <w:t>22</w:t>
      </w:r>
      <w:r w:rsidRPr="00013CFA">
        <w:rPr>
          <w:rFonts w:ascii="Arial" w:eastAsia="Times New Roman" w:hAnsi="Arial" w:cs="Arial"/>
          <w:color w:val="000000"/>
          <w:sz w:val="24"/>
          <w:szCs w:val="24"/>
          <w:lang w:eastAsia="en-GB"/>
        </w:rPr>
        <w:t>). Although common, its reliability may be questioned due to its reliance on effective management approaches which foster healthy relationships (Ellis, 2022). This highlights the importance of ensuring tools which are not reliant on interpersonal relationships are available to employees, such as Whistleblowing. This critical tool enables employees to raise important concerns anonymously about a plethora of dangerous practices (CIPD, 2021</w:t>
      </w:r>
      <w:r w:rsidR="00C45AC8">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Despite its anonymity, this tool is still highly dependent on Go Quest’s culture and reflects the need to build an environment where it’s safe to speak up (CIPD, 2021</w:t>
      </w:r>
      <w:r w:rsidR="00C45AC8">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However, tools alone cannot be used to drive employee engagement - effective approaches need to be employed by which these tools can be used and thus, drive engagement. As is the case with much about an organisation, effective leadership and healthy management are essential (Ellis, 2022). Relationships between employees and managers built on trust and mutual appreciation go a long way in improving the working lives of everyone involved, helping to foster an environment by which employees are more engaged and happy with their work (Ellis, 2022). Building a healthy organisational culture is also pivotal in driving engagement. When employees are supported by a culture which promotes employee voice, they are more likely to feel valued and appreciated. This can help provide employees with a sense of significance within the organisation, therefore improving emotional engagement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proofErr w:type="gramStart"/>
      <w:r w:rsidRPr="00013CFA">
        <w:rPr>
          <w:rFonts w:ascii="Arial" w:eastAsia="Times New Roman" w:hAnsi="Arial" w:cs="Arial"/>
          <w:b/>
          <w:color w:val="000000"/>
          <w:sz w:val="24"/>
          <w:szCs w:val="24"/>
          <w:lang w:eastAsia="en-GB"/>
        </w:rPr>
        <w:t>Critically</w:t>
      </w:r>
      <w:proofErr w:type="gramEnd"/>
      <w:r w:rsidRPr="00013CFA">
        <w:rPr>
          <w:rFonts w:ascii="Arial" w:eastAsia="Times New Roman" w:hAnsi="Arial" w:cs="Arial"/>
          <w:b/>
          <w:color w:val="000000"/>
          <w:sz w:val="24"/>
          <w:szCs w:val="24"/>
          <w:lang w:eastAsia="en-GB"/>
        </w:rPr>
        <w:t xml:space="preserve"> evaluate the interrelationships between employee voice and organisational performance. (AC 1.4)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Whilst many argue that organisational performance and employee voice are deeply linked, there are some who believe this view is not well founded and that the evidence suggests otherwise. Well regarded proponents of employee voice, Bailey et al (2017), found that a positive link existed between both employee voice and the performance of an organisation, as well as increased extra-role performance. Through their research, they also discovered that effective employee voice within an organisation can also limit burnout and increase job satisfaction (Bailey et al, 2017). The CIPD (2022</w:t>
      </w:r>
      <w:r w:rsidR="00C45AC8"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also argues that good quality communication with staff, including employee voice, directly impacts performance, retention and employee wellbeing. Taylor (2017) contributes to this view in his report which states that employee voice can make people feel better about their jobs, improve relations with management and increase productivity.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There are, however, many who argue that the link between employee voice and performance isn’t so clear and that we should be cautious to promote this approach. The first is that the success of an organisation is, arguably, dependent on a variety of factors and that profit, commonly used as a KPI, is reliant on several forces (Ellis, 2022). This means it’s difficult to associate improved employee voice with improved profitability. There is also the issue that many assume engagement affects profitability, but not so much consideration is given to the counter argument that perhaps it is profitability that affects engagement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Despite these concerns, the majority view within the profession is that the interrelationship between employee voice and organisational performance is strong, vital and should be prioritised within the organisation’s strategic approach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Explain the concept of better working lives and how this</w:t>
      </w:r>
      <w:r w:rsidR="00236E84" w:rsidRPr="00236E84">
        <w:rPr>
          <w:rFonts w:ascii="Arial" w:eastAsia="Times New Roman" w:hAnsi="Arial" w:cs="Arial"/>
          <w:b/>
          <w:color w:val="000000"/>
          <w:sz w:val="24"/>
          <w:szCs w:val="24"/>
          <w:lang w:eastAsia="en-GB"/>
        </w:rPr>
        <w:t xml:space="preserve"> can be designed. (AC 1.5)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Better working lives is referred to by the CIPD through their term ‘Good Work’ and consists of a variety of factors which the CIPD believe contributes to a healthy workplace and job. The 7 factors include:</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Being fairly rewarded. Metric: Primarily consisting of pay but also inclusive of benefits - employees should be rewarded for the work they do and be reflective of their performance. Pension also contributes to this.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Job design. Metric: Including, work load, quality of work and resourcing within teams/departments. Other factors include autonomy and the complexity of the role compared to the skill of the employee.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Having a healthy work-life balance. Metric: This can include popular workplace practices like hybrid working, flexi time schemes and consideration of commute times. Overworking is also a factor.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Employment contract. Metric: types of contract and job security.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 supportive environment consisting of constructive workplace relationships. Support from management can contribute towards a cohesive, psychologically healthy organisation which nurtures employees to value each other. Metric: organisational cohesion, quality of relationships &amp; psychological safety.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Employee voice including the choice to shape working lives. As discussed previously, this can have a positive impact on job satisfaction as well as psychological, emotional and physical engagement. Metric: number of </w:t>
      </w:r>
      <w:r w:rsidRPr="00013CFA">
        <w:rPr>
          <w:rFonts w:ascii="Arial" w:eastAsia="Times New Roman" w:hAnsi="Arial" w:cs="Arial"/>
          <w:color w:val="000000"/>
          <w:sz w:val="24"/>
          <w:szCs w:val="24"/>
          <w:lang w:eastAsia="en-GB"/>
        </w:rPr>
        <w:lastRenderedPageBreak/>
        <w:t>feedback channels, ease to feedback and openness from management to employee views.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Physical &amp; mental wellbeing. Managers being open and easy to talk to help to promote a healthy </w:t>
      </w:r>
      <w:proofErr w:type="spellStart"/>
      <w:r w:rsidRPr="00013CFA">
        <w:rPr>
          <w:rFonts w:ascii="Arial" w:eastAsia="Times New Roman" w:hAnsi="Arial" w:cs="Arial"/>
          <w:color w:val="000000"/>
          <w:sz w:val="24"/>
          <w:szCs w:val="24"/>
          <w:lang w:eastAsia="en-GB"/>
        </w:rPr>
        <w:t>mindset</w:t>
      </w:r>
      <w:proofErr w:type="spellEnd"/>
      <w:r w:rsidRPr="00013CFA">
        <w:rPr>
          <w:rFonts w:ascii="Arial" w:eastAsia="Times New Roman" w:hAnsi="Arial" w:cs="Arial"/>
          <w:color w:val="000000"/>
          <w:sz w:val="24"/>
          <w:szCs w:val="24"/>
          <w:lang w:eastAsia="en-GB"/>
        </w:rPr>
        <w:t xml:space="preserve"> towards mental wellbeing. Organisations which provide gym memberships, or similar benefits can also help to increase the physical wellbeing of their employees. Standard procedures also apply, such as workplace risk assessments. Metric: contributors to and </w:t>
      </w:r>
      <w:proofErr w:type="spellStart"/>
      <w:r w:rsidRPr="00013CFA">
        <w:rPr>
          <w:rFonts w:ascii="Arial" w:eastAsia="Times New Roman" w:hAnsi="Arial" w:cs="Arial"/>
          <w:color w:val="000000"/>
          <w:sz w:val="24"/>
          <w:szCs w:val="24"/>
          <w:lang w:eastAsia="en-GB"/>
        </w:rPr>
        <w:t>deductors</w:t>
      </w:r>
      <w:proofErr w:type="spellEnd"/>
      <w:r w:rsidRPr="00013CFA">
        <w:rPr>
          <w:rFonts w:ascii="Arial" w:eastAsia="Times New Roman" w:hAnsi="Arial" w:cs="Arial"/>
          <w:color w:val="000000"/>
          <w:sz w:val="24"/>
          <w:szCs w:val="24"/>
          <w:lang w:eastAsia="en-GB"/>
        </w:rPr>
        <w:t xml:space="preserve"> from wellbeing. </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(CIPD, 2022</w:t>
      </w:r>
      <w:r w:rsidR="002B1799">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Through the prioritisation and consideration of these factors, Go Quest can promote healthy working lives which are rewarding and fulfilling. This in turn helps to create a positive organisational culture, using the metrics such as those listed above to help identify areas in which the organisation needs to improve.</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Distinguish between organisational conflict and misbehaviour, and between informal and formal conflict. (AC 2.1)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Organisational conflict and misbehaviour arises in a variety of forms in today’s climate. </w:t>
      </w:r>
      <w:r w:rsidR="00E83DA8">
        <w:rPr>
          <w:rFonts w:ascii="Arial" w:eastAsia="Times New Roman" w:hAnsi="Arial" w:cs="Arial"/>
          <w:color w:val="000000"/>
          <w:sz w:val="24"/>
          <w:szCs w:val="24"/>
          <w:lang w:eastAsia="en-GB"/>
        </w:rPr>
        <w:t xml:space="preserve">The </w:t>
      </w:r>
      <w:r w:rsidRPr="00013CFA">
        <w:rPr>
          <w:rFonts w:ascii="Arial" w:eastAsia="Times New Roman" w:hAnsi="Arial" w:cs="Arial"/>
          <w:color w:val="000000"/>
          <w:sz w:val="24"/>
          <w:szCs w:val="24"/>
          <w:lang w:eastAsia="en-GB"/>
        </w:rPr>
        <w:t xml:space="preserve">most prevalent of these within Europe are the Union coordinated strikes, involving the refusal to work on planned dates by a large proportion of the workforce (Ellis, 2022). Other examples of industrial action include work-to-rule where employees do not go beyond their contracted duties, in effect reducing productivity and output (Daniels, 2022). Both of these forms of organisational conflict involve a large number of employees taking </w:t>
      </w:r>
      <w:r w:rsidRPr="00013CFA">
        <w:rPr>
          <w:rFonts w:ascii="Arial" w:eastAsia="Times New Roman" w:hAnsi="Arial" w:cs="Arial"/>
          <w:i/>
          <w:color w:val="000000"/>
          <w:sz w:val="24"/>
          <w:szCs w:val="24"/>
          <w:lang w:eastAsia="en-GB"/>
        </w:rPr>
        <w:t>coordinated</w:t>
      </w:r>
      <w:r w:rsidRPr="00013CFA">
        <w:rPr>
          <w:rFonts w:ascii="Arial" w:eastAsia="Times New Roman" w:hAnsi="Arial" w:cs="Arial"/>
          <w:color w:val="000000"/>
          <w:sz w:val="24"/>
          <w:szCs w:val="24"/>
          <w:lang w:eastAsia="en-GB"/>
        </w:rPr>
        <w:t xml:space="preserve"> action. This distinguishes it from misbehaviour which often involves </w:t>
      </w:r>
      <w:r w:rsidRPr="00013CFA">
        <w:rPr>
          <w:rFonts w:ascii="Arial" w:eastAsia="Times New Roman" w:hAnsi="Arial" w:cs="Arial"/>
          <w:i/>
          <w:color w:val="000000"/>
          <w:sz w:val="24"/>
          <w:szCs w:val="24"/>
          <w:lang w:eastAsia="en-GB"/>
        </w:rPr>
        <w:t>individual</w:t>
      </w:r>
      <w:r w:rsidRPr="00013CFA">
        <w:rPr>
          <w:rFonts w:ascii="Arial" w:eastAsia="Times New Roman" w:hAnsi="Arial" w:cs="Arial"/>
          <w:color w:val="000000"/>
          <w:sz w:val="24"/>
          <w:szCs w:val="24"/>
          <w:lang w:eastAsia="en-GB"/>
        </w:rPr>
        <w:t xml:space="preserve"> malpractice as a result of unhappiness (Daniels, 2022). This can include sabotage and fraud. In most cases, misbehaviour is illegal and against contracted terms, whereas </w:t>
      </w:r>
      <w:r w:rsidR="00E83DA8">
        <w:rPr>
          <w:rFonts w:ascii="Arial" w:eastAsia="Times New Roman" w:hAnsi="Arial" w:cs="Arial"/>
          <w:color w:val="000000"/>
          <w:sz w:val="24"/>
          <w:szCs w:val="24"/>
          <w:lang w:eastAsia="en-GB"/>
        </w:rPr>
        <w:t>industrial action operates</w:t>
      </w:r>
      <w:r w:rsidRPr="00013CFA">
        <w:rPr>
          <w:rFonts w:ascii="Arial" w:eastAsia="Times New Roman" w:hAnsi="Arial" w:cs="Arial"/>
          <w:color w:val="000000"/>
          <w:sz w:val="24"/>
          <w:szCs w:val="24"/>
          <w:lang w:eastAsia="en-GB"/>
        </w:rPr>
        <w:t xml:space="preserve"> within set legal parameters.</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Informal </w:t>
      </w:r>
      <w:r w:rsidR="00E83DA8">
        <w:rPr>
          <w:rFonts w:ascii="Arial" w:eastAsia="Times New Roman" w:hAnsi="Arial" w:cs="Arial"/>
          <w:color w:val="000000"/>
          <w:sz w:val="24"/>
          <w:szCs w:val="24"/>
          <w:lang w:eastAsia="en-GB"/>
        </w:rPr>
        <w:t>conflict</w:t>
      </w:r>
      <w:r w:rsidRPr="00013CFA">
        <w:rPr>
          <w:rFonts w:ascii="Arial" w:eastAsia="Times New Roman" w:hAnsi="Arial" w:cs="Arial"/>
          <w:color w:val="000000"/>
          <w:sz w:val="24"/>
          <w:szCs w:val="24"/>
          <w:lang w:eastAsia="en-GB"/>
        </w:rPr>
        <w:t xml:space="preserve"> can be characterised through general disagreements and arguments that occur naturally - both between employees and between an employee and their employer. Informal conflict, if not treated properly, can have unhealthy consequences for an organisation (Armstrong</w:t>
      </w:r>
      <w:r w:rsidR="002B1799" w:rsidRPr="00236E84">
        <w:rPr>
          <w:rFonts w:ascii="Arial" w:eastAsia="Times New Roman" w:hAnsi="Arial" w:cs="Arial"/>
          <w:color w:val="000000"/>
          <w:sz w:val="24"/>
          <w:szCs w:val="24"/>
          <w:lang w:eastAsia="en-GB"/>
        </w:rPr>
        <w:t xml:space="preserve"> &amp; Taylor, 2022</w:t>
      </w:r>
      <w:r w:rsidRPr="00013CFA">
        <w:rPr>
          <w:rFonts w:ascii="Arial" w:eastAsia="Times New Roman" w:hAnsi="Arial" w:cs="Arial"/>
          <w:color w:val="000000"/>
          <w:sz w:val="24"/>
          <w:szCs w:val="24"/>
          <w:lang w:eastAsia="en-GB"/>
        </w:rPr>
        <w:t xml:space="preserve">). This is in contrast to formal conflict which can be seen through the encouragement of debate; valuing conflict as a catalyst for innovation and positive change </w:t>
      </w:r>
      <w:r w:rsidR="002B1799" w:rsidRPr="00013CFA">
        <w:rPr>
          <w:rFonts w:ascii="Arial" w:eastAsia="Times New Roman" w:hAnsi="Arial" w:cs="Arial"/>
          <w:color w:val="000000"/>
          <w:sz w:val="24"/>
          <w:szCs w:val="24"/>
          <w:lang w:eastAsia="en-GB"/>
        </w:rPr>
        <w:t>(Armstrong</w:t>
      </w:r>
      <w:r w:rsidR="002B1799" w:rsidRPr="00236E84">
        <w:rPr>
          <w:rFonts w:ascii="Arial" w:eastAsia="Times New Roman" w:hAnsi="Arial" w:cs="Arial"/>
          <w:color w:val="000000"/>
          <w:sz w:val="24"/>
          <w:szCs w:val="24"/>
          <w:lang w:eastAsia="en-GB"/>
        </w:rPr>
        <w:t xml:space="preserve"> &amp; Taylor, 2022</w:t>
      </w:r>
      <w:r w:rsidR="002B1799" w:rsidRPr="00013CFA">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 xml:space="preserve">Through this conflict, new ideas arise and current ways of working are challenged, leading to refinement and </w:t>
      </w:r>
      <w:proofErr w:type="spellStart"/>
      <w:r w:rsidRPr="00013CFA">
        <w:rPr>
          <w:rFonts w:ascii="Arial" w:eastAsia="Times New Roman" w:hAnsi="Arial" w:cs="Arial"/>
          <w:color w:val="000000"/>
          <w:sz w:val="24"/>
          <w:szCs w:val="24"/>
          <w:lang w:eastAsia="en-GB"/>
        </w:rPr>
        <w:t>embetterment</w:t>
      </w:r>
      <w:proofErr w:type="spellEnd"/>
      <w:r w:rsidRPr="00013CFA">
        <w:rPr>
          <w:rFonts w:ascii="Arial" w:eastAsia="Times New Roman" w:hAnsi="Arial" w:cs="Arial"/>
          <w:color w:val="000000"/>
          <w:sz w:val="24"/>
          <w:szCs w:val="24"/>
          <w:lang w:eastAsia="en-GB"/>
        </w:rPr>
        <w:t xml:space="preserve"> </w:t>
      </w:r>
      <w:r w:rsidR="002B1799" w:rsidRPr="00013CFA">
        <w:rPr>
          <w:rFonts w:ascii="Arial" w:eastAsia="Times New Roman" w:hAnsi="Arial" w:cs="Arial"/>
          <w:color w:val="000000"/>
          <w:sz w:val="24"/>
          <w:szCs w:val="24"/>
          <w:lang w:eastAsia="en-GB"/>
        </w:rPr>
        <w:t>(Armstrong</w:t>
      </w:r>
      <w:r w:rsidR="002B1799" w:rsidRPr="00236E84">
        <w:rPr>
          <w:rFonts w:ascii="Arial" w:eastAsia="Times New Roman" w:hAnsi="Arial" w:cs="Arial"/>
          <w:color w:val="000000"/>
          <w:sz w:val="24"/>
          <w:szCs w:val="24"/>
          <w:lang w:eastAsia="en-GB"/>
        </w:rPr>
        <w:t xml:space="preserve"> &amp; Taylor, 2022</w:t>
      </w:r>
      <w:r w:rsidR="002B1799"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Distinguish between official and unoffic</w:t>
      </w:r>
      <w:r w:rsidR="007C5F9A">
        <w:rPr>
          <w:rFonts w:ascii="Arial" w:eastAsia="Times New Roman" w:hAnsi="Arial" w:cs="Arial"/>
          <w:b/>
          <w:color w:val="000000"/>
          <w:sz w:val="24"/>
          <w:szCs w:val="24"/>
          <w:lang w:eastAsia="en-GB"/>
        </w:rPr>
        <w:t xml:space="preserve">ial employee action. (AC 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Official employee action must adhere to criteria set out in employment law (Taylor &amp; Wilkinson, 2022). If a trade union (TU) intends to carry out a ballot for industrial action, it must inform the employer 7 days before the ballot is taken, including information such as the date of the ballot, number being balloted and the categories of employees and workplaces (Daniels, 2022). Those who are entitled to vote must be given a reasonable opportunity to do so (Daniels, 2022). The paper should include information</w:t>
      </w:r>
      <w:r w:rsidR="00E83DA8">
        <w:rPr>
          <w:rFonts w:ascii="Arial" w:eastAsia="Times New Roman" w:hAnsi="Arial" w:cs="Arial"/>
          <w:color w:val="000000"/>
          <w:sz w:val="24"/>
          <w:szCs w:val="24"/>
          <w:lang w:eastAsia="en-GB"/>
        </w:rPr>
        <w:t xml:space="preserve"> such as</w:t>
      </w:r>
      <w:r w:rsidRPr="00013CFA">
        <w:rPr>
          <w:rFonts w:ascii="Arial" w:eastAsia="Times New Roman" w:hAnsi="Arial" w:cs="Arial"/>
          <w:color w:val="000000"/>
          <w:sz w:val="24"/>
          <w:szCs w:val="24"/>
          <w:lang w:eastAsia="en-GB"/>
        </w:rPr>
        <w:t xml:space="preserve"> when the action is to take place, if the action falls short of a strike and what the issue is that has led to the action (gov.uk, no date</w:t>
      </w:r>
      <w:r w:rsidR="002B1799" w:rsidRPr="00236E84">
        <w:rPr>
          <w:rFonts w:ascii="Arial" w:eastAsia="Times New Roman" w:hAnsi="Arial" w:cs="Arial"/>
          <w:color w:val="000000"/>
          <w:sz w:val="24"/>
          <w:szCs w:val="24"/>
          <w:lang w:eastAsia="en-GB"/>
        </w:rPr>
        <w:t xml:space="preserve"> c</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A valid ballot must meet the following criteria:</w:t>
      </w:r>
    </w:p>
    <w:p w:rsidR="00013CFA" w:rsidRPr="00013CFA" w:rsidRDefault="00013CFA" w:rsidP="00236E84">
      <w:pPr>
        <w:numPr>
          <w:ilvl w:val="0"/>
          <w:numId w:val="2"/>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50+% turnout</w:t>
      </w:r>
    </w:p>
    <w:p w:rsidR="00013CFA" w:rsidRPr="00013CFA" w:rsidRDefault="00013CFA" w:rsidP="00E83DA8">
      <w:pPr>
        <w:numPr>
          <w:ilvl w:val="0"/>
          <w:numId w:val="2"/>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Majority in favour </w:t>
      </w:r>
      <w:r w:rsidR="00E83DA8">
        <w:rPr>
          <w:rFonts w:ascii="Arial" w:eastAsia="Times New Roman" w:hAnsi="Arial" w:cs="Arial"/>
          <w:color w:val="000000"/>
          <w:sz w:val="24"/>
          <w:szCs w:val="24"/>
          <w:lang w:eastAsia="en-GB"/>
        </w:rPr>
        <w:t>(</w:t>
      </w:r>
      <w:r w:rsidR="00E83DA8" w:rsidRPr="00013CFA">
        <w:rPr>
          <w:rFonts w:ascii="Arial" w:eastAsia="Times New Roman" w:hAnsi="Arial" w:cs="Arial"/>
          <w:color w:val="000000"/>
          <w:sz w:val="24"/>
          <w:szCs w:val="24"/>
          <w:lang w:eastAsia="en-GB"/>
        </w:rPr>
        <w:t xml:space="preserve">40+% </w:t>
      </w:r>
      <w:r w:rsidR="00E83DA8">
        <w:rPr>
          <w:rFonts w:ascii="Arial" w:eastAsia="Times New Roman" w:hAnsi="Arial" w:cs="Arial"/>
          <w:color w:val="000000"/>
          <w:sz w:val="24"/>
          <w:szCs w:val="24"/>
          <w:lang w:eastAsia="en-GB"/>
        </w:rPr>
        <w:t>if</w:t>
      </w:r>
      <w:r w:rsidR="00E83DA8" w:rsidRPr="00013CFA">
        <w:rPr>
          <w:rFonts w:ascii="Arial" w:eastAsia="Times New Roman" w:hAnsi="Arial" w:cs="Arial"/>
          <w:color w:val="000000"/>
          <w:sz w:val="24"/>
          <w:szCs w:val="24"/>
          <w:lang w:eastAsia="en-GB"/>
        </w:rPr>
        <w:t xml:space="preserve"> essential public service</w:t>
      </w:r>
      <w:r w:rsidR="00E83DA8">
        <w:rPr>
          <w:rFonts w:ascii="Arial" w:eastAsia="Times New Roman" w:hAnsi="Arial" w:cs="Arial"/>
          <w:color w:val="000000"/>
          <w:sz w:val="24"/>
          <w:szCs w:val="24"/>
          <w:lang w:eastAsia="en-GB"/>
        </w:rPr>
        <w:t>)</w:t>
      </w:r>
    </w:p>
    <w:p w:rsidR="00013CFA" w:rsidRPr="00013CFA" w:rsidRDefault="00E83DA8"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 </w:t>
      </w:r>
      <w:r w:rsidR="00013CFA" w:rsidRPr="00013CFA">
        <w:rPr>
          <w:rFonts w:ascii="Arial" w:eastAsia="Times New Roman" w:hAnsi="Arial" w:cs="Arial"/>
          <w:color w:val="000000"/>
          <w:sz w:val="24"/>
          <w:szCs w:val="24"/>
          <w:lang w:eastAsia="en-GB"/>
        </w:rPr>
        <w:t>(Trade Union Act, 2016).</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If the ballot is in favour of action, 14 </w:t>
      </w:r>
      <w:r w:rsidR="00236E84" w:rsidRPr="00013CFA">
        <w:rPr>
          <w:rFonts w:ascii="Arial" w:eastAsia="Times New Roman" w:hAnsi="Arial" w:cs="Arial"/>
          <w:color w:val="000000"/>
          <w:sz w:val="24"/>
          <w:szCs w:val="24"/>
          <w:lang w:eastAsia="en-GB"/>
        </w:rPr>
        <w:t>days’ notice</w:t>
      </w:r>
      <w:r w:rsidRPr="00013CFA">
        <w:rPr>
          <w:rFonts w:ascii="Arial" w:eastAsia="Times New Roman" w:hAnsi="Arial" w:cs="Arial"/>
          <w:color w:val="000000"/>
          <w:sz w:val="24"/>
          <w:szCs w:val="24"/>
          <w:lang w:eastAsia="en-GB"/>
        </w:rPr>
        <w:t xml:space="preserve"> must be given to the employer (reduced to 7 days with mutual agreement</w:t>
      </w:r>
      <w:proofErr w:type="gramStart"/>
      <w:r w:rsidRPr="00013CFA">
        <w:rPr>
          <w:rFonts w:ascii="Arial" w:eastAsia="Times New Roman" w:hAnsi="Arial" w:cs="Arial"/>
          <w:color w:val="000000"/>
          <w:sz w:val="24"/>
          <w:szCs w:val="24"/>
          <w:lang w:eastAsia="en-GB"/>
        </w:rPr>
        <w:t>)(</w:t>
      </w:r>
      <w:proofErr w:type="gramEnd"/>
      <w:r w:rsidRPr="00013CFA">
        <w:rPr>
          <w:rFonts w:ascii="Arial" w:eastAsia="Times New Roman" w:hAnsi="Arial" w:cs="Arial"/>
          <w:color w:val="000000"/>
          <w:sz w:val="24"/>
          <w:szCs w:val="24"/>
          <w:lang w:eastAsia="en-GB"/>
        </w:rPr>
        <w:t>Daniels, 2022). Industrial action must occur within an agreed period, and the TU must set out:</w:t>
      </w:r>
    </w:p>
    <w:p w:rsidR="00013CFA" w:rsidRPr="00013CFA" w:rsidRDefault="00013CFA" w:rsidP="00236E84">
      <w:pPr>
        <w:numPr>
          <w:ilvl w:val="0"/>
          <w:numId w:val="3"/>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dates &amp; times of the action</w:t>
      </w:r>
    </w:p>
    <w:p w:rsidR="00013CFA" w:rsidRPr="00013CFA" w:rsidRDefault="00E83DA8" w:rsidP="00236E84">
      <w:pPr>
        <w:numPr>
          <w:ilvl w:val="0"/>
          <w:numId w:val="3"/>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whether</w:t>
      </w:r>
      <w:r w:rsidR="00013CFA" w:rsidRPr="00013CFA">
        <w:rPr>
          <w:rFonts w:ascii="Arial" w:eastAsia="Times New Roman" w:hAnsi="Arial" w:cs="Arial"/>
          <w:color w:val="000000"/>
          <w:sz w:val="24"/>
          <w:szCs w:val="24"/>
          <w:lang w:eastAsia="en-GB"/>
        </w:rPr>
        <w:t xml:space="preserve"> it’s continuous action</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(Daniels, 2022).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Ballots have a 6 month shelf life and if action is to continue, members must be balloted again (Daniels, 2022). Official action is protected by law in the Trade Union and Labour Relations (Consolidation) Act 1992 (TULCRA) and employees cannot be dismissed as a result of taking official action (Taylor &amp; Wilkinson,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Unofficial action occurs when it does not meet the above criteria. If taken by a TU, the action is classed as unlawful and so the legal rights granted under </w:t>
      </w:r>
      <w:r w:rsidR="00E83DA8">
        <w:rPr>
          <w:rFonts w:ascii="Arial" w:eastAsia="Times New Roman" w:hAnsi="Arial" w:cs="Arial"/>
          <w:color w:val="000000"/>
          <w:sz w:val="24"/>
          <w:szCs w:val="24"/>
          <w:lang w:eastAsia="en-GB"/>
        </w:rPr>
        <w:t>TULCRA</w:t>
      </w:r>
      <w:r w:rsidRPr="00013CFA">
        <w:rPr>
          <w:rFonts w:ascii="Arial" w:eastAsia="Times New Roman" w:hAnsi="Arial" w:cs="Arial"/>
          <w:color w:val="000000"/>
          <w:sz w:val="24"/>
          <w:szCs w:val="24"/>
          <w:lang w:eastAsia="en-GB"/>
        </w:rPr>
        <w:t xml:space="preserve"> for employees are void (Taylor &amp; Wilkinson, 2022). Go Quest can seek injunctions and interim injunctions against industrial action which is unlawful, and if the action has already occurred they can also seek remedy up to £250k depending on the number of members (Daniels,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Assess emerging trends in the types of conflict and indu</w:t>
      </w:r>
      <w:r w:rsidR="00E83DA8">
        <w:rPr>
          <w:rFonts w:ascii="Arial" w:eastAsia="Times New Roman" w:hAnsi="Arial" w:cs="Arial"/>
          <w:b/>
          <w:color w:val="000000"/>
          <w:sz w:val="24"/>
          <w:szCs w:val="24"/>
          <w:lang w:eastAsia="en-GB"/>
        </w:rPr>
        <w:t xml:space="preserve">strial sanctions. (AC 2.3)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Perhaps the most obvious shift </w:t>
      </w:r>
      <w:r w:rsidR="00E83DA8" w:rsidRPr="00013CFA">
        <w:rPr>
          <w:rFonts w:ascii="Arial" w:eastAsia="Times New Roman" w:hAnsi="Arial" w:cs="Arial"/>
          <w:color w:val="000000"/>
          <w:sz w:val="24"/>
          <w:szCs w:val="24"/>
          <w:lang w:eastAsia="en-GB"/>
        </w:rPr>
        <w:t xml:space="preserve">within the space of conflict </w:t>
      </w:r>
      <w:r w:rsidRPr="00013CFA">
        <w:rPr>
          <w:rFonts w:ascii="Arial" w:eastAsia="Times New Roman" w:hAnsi="Arial" w:cs="Arial"/>
          <w:color w:val="000000"/>
          <w:sz w:val="24"/>
          <w:szCs w:val="24"/>
          <w:lang w:eastAsia="en-GB"/>
        </w:rPr>
        <w:t>is that from TU-</w:t>
      </w:r>
      <w:proofErr w:type="spellStart"/>
      <w:r w:rsidRPr="00013CFA">
        <w:rPr>
          <w:rFonts w:ascii="Arial" w:eastAsia="Times New Roman" w:hAnsi="Arial" w:cs="Arial"/>
          <w:color w:val="000000"/>
          <w:sz w:val="24"/>
          <w:szCs w:val="24"/>
          <w:lang w:eastAsia="en-GB"/>
        </w:rPr>
        <w:t>organsiation</w:t>
      </w:r>
      <w:proofErr w:type="spellEnd"/>
      <w:r w:rsidRPr="00013CFA">
        <w:rPr>
          <w:rFonts w:ascii="Arial" w:eastAsia="Times New Roman" w:hAnsi="Arial" w:cs="Arial"/>
          <w:color w:val="000000"/>
          <w:sz w:val="24"/>
          <w:szCs w:val="24"/>
          <w:lang w:eastAsia="en-GB"/>
        </w:rPr>
        <w:t xml:space="preserve"> conflict to employee-organisation conflict. This individualisation of conflict, driven by lower TU membership, means that organisations are having to adapt their tact (Armstrong</w:t>
      </w:r>
      <w:r w:rsidR="002B1799" w:rsidRPr="00236E84">
        <w:rPr>
          <w:rFonts w:ascii="Arial" w:eastAsia="Times New Roman" w:hAnsi="Arial" w:cs="Arial"/>
          <w:color w:val="000000"/>
          <w:sz w:val="24"/>
          <w:szCs w:val="24"/>
          <w:lang w:eastAsia="en-GB"/>
        </w:rPr>
        <w:t xml:space="preserve"> &amp; Taylor, 2022</w:t>
      </w:r>
      <w:r w:rsidRPr="00013CFA">
        <w:rPr>
          <w:rFonts w:ascii="Arial" w:eastAsia="Times New Roman" w:hAnsi="Arial" w:cs="Arial"/>
          <w:color w:val="000000"/>
          <w:sz w:val="24"/>
          <w:szCs w:val="24"/>
          <w:lang w:eastAsia="en-GB"/>
        </w:rPr>
        <w:t>). Now more emphasis is placed on the relationship between an employee and their manager as well as an increased focus on direct communication between employees and their organisation (Ellis, 2022). Whilst the impact of strikes may not be as extensive as they once were, the symptoms of conflict</w:t>
      </w:r>
      <w:r w:rsidR="00E83DA8">
        <w:rPr>
          <w:rFonts w:ascii="Arial" w:eastAsia="Times New Roman" w:hAnsi="Arial" w:cs="Arial"/>
          <w:color w:val="000000"/>
          <w:sz w:val="24"/>
          <w:szCs w:val="24"/>
          <w:lang w:eastAsia="en-GB"/>
        </w:rPr>
        <w:t xml:space="preserve"> can</w:t>
      </w:r>
      <w:r w:rsidRPr="00013CFA">
        <w:rPr>
          <w:rFonts w:ascii="Arial" w:eastAsia="Times New Roman" w:hAnsi="Arial" w:cs="Arial"/>
          <w:color w:val="000000"/>
          <w:sz w:val="24"/>
          <w:szCs w:val="24"/>
          <w:lang w:eastAsia="en-GB"/>
        </w:rPr>
        <w:t xml:space="preserve"> still </w:t>
      </w:r>
      <w:r w:rsidR="00E83DA8" w:rsidRPr="00013CFA">
        <w:rPr>
          <w:rFonts w:ascii="Arial" w:eastAsia="Times New Roman" w:hAnsi="Arial" w:cs="Arial"/>
          <w:color w:val="000000"/>
          <w:sz w:val="24"/>
          <w:szCs w:val="24"/>
          <w:lang w:eastAsia="en-GB"/>
        </w:rPr>
        <w:t>manifest in absence, grievances and misconduct</w:t>
      </w:r>
      <w:r w:rsidRPr="00013CFA">
        <w:rPr>
          <w:rFonts w:ascii="Arial" w:eastAsia="Times New Roman" w:hAnsi="Arial" w:cs="Arial"/>
          <w:color w:val="000000"/>
          <w:sz w:val="24"/>
          <w:szCs w:val="24"/>
          <w:lang w:eastAsia="en-GB"/>
        </w:rPr>
        <w:t xml:space="preserve">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However, this long running trend is being challenged in the current climate. The Guardian (2022) reported that in 2022 the level of industrial disputes rose to their highest level in 5 years. This sentiment was redoubled by the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who warned employers last year that employee relations risked becoming less stable and that the likelihood of conflict with TUs was on the rise.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As discussed in AC 2.2, a TU can face certain sanctions if it does not adhere to relevant collective employment law including injunctions and financial compensation.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Distinguish between third-party conciliation, mediation and arbitration. </w:t>
      </w:r>
      <w:r w:rsidR="00236E84" w:rsidRPr="00236E84">
        <w:rPr>
          <w:rFonts w:ascii="Arial" w:eastAsia="Times New Roman" w:hAnsi="Arial" w:cs="Arial"/>
          <w:b/>
          <w:color w:val="000000"/>
          <w:sz w:val="24"/>
          <w:szCs w:val="24"/>
          <w:lang w:eastAsia="en-GB"/>
        </w:rPr>
        <w:t xml:space="preserve">(AC 2.4)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There are a variety of methods that can be employed by Go Quest in order to resolve conflict in both ind</w:t>
      </w:r>
      <w:r w:rsidR="00236E84">
        <w:rPr>
          <w:rFonts w:ascii="Arial" w:eastAsia="Times New Roman" w:hAnsi="Arial" w:cs="Arial"/>
          <w:color w:val="000000"/>
          <w:sz w:val="24"/>
          <w:szCs w:val="24"/>
          <w:lang w:eastAsia="en-GB"/>
        </w:rPr>
        <w:t>ividual and collective disputes:</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C43F36" w:rsidRDefault="00C43F36" w:rsidP="00236E84">
      <w:pPr>
        <w:spacing w:after="0" w:line="240" w:lineRule="auto"/>
        <w:textAlignment w:val="baseline"/>
        <w:rPr>
          <w:rFonts w:ascii="Arial" w:eastAsia="Times New Roman" w:hAnsi="Arial" w:cs="Arial"/>
          <w:color w:val="000000"/>
          <w:sz w:val="24"/>
          <w:szCs w:val="24"/>
          <w:lang w:eastAsia="en-GB"/>
        </w:rPr>
      </w:pPr>
      <w:r w:rsidRPr="00236E84">
        <w:rPr>
          <w:rFonts w:ascii="Arial" w:eastAsia="Times New Roman" w:hAnsi="Arial" w:cs="Arial"/>
          <w:color w:val="000000"/>
          <w:sz w:val="24"/>
          <w:szCs w:val="24"/>
          <w:lang w:eastAsia="en-GB"/>
        </w:rPr>
        <w:t xml:space="preserve">1. Mediation </w:t>
      </w:r>
      <w:r w:rsidRPr="005F44EC">
        <w:rPr>
          <w:rFonts w:ascii="Arial" w:eastAsia="Times New Roman" w:hAnsi="Arial" w:cs="Arial"/>
          <w:color w:val="000000"/>
          <w:sz w:val="24"/>
          <w:szCs w:val="24"/>
          <w:lang w:eastAsia="en-GB"/>
        </w:rPr>
        <w:t xml:space="preserve">involves an impartial third party helping the employee and Go Quest reach a solution mutually, typically after informal conversations have failed </w:t>
      </w:r>
      <w:r w:rsidRPr="00236E84">
        <w:rPr>
          <w:rFonts w:ascii="Arial" w:eastAsia="Times New Roman" w:hAnsi="Arial" w:cs="Arial"/>
          <w:color w:val="000000"/>
          <w:sz w:val="24"/>
          <w:szCs w:val="24"/>
          <w:lang w:eastAsia="en-GB"/>
        </w:rPr>
        <w:t>(gov.uk</w:t>
      </w:r>
      <w:r w:rsidR="002B1799" w:rsidRPr="00236E84">
        <w:rPr>
          <w:rFonts w:ascii="Arial" w:eastAsia="Times New Roman" w:hAnsi="Arial" w:cs="Arial"/>
          <w:color w:val="000000"/>
          <w:sz w:val="24"/>
          <w:szCs w:val="24"/>
          <w:lang w:eastAsia="en-GB"/>
        </w:rPr>
        <w:t>, no date b</w:t>
      </w:r>
      <w:r w:rsidRPr="00236E84">
        <w:rPr>
          <w:rFonts w:ascii="Arial" w:eastAsia="Times New Roman" w:hAnsi="Arial" w:cs="Arial"/>
          <w:color w:val="000000"/>
          <w:sz w:val="24"/>
          <w:szCs w:val="24"/>
          <w:lang w:eastAsia="en-GB"/>
        </w:rPr>
        <w:t>).</w:t>
      </w:r>
      <w:r w:rsidRPr="005F44EC">
        <w:rPr>
          <w:rFonts w:ascii="Arial" w:eastAsia="Times New Roman" w:hAnsi="Arial" w:cs="Arial"/>
          <w:color w:val="000000"/>
          <w:sz w:val="24"/>
          <w:szCs w:val="24"/>
          <w:lang w:eastAsia="en-GB"/>
        </w:rPr>
        <w:t xml:space="preserve"> The process is voluntary and the mediator does not issue a binding verdict </w:t>
      </w:r>
      <w:r w:rsidRPr="00236E84">
        <w:rPr>
          <w:rFonts w:ascii="Arial" w:eastAsia="Times New Roman" w:hAnsi="Arial" w:cs="Arial"/>
          <w:color w:val="000000"/>
          <w:sz w:val="24"/>
          <w:szCs w:val="24"/>
          <w:lang w:eastAsia="en-GB"/>
        </w:rPr>
        <w:t>(Taylor</w:t>
      </w:r>
      <w:r w:rsidR="002B1799" w:rsidRPr="00236E84">
        <w:rPr>
          <w:rFonts w:ascii="Arial" w:eastAsia="Times New Roman" w:hAnsi="Arial" w:cs="Arial"/>
          <w:color w:val="000000"/>
          <w:sz w:val="24"/>
          <w:szCs w:val="24"/>
          <w:lang w:eastAsia="en-GB"/>
        </w:rPr>
        <w:t xml:space="preserve"> &amp; Armstrong, 2022</w:t>
      </w:r>
      <w:r w:rsidRPr="00236E84">
        <w:rPr>
          <w:rFonts w:ascii="Arial" w:eastAsia="Times New Roman" w:hAnsi="Arial" w:cs="Arial"/>
          <w:color w:val="000000"/>
          <w:sz w:val="24"/>
          <w:szCs w:val="24"/>
          <w:lang w:eastAsia="en-GB"/>
        </w:rPr>
        <w:t>).</w:t>
      </w:r>
      <w:r w:rsidRPr="005F44EC">
        <w:rPr>
          <w:rFonts w:ascii="Arial" w:eastAsia="Times New Roman" w:hAnsi="Arial" w:cs="Arial"/>
          <w:color w:val="000000"/>
          <w:sz w:val="24"/>
          <w:szCs w:val="24"/>
          <w:lang w:eastAsia="en-GB"/>
        </w:rPr>
        <w:t xml:space="preserve"> The aim of mediation is to restore and maintain the relationship between parties </w:t>
      </w:r>
      <w:r w:rsidRPr="00236E84">
        <w:rPr>
          <w:rFonts w:ascii="Arial" w:eastAsia="Times New Roman" w:hAnsi="Arial" w:cs="Arial"/>
          <w:color w:val="000000"/>
          <w:sz w:val="24"/>
          <w:szCs w:val="24"/>
          <w:lang w:eastAsia="en-GB"/>
        </w:rPr>
        <w:t>(Ellis, 2022).</w:t>
      </w:r>
      <w:r w:rsidRPr="005F44EC">
        <w:rPr>
          <w:rFonts w:ascii="Arial" w:eastAsia="Times New Roman" w:hAnsi="Arial" w:cs="Arial"/>
          <w:color w:val="000000"/>
          <w:sz w:val="24"/>
          <w:szCs w:val="24"/>
          <w:lang w:eastAsia="en-GB"/>
        </w:rPr>
        <w:t xml:space="preserve"> It can be used </w:t>
      </w:r>
      <w:r w:rsidRPr="00236E84">
        <w:rPr>
          <w:rFonts w:ascii="Arial" w:eastAsia="Times New Roman" w:hAnsi="Arial" w:cs="Arial"/>
          <w:color w:val="000000"/>
          <w:sz w:val="24"/>
          <w:szCs w:val="24"/>
          <w:lang w:eastAsia="en-GB"/>
        </w:rPr>
        <w:t>between employees</w:t>
      </w:r>
      <w:r w:rsidRPr="005F44EC">
        <w:rPr>
          <w:rFonts w:ascii="Arial" w:eastAsia="Times New Roman" w:hAnsi="Arial" w:cs="Arial"/>
          <w:color w:val="000000"/>
          <w:sz w:val="24"/>
          <w:szCs w:val="24"/>
          <w:lang w:eastAsia="en-GB"/>
        </w:rPr>
        <w:t xml:space="preserve"> and between </w:t>
      </w:r>
      <w:r w:rsidRPr="00236E84">
        <w:rPr>
          <w:rFonts w:ascii="Arial" w:eastAsia="Times New Roman" w:hAnsi="Arial" w:cs="Arial"/>
          <w:color w:val="000000"/>
          <w:sz w:val="24"/>
          <w:szCs w:val="24"/>
          <w:lang w:eastAsia="en-GB"/>
        </w:rPr>
        <w:t>an employee and Go Quest</w:t>
      </w:r>
      <w:r w:rsidRPr="005F44EC">
        <w:rPr>
          <w:rFonts w:ascii="Arial" w:eastAsia="Times New Roman" w:hAnsi="Arial" w:cs="Arial"/>
          <w:color w:val="000000"/>
          <w:sz w:val="24"/>
          <w:szCs w:val="24"/>
          <w:lang w:eastAsia="en-GB"/>
        </w:rPr>
        <w:t>. </w:t>
      </w:r>
    </w:p>
    <w:p w:rsidR="00C43F36" w:rsidRDefault="00C43F36" w:rsidP="00236E84">
      <w:pPr>
        <w:spacing w:after="0" w:line="240" w:lineRule="auto"/>
        <w:textAlignment w:val="baseline"/>
        <w:rPr>
          <w:rFonts w:ascii="Arial" w:eastAsia="Times New Roman" w:hAnsi="Arial" w:cs="Arial"/>
          <w:color w:val="000000"/>
          <w:sz w:val="24"/>
          <w:szCs w:val="24"/>
          <w:lang w:eastAsia="en-GB"/>
        </w:rPr>
      </w:pPr>
    </w:p>
    <w:p w:rsidR="00C43F36" w:rsidRDefault="00C43F36" w:rsidP="00236E84">
      <w:p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2. </w:t>
      </w:r>
      <w:r w:rsidR="00013CFA" w:rsidRPr="00013CFA">
        <w:rPr>
          <w:rFonts w:ascii="Arial" w:eastAsia="Times New Roman" w:hAnsi="Arial" w:cs="Arial"/>
          <w:color w:val="000000"/>
          <w:sz w:val="24"/>
          <w:szCs w:val="24"/>
          <w:lang w:eastAsia="en-GB"/>
        </w:rPr>
        <w:t>Conciliation is a similar process, but is distinguished by its use before and during Employment Tribunal proceedings (gov.uk, no date</w:t>
      </w:r>
      <w:r w:rsidR="002B1799" w:rsidRPr="00236E84">
        <w:rPr>
          <w:rFonts w:ascii="Arial" w:eastAsia="Times New Roman" w:hAnsi="Arial" w:cs="Arial"/>
          <w:color w:val="000000"/>
          <w:sz w:val="24"/>
          <w:szCs w:val="24"/>
          <w:lang w:eastAsia="en-GB"/>
        </w:rPr>
        <w:t xml:space="preserve"> b</w:t>
      </w:r>
      <w:r w:rsidR="00013CFA" w:rsidRPr="00013CFA">
        <w:rPr>
          <w:rFonts w:ascii="Arial" w:eastAsia="Times New Roman" w:hAnsi="Arial" w:cs="Arial"/>
          <w:color w:val="000000"/>
          <w:sz w:val="24"/>
          <w:szCs w:val="24"/>
          <w:lang w:eastAsia="en-GB"/>
        </w:rPr>
        <w:t>). Again, it is voluntary and both parties must consent. During conciliation, the third party plays a more active role and does not simply assist both parties to reach an agreement, they may offer solutions themselves (Taylor, 2014). </w:t>
      </w:r>
    </w:p>
    <w:p w:rsidR="00C43F36" w:rsidRDefault="00C43F36" w:rsidP="00236E84">
      <w:pPr>
        <w:spacing w:after="0" w:line="240" w:lineRule="auto"/>
        <w:textAlignment w:val="baseline"/>
        <w:rPr>
          <w:rFonts w:ascii="Arial" w:eastAsia="Times New Roman" w:hAnsi="Arial" w:cs="Arial"/>
          <w:color w:val="000000"/>
          <w:sz w:val="24"/>
          <w:szCs w:val="24"/>
          <w:lang w:eastAsia="en-GB"/>
        </w:rPr>
      </w:pPr>
    </w:p>
    <w:p w:rsidR="00013CFA" w:rsidRPr="00C43F36" w:rsidRDefault="00C43F36" w:rsidP="00236E84">
      <w:p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3. </w:t>
      </w:r>
      <w:r w:rsidR="00013CFA" w:rsidRPr="00C43F36">
        <w:rPr>
          <w:rFonts w:ascii="Arial" w:eastAsia="Times New Roman" w:hAnsi="Arial" w:cs="Arial"/>
          <w:color w:val="000000"/>
          <w:sz w:val="24"/>
          <w:szCs w:val="24"/>
          <w:lang w:eastAsia="en-GB"/>
        </w:rPr>
        <w:t xml:space="preserve">Arbitration is very different to both Mediation and Conciliation as the decision by the third party is binding and final, however consent must still be sought in order to begin the process </w:t>
      </w:r>
      <w:r w:rsidR="00013CFA" w:rsidRPr="00236E84">
        <w:rPr>
          <w:rFonts w:ascii="Arial" w:eastAsia="Times New Roman" w:hAnsi="Arial" w:cs="Arial"/>
          <w:color w:val="000000"/>
          <w:sz w:val="24"/>
          <w:szCs w:val="24"/>
          <w:lang w:eastAsia="en-GB"/>
        </w:rPr>
        <w:t>(gov.uk</w:t>
      </w:r>
      <w:r w:rsidR="002B1799" w:rsidRPr="00236E84">
        <w:rPr>
          <w:rFonts w:ascii="Arial" w:eastAsia="Times New Roman" w:hAnsi="Arial" w:cs="Arial"/>
          <w:color w:val="000000"/>
          <w:sz w:val="24"/>
          <w:szCs w:val="24"/>
          <w:lang w:eastAsia="en-GB"/>
        </w:rPr>
        <w:t>, no date b</w:t>
      </w:r>
      <w:r w:rsidR="00013CFA" w:rsidRPr="00236E84">
        <w:rPr>
          <w:rFonts w:ascii="Arial" w:eastAsia="Times New Roman" w:hAnsi="Arial" w:cs="Arial"/>
          <w:color w:val="000000"/>
          <w:sz w:val="24"/>
          <w:szCs w:val="24"/>
          <w:lang w:eastAsia="en-GB"/>
        </w:rPr>
        <w:t>).</w:t>
      </w:r>
      <w:r w:rsidR="00013CFA" w:rsidRPr="00C43F36">
        <w:rPr>
          <w:rFonts w:ascii="Arial" w:eastAsia="Times New Roman" w:hAnsi="Arial" w:cs="Arial"/>
          <w:color w:val="000000"/>
          <w:sz w:val="24"/>
          <w:szCs w:val="24"/>
          <w:lang w:eastAsia="en-GB"/>
        </w:rPr>
        <w:t xml:space="preserve"> Like Mediators and Conciliators, an arbitrator remains impartial and listens to both sides before making a judgement </w:t>
      </w:r>
      <w:r w:rsidR="00013CFA" w:rsidRPr="00236E84">
        <w:rPr>
          <w:rFonts w:ascii="Arial" w:eastAsia="Times New Roman" w:hAnsi="Arial" w:cs="Arial"/>
          <w:color w:val="000000"/>
          <w:sz w:val="24"/>
          <w:szCs w:val="24"/>
          <w:lang w:eastAsia="en-GB"/>
        </w:rPr>
        <w:t>(ACAS, 2022</w:t>
      </w:r>
      <w:r w:rsidR="002B1799" w:rsidRPr="00236E84">
        <w:rPr>
          <w:rFonts w:ascii="Arial" w:eastAsia="Times New Roman" w:hAnsi="Arial" w:cs="Arial"/>
          <w:color w:val="000000"/>
          <w:sz w:val="24"/>
          <w:szCs w:val="24"/>
          <w:lang w:eastAsia="en-GB"/>
        </w:rPr>
        <w:t>a</w:t>
      </w:r>
      <w:r w:rsidR="00013CFA" w:rsidRPr="00236E84">
        <w:rPr>
          <w:rFonts w:ascii="Arial" w:eastAsia="Times New Roman" w:hAnsi="Arial" w:cs="Arial"/>
          <w:color w:val="000000"/>
          <w:sz w:val="24"/>
          <w:szCs w:val="24"/>
          <w:lang w:eastAsia="en-GB"/>
        </w:rPr>
        <w:t>).</w:t>
      </w:r>
      <w:r w:rsidR="00013CFA" w:rsidRPr="00C43F36">
        <w:rPr>
          <w:rFonts w:ascii="Arial" w:eastAsia="Times New Roman" w:hAnsi="Arial" w:cs="Arial"/>
          <w:color w:val="000000"/>
          <w:sz w:val="24"/>
          <w:szCs w:val="24"/>
          <w:lang w:eastAsia="en-GB"/>
        </w:rPr>
        <w:t xml:space="preserve"> Arbitration can occur both on an individual and collective basis </w:t>
      </w:r>
      <w:r w:rsidR="00013CFA" w:rsidRPr="00236E84">
        <w:rPr>
          <w:rFonts w:ascii="Arial" w:eastAsia="Times New Roman" w:hAnsi="Arial" w:cs="Arial"/>
          <w:color w:val="000000"/>
          <w:sz w:val="24"/>
          <w:szCs w:val="24"/>
          <w:lang w:eastAsia="en-GB"/>
        </w:rPr>
        <w:t>(ACAS, 2022</w:t>
      </w:r>
      <w:r w:rsidR="002B1799" w:rsidRPr="00236E84">
        <w:rPr>
          <w:rFonts w:ascii="Arial" w:eastAsia="Times New Roman" w:hAnsi="Arial" w:cs="Arial"/>
          <w:color w:val="000000"/>
          <w:sz w:val="24"/>
          <w:szCs w:val="24"/>
          <w:lang w:eastAsia="en-GB"/>
        </w:rPr>
        <w:t>a</w:t>
      </w:r>
      <w:r w:rsidR="00013CFA" w:rsidRPr="00236E84">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aim of all of these processes is to resolve conflict in a way that abides by the law and ensures an ethical outcome, as it helps to balance power in the talks and reduces the chance of malpractice from the organisation.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Explain the principles of legislation relating to unfair dismissal in respect of capability and misconduct issues. (AC 3.1</w:t>
      </w:r>
      <w:r w:rsidR="007C5F9A">
        <w:rPr>
          <w:rFonts w:ascii="Arial" w:eastAsia="Times New Roman" w:hAnsi="Arial" w:cs="Arial"/>
          <w:b/>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An organisation can dismiss an employee on the following grounds: </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Capability</w:t>
      </w:r>
      <w:r w:rsidR="00E83DA8">
        <w:rPr>
          <w:rFonts w:ascii="Arial" w:eastAsia="Times New Roman" w:hAnsi="Arial" w:cs="Arial"/>
          <w:color w:val="000000"/>
          <w:sz w:val="24"/>
          <w:szCs w:val="24"/>
          <w:lang w:eastAsia="en-GB"/>
        </w:rPr>
        <w:t>/</w:t>
      </w:r>
      <w:r w:rsidRPr="00013CFA">
        <w:rPr>
          <w:rFonts w:ascii="Arial" w:eastAsia="Times New Roman" w:hAnsi="Arial" w:cs="Arial"/>
          <w:color w:val="000000"/>
          <w:sz w:val="24"/>
          <w:szCs w:val="24"/>
          <w:lang w:eastAsia="en-GB"/>
        </w:rPr>
        <w:t>qualifications</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Conduct </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Redundancy</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Statutory ban </w:t>
      </w:r>
    </w:p>
    <w:p w:rsidR="00013CFA" w:rsidRPr="00013CFA" w:rsidRDefault="00E83DA8" w:rsidP="00236E84">
      <w:pPr>
        <w:numPr>
          <w:ilvl w:val="0"/>
          <w:numId w:val="7"/>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Other</w:t>
      </w:r>
      <w:r w:rsidR="00013CFA" w:rsidRPr="00013CFA">
        <w:rPr>
          <w:rFonts w:ascii="Arial" w:eastAsia="Times New Roman" w:hAnsi="Arial" w:cs="Arial"/>
          <w:color w:val="000000"/>
          <w:sz w:val="24"/>
          <w:szCs w:val="24"/>
          <w:lang w:eastAsia="en-GB"/>
        </w:rPr>
        <w:t xml:space="preserve"> substantial reason</w:t>
      </w:r>
      <w:r>
        <w:rPr>
          <w:rFonts w:ascii="Arial" w:eastAsia="Times New Roman" w:hAnsi="Arial" w:cs="Arial"/>
          <w:color w:val="000000"/>
          <w:sz w:val="24"/>
          <w:szCs w:val="24"/>
          <w:lang w:eastAsia="en-GB"/>
        </w:rPr>
        <w:t>s</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(Daniels, 2022).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Common causes for dismissal typically relate to capability and conduct. The Employment Rights Act 1996 clearly defines capability as ‘skill, aptitude, health, or any other physical or mental quality’. Issues arise when an employee lacks the ability to carry out what’s expected of them as part of their role (Taylor &amp; Wilkinson, 2022). An organisation should take reasonable steps to understand the underlying issue, offering practical solutions to help the employee improve performance (Daniels, 2022). As these situations can sometimes involve ill health, consideration may need to be made to appropriate legislation, such as the Equality Act 2010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 If steps have been offered to support the employee, but the employee fails to improve, an organisation may have reasonable grounds to fairly dismiss said employee (Daniels,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Misconduct is categorised into two forms: gross misconduct and misconduct. Misconduct often includes less serious issues, such as poor ti</w:t>
      </w:r>
      <w:r w:rsidR="00266DCB">
        <w:rPr>
          <w:rFonts w:ascii="Arial" w:eastAsia="Times New Roman" w:hAnsi="Arial" w:cs="Arial"/>
          <w:color w:val="000000"/>
          <w:sz w:val="24"/>
          <w:szCs w:val="24"/>
          <w:lang w:eastAsia="en-GB"/>
        </w:rPr>
        <w:t>me management, which will often result in</w:t>
      </w:r>
      <w:r w:rsidRPr="00013CFA">
        <w:rPr>
          <w:rFonts w:ascii="Arial" w:eastAsia="Times New Roman" w:hAnsi="Arial" w:cs="Arial"/>
          <w:color w:val="000000"/>
          <w:sz w:val="24"/>
          <w:szCs w:val="24"/>
          <w:lang w:eastAsia="en-GB"/>
        </w:rPr>
        <w:t xml:space="preserve"> verbal &amp; written warnings. This is in contrast to gross misconduct, which refers to serious offences such as theft or assault and can result in summary dismissal (Taylor &amp; Wilkinson,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Any disciplinary action taken against an employee must be based on reasonable belief, </w:t>
      </w:r>
      <w:r w:rsidRPr="00013CFA">
        <w:rPr>
          <w:rFonts w:ascii="Arial" w:eastAsia="Times New Roman" w:hAnsi="Arial" w:cs="Arial"/>
          <w:i/>
          <w:color w:val="000000"/>
          <w:sz w:val="24"/>
          <w:szCs w:val="24"/>
          <w:lang w:eastAsia="en-GB"/>
        </w:rPr>
        <w:t>after</w:t>
      </w:r>
      <w:r w:rsidRPr="00013CFA">
        <w:rPr>
          <w:rFonts w:ascii="Arial" w:eastAsia="Times New Roman" w:hAnsi="Arial" w:cs="Arial"/>
          <w:color w:val="000000"/>
          <w:sz w:val="24"/>
          <w:szCs w:val="24"/>
          <w:lang w:eastAsia="en-GB"/>
        </w:rPr>
        <w:t xml:space="preserve"> a reasonable investigation has taken place which adheres to the ACAS code of practice and organisational policy (Daniels, 2022</w:t>
      </w:r>
      <w:proofErr w:type="gramStart"/>
      <w:r w:rsidRPr="00013CFA">
        <w:rPr>
          <w:rFonts w:ascii="Arial" w:eastAsia="Times New Roman" w:hAnsi="Arial" w:cs="Arial"/>
          <w:color w:val="000000"/>
          <w:sz w:val="24"/>
          <w:szCs w:val="24"/>
          <w:lang w:eastAsia="en-GB"/>
        </w:rPr>
        <w:t>)(</w:t>
      </w:r>
      <w:proofErr w:type="gramEnd"/>
      <w:r w:rsidRPr="00013CFA">
        <w:rPr>
          <w:rFonts w:ascii="Arial" w:eastAsia="Times New Roman" w:hAnsi="Arial" w:cs="Arial"/>
          <w:color w:val="000000"/>
          <w:sz w:val="24"/>
          <w:szCs w:val="24"/>
          <w:lang w:eastAsia="en-GB"/>
        </w:rPr>
        <w:t>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There will typically be 3 stages of the process: 1) Written letter informing the employee 2) A disciplinary hearing 3) An appeal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To help protect itself from an Employment Tribunal, employers should keep precise written records of the proceedings and should ensure they inform employees of their rights, such as the right to be accompanied during hearings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The outcome of the disciplinary process can vary, but will often include either a warning, dismissal, summary dismissal or no action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Analyse key causes of employee grievances. </w:t>
      </w:r>
      <w:r w:rsidR="00266DCB">
        <w:rPr>
          <w:rFonts w:ascii="Arial" w:eastAsia="Times New Roman" w:hAnsi="Arial" w:cs="Arial"/>
          <w:b/>
          <w:color w:val="000000"/>
          <w:sz w:val="24"/>
          <w:szCs w:val="24"/>
          <w:lang w:eastAsia="en-GB"/>
        </w:rPr>
        <w:t xml:space="preserve">(AC 3.2)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Due to the complexity of interpersonal relationships - a multitude of topics for contention can arise within Pro Quest’s workforce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xml:space="preserve">). These consist of both grievances with the organisation itself or </w:t>
      </w:r>
      <w:r w:rsidR="00266DCB">
        <w:rPr>
          <w:rFonts w:ascii="Arial" w:eastAsia="Times New Roman" w:hAnsi="Arial" w:cs="Arial"/>
          <w:color w:val="000000"/>
          <w:sz w:val="24"/>
          <w:szCs w:val="24"/>
          <w:lang w:eastAsia="en-GB"/>
        </w:rPr>
        <w:t xml:space="preserve">between employees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 xml:space="preserve">). Unlike disciplinary procedures, grievances do not necessarily relate to misconduct but are instead a formal procedure by which an employee can make a complaint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One common cause for grievances is poor management. Often the root cause for a plethora of workplace issues, poor management can act like a disease, manifesting itself </w:t>
      </w:r>
      <w:r w:rsidR="00266DCB">
        <w:rPr>
          <w:rFonts w:ascii="Arial" w:eastAsia="Times New Roman" w:hAnsi="Arial" w:cs="Arial"/>
          <w:color w:val="000000"/>
          <w:sz w:val="24"/>
          <w:szCs w:val="24"/>
          <w:lang w:eastAsia="en-GB"/>
        </w:rPr>
        <w:t>in</w:t>
      </w:r>
      <w:r w:rsidRPr="00013CFA">
        <w:rPr>
          <w:rFonts w:ascii="Arial" w:eastAsia="Times New Roman" w:hAnsi="Arial" w:cs="Arial"/>
          <w:color w:val="000000"/>
          <w:sz w:val="24"/>
          <w:szCs w:val="24"/>
          <w:lang w:eastAsia="en-GB"/>
        </w:rPr>
        <w:t xml:space="preserve"> poor performance management, poor interpersonal team relationships and burdensome workloads - all points of contention which often result in formal grievance proceedings (</w:t>
      </w:r>
      <w:proofErr w:type="spellStart"/>
      <w:r w:rsidRPr="00013CFA">
        <w:rPr>
          <w:rFonts w:ascii="Arial" w:eastAsia="Times New Roman" w:hAnsi="Arial" w:cs="Arial"/>
          <w:color w:val="000000"/>
          <w:sz w:val="24"/>
          <w:szCs w:val="24"/>
          <w:lang w:eastAsia="en-GB"/>
        </w:rPr>
        <w:t>Faragher</w:t>
      </w:r>
      <w:proofErr w:type="spellEnd"/>
      <w:r w:rsidRPr="00013CFA">
        <w:rPr>
          <w:rFonts w:ascii="Arial" w:eastAsia="Times New Roman" w:hAnsi="Arial" w:cs="Arial"/>
          <w:color w:val="000000"/>
          <w:sz w:val="24"/>
          <w:szCs w:val="24"/>
          <w:lang w:eastAsia="en-GB"/>
        </w:rPr>
        <w:t xml:space="preserve">, 2018). This can extend to senior leadership - causing organisational wide issues such as poor working conditions and unfair rules which contribute towards breakdowns </w:t>
      </w:r>
      <w:r w:rsidR="00266DCB">
        <w:rPr>
          <w:rFonts w:ascii="Arial" w:eastAsia="Times New Roman" w:hAnsi="Arial" w:cs="Arial"/>
          <w:color w:val="000000"/>
          <w:sz w:val="24"/>
          <w:szCs w:val="24"/>
          <w:lang w:eastAsia="en-GB"/>
        </w:rPr>
        <w:t>in a variety of relationships</w:t>
      </w:r>
      <w:r w:rsidRPr="00013CFA">
        <w:rPr>
          <w:rFonts w:ascii="Arial" w:eastAsia="Times New Roman" w:hAnsi="Arial" w:cs="Arial"/>
          <w:color w:val="000000"/>
          <w:sz w:val="24"/>
          <w:szCs w:val="24"/>
          <w:lang w:eastAsia="en-GB"/>
        </w:rPr>
        <w:t xml:space="preserve">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Another </w:t>
      </w:r>
      <w:r w:rsidR="00266DCB">
        <w:rPr>
          <w:rFonts w:ascii="Arial" w:eastAsia="Times New Roman" w:hAnsi="Arial" w:cs="Arial"/>
          <w:color w:val="000000"/>
          <w:sz w:val="24"/>
          <w:szCs w:val="24"/>
          <w:lang w:eastAsia="en-GB"/>
        </w:rPr>
        <w:t xml:space="preserve">common </w:t>
      </w:r>
      <w:r w:rsidRPr="00013CFA">
        <w:rPr>
          <w:rFonts w:ascii="Arial" w:eastAsia="Times New Roman" w:hAnsi="Arial" w:cs="Arial"/>
          <w:color w:val="000000"/>
          <w:sz w:val="24"/>
          <w:szCs w:val="24"/>
          <w:lang w:eastAsia="en-GB"/>
        </w:rPr>
        <w:t>cause of grievance in the workplace is bullying and harassment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An increase in awareness amongst employees in regards to their rights concerning bul</w:t>
      </w:r>
      <w:r w:rsidR="00266DCB">
        <w:rPr>
          <w:rFonts w:ascii="Arial" w:eastAsia="Times New Roman" w:hAnsi="Arial" w:cs="Arial"/>
          <w:color w:val="000000"/>
          <w:sz w:val="24"/>
          <w:szCs w:val="24"/>
          <w:lang w:eastAsia="en-GB"/>
        </w:rPr>
        <w:t xml:space="preserve">lying and harassment has seen an </w:t>
      </w:r>
      <w:r w:rsidRPr="00013CFA">
        <w:rPr>
          <w:rFonts w:ascii="Arial" w:eastAsia="Times New Roman" w:hAnsi="Arial" w:cs="Arial"/>
          <w:color w:val="000000"/>
          <w:sz w:val="24"/>
          <w:szCs w:val="24"/>
          <w:lang w:eastAsia="en-GB"/>
        </w:rPr>
        <w:t>increase in the number of grievances raised (</w:t>
      </w:r>
      <w:proofErr w:type="spellStart"/>
      <w:r w:rsidRPr="00013CFA">
        <w:rPr>
          <w:rFonts w:ascii="Arial" w:eastAsia="Times New Roman" w:hAnsi="Arial" w:cs="Arial"/>
          <w:color w:val="000000"/>
          <w:sz w:val="24"/>
          <w:szCs w:val="24"/>
          <w:lang w:eastAsia="en-GB"/>
        </w:rPr>
        <w:t>Faragher</w:t>
      </w:r>
      <w:proofErr w:type="spellEnd"/>
      <w:r w:rsidRPr="00013CFA">
        <w:rPr>
          <w:rFonts w:ascii="Arial" w:eastAsia="Times New Roman" w:hAnsi="Arial" w:cs="Arial"/>
          <w:color w:val="000000"/>
          <w:sz w:val="24"/>
          <w:szCs w:val="24"/>
          <w:lang w:eastAsia="en-GB"/>
        </w:rPr>
        <w:t>, 2018). As alluded to earlier, if senior leadership is poor, a bad example can be set as to what behaviour is expected from the workforce - which can further translate into increased bullying and harassment related grievances (</w:t>
      </w:r>
      <w:proofErr w:type="spellStart"/>
      <w:r w:rsidRPr="00013CFA">
        <w:rPr>
          <w:rFonts w:ascii="Arial" w:eastAsia="Times New Roman" w:hAnsi="Arial" w:cs="Arial"/>
          <w:color w:val="000000"/>
          <w:sz w:val="24"/>
          <w:szCs w:val="24"/>
          <w:lang w:eastAsia="en-GB"/>
        </w:rPr>
        <w:t>Faragher</w:t>
      </w:r>
      <w:proofErr w:type="spellEnd"/>
      <w:r w:rsidRPr="00013CFA">
        <w:rPr>
          <w:rFonts w:ascii="Arial" w:eastAsia="Times New Roman" w:hAnsi="Arial" w:cs="Arial"/>
          <w:color w:val="000000"/>
          <w:sz w:val="24"/>
          <w:szCs w:val="24"/>
          <w:lang w:eastAsia="en-GB"/>
        </w:rPr>
        <w:t>, 2018).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Explain the skills required for effective grievance and discipline-handling procedures. </w:t>
      </w:r>
      <w:r w:rsidR="00266DCB">
        <w:rPr>
          <w:rFonts w:ascii="Arial" w:eastAsia="Times New Roman" w:hAnsi="Arial" w:cs="Arial"/>
          <w:b/>
          <w:color w:val="000000"/>
          <w:sz w:val="24"/>
          <w:szCs w:val="24"/>
          <w:lang w:eastAsia="en-GB"/>
        </w:rPr>
        <w:t xml:space="preserve">(AC 3.3)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 variety of skills are required by managers working for Pro Quest whilst handling grievance and disciplinary matters - all of which are essential.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The first - being an active listener - is crucial when attempting to gather as much information as possible. Showing an active interest in what the person is saying </w:t>
      </w:r>
      <w:r w:rsidRPr="00013CFA">
        <w:rPr>
          <w:rFonts w:ascii="Arial" w:eastAsia="Times New Roman" w:hAnsi="Arial" w:cs="Arial"/>
          <w:color w:val="000000"/>
          <w:sz w:val="24"/>
          <w:szCs w:val="24"/>
          <w:lang w:eastAsia="en-GB"/>
        </w:rPr>
        <w:lastRenderedPageBreak/>
        <w:t>encourages interviewees/employees to open up and be honest with their employer about the matters being discussed. This couples with effective questioning, which focuses on the matter at hand and is tailored to gaining the information needed to handle the grievance/disciplinary procedure appropriately</w:t>
      </w:r>
      <w:r w:rsidR="002B1799" w:rsidRPr="00236E84">
        <w:rPr>
          <w:rFonts w:ascii="Arial" w:eastAsia="Times New Roman" w:hAnsi="Arial" w:cs="Arial"/>
          <w:color w:val="000000"/>
          <w:sz w:val="24"/>
          <w:szCs w:val="24"/>
          <w:lang w:eastAsia="en-GB"/>
        </w:rPr>
        <w:t xml:space="preserve"> (Armstrong &amp; Taylor, 2022</w:t>
      </w:r>
      <w:r w:rsidRPr="00013CFA">
        <w:rPr>
          <w:rFonts w:ascii="Arial" w:eastAsia="Times New Roman" w:hAnsi="Arial" w:cs="Arial"/>
          <w:color w:val="000000"/>
          <w:sz w:val="24"/>
          <w:szCs w:val="24"/>
          <w:lang w:eastAsia="en-GB"/>
        </w:rPr>
        <w:t xml:space="preserve">). Precise note taking then ensures that all the information gleaned using these skills </w:t>
      </w:r>
      <w:r w:rsidR="00266DCB">
        <w:rPr>
          <w:rFonts w:ascii="Arial" w:eastAsia="Times New Roman" w:hAnsi="Arial" w:cs="Arial"/>
          <w:color w:val="000000"/>
          <w:sz w:val="24"/>
          <w:szCs w:val="24"/>
          <w:lang w:eastAsia="en-GB"/>
        </w:rPr>
        <w:t>is</w:t>
      </w:r>
      <w:r w:rsidRPr="00013CFA">
        <w:rPr>
          <w:rFonts w:ascii="Arial" w:eastAsia="Times New Roman" w:hAnsi="Arial" w:cs="Arial"/>
          <w:color w:val="000000"/>
          <w:sz w:val="24"/>
          <w:szCs w:val="24"/>
          <w:lang w:eastAsia="en-GB"/>
        </w:rPr>
        <w:t xml:space="preserve"> recorded accurately and without bias </w:t>
      </w:r>
      <w:r w:rsidR="002B1799" w:rsidRPr="00236E84">
        <w:rPr>
          <w:rFonts w:ascii="Arial" w:eastAsia="Times New Roman" w:hAnsi="Arial" w:cs="Arial"/>
          <w:color w:val="000000"/>
          <w:sz w:val="24"/>
          <w:szCs w:val="24"/>
          <w:lang w:eastAsia="en-GB"/>
        </w:rPr>
        <w:t>(Armstrong &amp; Taylor, 2022</w:t>
      </w:r>
      <w:r w:rsidR="002B1799" w:rsidRPr="00013CFA">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Bias can further be eliminated by being objective with the questions asked and acknowledging when and where bias can occur during the process (CIPD, 2023</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The investigation should focus on material facts - and whether the facts provided suffi</w:t>
      </w:r>
      <w:r w:rsidR="00266DCB">
        <w:rPr>
          <w:rFonts w:ascii="Arial" w:eastAsia="Times New Roman" w:hAnsi="Arial" w:cs="Arial"/>
          <w:color w:val="000000"/>
          <w:sz w:val="24"/>
          <w:szCs w:val="24"/>
          <w:lang w:eastAsia="en-GB"/>
        </w:rPr>
        <w:t>ciently support further action,</w:t>
      </w:r>
      <w:r w:rsidRPr="00013CFA">
        <w:rPr>
          <w:rFonts w:ascii="Arial" w:eastAsia="Times New Roman" w:hAnsi="Arial" w:cs="Arial"/>
          <w:color w:val="000000"/>
          <w:sz w:val="24"/>
          <w:szCs w:val="24"/>
          <w:lang w:eastAsia="en-GB"/>
        </w:rPr>
        <w:t xml:space="preserve"> never pre-judging an outcome without listening to the employee’s side first (CIPD, 2023</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use of all these skills by a</w:t>
      </w:r>
      <w:r w:rsidR="00266DCB">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manager can result in an effective process for the organisation and an appropriate conclusion to the investigation.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Advise on the importance of handling grievances effectively. (AC 3.4) </w:t>
      </w:r>
    </w:p>
    <w:p w:rsidR="007C5F9A" w:rsidRPr="00013CFA" w:rsidRDefault="007C5F9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importance of handling grievances effectively cannot be understated. How Go Quest deals with grievances has wide ranging consequences which can result in either damaging the organisation or promoting it as a fair employer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Notably, if grievances are dealt with effectively, it should in theory limit the number of employment tribunals and legal claims the organisation faces which in turn results in lower costs as well as enhancing the company’s reputation as an employer which listens to its employees, and promotes good working practices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xml:space="preserve">). Such a process can also help to highlight areas in which multiple employees may feel contentious, thus, addressing these issues effectively can mitigate the chances of further conflict and improve workforce morale </w:t>
      </w:r>
      <w:r w:rsidR="002B1799" w:rsidRPr="00236E84">
        <w:rPr>
          <w:rFonts w:ascii="Arial" w:eastAsia="Times New Roman" w:hAnsi="Arial" w:cs="Arial"/>
          <w:color w:val="000000"/>
          <w:sz w:val="24"/>
          <w:szCs w:val="24"/>
          <w:lang w:eastAsia="en-GB"/>
        </w:rPr>
        <w:t>(I</w:t>
      </w:r>
      <w:r w:rsidRPr="00013CFA">
        <w:rPr>
          <w:rFonts w:ascii="Arial" w:eastAsia="Times New Roman" w:hAnsi="Arial" w:cs="Arial"/>
          <w:color w:val="000000"/>
          <w:sz w:val="24"/>
          <w:szCs w:val="24"/>
          <w:lang w:eastAsia="en-GB"/>
        </w:rPr>
        <w:t>ndeed, 2023).</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If Go Quest fails to deal with the matter effectively, then the opposite can be said. Employee morale can worsen, the team can become disheartened and employee frustration can become irreconcilable - resulting in increased resignations and poorer performance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Explain the main provisions of collective employment law. </w:t>
      </w:r>
      <w:r w:rsidR="007C5F9A">
        <w:rPr>
          <w:rFonts w:ascii="Arial" w:eastAsia="Times New Roman" w:hAnsi="Arial" w:cs="Arial"/>
          <w:b/>
          <w:color w:val="000000"/>
          <w:sz w:val="24"/>
          <w:szCs w:val="24"/>
          <w:lang w:eastAsia="en-GB"/>
        </w:rPr>
        <w:t xml:space="preserve">(AC 4.1) </w:t>
      </w:r>
    </w:p>
    <w:p w:rsidR="007C5F9A" w:rsidRPr="00013CFA" w:rsidRDefault="007C5F9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Employment law in regards to TU regulation is extensive and complex. In order to maintain its legitimacy and to require an employer to negotiate with it, a TU must first seek recognition (Daniels, 2022). </w:t>
      </w:r>
      <w:r w:rsidR="00266DCB">
        <w:rPr>
          <w:rFonts w:ascii="Arial" w:eastAsia="Times New Roman" w:hAnsi="Arial" w:cs="Arial"/>
          <w:color w:val="000000"/>
          <w:sz w:val="24"/>
          <w:szCs w:val="24"/>
          <w:lang w:eastAsia="en-GB"/>
        </w:rPr>
        <w:t>TU regulation</w:t>
      </w:r>
      <w:r w:rsidRPr="00013CFA">
        <w:rPr>
          <w:rFonts w:ascii="Arial" w:eastAsia="Times New Roman" w:hAnsi="Arial" w:cs="Arial"/>
          <w:color w:val="000000"/>
          <w:sz w:val="24"/>
          <w:szCs w:val="24"/>
          <w:lang w:eastAsia="en-GB"/>
        </w:rPr>
        <w:t xml:space="preserve"> allows for 4 routes to recognition, with the last 2 being statutory routes applied to those with 21</w:t>
      </w:r>
      <w:r w:rsidR="00266DCB">
        <w:rPr>
          <w:rFonts w:ascii="Arial" w:eastAsia="Times New Roman" w:hAnsi="Arial" w:cs="Arial"/>
          <w:color w:val="000000"/>
          <w:sz w:val="24"/>
          <w:szCs w:val="24"/>
          <w:lang w:eastAsia="en-GB"/>
        </w:rPr>
        <w:t>+</w:t>
      </w:r>
      <w:r w:rsidRPr="00013CFA">
        <w:rPr>
          <w:rFonts w:ascii="Arial" w:eastAsia="Times New Roman" w:hAnsi="Arial" w:cs="Arial"/>
          <w:color w:val="000000"/>
          <w:sz w:val="24"/>
          <w:szCs w:val="24"/>
          <w:lang w:eastAsia="en-GB"/>
        </w:rPr>
        <w:t xml:space="preserve"> employees: </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Voluntary</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Semi-voluntary</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Automatic recognition</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Recognition by ballot</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(Daniels, 2022)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As discussed in AC 2.2, Trade Unions can organise official action, with most forms of unofficial action proving risky and potentially unlawful.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 xml:space="preserve">Collective employment law also makes provision for the TU to be provided with certain information (Daniels, 2022). This includes information by which if a TU was not provided, it wouldn’t be able to </w:t>
      </w:r>
      <w:r w:rsidR="007C5F9A">
        <w:rPr>
          <w:rFonts w:ascii="Arial" w:eastAsia="Times New Roman" w:hAnsi="Arial" w:cs="Arial"/>
          <w:color w:val="000000"/>
          <w:sz w:val="24"/>
          <w:szCs w:val="24"/>
          <w:lang w:eastAsia="en-GB"/>
        </w:rPr>
        <w:t xml:space="preserve">carry out its role and where it’s </w:t>
      </w:r>
      <w:r w:rsidRPr="00013CFA">
        <w:rPr>
          <w:rFonts w:ascii="Arial" w:eastAsia="Times New Roman" w:hAnsi="Arial" w:cs="Arial"/>
          <w:color w:val="000000"/>
          <w:sz w:val="24"/>
          <w:szCs w:val="24"/>
          <w:lang w:eastAsia="en-GB"/>
        </w:rPr>
        <w:t>good practice to disclose (ACAS, 2003). If an employer fails to do so, a TU can file a complaint with the Central Arbitration Committee (ACAS, 2003).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Under TULCRA, </w:t>
      </w:r>
      <w:r w:rsidR="007C5F9A">
        <w:rPr>
          <w:rFonts w:ascii="Arial" w:eastAsia="Times New Roman" w:hAnsi="Arial" w:cs="Arial"/>
          <w:color w:val="000000"/>
          <w:sz w:val="24"/>
          <w:szCs w:val="24"/>
          <w:lang w:eastAsia="en-GB"/>
        </w:rPr>
        <w:t>a TU has the</w:t>
      </w:r>
      <w:r w:rsidRPr="00013CFA">
        <w:rPr>
          <w:rFonts w:ascii="Arial" w:eastAsia="Times New Roman" w:hAnsi="Arial" w:cs="Arial"/>
          <w:color w:val="000000"/>
          <w:sz w:val="24"/>
          <w:szCs w:val="24"/>
          <w:lang w:eastAsia="en-GB"/>
        </w:rPr>
        <w:t xml:space="preserve"> right to picket at the site of industrial action. Although, certain guidelines must be followed such as the appointment of a supervisor and the purpose of the picketing to be to peacefully persuade (Daniels,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Compare the types of employee bodies, union and non-union forms of employee representation. </w:t>
      </w:r>
      <w:r w:rsidR="00236E84" w:rsidRPr="00236E84">
        <w:rPr>
          <w:rFonts w:ascii="Arial" w:eastAsia="Times New Roman" w:hAnsi="Arial" w:cs="Arial"/>
          <w:b/>
          <w:color w:val="000000"/>
          <w:sz w:val="24"/>
          <w:szCs w:val="24"/>
          <w:lang w:eastAsia="en-GB"/>
        </w:rPr>
        <w:t xml:space="preserve">(AC 4.2)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There’re a variety of ways in which an organisation can consult its employees. One of the most common forms of non-union employee representation is the workplace forum. This type of representation allows employees both to be communicated with and listened to (ACAS, 2022</w:t>
      </w:r>
      <w:r w:rsidR="002B1799" w:rsidRPr="00236E84">
        <w:rPr>
          <w:rFonts w:ascii="Arial" w:eastAsia="Times New Roman" w:hAnsi="Arial" w:cs="Arial"/>
          <w:color w:val="000000"/>
          <w:sz w:val="24"/>
          <w:szCs w:val="24"/>
          <w:lang w:eastAsia="en-GB"/>
        </w:rPr>
        <w:t>e</w:t>
      </w:r>
      <w:r w:rsidRPr="00013CFA">
        <w:rPr>
          <w:rFonts w:ascii="Arial" w:eastAsia="Times New Roman" w:hAnsi="Arial" w:cs="Arial"/>
          <w:color w:val="000000"/>
          <w:sz w:val="24"/>
          <w:szCs w:val="24"/>
          <w:lang w:eastAsia="en-GB"/>
        </w:rPr>
        <w:t>). Managers can communicate change and employees can communicate feedback. This way, employees are more likely to be on board with any organisation-wide changes, minimising conflict and promoting a healthy working relationship with management (ACAS, 2022</w:t>
      </w:r>
      <w:r w:rsidR="002B1799" w:rsidRPr="00236E84">
        <w:rPr>
          <w:rFonts w:ascii="Arial" w:eastAsia="Times New Roman" w:hAnsi="Arial" w:cs="Arial"/>
          <w:color w:val="000000"/>
          <w:sz w:val="24"/>
          <w:szCs w:val="24"/>
          <w:lang w:eastAsia="en-GB"/>
        </w:rPr>
        <w:t>e</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TU forms of employee representation can prove equally useful, although the topics discussed can be more contentious and by their nature, incur conflict. Joint Negotiating Committees (JNCs) are a good example of effective TU representation that encourages communication, but also involvement and effective means of influence (</w:t>
      </w:r>
      <w:r w:rsidR="002B1799" w:rsidRPr="00236E84">
        <w:rPr>
          <w:rFonts w:ascii="Arial" w:eastAsia="Times New Roman" w:hAnsi="Arial" w:cs="Arial"/>
          <w:color w:val="000000"/>
          <w:sz w:val="24"/>
          <w:szCs w:val="24"/>
          <w:lang w:eastAsia="en-GB"/>
        </w:rPr>
        <w:t>Armstrong &amp; Taylor, 2022</w:t>
      </w:r>
      <w:r w:rsidRPr="00013CFA">
        <w:rPr>
          <w:rFonts w:ascii="Arial" w:eastAsia="Times New Roman" w:hAnsi="Arial" w:cs="Arial"/>
          <w:color w:val="000000"/>
          <w:sz w:val="24"/>
          <w:szCs w:val="24"/>
          <w:lang w:eastAsia="en-GB"/>
        </w:rPr>
        <w:t xml:space="preserve">). This separates and contrasts it with </w:t>
      </w:r>
      <w:proofErr w:type="gramStart"/>
      <w:r w:rsidRPr="00013CFA">
        <w:rPr>
          <w:rFonts w:ascii="Arial" w:eastAsia="Times New Roman" w:hAnsi="Arial" w:cs="Arial"/>
          <w:color w:val="000000"/>
          <w:sz w:val="24"/>
          <w:szCs w:val="24"/>
          <w:lang w:eastAsia="en-GB"/>
        </w:rPr>
        <w:t>an</w:t>
      </w:r>
      <w:proofErr w:type="gramEnd"/>
      <w:r w:rsidRPr="00013CFA">
        <w:rPr>
          <w:rFonts w:ascii="Arial" w:eastAsia="Times New Roman" w:hAnsi="Arial" w:cs="Arial"/>
          <w:color w:val="000000"/>
          <w:sz w:val="24"/>
          <w:szCs w:val="24"/>
          <w:lang w:eastAsia="en-GB"/>
        </w:rPr>
        <w:t xml:space="preserve"> non-TU body, which relies on goodwill from management to take on feedback or to even communicate about a matter in the first place (Ellis, 2022). JNCs have a certain degree of power as they’re based on the ICE regulations and so have a legal right to be consulted about a plethora of matters (ACAS, 2022</w:t>
      </w:r>
      <w:r w:rsidR="002B1799" w:rsidRPr="00236E84">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Evaluate the purpose of collective bargaining and how it works. </w:t>
      </w:r>
      <w:r w:rsidR="00236E84" w:rsidRPr="00236E84">
        <w:rPr>
          <w:rFonts w:ascii="Arial" w:eastAsia="Times New Roman" w:hAnsi="Arial" w:cs="Arial"/>
          <w:b/>
          <w:color w:val="000000"/>
          <w:sz w:val="24"/>
          <w:szCs w:val="24"/>
          <w:lang w:eastAsia="en-GB"/>
        </w:rPr>
        <w:t xml:space="preserve">(AC 4.3) </w:t>
      </w:r>
      <w:bookmarkStart w:id="0" w:name="_GoBack"/>
      <w:bookmarkEnd w:id="0"/>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Collective bargaining is a process by which an employer and its employees can negotiate and agree on terms a</w:t>
      </w:r>
      <w:r w:rsidR="007C5F9A">
        <w:rPr>
          <w:rFonts w:ascii="Arial" w:eastAsia="Times New Roman" w:hAnsi="Arial" w:cs="Arial"/>
          <w:color w:val="000000"/>
          <w:sz w:val="24"/>
          <w:szCs w:val="24"/>
          <w:lang w:eastAsia="en-GB"/>
        </w:rPr>
        <w:t>s a whole, giving voice to both parties</w:t>
      </w:r>
      <w:r w:rsidRPr="00013CFA">
        <w:rPr>
          <w:rFonts w:ascii="Arial" w:eastAsia="Times New Roman" w:hAnsi="Arial" w:cs="Arial"/>
          <w:color w:val="000000"/>
          <w:sz w:val="24"/>
          <w:szCs w:val="24"/>
          <w:lang w:eastAsia="en-GB"/>
        </w:rPr>
        <w:t xml:space="preserve"> (Unison, no date). The purpose is to allow Pro Quest to approach its employees as a single group and to come to agreement on contentious topics such as pay </w:t>
      </w:r>
      <w:r w:rsidR="002B1799" w:rsidRPr="00013CFA">
        <w:rPr>
          <w:rFonts w:ascii="Arial" w:eastAsia="Times New Roman" w:hAnsi="Arial" w:cs="Arial"/>
          <w:color w:val="000000"/>
          <w:sz w:val="24"/>
          <w:szCs w:val="24"/>
          <w:lang w:eastAsia="en-GB"/>
        </w:rPr>
        <w:t>(</w:t>
      </w:r>
      <w:r w:rsidR="002B1799" w:rsidRPr="00236E84">
        <w:rPr>
          <w:rFonts w:ascii="Arial" w:eastAsia="Times New Roman" w:hAnsi="Arial" w:cs="Arial"/>
          <w:color w:val="000000"/>
          <w:sz w:val="24"/>
          <w:szCs w:val="24"/>
          <w:lang w:eastAsia="en-GB"/>
        </w:rPr>
        <w:t>Armstrong &amp; Taylor, 2022</w:t>
      </w:r>
      <w:r w:rsidR="002B1799"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The terms of collective bargaining are agreed between a TU and the employer and include the topics open for negotiation </w:t>
      </w:r>
      <w:proofErr w:type="spellStart"/>
      <w:r w:rsidRPr="00013CFA">
        <w:rPr>
          <w:rFonts w:ascii="Arial" w:eastAsia="Times New Roman" w:hAnsi="Arial" w:cs="Arial"/>
          <w:color w:val="000000"/>
          <w:sz w:val="24"/>
          <w:szCs w:val="24"/>
          <w:lang w:eastAsia="en-GB"/>
        </w:rPr>
        <w:t>r.e</w:t>
      </w:r>
      <w:proofErr w:type="spellEnd"/>
      <w:r w:rsidRPr="00013CFA">
        <w:rPr>
          <w:rFonts w:ascii="Arial" w:eastAsia="Times New Roman" w:hAnsi="Arial" w:cs="Arial"/>
          <w:color w:val="000000"/>
          <w:sz w:val="24"/>
          <w:szCs w:val="24"/>
          <w:lang w:eastAsia="en-GB"/>
        </w:rPr>
        <w:t xml:space="preserve">. pay, disciplinary processes, policy development, </w:t>
      </w:r>
      <w:proofErr w:type="spellStart"/>
      <w:r w:rsidRPr="00013CFA">
        <w:rPr>
          <w:rFonts w:ascii="Arial" w:eastAsia="Times New Roman" w:hAnsi="Arial" w:cs="Arial"/>
          <w:color w:val="000000"/>
          <w:sz w:val="24"/>
          <w:szCs w:val="24"/>
          <w:lang w:eastAsia="en-GB"/>
        </w:rPr>
        <w:t>etc</w:t>
      </w:r>
      <w:proofErr w:type="spellEnd"/>
      <w:r w:rsidRPr="00013CFA">
        <w:rPr>
          <w:rFonts w:ascii="Arial" w:eastAsia="Times New Roman" w:hAnsi="Arial" w:cs="Arial"/>
          <w:color w:val="000000"/>
          <w:sz w:val="24"/>
          <w:szCs w:val="24"/>
          <w:lang w:eastAsia="en-GB"/>
        </w:rPr>
        <w:t xml:space="preserve"> (CIPD, 2023</w:t>
      </w:r>
      <w:r w:rsidR="00236E84"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Once the breadth and scope of negotiations has been agreed, negotiations can commence. These involve a fair degree of power sharing between management and TUs - the organisation has the power to enact change and the TU has the power to resist it (CIPD, 2023</w:t>
      </w:r>
      <w:r w:rsidR="00236E84"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Tactics of persuasion may be used as part of this process including the threat to strike (Unison, no date). Compromise is a natural aspect of all negotiations, and this must be accepted by both parties (Unison, no date).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Hopefully, through the course of negotiations, an agreement will be reached. These can consist of either Substantive or Procedural agreements. Substantive agreements refer to settlement</w:t>
      </w:r>
      <w:r w:rsidR="007C5F9A">
        <w:rPr>
          <w:rFonts w:ascii="Arial" w:eastAsia="Times New Roman" w:hAnsi="Arial" w:cs="Arial"/>
          <w:color w:val="000000"/>
          <w:sz w:val="24"/>
          <w:szCs w:val="24"/>
          <w:lang w:eastAsia="en-GB"/>
        </w:rPr>
        <w:t>s</w:t>
      </w:r>
      <w:r w:rsidRPr="00013CFA">
        <w:rPr>
          <w:rFonts w:ascii="Arial" w:eastAsia="Times New Roman" w:hAnsi="Arial" w:cs="Arial"/>
          <w:color w:val="000000"/>
          <w:sz w:val="24"/>
          <w:szCs w:val="24"/>
          <w:lang w:eastAsia="en-GB"/>
        </w:rPr>
        <w:t xml:space="preserve"> of terms, often relating to T&amp;Cs of employment, etc.  </w:t>
      </w:r>
      <w:r w:rsidR="00236E84" w:rsidRPr="00013CFA">
        <w:rPr>
          <w:rFonts w:ascii="Arial" w:eastAsia="Times New Roman" w:hAnsi="Arial" w:cs="Arial"/>
          <w:color w:val="000000"/>
          <w:sz w:val="24"/>
          <w:szCs w:val="24"/>
          <w:lang w:eastAsia="en-GB"/>
        </w:rPr>
        <w:t>(</w:t>
      </w:r>
      <w:r w:rsidR="00236E84" w:rsidRPr="00236E84">
        <w:rPr>
          <w:rFonts w:ascii="Arial" w:eastAsia="Times New Roman" w:hAnsi="Arial" w:cs="Arial"/>
          <w:color w:val="000000"/>
          <w:sz w:val="24"/>
          <w:szCs w:val="24"/>
          <w:lang w:eastAsia="en-GB"/>
        </w:rPr>
        <w:t>Armstrong &amp; Taylor, 2022</w:t>
      </w:r>
      <w:r w:rsidR="00236E84" w:rsidRPr="00013CFA">
        <w:rPr>
          <w:rFonts w:ascii="Arial" w:eastAsia="Times New Roman" w:hAnsi="Arial" w:cs="Arial"/>
          <w:color w:val="000000"/>
          <w:sz w:val="24"/>
          <w:szCs w:val="24"/>
          <w:lang w:eastAsia="en-GB"/>
        </w:rPr>
        <w:t>).</w:t>
      </w:r>
      <w:r w:rsidR="00236E84" w:rsidRPr="00236E84">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 xml:space="preserve">This is in contrast to procedural agreements </w:t>
      </w:r>
      <w:r w:rsidR="007C5F9A">
        <w:rPr>
          <w:rFonts w:ascii="Arial" w:eastAsia="Times New Roman" w:hAnsi="Arial" w:cs="Arial"/>
          <w:color w:val="000000"/>
          <w:sz w:val="24"/>
          <w:szCs w:val="24"/>
          <w:lang w:eastAsia="en-GB"/>
        </w:rPr>
        <w:t>which have</w:t>
      </w:r>
      <w:r w:rsidRPr="00013CFA">
        <w:rPr>
          <w:rFonts w:ascii="Arial" w:eastAsia="Times New Roman" w:hAnsi="Arial" w:cs="Arial"/>
          <w:color w:val="000000"/>
          <w:sz w:val="24"/>
          <w:szCs w:val="24"/>
          <w:lang w:eastAsia="en-GB"/>
        </w:rPr>
        <w:t xml:space="preserve"> varying scope and regulate behaviour (Unite, no date). Despite not being legally enforceable, these agreements are rarely broken and made on the assumption that both parties will honour the agreement.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If an agreement is not reached, then Unions can resort to official action as discussed in AC </w:t>
      </w:r>
      <w:r w:rsidR="007C5F9A">
        <w:rPr>
          <w:rFonts w:ascii="Arial" w:eastAsia="Times New Roman" w:hAnsi="Arial" w:cs="Arial"/>
          <w:color w:val="000000"/>
          <w:sz w:val="24"/>
          <w:szCs w:val="24"/>
          <w:lang w:eastAsia="en-GB"/>
        </w:rPr>
        <w:t xml:space="preserve">2.2. This </w:t>
      </w:r>
      <w:r w:rsidRPr="00013CFA">
        <w:rPr>
          <w:rFonts w:ascii="Arial" w:eastAsia="Times New Roman" w:hAnsi="Arial" w:cs="Arial"/>
          <w:color w:val="000000"/>
          <w:sz w:val="24"/>
          <w:szCs w:val="24"/>
          <w:lang w:eastAsia="en-GB"/>
        </w:rPr>
        <w:t>often includes striking - with the aim to cause significant disruption,</w:t>
      </w:r>
      <w:r w:rsidR="00C43F36" w:rsidRPr="00013CFA">
        <w:rPr>
          <w:rFonts w:ascii="Arial" w:eastAsia="Times New Roman" w:hAnsi="Arial" w:cs="Arial"/>
          <w:color w:val="000000"/>
          <w:sz w:val="24"/>
          <w:szCs w:val="24"/>
          <w:lang w:eastAsia="en-GB"/>
        </w:rPr>
        <w:t> in</w:t>
      </w:r>
      <w:r w:rsidRPr="00013CFA">
        <w:rPr>
          <w:rFonts w:ascii="Arial" w:eastAsia="Times New Roman" w:hAnsi="Arial" w:cs="Arial"/>
          <w:color w:val="000000"/>
          <w:sz w:val="24"/>
          <w:szCs w:val="24"/>
          <w:lang w:eastAsia="en-GB"/>
        </w:rPr>
        <w:t xml:space="preserve"> order to force the employer to take a more dynamic approach to negotiations. </w:t>
      </w:r>
    </w:p>
    <w:p w:rsidR="009A69A5" w:rsidRPr="00236E84" w:rsidRDefault="00C43F36" w:rsidP="00236E84">
      <w:pPr>
        <w:spacing w:after="0" w:line="240" w:lineRule="auto"/>
        <w:rPr>
          <w:rFonts w:ascii="Arial" w:eastAsia="Times New Roman" w:hAnsi="Arial" w:cs="Arial"/>
          <w:color w:val="000000"/>
          <w:sz w:val="24"/>
          <w:szCs w:val="24"/>
          <w:lang w:eastAsia="en-GB"/>
        </w:rPr>
      </w:pPr>
      <w:r w:rsidRPr="00236E84">
        <w:rPr>
          <w:rFonts w:ascii="Arial" w:eastAsia="Times New Roman" w:hAnsi="Arial" w:cs="Arial"/>
          <w:color w:val="000000"/>
          <w:sz w:val="24"/>
          <w:szCs w:val="24"/>
          <w:lang w:eastAsia="en-GB"/>
        </w:rPr>
        <w:br/>
      </w:r>
    </w:p>
    <w:p w:rsidR="00013CFA" w:rsidRPr="00236E84"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References:   </w:t>
      </w:r>
    </w:p>
    <w:p w:rsidR="004B0F9F" w:rsidRPr="00236E84" w:rsidRDefault="004B0F9F" w:rsidP="00236E84">
      <w:pPr>
        <w:spacing w:after="0" w:line="240" w:lineRule="auto"/>
        <w:rPr>
          <w:rFonts w:ascii="Arial" w:eastAsia="Times New Roman" w:hAnsi="Arial" w:cs="Arial"/>
          <w:color w:val="000000"/>
          <w:sz w:val="24"/>
          <w:szCs w:val="24"/>
          <w:lang w:eastAsia="en-GB"/>
        </w:rPr>
      </w:pPr>
    </w:p>
    <w:p w:rsidR="007C5F9A" w:rsidRPr="003D72BA" w:rsidRDefault="007C5F9A" w:rsidP="007C5F9A">
      <w:pPr>
        <w:spacing w:after="0" w:line="240" w:lineRule="auto"/>
        <w:rPr>
          <w:rFonts w:ascii="Arial" w:eastAsia="Times New Roman" w:hAnsi="Arial" w:cs="Arial"/>
          <w:sz w:val="24"/>
          <w:szCs w:val="24"/>
          <w:shd w:val="clear" w:color="auto" w:fill="FBFBFB"/>
          <w:lang w:eastAsia="en-GB"/>
        </w:rPr>
      </w:pPr>
      <w:r w:rsidRPr="004B0F9F">
        <w:rPr>
          <w:rFonts w:ascii="Arial" w:eastAsia="Times New Roman" w:hAnsi="Arial" w:cs="Arial"/>
          <w:sz w:val="24"/>
          <w:szCs w:val="24"/>
          <w:shd w:val="clear" w:color="auto" w:fill="FBFBFB"/>
          <w:lang w:eastAsia="en-GB"/>
        </w:rPr>
        <w:t>ACAS (2003)</w:t>
      </w:r>
      <w:r w:rsidRPr="004B0F9F">
        <w:rPr>
          <w:rFonts w:ascii="Arial" w:eastAsia="Times New Roman" w:hAnsi="Arial" w:cs="Arial"/>
          <w:i/>
          <w:sz w:val="24"/>
          <w:szCs w:val="24"/>
          <w:shd w:val="clear" w:color="auto" w:fill="FBFBFB"/>
          <w:lang w:eastAsia="en-GB"/>
        </w:rPr>
        <w:t> </w:t>
      </w:r>
      <w:r w:rsidRPr="004B0F9F">
        <w:rPr>
          <w:rFonts w:ascii="Arial" w:eastAsia="Times New Roman" w:hAnsi="Arial" w:cs="Arial"/>
          <w:bCs/>
          <w:i/>
          <w:kern w:val="36"/>
          <w:sz w:val="24"/>
          <w:szCs w:val="24"/>
          <w:lang w:eastAsia="en-GB"/>
        </w:rPr>
        <w:t>Code of Practice on disclosure of information to trade unions for collective bargaining purposes</w:t>
      </w:r>
      <w:r w:rsidRPr="003D72BA">
        <w:rPr>
          <w:rFonts w:ascii="Arial" w:eastAsia="Times New Roman" w:hAnsi="Arial" w:cs="Arial"/>
          <w:i/>
          <w:sz w:val="24"/>
          <w:szCs w:val="24"/>
          <w:shd w:val="clear" w:color="auto" w:fill="FBFBFB"/>
          <w:lang w:eastAsia="en-GB"/>
        </w:rPr>
        <w:t>.</w:t>
      </w:r>
      <w:r w:rsidRPr="003D72BA">
        <w:rPr>
          <w:rFonts w:ascii="Arial" w:eastAsia="Times New Roman" w:hAnsi="Arial" w:cs="Arial"/>
          <w:sz w:val="24"/>
          <w:szCs w:val="24"/>
          <w:shd w:val="clear" w:color="auto" w:fill="FBFBFB"/>
          <w:lang w:eastAsia="en-GB"/>
        </w:rPr>
        <w:t xml:space="preserve"> Available at: https://www.acas.org.uk/acas-code-of-practice-on-disclosure-of-information-to-trade-unions-for-collective-bargaining/html (Accessed: 14/06/2023).</w:t>
      </w:r>
    </w:p>
    <w:p w:rsidR="007C5F9A" w:rsidRPr="003D72BA" w:rsidRDefault="007C5F9A" w:rsidP="007C5F9A">
      <w:pPr>
        <w:spacing w:after="0" w:line="240" w:lineRule="auto"/>
        <w:rPr>
          <w:rFonts w:ascii="Arial" w:eastAsia="Times New Roman" w:hAnsi="Arial" w:cs="Arial"/>
          <w:sz w:val="24"/>
          <w:szCs w:val="24"/>
          <w:shd w:val="clear" w:color="auto" w:fill="FBFBFB"/>
          <w:lang w:eastAsia="en-GB"/>
        </w:rPr>
      </w:pPr>
      <w:r w:rsidRPr="003D72BA">
        <w:rPr>
          <w:rFonts w:ascii="Arial" w:hAnsi="Arial" w:cs="Arial"/>
          <w:sz w:val="24"/>
          <w:szCs w:val="24"/>
          <w:shd w:val="clear" w:color="auto" w:fill="FBFBFB"/>
        </w:rPr>
        <w:t>ACAS (2014) </w:t>
      </w:r>
      <w:r w:rsidRPr="003D72BA">
        <w:rPr>
          <w:rFonts w:ascii="Arial" w:hAnsi="Arial" w:cs="Arial"/>
          <w:i/>
          <w:iCs/>
          <w:sz w:val="24"/>
          <w:szCs w:val="24"/>
          <w:shd w:val="clear" w:color="auto" w:fill="FBFBFB"/>
        </w:rPr>
        <w:t>Non-Union Representation in the Workplace</w:t>
      </w:r>
      <w:r w:rsidRPr="003D72BA">
        <w:rPr>
          <w:rFonts w:ascii="Arial" w:hAnsi="Arial" w:cs="Arial"/>
          <w:sz w:val="24"/>
          <w:szCs w:val="24"/>
          <w:shd w:val="clear" w:color="auto" w:fill="FBFBFB"/>
        </w:rPr>
        <w:t xml:space="preserve">. Place of publication: London.  </w:t>
      </w:r>
    </w:p>
    <w:p w:rsidR="007C5F9A" w:rsidRPr="003D72BA" w:rsidRDefault="007C5F9A" w:rsidP="007C5F9A">
      <w:pPr>
        <w:spacing w:after="0"/>
        <w:rPr>
          <w:rFonts w:ascii="Arial" w:hAnsi="Arial" w:cs="Arial"/>
          <w:sz w:val="24"/>
          <w:szCs w:val="24"/>
          <w:shd w:val="clear" w:color="auto" w:fill="FBFBFB"/>
        </w:rPr>
      </w:pPr>
      <w:r w:rsidRPr="003D72BA">
        <w:rPr>
          <w:rFonts w:ascii="Arial" w:hAnsi="Arial" w:cs="Arial"/>
          <w:sz w:val="24"/>
          <w:szCs w:val="24"/>
          <w:shd w:val="clear" w:color="auto" w:fill="FBFBFB"/>
        </w:rPr>
        <w:t>ACAS (2015) </w:t>
      </w:r>
      <w:r w:rsidRPr="003D72BA">
        <w:rPr>
          <w:rFonts w:ascii="Arial" w:hAnsi="Arial" w:cs="Arial"/>
          <w:i/>
          <w:iCs/>
          <w:sz w:val="24"/>
          <w:szCs w:val="24"/>
        </w:rPr>
        <w:t>Code of Practice on disciplinary and grievance procedures</w:t>
      </w:r>
      <w:r w:rsidRPr="003D72BA">
        <w:rPr>
          <w:rFonts w:ascii="Arial" w:hAnsi="Arial" w:cs="Arial"/>
          <w:sz w:val="24"/>
          <w:szCs w:val="24"/>
          <w:shd w:val="clear" w:color="auto" w:fill="FBFBFB"/>
        </w:rPr>
        <w:t>. Available at: https://www.acas.org.uk/acas-code-of-practice-for-disciplinary-and-grievance-procedures/html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(2022a) </w:t>
      </w:r>
      <w:r w:rsidRPr="003D72BA">
        <w:rPr>
          <w:rFonts w:ascii="Arial" w:hAnsi="Arial" w:cs="Arial"/>
          <w:i/>
          <w:iCs/>
          <w:sz w:val="24"/>
          <w:szCs w:val="24"/>
          <w:shd w:val="clear" w:color="auto" w:fill="FBFBFB"/>
        </w:rPr>
        <w:t>Arbitration</w:t>
      </w:r>
      <w:r w:rsidRPr="003D72BA">
        <w:rPr>
          <w:rFonts w:ascii="Arial" w:hAnsi="Arial" w:cs="Arial"/>
          <w:sz w:val="24"/>
          <w:szCs w:val="24"/>
          <w:shd w:val="clear" w:color="auto" w:fill="FBFBFB"/>
        </w:rPr>
        <w:t>. Available at: https://www.acas.org.uk/arbitration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(2022b) </w:t>
      </w:r>
      <w:r w:rsidRPr="003D72BA">
        <w:rPr>
          <w:rFonts w:ascii="Arial" w:hAnsi="Arial" w:cs="Arial"/>
          <w:i/>
          <w:iCs/>
          <w:sz w:val="24"/>
          <w:szCs w:val="24"/>
          <w:shd w:val="clear" w:color="auto" w:fill="FBFBFB"/>
        </w:rPr>
        <w:t>Early Conciliation</w:t>
      </w:r>
      <w:r w:rsidRPr="003D72BA">
        <w:rPr>
          <w:rFonts w:ascii="Arial" w:hAnsi="Arial" w:cs="Arial"/>
          <w:sz w:val="24"/>
          <w:szCs w:val="24"/>
          <w:shd w:val="clear" w:color="auto" w:fill="FBFBFB"/>
        </w:rPr>
        <w:t>. Available at: https://www.acas.org.uk/early-conciliation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(2022c) </w:t>
      </w:r>
      <w:r w:rsidRPr="003D72BA">
        <w:rPr>
          <w:rFonts w:ascii="Arial" w:hAnsi="Arial" w:cs="Arial"/>
          <w:i/>
          <w:iCs/>
          <w:sz w:val="24"/>
          <w:szCs w:val="24"/>
          <w:shd w:val="clear" w:color="auto" w:fill="FBFBFB"/>
        </w:rPr>
        <w:t>Formal grievance procedure: step by step</w:t>
      </w:r>
      <w:r w:rsidRPr="003D72BA">
        <w:rPr>
          <w:rFonts w:ascii="Arial" w:hAnsi="Arial" w:cs="Arial"/>
          <w:sz w:val="24"/>
          <w:szCs w:val="24"/>
          <w:shd w:val="clear" w:color="auto" w:fill="FBFBFB"/>
        </w:rPr>
        <w:t>. Available at: https://www.acas.org.uk/grievance-procedure-step-by-step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(2022d) </w:t>
      </w:r>
      <w:r w:rsidRPr="003D72BA">
        <w:rPr>
          <w:rFonts w:ascii="Arial" w:hAnsi="Arial" w:cs="Arial"/>
          <w:i/>
          <w:iCs/>
          <w:sz w:val="24"/>
          <w:szCs w:val="24"/>
          <w:shd w:val="clear" w:color="auto" w:fill="FBFBFB"/>
        </w:rPr>
        <w:t>Informing and consulting about workplace matters. </w:t>
      </w:r>
      <w:r w:rsidRPr="003D72BA">
        <w:rPr>
          <w:rFonts w:ascii="Arial" w:hAnsi="Arial" w:cs="Arial"/>
          <w:sz w:val="24"/>
          <w:szCs w:val="24"/>
          <w:shd w:val="clear" w:color="auto" w:fill="FBFBFB"/>
        </w:rPr>
        <w:t>Available at: https://www.acas.org.uk/informing-and-consulting-about-workplace-matters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(2022e) </w:t>
      </w:r>
      <w:r w:rsidRPr="003D72BA">
        <w:rPr>
          <w:rFonts w:ascii="Arial" w:hAnsi="Arial" w:cs="Arial"/>
          <w:i/>
          <w:iCs/>
          <w:sz w:val="24"/>
          <w:szCs w:val="24"/>
          <w:shd w:val="clear" w:color="auto" w:fill="FBFBFB"/>
        </w:rPr>
        <w:t>Using workplace forums to discuss important matters at work.</w:t>
      </w:r>
      <w:r w:rsidRPr="003D72BA">
        <w:rPr>
          <w:rFonts w:ascii="Arial" w:hAnsi="Arial" w:cs="Arial"/>
          <w:sz w:val="24"/>
          <w:szCs w:val="24"/>
          <w:shd w:val="clear" w:color="auto" w:fill="FBFBFB"/>
        </w:rPr>
        <w:t> Available at: https://www.acas.org.uk/using-workplace-forums (Accessed: 14/06/2023).</w:t>
      </w:r>
    </w:p>
    <w:p w:rsidR="007C5F9A" w:rsidRPr="003D72BA" w:rsidRDefault="007C5F9A" w:rsidP="007C5F9A">
      <w:pPr>
        <w:rPr>
          <w:rFonts w:ascii="Arial" w:hAnsi="Arial" w:cs="Arial"/>
          <w:sz w:val="24"/>
          <w:szCs w:val="24"/>
          <w:shd w:val="clear" w:color="auto" w:fill="FBFBFB"/>
        </w:rPr>
      </w:pPr>
      <w:r w:rsidRPr="003D72BA">
        <w:rPr>
          <w:rFonts w:ascii="Arial" w:hAnsi="Arial" w:cs="Arial"/>
          <w:sz w:val="24"/>
          <w:szCs w:val="24"/>
          <w:shd w:val="clear" w:color="auto" w:fill="FBFBFB"/>
        </w:rPr>
        <w:t>Armstrong, M. and Taylor, S. (2020) </w:t>
      </w:r>
      <w:r w:rsidRPr="003D72BA">
        <w:rPr>
          <w:rFonts w:ascii="Arial" w:hAnsi="Arial" w:cs="Arial"/>
          <w:i/>
          <w:iCs/>
          <w:sz w:val="24"/>
          <w:szCs w:val="24"/>
          <w:shd w:val="clear" w:color="auto" w:fill="FBFBFB"/>
        </w:rPr>
        <w:t>Armstrong's Handbook of Human Resource Management Practice</w:t>
      </w:r>
      <w:r w:rsidRPr="003D72BA">
        <w:rPr>
          <w:rFonts w:ascii="Arial" w:hAnsi="Arial" w:cs="Arial"/>
          <w:sz w:val="24"/>
          <w:szCs w:val="24"/>
          <w:shd w:val="clear" w:color="auto" w:fill="FBFBFB"/>
        </w:rPr>
        <w:t xml:space="preserve">. 15th </w:t>
      </w:r>
      <w:proofErr w:type="spellStart"/>
      <w:r w:rsidRPr="003D72BA">
        <w:rPr>
          <w:rFonts w:ascii="Arial" w:hAnsi="Arial" w:cs="Arial"/>
          <w:sz w:val="24"/>
          <w:szCs w:val="24"/>
          <w:shd w:val="clear" w:color="auto" w:fill="FBFBFB"/>
        </w:rPr>
        <w:t>edn</w:t>
      </w:r>
      <w:proofErr w:type="spellEnd"/>
      <w:r w:rsidRPr="003D72BA">
        <w:rPr>
          <w:rFonts w:ascii="Arial" w:hAnsi="Arial" w:cs="Arial"/>
          <w:sz w:val="24"/>
          <w:szCs w:val="24"/>
          <w:shd w:val="clear" w:color="auto" w:fill="FBFBFB"/>
        </w:rPr>
        <w:t xml:space="preserve">. London: </w:t>
      </w:r>
      <w:proofErr w:type="spellStart"/>
      <w:r w:rsidRPr="003D72BA">
        <w:rPr>
          <w:rFonts w:ascii="Arial" w:hAnsi="Arial" w:cs="Arial"/>
          <w:sz w:val="24"/>
          <w:szCs w:val="24"/>
          <w:shd w:val="clear" w:color="auto" w:fill="FBFBFB"/>
        </w:rPr>
        <w:t>Kogan</w:t>
      </w:r>
      <w:proofErr w:type="spellEnd"/>
      <w:r w:rsidRPr="003D72BA">
        <w:rPr>
          <w:rFonts w:ascii="Arial" w:hAnsi="Arial" w:cs="Arial"/>
          <w:sz w:val="24"/>
          <w:szCs w:val="24"/>
          <w:shd w:val="clear" w:color="auto" w:fill="FBFBFB"/>
        </w:rPr>
        <w:t xml:space="preserve"> Page.</w:t>
      </w:r>
    </w:p>
    <w:p w:rsidR="007C5F9A" w:rsidRPr="003D72BA" w:rsidRDefault="007C5F9A" w:rsidP="007C5F9A">
      <w:pPr>
        <w:rPr>
          <w:rFonts w:ascii="Arial" w:hAnsi="Arial" w:cs="Arial"/>
          <w:sz w:val="24"/>
          <w:szCs w:val="24"/>
        </w:rPr>
      </w:pPr>
      <w:r w:rsidRPr="003D72BA">
        <w:rPr>
          <w:rFonts w:ascii="Arial" w:hAnsi="Arial" w:cs="Arial"/>
          <w:sz w:val="24"/>
          <w:szCs w:val="24"/>
          <w:shd w:val="clear" w:color="auto" w:fill="FBFBFB"/>
        </w:rPr>
        <w:t>CIPD (2019) </w:t>
      </w:r>
      <w:r w:rsidRPr="003D72BA">
        <w:rPr>
          <w:rFonts w:ascii="Arial" w:hAnsi="Arial" w:cs="Arial"/>
          <w:i/>
          <w:iCs/>
          <w:sz w:val="24"/>
          <w:szCs w:val="24"/>
          <w:shd w:val="clear" w:color="auto" w:fill="FBFBFB"/>
        </w:rPr>
        <w:t>Talking about voice: employees’ experiences</w:t>
      </w:r>
      <w:r w:rsidRPr="003D72BA">
        <w:rPr>
          <w:rFonts w:ascii="Arial" w:hAnsi="Arial" w:cs="Arial"/>
          <w:sz w:val="24"/>
          <w:szCs w:val="24"/>
          <w:shd w:val="clear" w:color="auto" w:fill="FBFBFB"/>
        </w:rPr>
        <w:t>. 7844.  Available at: https://www.cipd.org/globalassets/media/zzz-misc---to-check/talking-about-voice_employees-experiences_tcm18-54482.pdf (Accessed: date).</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CIPD (2020a) </w:t>
      </w:r>
      <w:r w:rsidRPr="003D72BA">
        <w:rPr>
          <w:rFonts w:ascii="Arial" w:hAnsi="Arial" w:cs="Arial"/>
          <w:i/>
          <w:iCs/>
          <w:sz w:val="24"/>
          <w:szCs w:val="24"/>
          <w:shd w:val="clear" w:color="auto" w:fill="FBFBFB"/>
        </w:rPr>
        <w:t>Information and Consultation of Employees (ICE)</w:t>
      </w:r>
      <w:r w:rsidRPr="003D72BA">
        <w:rPr>
          <w:rFonts w:ascii="Arial" w:hAnsi="Arial" w:cs="Arial"/>
          <w:sz w:val="24"/>
          <w:szCs w:val="24"/>
          <w:shd w:val="clear" w:color="auto" w:fill="FBFBFB"/>
        </w:rPr>
        <w:t>. Available at: https://www.cipd.org/uk/knowledge/guides/communication-guide/ (Accessed: date).</w:t>
      </w:r>
    </w:p>
    <w:p w:rsidR="007C5F9A" w:rsidRPr="003D72B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CIPD (2020b) </w:t>
      </w:r>
      <w:r w:rsidRPr="003D72BA">
        <w:rPr>
          <w:rFonts w:ascii="Arial" w:hAnsi="Arial" w:cs="Arial"/>
          <w:i/>
          <w:iCs/>
          <w:sz w:val="24"/>
          <w:szCs w:val="24"/>
          <w:shd w:val="clear" w:color="auto" w:fill="FBFBFB"/>
        </w:rPr>
        <w:t>Managing conflict in the modern workplace</w:t>
      </w:r>
      <w:r w:rsidRPr="003D72BA">
        <w:rPr>
          <w:rFonts w:ascii="Arial" w:hAnsi="Arial" w:cs="Arial"/>
          <w:sz w:val="24"/>
          <w:szCs w:val="24"/>
          <w:shd w:val="clear" w:color="auto" w:fill="FBFBFB"/>
        </w:rPr>
        <w:t>. 7968. Place of publication: London (Accessed: date).</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CIPD (2021a) </w:t>
      </w:r>
      <w:r w:rsidRPr="003D72BA">
        <w:rPr>
          <w:rFonts w:ascii="Arial" w:hAnsi="Arial" w:cs="Arial"/>
          <w:i/>
          <w:iCs/>
          <w:sz w:val="24"/>
          <w:szCs w:val="24"/>
          <w:shd w:val="clear" w:color="auto" w:fill="FBFBFB"/>
        </w:rPr>
        <w:t>Group Voice Channels: Guide for People Professionals</w:t>
      </w:r>
      <w:r w:rsidRPr="003D72BA">
        <w:rPr>
          <w:rFonts w:ascii="Arial" w:hAnsi="Arial" w:cs="Arial"/>
          <w:sz w:val="24"/>
          <w:szCs w:val="24"/>
          <w:shd w:val="clear" w:color="auto" w:fill="FBFBFB"/>
        </w:rPr>
        <w:t>. Available at: https://www.cipd.org/uk/knowledge/guides/employee-voice-guide/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lastRenderedPageBreak/>
        <w:t>CIPD (2021b) </w:t>
      </w:r>
      <w:r w:rsidRPr="003D72BA">
        <w:rPr>
          <w:rFonts w:ascii="Arial" w:hAnsi="Arial" w:cs="Arial"/>
          <w:i/>
          <w:iCs/>
          <w:sz w:val="24"/>
          <w:szCs w:val="24"/>
          <w:shd w:val="clear" w:color="auto" w:fill="FBFBFB"/>
        </w:rPr>
        <w:t>Whistleblowing: UK employment law</w:t>
      </w:r>
      <w:r w:rsidRPr="003D72BA">
        <w:rPr>
          <w:rFonts w:ascii="Arial" w:hAnsi="Arial" w:cs="Arial"/>
          <w:sz w:val="24"/>
          <w:szCs w:val="24"/>
          <w:shd w:val="clear" w:color="auto" w:fill="FBFBFB"/>
        </w:rPr>
        <w:t>. Available at: https://www.cipd.org/uk/knowledge/employment-law/whistleblowing/ (Accessed: date).</w:t>
      </w:r>
    </w:p>
    <w:p w:rsidR="007C5F9A" w:rsidRPr="003D72B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CIPD (2022a) </w:t>
      </w:r>
      <w:r w:rsidRPr="003D72BA">
        <w:rPr>
          <w:rFonts w:ascii="Arial" w:hAnsi="Arial" w:cs="Arial"/>
          <w:i/>
          <w:iCs/>
          <w:sz w:val="24"/>
          <w:szCs w:val="24"/>
          <w:shd w:val="clear" w:color="auto" w:fill="FBFBFB"/>
        </w:rPr>
        <w:t>Collective Employee Voice: Recommendations for working with employee representatives for mutual gain</w:t>
      </w:r>
      <w:r w:rsidRPr="003D72BA">
        <w:rPr>
          <w:rFonts w:ascii="Arial" w:hAnsi="Arial" w:cs="Arial"/>
          <w:sz w:val="24"/>
          <w:szCs w:val="24"/>
          <w:shd w:val="clear" w:color="auto" w:fill="FBFBFB"/>
        </w:rPr>
        <w:t xml:space="preserve">. 8255. Place of publication: London (Accessed: date). </w:t>
      </w:r>
    </w:p>
    <w:p w:rsidR="007C5F9A" w:rsidRPr="003D72B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CIPD (2022b) </w:t>
      </w:r>
      <w:r w:rsidRPr="003D72BA">
        <w:rPr>
          <w:rFonts w:ascii="Arial" w:hAnsi="Arial" w:cs="Arial"/>
          <w:i/>
          <w:iCs/>
          <w:sz w:val="24"/>
          <w:szCs w:val="24"/>
          <w:shd w:val="clear" w:color="auto" w:fill="FBFBFB"/>
        </w:rPr>
        <w:t>Employee Communication</w:t>
      </w:r>
      <w:r w:rsidRPr="003D72BA">
        <w:rPr>
          <w:rFonts w:ascii="Arial" w:hAnsi="Arial" w:cs="Arial"/>
          <w:sz w:val="24"/>
          <w:szCs w:val="24"/>
          <w:shd w:val="clear" w:color="auto" w:fill="FBFBFB"/>
        </w:rPr>
        <w:t>. Available at: https://www.cipd.org/uk/knowledge/factsheets/employee-communication/#why-does-communication-with-employees-matter (Accessed: 14/06/2023).</w:t>
      </w:r>
    </w:p>
    <w:p w:rsidR="007C5F9A" w:rsidRPr="00613A29"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CIPD (2022c) </w:t>
      </w:r>
      <w:r w:rsidRPr="003D72BA">
        <w:rPr>
          <w:rFonts w:ascii="Arial" w:hAnsi="Arial" w:cs="Arial"/>
          <w:i/>
          <w:iCs/>
          <w:sz w:val="24"/>
          <w:szCs w:val="24"/>
          <w:shd w:val="clear" w:color="auto" w:fill="FBFBFB"/>
        </w:rPr>
        <w:t>Employee Voice</w:t>
      </w:r>
      <w:r w:rsidRPr="003D72BA">
        <w:rPr>
          <w:rFonts w:ascii="Arial" w:hAnsi="Arial" w:cs="Arial"/>
          <w:sz w:val="24"/>
          <w:szCs w:val="24"/>
          <w:shd w:val="clear" w:color="auto" w:fill="FBFBFB"/>
        </w:rPr>
        <w:t>. Available at: https://www.cipd.org/uk/views-and-insights/cipd-viewpoint/employee-voice/ (Accessed: 14/06/</w:t>
      </w:r>
      <w:r w:rsidRPr="00613A29">
        <w:rPr>
          <w:rFonts w:ascii="Arial" w:hAnsi="Arial" w:cs="Arial"/>
          <w:sz w:val="24"/>
          <w:szCs w:val="24"/>
          <w:shd w:val="clear" w:color="auto" w:fill="FBFBFB"/>
        </w:rPr>
        <w:t>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CIPD (2022d) </w:t>
      </w:r>
      <w:r w:rsidRPr="00613A29">
        <w:rPr>
          <w:rFonts w:ascii="Arial" w:hAnsi="Arial" w:cs="Arial"/>
          <w:i/>
          <w:iCs/>
          <w:sz w:val="24"/>
          <w:szCs w:val="24"/>
          <w:shd w:val="clear" w:color="auto" w:fill="FBFBFB"/>
        </w:rPr>
        <w:t>Good Work Index 2022 UK Working Lives Survey</w:t>
      </w:r>
      <w:r w:rsidRPr="00613A29">
        <w:rPr>
          <w:rFonts w:ascii="Arial" w:hAnsi="Arial" w:cs="Arial"/>
          <w:sz w:val="24"/>
          <w:szCs w:val="24"/>
          <w:shd w:val="clear" w:color="auto" w:fill="FBFBFB"/>
        </w:rPr>
        <w:t>. 8252. Place of publication: London (Accessed: date).</w:t>
      </w:r>
    </w:p>
    <w:p w:rsidR="007C5F9A" w:rsidRPr="00613A29" w:rsidRDefault="007C5F9A" w:rsidP="007C5F9A">
      <w:pPr>
        <w:spacing w:after="0"/>
        <w:rPr>
          <w:rFonts w:ascii="Arial" w:eastAsia="Times New Roman" w:hAnsi="Arial" w:cs="Arial"/>
          <w:bCs/>
          <w:kern w:val="36"/>
          <w:sz w:val="24"/>
          <w:szCs w:val="24"/>
          <w:lang w:eastAsia="en-GB"/>
        </w:rPr>
      </w:pPr>
      <w:r w:rsidRPr="00613A29">
        <w:rPr>
          <w:rFonts w:ascii="Arial" w:eastAsia="Times New Roman" w:hAnsi="Arial" w:cs="Arial"/>
          <w:bCs/>
          <w:i/>
          <w:kern w:val="36"/>
          <w:sz w:val="24"/>
          <w:szCs w:val="24"/>
          <w:lang w:eastAsia="en-GB"/>
        </w:rPr>
        <w:t>CIPD (2022e) </w:t>
      </w:r>
      <w:r w:rsidRPr="00613A29">
        <w:rPr>
          <w:rFonts w:ascii="Arial" w:hAnsi="Arial" w:cs="Arial"/>
          <w:i/>
          <w:sz w:val="24"/>
          <w:szCs w:val="24"/>
        </w:rPr>
        <w:t>Over half of employers agree that the UK is entering a new, more unstable period of employment relations</w:t>
      </w:r>
      <w:r w:rsidRPr="00613A29">
        <w:rPr>
          <w:rFonts w:ascii="Arial" w:eastAsia="Times New Roman" w:hAnsi="Arial" w:cs="Arial"/>
          <w:bCs/>
          <w:i/>
          <w:kern w:val="36"/>
          <w:sz w:val="24"/>
          <w:szCs w:val="24"/>
          <w:lang w:eastAsia="en-GB"/>
        </w:rPr>
        <w:t xml:space="preserve">. </w:t>
      </w:r>
      <w:r w:rsidRPr="00613A29">
        <w:rPr>
          <w:rFonts w:ascii="Arial" w:eastAsia="Times New Roman" w:hAnsi="Arial" w:cs="Arial"/>
          <w:bCs/>
          <w:kern w:val="36"/>
          <w:sz w:val="24"/>
          <w:szCs w:val="24"/>
          <w:lang w:eastAsia="en-GB"/>
        </w:rPr>
        <w:t>Available at: https://www.cipd.org/uk/about/press-releases/110722-cipd-employee-relations/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CIPD (2023a) </w:t>
      </w:r>
      <w:r w:rsidRPr="00613A29">
        <w:rPr>
          <w:rFonts w:ascii="Arial" w:hAnsi="Arial" w:cs="Arial"/>
          <w:i/>
          <w:iCs/>
          <w:sz w:val="24"/>
          <w:szCs w:val="24"/>
          <w:shd w:val="clear" w:color="auto" w:fill="FBFBFB"/>
        </w:rPr>
        <w:t>Discipline &amp; Grievance at Work</w:t>
      </w:r>
      <w:r w:rsidRPr="00613A29">
        <w:rPr>
          <w:rFonts w:ascii="Arial" w:hAnsi="Arial" w:cs="Arial"/>
          <w:sz w:val="24"/>
          <w:szCs w:val="24"/>
          <w:shd w:val="clear" w:color="auto" w:fill="FBFBFB"/>
        </w:rPr>
        <w:t>. Available at: https://www.cipd.org/uk/knowledge/factsheets/discipline-factsheet/#gref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CIPD (2023b) </w:t>
      </w:r>
      <w:r w:rsidRPr="00613A29">
        <w:rPr>
          <w:rFonts w:ascii="Arial" w:hAnsi="Arial" w:cs="Arial"/>
          <w:i/>
          <w:iCs/>
          <w:sz w:val="24"/>
          <w:szCs w:val="24"/>
          <w:shd w:val="clear" w:color="auto" w:fill="FBFBFB"/>
        </w:rPr>
        <w:t>Working with trade unions</w:t>
      </w:r>
      <w:r w:rsidRPr="00613A29">
        <w:rPr>
          <w:rFonts w:ascii="Arial" w:hAnsi="Arial" w:cs="Arial"/>
          <w:sz w:val="24"/>
          <w:szCs w:val="24"/>
          <w:shd w:val="clear" w:color="auto" w:fill="FBFBFB"/>
        </w:rPr>
        <w:t>. Available at: https://www.cipd.org/uk/knowledge/guides/working-trade-unions/#handling-negotiations (Accessed: 14/06/2023).</w:t>
      </w:r>
    </w:p>
    <w:p w:rsidR="007C5F9A" w:rsidRPr="00613A29" w:rsidRDefault="007C5F9A" w:rsidP="007C5F9A">
      <w:pPr>
        <w:spacing w:line="240" w:lineRule="auto"/>
        <w:rPr>
          <w:rFonts w:ascii="Arial" w:hAnsi="Arial" w:cs="Arial"/>
          <w:sz w:val="24"/>
          <w:szCs w:val="24"/>
          <w:shd w:val="clear" w:color="auto" w:fill="FBFBFB"/>
        </w:rPr>
      </w:pPr>
      <w:r w:rsidRPr="00613A29">
        <w:rPr>
          <w:rFonts w:ascii="Arial" w:hAnsi="Arial" w:cs="Arial"/>
          <w:sz w:val="24"/>
          <w:szCs w:val="24"/>
          <w:shd w:val="clear" w:color="auto" w:fill="FBFBFB"/>
        </w:rPr>
        <w:t>Daniels, K. (2022) </w:t>
      </w:r>
      <w:r w:rsidRPr="00613A29">
        <w:rPr>
          <w:rFonts w:ascii="Arial" w:hAnsi="Arial" w:cs="Arial"/>
          <w:i/>
          <w:iCs/>
          <w:sz w:val="24"/>
          <w:szCs w:val="24"/>
          <w:shd w:val="clear" w:color="auto" w:fill="FBFBFB"/>
        </w:rPr>
        <w:t>Introduction to employment law: fundamentals for HR and business students</w:t>
      </w:r>
      <w:r w:rsidRPr="00613A29">
        <w:rPr>
          <w:rFonts w:ascii="Arial" w:hAnsi="Arial" w:cs="Arial"/>
          <w:sz w:val="24"/>
          <w:szCs w:val="24"/>
          <w:shd w:val="clear" w:color="auto" w:fill="FBFBFB"/>
        </w:rPr>
        <w:t xml:space="preserve">. 6th </w:t>
      </w:r>
      <w:proofErr w:type="spellStart"/>
      <w:r w:rsidRPr="00613A29">
        <w:rPr>
          <w:rFonts w:ascii="Arial" w:hAnsi="Arial" w:cs="Arial"/>
          <w:sz w:val="24"/>
          <w:szCs w:val="24"/>
          <w:shd w:val="clear" w:color="auto" w:fill="FBFBFB"/>
        </w:rPr>
        <w:t>edn</w:t>
      </w:r>
      <w:proofErr w:type="spellEnd"/>
      <w:r w:rsidRPr="00613A29">
        <w:rPr>
          <w:rFonts w:ascii="Arial" w:hAnsi="Arial" w:cs="Arial"/>
          <w:sz w:val="24"/>
          <w:szCs w:val="24"/>
          <w:shd w:val="clear" w:color="auto" w:fill="FBFBFB"/>
        </w:rPr>
        <w:t xml:space="preserve">. London: </w:t>
      </w:r>
      <w:proofErr w:type="spellStart"/>
      <w:r w:rsidRPr="00613A29">
        <w:rPr>
          <w:rFonts w:ascii="Arial" w:hAnsi="Arial" w:cs="Arial"/>
          <w:sz w:val="24"/>
          <w:szCs w:val="24"/>
          <w:shd w:val="clear" w:color="auto" w:fill="FBFBFB"/>
        </w:rPr>
        <w:t>Kogan</w:t>
      </w:r>
      <w:proofErr w:type="spellEnd"/>
      <w:r w:rsidRPr="00613A29">
        <w:rPr>
          <w:rFonts w:ascii="Arial" w:hAnsi="Arial" w:cs="Arial"/>
          <w:sz w:val="24"/>
          <w:szCs w:val="24"/>
          <w:shd w:val="clear" w:color="auto" w:fill="FBFBFB"/>
        </w:rPr>
        <w:t xml:space="preserve"> Page</w:t>
      </w:r>
    </w:p>
    <w:p w:rsidR="007C5F9A" w:rsidRPr="00613A29" w:rsidRDefault="007C5F9A" w:rsidP="007C5F9A">
      <w:pPr>
        <w:spacing w:line="240" w:lineRule="auto"/>
        <w:rPr>
          <w:rFonts w:ascii="Arial" w:hAnsi="Arial" w:cs="Arial"/>
          <w:sz w:val="24"/>
          <w:szCs w:val="24"/>
          <w:shd w:val="clear" w:color="auto" w:fill="FBFBFB"/>
        </w:rPr>
      </w:pPr>
      <w:r w:rsidRPr="00613A29">
        <w:rPr>
          <w:rFonts w:ascii="Arial" w:hAnsi="Arial" w:cs="Arial"/>
          <w:sz w:val="24"/>
          <w:szCs w:val="24"/>
          <w:shd w:val="clear" w:color="auto" w:fill="FBFBFB"/>
        </w:rPr>
        <w:t xml:space="preserve">Ellis, C. (2022) 'Managing the employment relationship', in S. Taylor &amp; C. </w:t>
      </w:r>
      <w:proofErr w:type="spellStart"/>
      <w:r w:rsidRPr="00613A29">
        <w:rPr>
          <w:rFonts w:ascii="Arial" w:hAnsi="Arial" w:cs="Arial"/>
          <w:sz w:val="24"/>
          <w:szCs w:val="24"/>
          <w:shd w:val="clear" w:color="auto" w:fill="FBFBFB"/>
        </w:rPr>
        <w:t>Woodhams</w:t>
      </w:r>
      <w:proofErr w:type="spellEnd"/>
      <w:r w:rsidRPr="00613A29">
        <w:rPr>
          <w:rFonts w:ascii="Arial" w:hAnsi="Arial" w:cs="Arial"/>
          <w:sz w:val="24"/>
          <w:szCs w:val="24"/>
          <w:shd w:val="clear" w:color="auto" w:fill="FBFBFB"/>
        </w:rPr>
        <w:t xml:space="preserve"> (ed.) </w:t>
      </w:r>
      <w:r w:rsidRPr="00613A29">
        <w:rPr>
          <w:rFonts w:ascii="Arial" w:hAnsi="Arial" w:cs="Arial"/>
          <w:i/>
          <w:iCs/>
          <w:sz w:val="24"/>
          <w:szCs w:val="24"/>
          <w:shd w:val="clear" w:color="auto" w:fill="FBFBFB"/>
        </w:rPr>
        <w:t>Human Resource Management</w:t>
      </w:r>
      <w:r w:rsidRPr="00613A29">
        <w:rPr>
          <w:rFonts w:ascii="Arial" w:hAnsi="Arial" w:cs="Arial"/>
          <w:sz w:val="24"/>
          <w:szCs w:val="24"/>
          <w:shd w:val="clear" w:color="auto" w:fill="FBFBFB"/>
        </w:rPr>
        <w:t xml:space="preserve">. London: </w:t>
      </w:r>
      <w:proofErr w:type="spellStart"/>
      <w:r w:rsidRPr="00613A29">
        <w:rPr>
          <w:rFonts w:ascii="Arial" w:hAnsi="Arial" w:cs="Arial"/>
          <w:sz w:val="24"/>
          <w:szCs w:val="24"/>
          <w:shd w:val="clear" w:color="auto" w:fill="FBFBFB"/>
        </w:rPr>
        <w:t>Kogan</w:t>
      </w:r>
      <w:proofErr w:type="spellEnd"/>
      <w:r w:rsidRPr="00613A29">
        <w:rPr>
          <w:rFonts w:ascii="Arial" w:hAnsi="Arial" w:cs="Arial"/>
          <w:sz w:val="24"/>
          <w:szCs w:val="24"/>
          <w:shd w:val="clear" w:color="auto" w:fill="FBFBFB"/>
        </w:rPr>
        <w:t xml:space="preserve"> Page, pp. 4-28.</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i/>
          <w:iCs/>
          <w:sz w:val="24"/>
          <w:szCs w:val="24"/>
          <w:shd w:val="clear" w:color="auto" w:fill="FBFBFB"/>
        </w:rPr>
        <w:t>Employment Rights Act 1996</w:t>
      </w:r>
      <w:r w:rsidRPr="00613A29">
        <w:rPr>
          <w:rFonts w:ascii="Arial" w:hAnsi="Arial" w:cs="Arial"/>
          <w:sz w:val="24"/>
          <w:szCs w:val="24"/>
          <w:shd w:val="clear" w:color="auto" w:fill="FBFBFB"/>
        </w:rPr>
        <w:t>. Available at: https://www.legislation.gov.uk/ukpga/1996/18/contents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i/>
          <w:iCs/>
          <w:sz w:val="24"/>
          <w:szCs w:val="24"/>
          <w:shd w:val="clear" w:color="auto" w:fill="FBFBFB"/>
        </w:rPr>
        <w:t>Equality Act 2010</w:t>
      </w:r>
      <w:r w:rsidRPr="00613A29">
        <w:rPr>
          <w:rFonts w:ascii="Arial" w:hAnsi="Arial" w:cs="Arial"/>
          <w:sz w:val="24"/>
          <w:szCs w:val="24"/>
          <w:shd w:val="clear" w:color="auto" w:fill="FBFBFB"/>
        </w:rPr>
        <w:t>. Available at: https://www.legislation.gov.uk/ukpga/2010/15/contents (Accessed: date).</w:t>
      </w:r>
    </w:p>
    <w:p w:rsidR="007C5F9A" w:rsidRPr="00613A29" w:rsidRDefault="007C5F9A" w:rsidP="007C5F9A">
      <w:pPr>
        <w:spacing w:after="0"/>
        <w:rPr>
          <w:rFonts w:ascii="Arial" w:hAnsi="Arial" w:cs="Arial"/>
          <w:sz w:val="24"/>
          <w:szCs w:val="24"/>
        </w:rPr>
      </w:pPr>
      <w:proofErr w:type="spellStart"/>
      <w:r w:rsidRPr="00613A29">
        <w:rPr>
          <w:rFonts w:ascii="Arial" w:hAnsi="Arial" w:cs="Arial"/>
          <w:sz w:val="24"/>
          <w:szCs w:val="24"/>
          <w:shd w:val="clear" w:color="auto" w:fill="FBFBFB"/>
        </w:rPr>
        <w:t>Faragher</w:t>
      </w:r>
      <w:proofErr w:type="spellEnd"/>
      <w:r w:rsidRPr="00613A29">
        <w:rPr>
          <w:rFonts w:ascii="Arial" w:hAnsi="Arial" w:cs="Arial"/>
          <w:sz w:val="24"/>
          <w:szCs w:val="24"/>
          <w:shd w:val="clear" w:color="auto" w:fill="FBFBFB"/>
        </w:rPr>
        <w:t>, J. (2018) </w:t>
      </w:r>
      <w:proofErr w:type="gramStart"/>
      <w:r w:rsidRPr="00613A29">
        <w:rPr>
          <w:rFonts w:ascii="Arial" w:hAnsi="Arial" w:cs="Arial"/>
          <w:i/>
          <w:sz w:val="24"/>
          <w:szCs w:val="24"/>
        </w:rPr>
        <w:t>The</w:t>
      </w:r>
      <w:proofErr w:type="gramEnd"/>
      <w:r w:rsidRPr="00613A29">
        <w:rPr>
          <w:rFonts w:ascii="Arial" w:hAnsi="Arial" w:cs="Arial"/>
          <w:i/>
          <w:sz w:val="24"/>
          <w:szCs w:val="24"/>
        </w:rPr>
        <w:t xml:space="preserve"> ultimate guide to </w:t>
      </w:r>
      <w:proofErr w:type="spellStart"/>
      <w:r w:rsidRPr="00613A29">
        <w:rPr>
          <w:rFonts w:ascii="Arial" w:hAnsi="Arial" w:cs="Arial"/>
          <w:i/>
          <w:sz w:val="24"/>
          <w:szCs w:val="24"/>
        </w:rPr>
        <w:t>disciplinaries</w:t>
      </w:r>
      <w:proofErr w:type="spellEnd"/>
      <w:r w:rsidRPr="00613A29">
        <w:rPr>
          <w:rFonts w:ascii="Arial" w:hAnsi="Arial" w:cs="Arial"/>
          <w:i/>
          <w:sz w:val="24"/>
          <w:szCs w:val="24"/>
        </w:rPr>
        <w:t xml:space="preserve"> and grievances</w:t>
      </w:r>
      <w:r w:rsidRPr="00613A29">
        <w:rPr>
          <w:rFonts w:ascii="Arial" w:hAnsi="Arial" w:cs="Arial"/>
          <w:i/>
          <w:sz w:val="24"/>
          <w:szCs w:val="24"/>
          <w:shd w:val="clear" w:color="auto" w:fill="FBFBFB"/>
        </w:rPr>
        <w:t>.</w:t>
      </w:r>
      <w:r w:rsidRPr="00613A29">
        <w:rPr>
          <w:rFonts w:ascii="Arial" w:hAnsi="Arial" w:cs="Arial"/>
          <w:sz w:val="24"/>
          <w:szCs w:val="24"/>
          <w:shd w:val="clear" w:color="auto" w:fill="FBFBFB"/>
        </w:rPr>
        <w:t xml:space="preserve"> Available at: https://www.peoplemanagement.co.uk/article/1744275/ultimate-guide-disciplinaries-grievances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(2020)</w:t>
      </w:r>
      <w:r w:rsidRPr="00613A29">
        <w:rPr>
          <w:rFonts w:ascii="Arial" w:hAnsi="Arial" w:cs="Arial"/>
          <w:i/>
          <w:iCs/>
          <w:sz w:val="24"/>
          <w:szCs w:val="24"/>
          <w:shd w:val="clear" w:color="auto" w:fill="FBFBFB"/>
        </w:rPr>
        <w:t> The Information and Consultation Regulations</w:t>
      </w:r>
      <w:r w:rsidRPr="00613A29">
        <w:rPr>
          <w:rFonts w:ascii="Arial" w:hAnsi="Arial" w:cs="Arial"/>
          <w:sz w:val="24"/>
          <w:szCs w:val="24"/>
          <w:shd w:val="clear" w:color="auto" w:fill="FBFBFB"/>
        </w:rPr>
        <w:t>. Available at: https://www.gov.uk/guidance/the-information-and-consultation-regulations (Accessed: date).</w:t>
      </w:r>
    </w:p>
    <w:p w:rsidR="007C5F9A" w:rsidRPr="00613A29" w:rsidRDefault="007C5F9A" w:rsidP="007C5F9A">
      <w:pPr>
        <w:spacing w:after="0" w:line="240" w:lineRule="auto"/>
        <w:rPr>
          <w:rFonts w:ascii="Arial" w:eastAsia="Times New Roman" w:hAnsi="Arial" w:cs="Arial"/>
          <w:sz w:val="24"/>
          <w:szCs w:val="24"/>
          <w:lang w:eastAsia="en-GB"/>
        </w:rPr>
      </w:pPr>
      <w:r w:rsidRPr="00613A29">
        <w:rPr>
          <w:rFonts w:ascii="Arial" w:hAnsi="Arial" w:cs="Arial"/>
          <w:sz w:val="24"/>
          <w:szCs w:val="24"/>
          <w:shd w:val="clear" w:color="auto" w:fill="FBFBFB"/>
        </w:rPr>
        <w:t>gov.uk (no date a) </w:t>
      </w:r>
      <w:r w:rsidRPr="00613A29">
        <w:rPr>
          <w:rFonts w:ascii="Arial" w:hAnsi="Arial" w:cs="Arial"/>
          <w:i/>
          <w:iCs/>
          <w:sz w:val="24"/>
          <w:szCs w:val="24"/>
          <w:shd w:val="clear" w:color="auto" w:fill="FBFBFB"/>
        </w:rPr>
        <w:t>Handling an employee's grievance</w:t>
      </w:r>
      <w:r w:rsidRPr="00613A29">
        <w:rPr>
          <w:rFonts w:ascii="Arial" w:hAnsi="Arial" w:cs="Arial"/>
          <w:sz w:val="24"/>
          <w:szCs w:val="24"/>
          <w:shd w:val="clear" w:color="auto" w:fill="FBFBFB"/>
        </w:rPr>
        <w:t>. Available at: https://www.gov.uk/handling-employee-grievance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(no date b) </w:t>
      </w:r>
      <w:r w:rsidRPr="00613A29">
        <w:rPr>
          <w:rFonts w:ascii="Arial" w:hAnsi="Arial" w:cs="Arial"/>
          <w:i/>
          <w:iCs/>
          <w:sz w:val="24"/>
          <w:szCs w:val="24"/>
          <w:shd w:val="clear" w:color="auto" w:fill="FBFBFB"/>
        </w:rPr>
        <w:t>Solve a workplace dispute</w:t>
      </w:r>
      <w:r w:rsidRPr="00613A29">
        <w:rPr>
          <w:rFonts w:ascii="Arial" w:hAnsi="Arial" w:cs="Arial"/>
          <w:sz w:val="24"/>
          <w:szCs w:val="24"/>
          <w:shd w:val="clear" w:color="auto" w:fill="FBFBFB"/>
        </w:rPr>
        <w:t>. Available at: https://www.gov.uk/solve-workplace-dispute/mediation-conciliation-and-arbitration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(no date c) </w:t>
      </w:r>
      <w:r w:rsidRPr="00613A29">
        <w:rPr>
          <w:rFonts w:ascii="Arial" w:hAnsi="Arial" w:cs="Arial"/>
          <w:i/>
          <w:iCs/>
          <w:sz w:val="24"/>
          <w:szCs w:val="24"/>
          <w:shd w:val="clear" w:color="auto" w:fill="FBFBFB"/>
        </w:rPr>
        <w:t>Taking part in industrial action and strikes</w:t>
      </w:r>
      <w:r w:rsidRPr="00613A29">
        <w:rPr>
          <w:rFonts w:ascii="Arial" w:hAnsi="Arial" w:cs="Arial"/>
          <w:sz w:val="24"/>
          <w:szCs w:val="24"/>
          <w:shd w:val="clear" w:color="auto" w:fill="FBFBFB"/>
        </w:rPr>
        <w:t>. Available at: https://www.gov.uk/industrial-action-strikes/holding-a-ballot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(no date d) </w:t>
      </w:r>
      <w:proofErr w:type="gramStart"/>
      <w:r w:rsidRPr="00613A29">
        <w:rPr>
          <w:rFonts w:ascii="Arial" w:hAnsi="Arial" w:cs="Arial"/>
          <w:i/>
          <w:iCs/>
          <w:sz w:val="24"/>
          <w:szCs w:val="24"/>
          <w:shd w:val="clear" w:color="auto" w:fill="FBFBFB"/>
        </w:rPr>
        <w:t>Working</w:t>
      </w:r>
      <w:proofErr w:type="gramEnd"/>
      <w:r w:rsidRPr="00613A29">
        <w:rPr>
          <w:rFonts w:ascii="Arial" w:hAnsi="Arial" w:cs="Arial"/>
          <w:i/>
          <w:iCs/>
          <w:sz w:val="24"/>
          <w:szCs w:val="24"/>
          <w:shd w:val="clear" w:color="auto" w:fill="FBFBFB"/>
        </w:rPr>
        <w:t xml:space="preserve"> with Trade Unions: Employers</w:t>
      </w:r>
      <w:r w:rsidRPr="00613A29">
        <w:rPr>
          <w:rFonts w:ascii="Arial" w:hAnsi="Arial" w:cs="Arial"/>
          <w:sz w:val="24"/>
          <w:szCs w:val="24"/>
          <w:shd w:val="clear" w:color="auto" w:fill="FBFBFB"/>
        </w:rPr>
        <w:t>. Available at: https://www.gov.uk/working-with-trade-unions/collective-bargaining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Indeed (2023) </w:t>
      </w:r>
      <w:r w:rsidRPr="00613A29">
        <w:rPr>
          <w:rFonts w:ascii="Arial" w:hAnsi="Arial" w:cs="Arial"/>
          <w:i/>
          <w:iCs/>
          <w:sz w:val="24"/>
          <w:szCs w:val="24"/>
          <w:shd w:val="clear" w:color="auto" w:fill="FBFBFB"/>
        </w:rPr>
        <w:t>Handling workplace complaints: plus benefits and skills</w:t>
      </w:r>
      <w:r w:rsidRPr="00613A29">
        <w:rPr>
          <w:rFonts w:ascii="Arial" w:hAnsi="Arial" w:cs="Arial"/>
          <w:sz w:val="24"/>
          <w:szCs w:val="24"/>
          <w:shd w:val="clear" w:color="auto" w:fill="FBFBFB"/>
        </w:rPr>
        <w:t>. Available at: https://uk.indeed.com/career-advice/career-development/handling-workplace-</w:t>
      </w:r>
      <w:r w:rsidRPr="00613A29">
        <w:rPr>
          <w:rFonts w:ascii="Arial" w:hAnsi="Arial" w:cs="Arial"/>
          <w:sz w:val="24"/>
          <w:szCs w:val="24"/>
          <w:shd w:val="clear" w:color="auto" w:fill="FBFBFB"/>
        </w:rPr>
        <w:lastRenderedPageBreak/>
        <w:t>complaints#:~:text=The%20ability%20of%20a%20human,care%20about%20their%20well%2Dbeing.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Unison (no date) </w:t>
      </w:r>
      <w:r w:rsidRPr="00613A29">
        <w:rPr>
          <w:rFonts w:ascii="Arial" w:hAnsi="Arial" w:cs="Arial"/>
          <w:i/>
          <w:iCs/>
          <w:sz w:val="24"/>
          <w:szCs w:val="24"/>
          <w:shd w:val="clear" w:color="auto" w:fill="FBFBFB"/>
        </w:rPr>
        <w:t>Negotiating and bargaining</w:t>
      </w:r>
      <w:r w:rsidRPr="00613A29">
        <w:rPr>
          <w:rFonts w:ascii="Arial" w:hAnsi="Arial" w:cs="Arial"/>
          <w:sz w:val="24"/>
          <w:szCs w:val="24"/>
          <w:shd w:val="clear" w:color="auto" w:fill="FBFBFB"/>
        </w:rPr>
        <w:t>. Available at: https://www.unison.org.uk/about/what-we-do/negotiating-and-bargaining/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Unite (no date) </w:t>
      </w:r>
      <w:r w:rsidRPr="00613A29">
        <w:rPr>
          <w:rFonts w:ascii="Arial" w:hAnsi="Arial" w:cs="Arial"/>
          <w:i/>
          <w:iCs/>
          <w:sz w:val="24"/>
          <w:szCs w:val="24"/>
          <w:shd w:val="clear" w:color="auto" w:fill="FBFBFB"/>
        </w:rPr>
        <w:t>Collective Bargaining Overview</w:t>
      </w:r>
      <w:r w:rsidRPr="00613A29">
        <w:rPr>
          <w:rFonts w:ascii="Arial" w:hAnsi="Arial" w:cs="Arial"/>
          <w:sz w:val="24"/>
          <w:szCs w:val="24"/>
          <w:shd w:val="clear" w:color="auto" w:fill="FBFBFB"/>
        </w:rPr>
        <w:t>. Available at: </w:t>
      </w:r>
      <w:hyperlink r:id="rId5" w:history="1">
        <w:r w:rsidRPr="00613A29">
          <w:rPr>
            <w:rStyle w:val="Hyperlink"/>
            <w:rFonts w:ascii="Arial" w:hAnsi="Arial" w:cs="Arial"/>
            <w:color w:val="auto"/>
            <w:sz w:val="24"/>
            <w:szCs w:val="24"/>
          </w:rPr>
          <w:t>https://www.learnwithunite.org/assets/Uploads/Collective-bargaining-v4.docx</w:t>
        </w:r>
      </w:hyperlink>
      <w:r w:rsidRPr="00613A29">
        <w:rPr>
          <w:rFonts w:ascii="Arial" w:hAnsi="Arial" w:cs="Arial"/>
          <w:sz w:val="24"/>
          <w:szCs w:val="24"/>
          <w:shd w:val="clear" w:color="auto" w:fill="FBFBFB"/>
        </w:rPr>
        <w:t> (Accessed: 14/06/2023)</w:t>
      </w:r>
    </w:p>
    <w:p w:rsidR="007C5F9A" w:rsidRPr="00613A29" w:rsidRDefault="007C5F9A" w:rsidP="007C5F9A">
      <w:pPr>
        <w:spacing w:after="0"/>
        <w:rPr>
          <w:rFonts w:ascii="Arial" w:hAnsi="Arial" w:cs="Arial"/>
          <w:sz w:val="24"/>
          <w:szCs w:val="24"/>
          <w:shd w:val="clear" w:color="auto" w:fill="FBFBFB"/>
        </w:rPr>
      </w:pPr>
      <w:proofErr w:type="spellStart"/>
      <w:r w:rsidRPr="00613A29">
        <w:rPr>
          <w:rFonts w:ascii="Arial" w:hAnsi="Arial" w:cs="Arial"/>
          <w:sz w:val="24"/>
          <w:szCs w:val="24"/>
          <w:shd w:val="clear" w:color="auto" w:fill="FBFBFB"/>
        </w:rPr>
        <w:t>Suff</w:t>
      </w:r>
      <w:proofErr w:type="spellEnd"/>
      <w:r w:rsidRPr="00613A29">
        <w:rPr>
          <w:rFonts w:ascii="Arial" w:hAnsi="Arial" w:cs="Arial"/>
          <w:sz w:val="24"/>
          <w:szCs w:val="24"/>
          <w:shd w:val="clear" w:color="auto" w:fill="FBFBFB"/>
        </w:rPr>
        <w:t>, R. (2017) </w:t>
      </w:r>
      <w:r w:rsidRPr="00613A29">
        <w:rPr>
          <w:rFonts w:ascii="Arial" w:hAnsi="Arial" w:cs="Arial"/>
          <w:bCs/>
          <w:i/>
          <w:iCs/>
          <w:sz w:val="24"/>
          <w:szCs w:val="24"/>
        </w:rPr>
        <w:t>The Taylor review: time to enhance employee voice</w:t>
      </w:r>
      <w:r w:rsidRPr="00613A29">
        <w:rPr>
          <w:rFonts w:ascii="Arial" w:hAnsi="Arial" w:cs="Arial"/>
          <w:sz w:val="24"/>
          <w:szCs w:val="24"/>
          <w:shd w:val="clear" w:color="auto" w:fill="FBFBFB"/>
        </w:rPr>
        <w:t>. Available at: https://www.cipd.org/uk/views-and-insights/thought-leadership/cipd-voice/archive/enhance-employee-voice/ (Accessed: date).</w:t>
      </w:r>
    </w:p>
    <w:p w:rsidR="007C5F9A" w:rsidRPr="00613A29" w:rsidRDefault="007C5F9A" w:rsidP="007C5F9A">
      <w:pPr>
        <w:spacing w:after="0"/>
        <w:rPr>
          <w:rFonts w:ascii="Arial" w:hAnsi="Arial" w:cs="Arial"/>
          <w:sz w:val="24"/>
          <w:szCs w:val="24"/>
          <w:shd w:val="clear" w:color="auto" w:fill="FBFBFB"/>
        </w:rPr>
      </w:pPr>
      <w:r w:rsidRPr="00613A29">
        <w:rPr>
          <w:rFonts w:ascii="Arial" w:hAnsi="Arial" w:cs="Arial"/>
          <w:sz w:val="24"/>
          <w:szCs w:val="24"/>
          <w:shd w:val="clear" w:color="auto" w:fill="FBFBFB"/>
        </w:rPr>
        <w:t>Taylor, M. (2017) </w:t>
      </w:r>
      <w:r w:rsidRPr="00613A29">
        <w:rPr>
          <w:rFonts w:ascii="Arial" w:hAnsi="Arial" w:cs="Arial"/>
          <w:i/>
          <w:iCs/>
          <w:sz w:val="24"/>
          <w:szCs w:val="24"/>
          <w:shd w:val="clear" w:color="auto" w:fill="FBFBFB"/>
        </w:rPr>
        <w:t>The Taylor Review of Modern Working Practices</w:t>
      </w:r>
      <w:r w:rsidRPr="00613A29">
        <w:rPr>
          <w:rFonts w:ascii="Arial" w:hAnsi="Arial" w:cs="Arial"/>
          <w:sz w:val="24"/>
          <w:szCs w:val="24"/>
          <w:shd w:val="clear" w:color="auto" w:fill="FBFBFB"/>
        </w:rPr>
        <w:t>. Available at: The Taylor Review of Modern Working Practices (Accessed: date).</w:t>
      </w:r>
    </w:p>
    <w:p w:rsidR="007C5F9A" w:rsidRPr="00613A29" w:rsidRDefault="007C5F9A" w:rsidP="007C5F9A">
      <w:pPr>
        <w:spacing w:after="0"/>
        <w:rPr>
          <w:rFonts w:ascii="Arial" w:hAnsi="Arial" w:cs="Arial"/>
          <w:sz w:val="24"/>
          <w:szCs w:val="24"/>
        </w:rPr>
      </w:pPr>
      <w:r w:rsidRPr="00613A29">
        <w:rPr>
          <w:rFonts w:ascii="Arial" w:hAnsi="Arial" w:cs="Arial"/>
          <w:sz w:val="24"/>
          <w:szCs w:val="24"/>
          <w:shd w:val="clear" w:color="auto" w:fill="FBFBFB"/>
        </w:rPr>
        <w:t xml:space="preserve">Taylor, S. &amp; Wilkinson, K. (2022) 'Employment law', in S. Taylor &amp; C. </w:t>
      </w:r>
      <w:proofErr w:type="spellStart"/>
      <w:r w:rsidRPr="00613A29">
        <w:rPr>
          <w:rFonts w:ascii="Arial" w:hAnsi="Arial" w:cs="Arial"/>
          <w:sz w:val="24"/>
          <w:szCs w:val="24"/>
          <w:shd w:val="clear" w:color="auto" w:fill="FBFBFB"/>
        </w:rPr>
        <w:t>Woodhams</w:t>
      </w:r>
      <w:proofErr w:type="spellEnd"/>
      <w:r w:rsidRPr="00613A29">
        <w:rPr>
          <w:rFonts w:ascii="Arial" w:hAnsi="Arial" w:cs="Arial"/>
          <w:sz w:val="24"/>
          <w:szCs w:val="24"/>
          <w:shd w:val="clear" w:color="auto" w:fill="FBFBFB"/>
        </w:rPr>
        <w:t xml:space="preserve"> (ed.) </w:t>
      </w:r>
      <w:r w:rsidRPr="00613A29">
        <w:rPr>
          <w:rFonts w:ascii="Arial" w:hAnsi="Arial" w:cs="Arial"/>
          <w:i/>
          <w:iCs/>
          <w:sz w:val="24"/>
          <w:szCs w:val="24"/>
          <w:shd w:val="clear" w:color="auto" w:fill="FBFBFB"/>
        </w:rPr>
        <w:t>Human Resource Management</w:t>
      </w:r>
      <w:r w:rsidRPr="00613A29">
        <w:rPr>
          <w:rFonts w:ascii="Arial" w:hAnsi="Arial" w:cs="Arial"/>
          <w:sz w:val="24"/>
          <w:szCs w:val="24"/>
          <w:shd w:val="clear" w:color="auto" w:fill="FBFBFB"/>
        </w:rPr>
        <w:t xml:space="preserve">. London: </w:t>
      </w:r>
      <w:proofErr w:type="spellStart"/>
      <w:r w:rsidRPr="00613A29">
        <w:rPr>
          <w:rFonts w:ascii="Arial" w:hAnsi="Arial" w:cs="Arial"/>
          <w:sz w:val="24"/>
          <w:szCs w:val="24"/>
          <w:shd w:val="clear" w:color="auto" w:fill="FBFBFB"/>
        </w:rPr>
        <w:t>Kogan</w:t>
      </w:r>
      <w:proofErr w:type="spellEnd"/>
      <w:r w:rsidRPr="00613A29">
        <w:rPr>
          <w:rFonts w:ascii="Arial" w:hAnsi="Arial" w:cs="Arial"/>
          <w:sz w:val="24"/>
          <w:szCs w:val="24"/>
          <w:shd w:val="clear" w:color="auto" w:fill="FBFBFB"/>
        </w:rPr>
        <w:t xml:space="preserve"> Page, pp. 89-105.</w:t>
      </w:r>
    </w:p>
    <w:p w:rsidR="007C5F9A" w:rsidRDefault="007C5F9A" w:rsidP="007C5F9A">
      <w:pPr>
        <w:spacing w:after="0"/>
        <w:rPr>
          <w:rFonts w:ascii="Arial" w:hAnsi="Arial" w:cs="Arial"/>
          <w:bCs/>
          <w:sz w:val="24"/>
          <w:szCs w:val="24"/>
        </w:rPr>
      </w:pPr>
      <w:r w:rsidRPr="00613A29">
        <w:rPr>
          <w:rFonts w:ascii="Arial" w:hAnsi="Arial" w:cs="Arial"/>
          <w:sz w:val="24"/>
          <w:szCs w:val="24"/>
          <w:shd w:val="clear" w:color="auto" w:fill="FBFBFB"/>
        </w:rPr>
        <w:t>The Guardian (2022</w:t>
      </w:r>
      <w:r w:rsidRPr="00613A29">
        <w:rPr>
          <w:rFonts w:ascii="Arial" w:hAnsi="Arial" w:cs="Arial"/>
          <w:i/>
          <w:sz w:val="24"/>
          <w:szCs w:val="24"/>
          <w:shd w:val="clear" w:color="auto" w:fill="FBFBFB"/>
        </w:rPr>
        <w:t>) </w:t>
      </w:r>
      <w:r w:rsidRPr="00613A29">
        <w:rPr>
          <w:rFonts w:ascii="Arial" w:hAnsi="Arial" w:cs="Arial"/>
          <w:bCs/>
          <w:i/>
          <w:sz w:val="24"/>
          <w:szCs w:val="24"/>
        </w:rPr>
        <w:t xml:space="preserve">Industrial disputes in UK at highest in five </w:t>
      </w:r>
      <w:r w:rsidRPr="003D72BA">
        <w:rPr>
          <w:rFonts w:ascii="Arial" w:hAnsi="Arial" w:cs="Arial"/>
          <w:bCs/>
          <w:i/>
          <w:sz w:val="24"/>
          <w:szCs w:val="24"/>
        </w:rPr>
        <w:t>years as inflation hits pay</w:t>
      </w:r>
      <w:r w:rsidRPr="003D72BA">
        <w:rPr>
          <w:rFonts w:ascii="Arial" w:hAnsi="Arial" w:cs="Arial"/>
          <w:bCs/>
          <w:sz w:val="24"/>
          <w:szCs w:val="24"/>
        </w:rPr>
        <w:t>. Available at: https://www.theguardian.com/uk-news/2022/apr/02/strikes-in-uk-at-highest-in-five-years-as-pay-is-hit-by-inflation (Accessed: date).</w:t>
      </w:r>
    </w:p>
    <w:p w:rsidR="007C5F9A" w:rsidRPr="003D72BA" w:rsidRDefault="007C5F9A" w:rsidP="007C5F9A">
      <w:pPr>
        <w:spacing w:after="0"/>
        <w:rPr>
          <w:rFonts w:ascii="Arial" w:hAnsi="Arial" w:cs="Arial"/>
          <w:sz w:val="24"/>
          <w:szCs w:val="24"/>
        </w:rPr>
      </w:pPr>
      <w:r w:rsidRPr="003D72BA">
        <w:rPr>
          <w:rFonts w:ascii="Arial" w:hAnsi="Arial" w:cs="Arial"/>
          <w:i/>
          <w:iCs/>
          <w:sz w:val="24"/>
          <w:szCs w:val="24"/>
          <w:shd w:val="clear" w:color="auto" w:fill="FBFBFB"/>
        </w:rPr>
        <w:t xml:space="preserve">Trade Union </w:t>
      </w:r>
      <w:r>
        <w:rPr>
          <w:rFonts w:ascii="Arial" w:hAnsi="Arial" w:cs="Arial"/>
          <w:i/>
          <w:iCs/>
          <w:sz w:val="24"/>
          <w:szCs w:val="24"/>
          <w:shd w:val="clear" w:color="auto" w:fill="FBFBFB"/>
        </w:rPr>
        <w:t>Act 2016</w:t>
      </w:r>
      <w:r w:rsidRPr="003D72BA">
        <w:rPr>
          <w:rFonts w:ascii="Arial" w:hAnsi="Arial" w:cs="Arial"/>
          <w:sz w:val="24"/>
          <w:szCs w:val="24"/>
          <w:shd w:val="clear" w:color="auto" w:fill="FBFBFB"/>
        </w:rPr>
        <w:t>. Available at: https://www.legislation.gov.uk/ukpga/2016/15/contents/enacted (Accessed: date).</w:t>
      </w:r>
    </w:p>
    <w:p w:rsidR="007C5F9A" w:rsidRPr="003D72BA" w:rsidRDefault="007C5F9A" w:rsidP="007C5F9A">
      <w:pPr>
        <w:spacing w:after="0"/>
        <w:rPr>
          <w:rFonts w:ascii="Arial" w:hAnsi="Arial" w:cs="Arial"/>
          <w:sz w:val="24"/>
          <w:szCs w:val="24"/>
        </w:rPr>
      </w:pPr>
      <w:r w:rsidRPr="003D72BA">
        <w:rPr>
          <w:rFonts w:ascii="Arial" w:hAnsi="Arial" w:cs="Arial"/>
          <w:i/>
          <w:iCs/>
          <w:sz w:val="24"/>
          <w:szCs w:val="24"/>
          <w:shd w:val="clear" w:color="auto" w:fill="FBFBFB"/>
        </w:rPr>
        <w:t>Trade Union and Labour Relations (Consolidation) Act 1992</w:t>
      </w:r>
      <w:r w:rsidRPr="003D72BA">
        <w:rPr>
          <w:rFonts w:ascii="Arial" w:hAnsi="Arial" w:cs="Arial"/>
          <w:sz w:val="24"/>
          <w:szCs w:val="24"/>
          <w:shd w:val="clear" w:color="auto" w:fill="FBFBFB"/>
        </w:rPr>
        <w:t>. Available at: https://www.legislation.gov.uk/ukpga/1992/52/contents (Accessed: date).</w:t>
      </w:r>
    </w:p>
    <w:p w:rsidR="007C5F9A" w:rsidRPr="00013CF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TUC (no date) </w:t>
      </w:r>
      <w:r w:rsidRPr="003D72BA">
        <w:rPr>
          <w:rFonts w:ascii="Arial" w:hAnsi="Arial" w:cs="Arial"/>
          <w:i/>
          <w:iCs/>
          <w:sz w:val="24"/>
          <w:szCs w:val="24"/>
          <w:shd w:val="clear" w:color="auto" w:fill="FBFBFB"/>
        </w:rPr>
        <w:t>Collective bargaining</w:t>
      </w:r>
      <w:r w:rsidRPr="003D72BA">
        <w:rPr>
          <w:rFonts w:ascii="Arial" w:hAnsi="Arial" w:cs="Arial"/>
          <w:sz w:val="24"/>
          <w:szCs w:val="24"/>
          <w:shd w:val="clear" w:color="auto" w:fill="FBFBFB"/>
        </w:rPr>
        <w:t>. Available at: https://www.tuc.org.uk/workplace-guidance/organising-and-bargaining/collective-bargaining#:~:text=Collective%20bargaining%20is%20the%20official,on%20the%20scope%20of%20negotiations (Accessed: 14/06/2023).</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6D49E0" w:rsidRPr="00236E84"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w:t>
      </w:r>
      <w:r w:rsidR="006075D0" w:rsidRPr="00013CFA">
        <w:rPr>
          <w:rFonts w:ascii="Arial" w:eastAsia="Times New Roman" w:hAnsi="Arial" w:cs="Arial"/>
          <w:color w:val="000000"/>
          <w:sz w:val="24"/>
          <w:szCs w:val="24"/>
          <w:lang w:eastAsia="en-GB"/>
        </w:rPr>
        <w:t> </w:t>
      </w:r>
    </w:p>
    <w:sectPr w:rsidR="006D49E0" w:rsidRPr="00236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D4DBE"/>
    <w:multiLevelType w:val="multilevel"/>
    <w:tmpl w:val="5878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5384B"/>
    <w:multiLevelType w:val="multilevel"/>
    <w:tmpl w:val="9C866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A64FC"/>
    <w:multiLevelType w:val="multilevel"/>
    <w:tmpl w:val="A438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14897"/>
    <w:multiLevelType w:val="hybridMultilevel"/>
    <w:tmpl w:val="B61015D6"/>
    <w:lvl w:ilvl="0" w:tplc="3522BAC6">
      <w:start w:val="3"/>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0A0462"/>
    <w:multiLevelType w:val="multilevel"/>
    <w:tmpl w:val="866669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926197"/>
    <w:multiLevelType w:val="multilevel"/>
    <w:tmpl w:val="5CE2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0742D"/>
    <w:multiLevelType w:val="hybridMultilevel"/>
    <w:tmpl w:val="E9121C9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22770"/>
    <w:multiLevelType w:val="hybridMultilevel"/>
    <w:tmpl w:val="8E7A73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C666EC9"/>
    <w:multiLevelType w:val="multilevel"/>
    <w:tmpl w:val="BFEC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22F0F"/>
    <w:multiLevelType w:val="multilevel"/>
    <w:tmpl w:val="1AC8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5F42EA"/>
    <w:multiLevelType w:val="multilevel"/>
    <w:tmpl w:val="76B6A8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0"/>
  </w:num>
  <w:num w:numId="4">
    <w:abstractNumId w:val="8"/>
  </w:num>
  <w:num w:numId="5">
    <w:abstractNumId w:val="10"/>
    <w:lvlOverride w:ilvl="0">
      <w:lvl w:ilvl="0">
        <w:start w:val="1"/>
        <w:numFmt w:val="decimal"/>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6">
    <w:abstractNumId w:val="4"/>
    <w:lvlOverride w:ilvl="0">
      <w:lvl w:ilvl="0">
        <w:numFmt w:val="decimal"/>
        <w:lvlText w:val="%1."/>
        <w:lvlJc w:val="left"/>
      </w:lvl>
    </w:lvlOverride>
  </w:num>
  <w:num w:numId="7">
    <w:abstractNumId w:val="2"/>
  </w:num>
  <w:num w:numId="8">
    <w:abstractNumId w:val="1"/>
  </w:num>
  <w:num w:numId="9">
    <w:abstractNumId w:val="7"/>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CFA"/>
    <w:rsid w:val="00013CFA"/>
    <w:rsid w:val="00236E84"/>
    <w:rsid w:val="00266DCB"/>
    <w:rsid w:val="002B1799"/>
    <w:rsid w:val="004B0F9F"/>
    <w:rsid w:val="005F44EC"/>
    <w:rsid w:val="006075D0"/>
    <w:rsid w:val="006479CB"/>
    <w:rsid w:val="006D49E0"/>
    <w:rsid w:val="007C5F9A"/>
    <w:rsid w:val="008738AE"/>
    <w:rsid w:val="009A69A5"/>
    <w:rsid w:val="00A00C93"/>
    <w:rsid w:val="00C43F36"/>
    <w:rsid w:val="00C45AC8"/>
    <w:rsid w:val="00E35E8B"/>
    <w:rsid w:val="00E83DA8"/>
    <w:rsid w:val="00FF1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F830"/>
  <w15:chartTrackingRefBased/>
  <w15:docId w15:val="{E675A171-FC24-4F40-A668-661ABDB7B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B0F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3C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013CFA"/>
  </w:style>
  <w:style w:type="character" w:styleId="Hyperlink">
    <w:name w:val="Hyperlink"/>
    <w:basedOn w:val="DefaultParagraphFont"/>
    <w:uiPriority w:val="99"/>
    <w:semiHidden/>
    <w:unhideWhenUsed/>
    <w:rsid w:val="00013CFA"/>
    <w:rPr>
      <w:color w:val="0000FF"/>
      <w:u w:val="single"/>
    </w:rPr>
  </w:style>
  <w:style w:type="character" w:customStyle="1" w:styleId="Heading1Char">
    <w:name w:val="Heading 1 Char"/>
    <w:basedOn w:val="DefaultParagraphFont"/>
    <w:link w:val="Heading1"/>
    <w:uiPriority w:val="9"/>
    <w:rsid w:val="004B0F9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5F4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3343">
      <w:bodyDiv w:val="1"/>
      <w:marLeft w:val="0"/>
      <w:marRight w:val="0"/>
      <w:marTop w:val="0"/>
      <w:marBottom w:val="0"/>
      <w:divBdr>
        <w:top w:val="none" w:sz="0" w:space="0" w:color="auto"/>
        <w:left w:val="none" w:sz="0" w:space="0" w:color="auto"/>
        <w:bottom w:val="none" w:sz="0" w:space="0" w:color="auto"/>
        <w:right w:val="none" w:sz="0" w:space="0" w:color="auto"/>
      </w:divBdr>
    </w:div>
    <w:div w:id="557789505">
      <w:bodyDiv w:val="1"/>
      <w:marLeft w:val="0"/>
      <w:marRight w:val="0"/>
      <w:marTop w:val="0"/>
      <w:marBottom w:val="0"/>
      <w:divBdr>
        <w:top w:val="none" w:sz="0" w:space="0" w:color="auto"/>
        <w:left w:val="none" w:sz="0" w:space="0" w:color="auto"/>
        <w:bottom w:val="none" w:sz="0" w:space="0" w:color="auto"/>
        <w:right w:val="none" w:sz="0" w:space="0" w:color="auto"/>
      </w:divBdr>
    </w:div>
    <w:div w:id="977033916">
      <w:bodyDiv w:val="1"/>
      <w:marLeft w:val="0"/>
      <w:marRight w:val="0"/>
      <w:marTop w:val="0"/>
      <w:marBottom w:val="0"/>
      <w:divBdr>
        <w:top w:val="none" w:sz="0" w:space="0" w:color="auto"/>
        <w:left w:val="none" w:sz="0" w:space="0" w:color="auto"/>
        <w:bottom w:val="none" w:sz="0" w:space="0" w:color="auto"/>
        <w:right w:val="none" w:sz="0" w:space="0" w:color="auto"/>
      </w:divBdr>
    </w:div>
    <w:div w:id="1269461071">
      <w:bodyDiv w:val="1"/>
      <w:marLeft w:val="0"/>
      <w:marRight w:val="0"/>
      <w:marTop w:val="0"/>
      <w:marBottom w:val="0"/>
      <w:divBdr>
        <w:top w:val="none" w:sz="0" w:space="0" w:color="auto"/>
        <w:left w:val="none" w:sz="0" w:space="0" w:color="auto"/>
        <w:bottom w:val="none" w:sz="0" w:space="0" w:color="auto"/>
        <w:right w:val="none" w:sz="0" w:space="0" w:color="auto"/>
      </w:divBdr>
    </w:div>
    <w:div w:id="1425958772">
      <w:bodyDiv w:val="1"/>
      <w:marLeft w:val="0"/>
      <w:marRight w:val="0"/>
      <w:marTop w:val="0"/>
      <w:marBottom w:val="0"/>
      <w:divBdr>
        <w:top w:val="none" w:sz="0" w:space="0" w:color="auto"/>
        <w:left w:val="none" w:sz="0" w:space="0" w:color="auto"/>
        <w:bottom w:val="none" w:sz="0" w:space="0" w:color="auto"/>
        <w:right w:val="none" w:sz="0" w:space="0" w:color="auto"/>
      </w:divBdr>
    </w:div>
    <w:div w:id="1954702678">
      <w:bodyDiv w:val="1"/>
      <w:marLeft w:val="0"/>
      <w:marRight w:val="0"/>
      <w:marTop w:val="0"/>
      <w:marBottom w:val="0"/>
      <w:divBdr>
        <w:top w:val="none" w:sz="0" w:space="0" w:color="auto"/>
        <w:left w:val="none" w:sz="0" w:space="0" w:color="auto"/>
        <w:bottom w:val="none" w:sz="0" w:space="0" w:color="auto"/>
        <w:right w:val="none" w:sz="0" w:space="0" w:color="auto"/>
      </w:divBdr>
    </w:div>
    <w:div w:id="196870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arnwithunite.org/assets/Uploads/Collective-bargaining-v4.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12</Pages>
  <Words>5207</Words>
  <Characters>29681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Kameron</dc:creator>
  <cp:keywords/>
  <dc:description/>
  <cp:lastModifiedBy>Maxwell, Kameron</cp:lastModifiedBy>
  <cp:revision>1</cp:revision>
  <dcterms:created xsi:type="dcterms:W3CDTF">2023-07-24T20:44:00Z</dcterms:created>
  <dcterms:modified xsi:type="dcterms:W3CDTF">2023-07-24T23:37:00Z</dcterms:modified>
</cp:coreProperties>
</file>