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1E2F2B0">
      <w:pPr>
        <w:jc w:val="center"/>
      </w:pPr>
      <w:r>
        <w:rPr>
          <w:lang w:val="en-US"/>
        </w:rPr>
        <w:drawing>
          <wp:inline distT="0" distB="0" distL="0" distR="0">
            <wp:extent cx="4752975" cy="1895475"/>
            <wp:effectExtent l="0" t="0" r="9525" b="0"/>
            <wp:docPr id="8249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9067" name="Picture 1"/>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4752975" cy="1895475"/>
                    </a:xfrm>
                    <a:prstGeom prst="rect">
                      <a:avLst/>
                    </a:prstGeom>
                  </pic:spPr>
                </pic:pic>
              </a:graphicData>
            </a:graphic>
          </wp:inline>
        </w:drawing>
      </w:r>
    </w:p>
    <w:p w14:paraId="3710F3E4">
      <w:pPr>
        <w:jc w:val="center"/>
      </w:pPr>
      <w:r>
        <w:t>UNIVERSITY OF WALES TRINITY SAINT DAVID</w:t>
      </w:r>
    </w:p>
    <w:p w14:paraId="2069526A">
      <w:pPr>
        <w:jc w:val="center"/>
      </w:pPr>
      <w:r>
        <w:t>Master of Business Administration (MBA)</w:t>
      </w:r>
    </w:p>
    <w:p w14:paraId="038B6528">
      <w:pPr>
        <w:jc w:val="center"/>
      </w:pPr>
      <w:r>
        <w:t>Dissertation – LCMB7035</w:t>
      </w:r>
    </w:p>
    <w:p w14:paraId="461E8030">
      <w:pPr>
        <w:pStyle w:val="17"/>
      </w:pPr>
      <w:r>
        <w:t>The Role of Training and Development in Improving Human Capital within UK FMCG Organisations: The Influence of Digital Transformation and Sustainable HRM Practices</w:t>
      </w:r>
    </w:p>
    <w:p w14:paraId="1B289984">
      <w:pPr>
        <w:jc w:val="center"/>
      </w:pPr>
      <w:r>
        <w:t>Supervisor: Shahrukh Irfan</w:t>
      </w:r>
    </w:p>
    <w:p w14:paraId="1CEFF297">
      <w:pPr>
        <w:jc w:val="center"/>
      </w:pPr>
      <w:r>
        <w:t xml:space="preserve">Student Name: </w:t>
      </w:r>
      <w:r>
        <w:rPr>
          <w:rFonts w:cs="Arial"/>
          <w:sz w:val="22"/>
          <w:szCs w:val="22"/>
        </w:rPr>
        <w:t>Md Opu Ahmed Monna</w:t>
      </w:r>
    </w:p>
    <w:p w14:paraId="3C3A4CA5">
      <w:pPr>
        <w:jc w:val="center"/>
      </w:pPr>
      <w:r>
        <w:t xml:space="preserve">Student ID: </w:t>
      </w:r>
      <w:r>
        <w:rPr>
          <w:rFonts w:cs="Arial"/>
          <w:sz w:val="22"/>
          <w:szCs w:val="22"/>
        </w:rPr>
        <w:t>2432860</w:t>
      </w:r>
    </w:p>
    <w:p w14:paraId="239B1BDA">
      <w:pPr>
        <w:jc w:val="center"/>
      </w:pPr>
    </w:p>
    <w:p w14:paraId="5601B1FD">
      <w:pPr>
        <w:jc w:val="center"/>
      </w:pPr>
      <w:r>
        <w:t>Word Count: 16365</w:t>
      </w:r>
    </w:p>
    <w:p w14:paraId="1A161493">
      <w:pPr>
        <w:jc w:val="center"/>
      </w:pPr>
      <w:r>
        <w:t>Submission Date: 6-June-2026</w:t>
      </w:r>
    </w:p>
    <w:p w14:paraId="5C2000D3">
      <w:pPr>
        <w:jc w:val="center"/>
      </w:pPr>
    </w:p>
    <w:p w14:paraId="52CC8C0C">
      <w:pPr>
        <w:jc w:val="center"/>
      </w:pPr>
    </w:p>
    <w:p w14:paraId="24D21B3E">
      <w:pPr>
        <w:jc w:val="center"/>
      </w:pPr>
    </w:p>
    <w:p w14:paraId="0C2589B2">
      <w:pPr>
        <w:rPr>
          <w:b/>
          <w:bCs/>
          <w:sz w:val="32"/>
          <w:szCs w:val="32"/>
        </w:rPr>
      </w:pPr>
      <w:r>
        <w:rPr>
          <w:b/>
          <w:bCs/>
          <w:sz w:val="32"/>
          <w:szCs w:val="32"/>
        </w:rPr>
        <w:t>DECLARATION</w:t>
      </w:r>
    </w:p>
    <w:p w14:paraId="26D9511D">
      <w:pPr/>
      <w:r>
        <w:t xml:space="preserve">I confirm that this dissertation is my own work, it has not been submitted for any assessment at this or any other institution. The Harvard referencing format has been used to reference all sources of information used in this dissertation. </w:t>
      </w:r>
    </w:p>
    <w:p w14:paraId="46F5CAFC">
      <w:pPr/>
      <w:r>
        <w:t>I confirm that this dissertation is compliant with the University of Wales Trinity Saint David ethical requirements. All assistance received in the completion of this research is duly acknowledged.</w:t>
      </w:r>
    </w:p>
    <w:p w14:paraId="5E78F2DF">
      <w:pPr/>
      <w:r>
        <w:t xml:space="preserve">Student Signature: </w:t>
      </w:r>
      <w:r>
        <w:rPr>
          <w:rFonts w:cs="Arial"/>
          <w:sz w:val="22"/>
          <w:szCs w:val="22"/>
        </w:rPr>
        <w:t>Md Opu Ahmed Monna</w:t>
      </w:r>
    </w:p>
    <w:p w14:paraId="610A403B">
      <w:pPr/>
    </w:p>
    <w:p w14:paraId="614F14DD">
      <w:pPr/>
      <w:r>
        <w:t>Date: 06/</w:t>
      </w:r>
      <w:r>
        <w:rPr>
          <w:lang w:val="en-GB"/>
        </w:rPr>
        <w:t>06</w:t>
      </w:r>
      <w:bookmarkStart w:id="144" w:name="_GoBack"/>
      <w:bookmarkEnd w:id="144"/>
      <w:r>
        <w:t>/2026</w:t>
      </w:r>
    </w:p>
    <w:p w14:paraId="31E03EAC">
      <w:pPr/>
    </w:p>
    <w:p w14:paraId="058CE897">
      <w:pPr/>
    </w:p>
    <w:p w14:paraId="2F2C07BE">
      <w:pPr/>
    </w:p>
    <w:p w14:paraId="5EC8BC94">
      <w:pPr/>
    </w:p>
    <w:p w14:paraId="0C49733E">
      <w:pPr/>
    </w:p>
    <w:p w14:paraId="637B5538">
      <w:pPr/>
    </w:p>
    <w:p w14:paraId="324D696E">
      <w:pPr/>
    </w:p>
    <w:p w14:paraId="4B0024AE">
      <w:pPr/>
    </w:p>
    <w:p w14:paraId="19841C39">
      <w:pPr/>
    </w:p>
    <w:p w14:paraId="125EF0F8">
      <w:pPr/>
    </w:p>
    <w:p w14:paraId="768EEE4B">
      <w:pPr/>
    </w:p>
    <w:p w14:paraId="3907ECEE">
      <w:pPr/>
    </w:p>
    <w:p w14:paraId="02D124E7">
      <w:pPr/>
    </w:p>
    <w:p w14:paraId="2C817248">
      <w:pPr>
        <w:rPr>
          <w:b/>
          <w:bCs/>
          <w:sz w:val="32"/>
          <w:szCs w:val="32"/>
        </w:rPr>
      </w:pPr>
      <w:r>
        <w:rPr>
          <w:b/>
          <w:bCs/>
          <w:sz w:val="32"/>
          <w:szCs w:val="32"/>
        </w:rPr>
        <w:t>ACKNOWLEDGEMENT</w:t>
      </w:r>
    </w:p>
    <w:p w14:paraId="45030B3E">
      <w:pPr/>
      <w:r>
        <w:t>I would like to thank my careful supervisors for their expert guidance, constructive comments and academic support throughout the dissertation that was completed.  Through their experience and supportive attitude, this research was successfully completed.</w:t>
      </w:r>
    </w:p>
    <w:p w14:paraId="20D3344C">
      <w:pPr/>
      <w:r>
        <w:t>I would also like to thank the University of Wales Trinity Saint David for providing resources that supported the learning necessary to conduct this study.</w:t>
      </w:r>
    </w:p>
    <w:p w14:paraId="618A1B3A">
      <w:pPr/>
      <w:r>
        <w:t xml:space="preserve">I would like to thank my family and friends for their patience, motivation and emotional support during the research process. With their encouragement, I stayed focused and committed during this academic journey. </w:t>
      </w:r>
    </w:p>
    <w:p w14:paraId="0F65690F">
      <w:pPr/>
      <w:r>
        <w:t>I thank all Makers, authors and organisations whose published studies and reports have an impact on this dissertation.</w:t>
      </w:r>
    </w:p>
    <w:p w14:paraId="407C21AA">
      <w:pPr/>
    </w:p>
    <w:p w14:paraId="6D900AB4">
      <w:pPr/>
    </w:p>
    <w:p w14:paraId="3A7DAEF3">
      <w:pPr/>
    </w:p>
    <w:p w14:paraId="54078482">
      <w:pPr/>
    </w:p>
    <w:p w14:paraId="10CFAF3D">
      <w:pPr/>
    </w:p>
    <w:p w14:paraId="49025839">
      <w:pPr/>
    </w:p>
    <w:p w14:paraId="535AA65E">
      <w:pPr/>
    </w:p>
    <w:p w14:paraId="2EF8C483">
      <w:pPr/>
    </w:p>
    <w:p w14:paraId="0A71CBD5">
      <w:pPr/>
    </w:p>
    <w:p w14:paraId="444AF506">
      <w:pPr/>
    </w:p>
    <w:p w14:paraId="1410E71E">
      <w:pPr/>
    </w:p>
    <w:p w14:paraId="5C7B1B9D">
      <w:pPr/>
    </w:p>
    <w:p w14:paraId="75245FF4">
      <w:pPr>
        <w:rPr>
          <w:b/>
          <w:bCs/>
          <w:sz w:val="32"/>
          <w:szCs w:val="32"/>
        </w:rPr>
      </w:pPr>
      <w:r>
        <w:rPr>
          <w:b/>
          <w:bCs/>
          <w:sz w:val="32"/>
          <w:szCs w:val="32"/>
        </w:rPr>
        <w:t>ABSTRACT</w:t>
      </w:r>
    </w:p>
    <w:p w14:paraId="11B7FCDD">
      <w:pPr/>
      <w:r>
        <w:t>The dissertation examines the influence of training and development for human capital improvements at UK Fast Moving Consumer Goods (FMCG) organisations. Further the influence of digitisation and sustainable HRM practices on capability development and competitiveness are examined.  The theoretical foundations of this study are Human Capital Theory, Resource-Based View and Sustainable HRM.</w:t>
      </w:r>
    </w:p>
    <w:p w14:paraId="5A6C6B9F">
      <w:pPr/>
      <w:r>
        <w:t>To gain the necessary insights regarding Big Data usage, a study was carried out through in-depth analysis of peer-reviewed journal articles and business reports from major FMCG organisations. Braun and Clarke thematic analysis framework analysed the data. The four themes were identified as sustainable HRM and employee development, digital transformation and organisational competitiveness, employee engagement and leadership, and sustainability and organisational performance.</w:t>
      </w:r>
    </w:p>
    <w:p w14:paraId="0C699B97">
      <w:pPr/>
      <w:r>
        <w:t>After analysing the data, the study found that when digital HRM systems and sustainability-oriented organisational practices are jointly applied, training and development might encourage employee adaptability, innovation capacity, organisational learning and workforce sustainability. Long-term organizational competitiveness is enhanced by AI-enabled learning, green HRM initiatives and employee wellbeing practices. Nevertheless, issues concerning digital inequality, ethical dilemmas, and organizational implementation were also identified.</w:t>
      </w:r>
    </w:p>
    <w:p w14:paraId="541A8B24">
      <w:pPr/>
      <w:r>
        <w:t>According to the result of the study,  training and development have become strategic organisational investments in today’s UK FMCG organisations.  Furthermore, these developments are essential for sustainable human capital development.</w:t>
      </w:r>
    </w:p>
    <w:p w14:paraId="60AD88AB">
      <w:pPr/>
      <w:r>
        <w:rPr>
          <w:b/>
          <w:bCs/>
        </w:rPr>
        <w:t>Keywords:</w:t>
      </w:r>
      <w:r>
        <w:t xml:space="preserve"> </w:t>
      </w:r>
      <w:r>
        <w:rPr>
          <w:i/>
          <w:iCs/>
        </w:rPr>
        <w:t>Training and Development; Human Capital Development; Digital Transformation; Sustainable HRM; Green HRM; Employee Development; Organisational Performance; UK FMCG Sector; Organisational Learning; Competitive Advantage</w:t>
      </w:r>
      <w:r>
        <w:t>.</w:t>
      </w:r>
    </w:p>
    <w:p w14:paraId="30193A61">
      <w:pPr/>
    </w:p>
    <w:p w14:paraId="2CD9E303">
      <w:pPr/>
    </w:p>
    <w:p w14:paraId="4DC0B839">
      <w:pPr/>
    </w:p>
    <w:sdt>
      <w:sdtPr>
        <w:rPr>
          <w:rFonts w:ascii="Arial" w:hAnsi="Arial" w:eastAsiaTheme="minorHAnsi" w:cstheme="minorBidi"/>
          <w:color w:val="auto"/>
          <w:kern w:val="2"/>
          <w:sz w:val="24"/>
          <w:szCs w:val="24"/>
          <w:lang w:val="en-GB"/>
          <w14:ligatures w14:val="none"/>
        </w:rPr>
        <w:id w:val="470408035"/>
      </w:sdtPr>
      <w:sdtEndPr>
        <w:rPr>
          <w:rFonts w:ascii="Arial" w:hAnsi="Arial" w:eastAsiaTheme="minorHAnsi" w:cstheme="minorBidi"/>
          <w:b/>
          <w:bCs/>
          <w:color w:val="auto"/>
          <w:kern w:val="2"/>
          <w:sz w:val="24"/>
          <w:szCs w:val="24"/>
          <w:lang w:val="en-GB"/>
          <w14:ligatures w14:val="none"/>
        </w:rPr>
      </w:sdtEndPr>
      <w:sdtContent>
        <w:p w14:paraId="4F6C3E62">
          <w:pPr>
            <w:pStyle w:val="53"/>
          </w:pPr>
          <w:r>
            <w:t>Table of Contents</w:t>
          </w:r>
        </w:p>
        <w:p w14:paraId="00404185">
          <w:pPr>
            <w:pStyle w:val="18"/>
            <w:tabs>
              <w:tab w:val="left" w:pos="480"/>
              <w:tab w:val="right" w:leader="dot" w:pos="9350"/>
            </w:tabs>
            <w:rPr>
              <w:rFonts w:asciiTheme="minorHAnsi" w:hAnsiTheme="minorHAnsi" w:eastAsiaTheme="minorEastAsia"/>
              <w:lang w:val="en-US"/>
            </w:rPr>
          </w:pPr>
          <w:r>
            <w:fldChar w:fldCharType="begin"/>
          </w:r>
          <w:r>
            <w:instrText xml:space="preserve"> TOC \o "1-3" \h \z \u </w:instrText>
          </w:r>
          <w:r>
            <w:fldChar w:fldCharType="separate"/>
          </w:r>
          <w:r>
            <w:fldChar w:fldCharType="begin"/>
          </w:r>
          <w:r>
            <w:instrText xml:space="preserve"> HYPERLINK \l "_Toc231586749" </w:instrText>
          </w:r>
          <w:r>
            <w:fldChar w:fldCharType="separate"/>
          </w:r>
          <w:r>
            <w:rPr>
              <w:rStyle w:val="28"/>
            </w:rPr>
            <w:t>1</w:t>
          </w:r>
          <w:r>
            <w:rPr>
              <w:rFonts w:asciiTheme="minorHAnsi" w:hAnsiTheme="minorHAnsi" w:eastAsiaTheme="minorEastAsia"/>
              <w:lang w:val="en-US"/>
            </w:rPr>
            <w:tab/>
          </w:r>
          <w:r>
            <w:rPr>
              <w:rStyle w:val="28"/>
            </w:rPr>
            <w:t>Introduction</w:t>
          </w:r>
          <w:r>
            <w:tab/>
          </w:r>
          <w:r>
            <w:fldChar w:fldCharType="begin"/>
          </w:r>
          <w:r>
            <w:instrText xml:space="preserve"> PAGEREF _Toc231586749 \h </w:instrText>
          </w:r>
          <w:r>
            <w:fldChar w:fldCharType="separate"/>
          </w:r>
          <w:r>
            <w:t>1</w:t>
          </w:r>
          <w:r>
            <w:fldChar w:fldCharType="end"/>
          </w:r>
          <w:r>
            <w:fldChar w:fldCharType="end"/>
          </w:r>
        </w:p>
        <w:p w14:paraId="3C1E3B0C">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"_Toc231586750" </w:instrText>
          </w:r>
          <w:r>
            <w:fldChar w:fldCharType="separate"/>
          </w:r>
          <w:r>
            <w:rPr>
              <w:rStyle w:val="28"/>
            </w:rPr>
            <w:t>1.1</w:t>
          </w:r>
          <w:r>
            <w:rPr>
              <w:rFonts w:asciiTheme="minorHAnsi" w:hAnsiTheme="minorHAnsi" w:eastAsiaTheme="minorEastAsia"/>
              <w:lang w:val="en-US"/>
            </w:rPr>
            <w:tab/>
          </w:r>
          <w:r>
            <w:rPr>
              <w:rStyle w:val="28"/>
            </w:rPr>
            <w:t>Background of the Study</w:t>
          </w:r>
          <w:r>
            <w:tab/>
          </w:r>
          <w:r>
            <w:fldChar w:fldCharType="begin"/>
          </w:r>
          <w:r>
            <w:instrText xml:space="preserve"> PAGEREF _Toc231586750 \h </w:instrText>
          </w:r>
          <w:r>
            <w:fldChar w:fldCharType="separate"/>
          </w:r>
          <w:r>
            <w:t>1</w:t>
          </w:r>
          <w:r>
            <w:fldChar w:fldCharType="end"/>
          </w:r>
          <w:r>
            <w:fldChar w:fldCharType="end"/>
          </w:r>
        </w:p>
        <w:p w14:paraId="6ECC09E2">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"_Toc231586751" </w:instrText>
          </w:r>
          <w:r>
            <w:fldChar w:fldCharType="separate"/>
          </w:r>
          <w:r>
            <w:rPr>
              <w:rStyle w:val="28"/>
            </w:rPr>
            <w:t>1.2</w:t>
          </w:r>
          <w:r>
            <w:rPr>
              <w:rFonts w:asciiTheme="minorHAnsi" w:hAnsiTheme="minorHAnsi" w:eastAsiaTheme="minorEastAsia"/>
              <w:lang w:val="en-US"/>
            </w:rPr>
            <w:tab/>
          </w:r>
          <w:r>
            <w:rPr>
              <w:rStyle w:val="28"/>
            </w:rPr>
            <w:t>Research Problem</w:t>
          </w:r>
          <w:r>
            <w:tab/>
          </w:r>
          <w:r>
            <w:fldChar w:fldCharType="begin"/>
          </w:r>
          <w:r>
            <w:instrText xml:space="preserve"> PAGEREF _Toc231586751 \h </w:instrText>
          </w:r>
          <w:r>
            <w:fldChar w:fldCharType="separate"/>
          </w:r>
          <w:r>
            <w:t>3</w:t>
          </w:r>
          <w:r>
            <w:fldChar w:fldCharType="end"/>
          </w:r>
          <w:r>
            <w:fldChar w:fldCharType="end"/>
          </w:r>
        </w:p>
        <w:p w14:paraId="24A4191E">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"_Toc231586752" </w:instrText>
          </w:r>
          <w:r>
            <w:fldChar w:fldCharType="separate"/>
          </w:r>
          <w:r>
            <w:rPr>
              <w:rStyle w:val="28"/>
            </w:rPr>
            <w:t>1.3</w:t>
          </w:r>
          <w:r>
            <w:rPr>
              <w:rFonts w:asciiTheme="minorHAnsi" w:hAnsiTheme="minorHAnsi" w:eastAsiaTheme="minorEastAsia"/>
              <w:lang w:val="en-US"/>
            </w:rPr>
            <w:tab/>
          </w:r>
          <w:r>
            <w:rPr>
              <w:rStyle w:val="28"/>
            </w:rPr>
            <w:t>Research Aim</w:t>
          </w:r>
          <w:r>
            <w:tab/>
          </w:r>
          <w:r>
            <w:fldChar w:fldCharType="begin"/>
          </w:r>
          <w:r>
            <w:instrText xml:space="preserve"> PAGEREF _Toc231586752 \h </w:instrText>
          </w:r>
          <w:r>
            <w:fldChar w:fldCharType="separate"/>
          </w:r>
          <w:r>
            <w:t>3</w:t>
          </w:r>
          <w:r>
            <w:fldChar w:fldCharType="end"/>
          </w:r>
          <w:r>
            <w:fldChar w:fldCharType="end"/>
          </w:r>
        </w:p>
        <w:p w14:paraId="46644AAC">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"_Toc231586753" </w:instrText>
          </w:r>
          <w:r>
            <w:fldChar w:fldCharType="separate"/>
          </w:r>
          <w:r>
            <w:rPr>
              <w:rStyle w:val="28"/>
            </w:rPr>
            <w:t>1.4</w:t>
          </w:r>
          <w:r>
            <w:rPr>
              <w:rFonts w:asciiTheme="minorHAnsi" w:hAnsiTheme="minorHAnsi" w:eastAsiaTheme="minorEastAsia"/>
              <w:lang w:val="en-US"/>
            </w:rPr>
            <w:tab/>
          </w:r>
          <w:r>
            <w:rPr>
              <w:rStyle w:val="28"/>
            </w:rPr>
            <w:t>Research Objectives</w:t>
          </w:r>
          <w:r>
            <w:tab/>
          </w:r>
          <w:r>
            <w:fldChar w:fldCharType="begin"/>
          </w:r>
          <w:r>
            <w:instrText xml:space="preserve"> PAGEREF _Toc231586753 \h </w:instrText>
          </w:r>
          <w:r>
            <w:fldChar w:fldCharType="separate"/>
          </w:r>
          <w:r>
            <w:t>3</w:t>
          </w:r>
          <w:r>
            <w:fldChar w:fldCharType="end"/>
          </w:r>
          <w:r>
            <w:fldChar w:fldCharType="end"/>
          </w:r>
        </w:p>
        <w:p w14:paraId="109179DC">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"_Toc231586754" </w:instrText>
          </w:r>
          <w:r>
            <w:fldChar w:fldCharType="separate"/>
          </w:r>
          <w:r>
            <w:rPr>
              <w:rStyle w:val="28"/>
            </w:rPr>
            <w:t>1.5</w:t>
          </w:r>
          <w:r>
            <w:rPr>
              <w:rFonts w:asciiTheme="minorHAnsi" w:hAnsiTheme="minorHAnsi" w:eastAsiaTheme="minorEastAsia"/>
              <w:lang w:val="en-US"/>
            </w:rPr>
            <w:tab/>
          </w:r>
          <w:r>
            <w:rPr>
              <w:rStyle w:val="28"/>
            </w:rPr>
            <w:t>Research Questions</w:t>
          </w:r>
          <w:r>
            <w:tab/>
          </w:r>
          <w:r>
            <w:fldChar w:fldCharType="begin"/>
          </w:r>
          <w:r>
            <w:instrText xml:space="preserve"> PAGEREF _Toc231586754 \h </w:instrText>
          </w:r>
          <w:r>
            <w:fldChar w:fldCharType="separate"/>
          </w:r>
          <w:r>
            <w:t>4</w:t>
          </w:r>
          <w:r>
            <w:fldChar w:fldCharType="end"/>
          </w:r>
          <w:r>
            <w:fldChar w:fldCharType="end"/>
          </w:r>
        </w:p>
        <w:p w14:paraId="37FCAA70">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"_Toc231586755" </w:instrText>
          </w:r>
          <w:r>
            <w:fldChar w:fldCharType="separate"/>
          </w:r>
          <w:r>
            <w:rPr>
              <w:rStyle w:val="28"/>
            </w:rPr>
            <w:t>1.6</w:t>
          </w:r>
          <w:r>
            <w:rPr>
              <w:rFonts w:asciiTheme="minorHAnsi" w:hAnsiTheme="minorHAnsi" w:eastAsiaTheme="minorEastAsia"/>
              <w:lang w:val="en-US"/>
            </w:rPr>
            <w:tab/>
          </w:r>
          <w:r>
            <w:rPr>
              <w:rStyle w:val="28"/>
            </w:rPr>
            <w:t>Justification and Significance of the Study</w:t>
          </w:r>
          <w:r>
            <w:tab/>
          </w:r>
          <w:r>
            <w:fldChar w:fldCharType="begin"/>
          </w:r>
          <w:r>
            <w:instrText xml:space="preserve"> PAGEREF _Toc231586755 \h </w:instrText>
          </w:r>
          <w:r>
            <w:fldChar w:fldCharType="separate"/>
          </w:r>
          <w:r>
            <w:t>4</w:t>
          </w:r>
          <w:r>
            <w:fldChar w:fldCharType="end"/>
          </w:r>
          <w:r>
            <w:fldChar w:fldCharType="end"/>
          </w:r>
        </w:p>
        <w:p w14:paraId="73236965">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"_Toc231586756" </w:instrText>
          </w:r>
          <w:r>
            <w:fldChar w:fldCharType="separate"/>
          </w:r>
          <w:r>
            <w:rPr>
              <w:rStyle w:val="28"/>
            </w:rPr>
            <w:t>1.7</w:t>
          </w:r>
          <w:r>
            <w:rPr>
              <w:rFonts w:asciiTheme="minorHAnsi" w:hAnsiTheme="minorHAnsi" w:eastAsiaTheme="minorEastAsia"/>
              <w:lang w:val="en-US"/>
            </w:rPr>
            <w:tab/>
          </w:r>
          <w:r>
            <w:rPr>
              <w:rStyle w:val="28"/>
            </w:rPr>
            <w:t>Literature Gap</w:t>
          </w:r>
          <w:r>
            <w:tab/>
          </w:r>
          <w:r>
            <w:fldChar w:fldCharType="begin"/>
          </w:r>
          <w:r>
            <w:instrText xml:space="preserve"> PAGEREF _Toc231586756 \h </w:instrText>
          </w:r>
          <w:r>
            <w:fldChar w:fldCharType="separate"/>
          </w:r>
          <w:r>
            <w:t>5</w:t>
          </w:r>
          <w:r>
            <w:fldChar w:fldCharType="end"/>
          </w:r>
          <w:r>
            <w:fldChar w:fldCharType="end"/>
          </w:r>
        </w:p>
        <w:p w14:paraId="308F384F">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"_Toc231586757" </w:instrText>
          </w:r>
          <w:r>
            <w:fldChar w:fldCharType="separate"/>
          </w:r>
          <w:r>
            <w:rPr>
              <w:rStyle w:val="28"/>
            </w:rPr>
            <w:t>1.8</w:t>
          </w:r>
          <w:r>
            <w:rPr>
              <w:rFonts w:asciiTheme="minorHAnsi" w:hAnsiTheme="minorHAnsi" w:eastAsiaTheme="minorEastAsia"/>
              <w:lang w:val="en-US"/>
            </w:rPr>
            <w:tab/>
          </w:r>
          <w:r>
            <w:rPr>
              <w:rStyle w:val="28"/>
            </w:rPr>
            <w:t>Dissertation Structure</w:t>
          </w:r>
          <w:r>
            <w:tab/>
          </w:r>
          <w:r>
            <w:fldChar w:fldCharType="begin"/>
          </w:r>
          <w:r>
            <w:instrText xml:space="preserve"> PAGEREF _Toc231586757 \h </w:instrText>
          </w:r>
          <w:r>
            <w:fldChar w:fldCharType="separate"/>
          </w:r>
          <w:r>
            <w:t>5</w:t>
          </w:r>
          <w:r>
            <w:fldChar w:fldCharType="end"/>
          </w:r>
          <w:r>
            <w:fldChar w:fldCharType="end"/>
          </w:r>
        </w:p>
        <w:p w14:paraId="017008D8">
          <w:pPr>
            <w:pStyle w:val="18"/>
            <w:tabs>
              <w:tab w:val="left" w:pos="480"/>
              <w:tab w:val="right" w:leader="dot" w:pos="9350"/>
            </w:tabs>
            <w:rPr>
              <w:rFonts w:asciiTheme="minorHAnsi" w:hAnsiTheme="minorHAnsi" w:eastAsiaTheme="minorEastAsia"/>
              <w:lang w:val="en-US"/>
            </w:rPr>
          </w:pPr>
          <w:r>
            <w:fldChar w:fldCharType="begin"/>
          </w:r>
          <w:r>
            <w:instrText xml:space="preserve"> HYPERLINK \l "_Toc231586758" </w:instrText>
          </w:r>
          <w:r>
            <w:fldChar w:fldCharType="separate"/>
          </w:r>
          <w:r>
            <w:rPr>
              <w:rStyle w:val="28"/>
            </w:rPr>
            <w:t>2</w:t>
          </w:r>
          <w:r>
            <w:rPr>
              <w:rFonts w:asciiTheme="minorHAnsi" w:hAnsiTheme="minorHAnsi" w:eastAsiaTheme="minorEastAsia"/>
              <w:lang w:val="en-US"/>
            </w:rPr>
            <w:tab/>
          </w:r>
          <w:r>
            <w:rPr>
              <w:rStyle w:val="28"/>
            </w:rPr>
            <w:t>LITERATURE REVIEW</w:t>
          </w:r>
          <w:r>
            <w:tab/>
          </w:r>
          <w:r>
            <w:fldChar w:fldCharType="begin"/>
          </w:r>
          <w:r>
            <w:instrText xml:space="preserve"> PAGEREF _Toc231586758 \h </w:instrText>
          </w:r>
          <w:r>
            <w:fldChar w:fldCharType="separate"/>
          </w:r>
          <w:r>
            <w:t>6</w:t>
          </w:r>
          <w:r>
            <w:fldChar w:fldCharType="end"/>
          </w:r>
          <w:r>
            <w:fldChar w:fldCharType="end"/>
          </w:r>
        </w:p>
        <w:p w14:paraId="420FE74A">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"_Toc231586759" </w:instrText>
          </w:r>
          <w:r>
            <w:fldChar w:fldCharType="separate"/>
          </w:r>
          <w:r>
            <w:rPr>
              <w:rStyle w:val="28"/>
            </w:rPr>
            <w:t>2.1</w:t>
          </w:r>
          <w:r>
            <w:rPr>
              <w:rFonts w:asciiTheme="minorHAnsi" w:hAnsiTheme="minorHAnsi" w:eastAsiaTheme="minorEastAsia"/>
              <w:lang w:val="en-US"/>
            </w:rPr>
            <w:tab/>
          </w:r>
          <w:r>
            <w:rPr>
              <w:rStyle w:val="28"/>
            </w:rPr>
            <w:t>Introduction</w:t>
          </w:r>
          <w:r>
            <w:tab/>
          </w:r>
          <w:r>
            <w:fldChar w:fldCharType="begin"/>
          </w:r>
          <w:r>
            <w:instrText xml:space="preserve"> PAGEREF _Toc231586759 \h </w:instrText>
          </w:r>
          <w:r>
            <w:fldChar w:fldCharType="separate"/>
          </w:r>
          <w:r>
            <w:t>6</w:t>
          </w:r>
          <w:r>
            <w:fldChar w:fldCharType="end"/>
          </w:r>
          <w:r>
            <w:fldChar w:fldCharType="end"/>
          </w:r>
        </w:p>
        <w:p w14:paraId="7728CAC9">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"_Toc231586760" </w:instrText>
          </w:r>
          <w:r>
            <w:fldChar w:fldCharType="separate"/>
          </w:r>
          <w:r>
            <w:rPr>
              <w:rStyle w:val="28"/>
            </w:rPr>
            <w:t>2.2</w:t>
          </w:r>
          <w:r>
            <w:rPr>
              <w:rFonts w:asciiTheme="minorHAnsi" w:hAnsiTheme="minorHAnsi" w:eastAsiaTheme="minorEastAsia"/>
              <w:lang w:val="en-US"/>
            </w:rPr>
            <w:tab/>
          </w:r>
          <w:r>
            <w:rPr>
              <w:rStyle w:val="28"/>
            </w:rPr>
            <w:t>Concept of Human Capital and Strategic Importance</w:t>
          </w:r>
          <w:r>
            <w:tab/>
          </w:r>
          <w:r>
            <w:fldChar w:fldCharType="begin"/>
          </w:r>
          <w:r>
            <w:instrText xml:space="preserve"> PAGEREF _Toc231586760 \h </w:instrText>
          </w:r>
          <w:r>
            <w:fldChar w:fldCharType="separate"/>
          </w:r>
          <w:r>
            <w:t>6</w:t>
          </w:r>
          <w:r>
            <w:fldChar w:fldCharType="end"/>
          </w:r>
          <w:r>
            <w:fldChar w:fldCharType="end"/>
          </w:r>
        </w:p>
        <w:p w14:paraId="72F88291">
          <w:pPr>
            <w:pStyle w:val="20"/>
            <w:tabs>
              <w:tab w:val="left" w:pos="1440"/>
              <w:tab w:val="right" w:leader="dot" w:pos="9350"/>
            </w:tabs>
            <w:rPr>
              <w:rFonts w:asciiTheme="minorHAnsi" w:hAnsiTheme="minorHAnsi" w:eastAsiaTheme="minorEastAsia"/>
              <w:lang w:val="en-US"/>
            </w:rPr>
          </w:pPr>
          <w:r>
            <w:fldChar w:fldCharType="begin"/>
          </w:r>
          <w:r>
            <w:instrText xml:space="preserve"> HYPERLINK \l "_Toc231586761" </w:instrText>
          </w:r>
          <w:r>
            <w:fldChar w:fldCharType="separate"/>
          </w:r>
          <w:r>
            <w:rPr>
              <w:rStyle w:val="28"/>
            </w:rPr>
            <w:t>2.2.1</w:t>
          </w:r>
          <w:r>
            <w:rPr>
              <w:rFonts w:asciiTheme="minorHAnsi" w:hAnsiTheme="minorHAnsi" w:eastAsiaTheme="minorEastAsia"/>
              <w:lang w:val="en-US"/>
            </w:rPr>
            <w:tab/>
          </w:r>
          <w:r>
            <w:rPr>
              <w:rStyle w:val="28"/>
            </w:rPr>
            <w:t>Definition and Strategic Value of Human Capital</w:t>
          </w:r>
          <w:r>
            <w:tab/>
          </w:r>
          <w:r>
            <w:fldChar w:fldCharType="begin"/>
          </w:r>
          <w:r>
            <w:instrText xml:space="preserve"> PAGEREF _Toc231586761 \h </w:instrText>
          </w:r>
          <w:r>
            <w:fldChar w:fldCharType="separate"/>
          </w:r>
          <w:r>
            <w:t>6</w:t>
          </w:r>
          <w:r>
            <w:fldChar w:fldCharType="end"/>
          </w:r>
          <w:r>
            <w:fldChar w:fldCharType="end"/>
          </w:r>
        </w:p>
        <w:p w14:paraId="42B5F720">
          <w:pPr>
            <w:pStyle w:val="20"/>
            <w:tabs>
              <w:tab w:val="left" w:pos="1440"/>
              <w:tab w:val="right" w:leader="dot" w:pos="9350"/>
            </w:tabs>
            <w:rPr>
              <w:rFonts w:asciiTheme="minorHAnsi" w:hAnsiTheme="minorHAnsi" w:eastAsiaTheme="minorEastAsia"/>
              <w:lang w:val="en-US"/>
            </w:rPr>
          </w:pPr>
          <w:r>
            <w:fldChar w:fldCharType="begin"/>
          </w:r>
          <w:r>
            <w:instrText xml:space="preserve"> HYPERLINK \l "_Toc231586762" </w:instrText>
          </w:r>
          <w:r>
            <w:fldChar w:fldCharType="separate"/>
          </w:r>
          <w:r>
            <w:rPr>
              <w:rStyle w:val="28"/>
            </w:rPr>
            <w:t>2.2.2</w:t>
          </w:r>
          <w:r>
            <w:rPr>
              <w:rFonts w:asciiTheme="minorHAnsi" w:hAnsiTheme="minorHAnsi" w:eastAsiaTheme="minorEastAsia"/>
              <w:lang w:val="en-US"/>
            </w:rPr>
            <w:tab/>
          </w:r>
          <w:r>
            <w:rPr>
              <w:rStyle w:val="28"/>
            </w:rPr>
            <w:t>Human Capital as a Dynamic Organisational Resource</w:t>
          </w:r>
          <w:r>
            <w:tab/>
          </w:r>
          <w:r>
            <w:fldChar w:fldCharType="begin"/>
          </w:r>
          <w:r>
            <w:instrText xml:space="preserve"> PAGEREF _Toc231586762 \h </w:instrText>
          </w:r>
          <w:r>
            <w:fldChar w:fldCharType="separate"/>
          </w:r>
          <w:r>
            <w:t>7</w:t>
          </w:r>
          <w:r>
            <w:fldChar w:fldCharType="end"/>
          </w:r>
          <w:r>
            <w:fldChar w:fldCharType="end"/>
          </w:r>
        </w:p>
        <w:p w14:paraId="59D6699B">
          <w:pPr>
            <w:pStyle w:val="20"/>
            <w:tabs>
              <w:tab w:val="left" w:pos="1440"/>
              <w:tab w:val="right" w:leader="dot" w:pos="9350"/>
            </w:tabs>
            <w:rPr>
              <w:rFonts w:asciiTheme="minorHAnsi" w:hAnsiTheme="minorHAnsi" w:eastAsiaTheme="minorEastAsia"/>
              <w:lang w:val="en-US"/>
            </w:rPr>
          </w:pPr>
          <w:r>
            <w:fldChar w:fldCharType="begin"/>
          </w:r>
          <w:r>
            <w:instrText xml:space="preserve"> HYPERLINK \l "_Toc231586763" </w:instrText>
          </w:r>
          <w:r>
            <w:fldChar w:fldCharType="separate"/>
          </w:r>
          <w:r>
            <w:rPr>
              <w:rStyle w:val="28"/>
            </w:rPr>
            <w:t>2.2.3</w:t>
          </w:r>
          <w:r>
            <w:rPr>
              <w:rFonts w:asciiTheme="minorHAnsi" w:hAnsiTheme="minorHAnsi" w:eastAsiaTheme="minorEastAsia"/>
              <w:lang w:val="en-US"/>
            </w:rPr>
            <w:tab/>
          </w:r>
          <w:r>
            <w:rPr>
              <w:rStyle w:val="28"/>
            </w:rPr>
            <w:t>Human Capital, Sustainability and Critical Issues</w:t>
          </w:r>
          <w:r>
            <w:tab/>
          </w:r>
          <w:r>
            <w:fldChar w:fldCharType="begin"/>
          </w:r>
          <w:r>
            <w:instrText xml:space="preserve"> PAGEREF _Toc231586763 \h </w:instrText>
          </w:r>
          <w:r>
            <w:fldChar w:fldCharType="separate"/>
          </w:r>
          <w:r>
            <w:t>8</w:t>
          </w:r>
          <w:r>
            <w:fldChar w:fldCharType="end"/>
          </w:r>
          <w:r>
            <w:fldChar w:fldCharType="end"/>
          </w:r>
        </w:p>
        <w:p w14:paraId="119E3721">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"_Toc231586764" </w:instrText>
          </w:r>
          <w:r>
            <w:fldChar w:fldCharType="separate"/>
          </w:r>
          <w:r>
            <w:rPr>
              <w:rStyle w:val="28"/>
            </w:rPr>
            <w:t>2.3</w:t>
          </w:r>
          <w:r>
            <w:rPr>
              <w:rFonts w:asciiTheme="minorHAnsi" w:hAnsiTheme="minorHAnsi" w:eastAsiaTheme="minorEastAsia"/>
              <w:lang w:val="en-US"/>
            </w:rPr>
            <w:tab/>
          </w:r>
          <w:r>
            <w:rPr>
              <w:rStyle w:val="28"/>
            </w:rPr>
            <w:t>Training and Development as a Driver of Human Capital</w:t>
          </w:r>
          <w:r>
            <w:tab/>
          </w:r>
          <w:r>
            <w:fldChar w:fldCharType="begin"/>
          </w:r>
          <w:r>
            <w:instrText xml:space="preserve"> PAGEREF _Toc231586764 \h </w:instrText>
          </w:r>
          <w:r>
            <w:fldChar w:fldCharType="separate"/>
          </w:r>
          <w:r>
            <w:t>9</w:t>
          </w:r>
          <w:r>
            <w:fldChar w:fldCharType="end"/>
          </w:r>
          <w:r>
            <w:fldChar w:fldCharType="end"/>
          </w:r>
        </w:p>
        <w:p w14:paraId="7DB59BF7">
          <w:pPr>
            <w:pStyle w:val="20"/>
            <w:tabs>
              <w:tab w:val="left" w:pos="1440"/>
              <w:tab w:val="right" w:leader="dot" w:pos="9350"/>
            </w:tabs>
            <w:rPr>
              <w:rFonts w:asciiTheme="minorHAnsi" w:hAnsiTheme="minorHAnsi" w:eastAsiaTheme="minorEastAsia"/>
              <w:lang w:val="en-US"/>
            </w:rPr>
          </w:pPr>
          <w:r>
            <w:fldChar w:fldCharType="begin"/>
          </w:r>
          <w:r>
            <w:instrText xml:space="preserve"> HYPERLINK \l "_Toc231586765" </w:instrText>
          </w:r>
          <w:r>
            <w:fldChar w:fldCharType="separate"/>
          </w:r>
          <w:r>
            <w:rPr>
              <w:rStyle w:val="28"/>
            </w:rPr>
            <w:t>2.3.1</w:t>
          </w:r>
          <w:r>
            <w:rPr>
              <w:rFonts w:asciiTheme="minorHAnsi" w:hAnsiTheme="minorHAnsi" w:eastAsiaTheme="minorEastAsia"/>
              <w:lang w:val="en-US"/>
            </w:rPr>
            <w:tab/>
          </w:r>
          <w:r>
            <w:rPr>
              <w:rStyle w:val="28"/>
            </w:rPr>
            <w:t>Training as Skills and Capability Development</w:t>
          </w:r>
          <w:r>
            <w:tab/>
          </w:r>
          <w:r>
            <w:fldChar w:fldCharType="begin"/>
          </w:r>
          <w:r>
            <w:instrText xml:space="preserve"> PAGEREF _Toc231586765 \h </w:instrText>
          </w:r>
          <w:r>
            <w:fldChar w:fldCharType="separate"/>
          </w:r>
          <w:r>
            <w:t>9</w:t>
          </w:r>
          <w:r>
            <w:fldChar w:fldCharType="end"/>
          </w:r>
          <w:r>
            <w:fldChar w:fldCharType="end"/>
          </w:r>
        </w:p>
        <w:p w14:paraId="3B2D4EAA">
          <w:pPr>
            <w:pStyle w:val="20"/>
            <w:tabs>
              <w:tab w:val="left" w:pos="1440"/>
              <w:tab w:val="right" w:leader="dot" w:pos="9350"/>
            </w:tabs>
            <w:rPr>
              <w:rFonts w:asciiTheme="minorHAnsi" w:hAnsiTheme="minorHAnsi" w:eastAsiaTheme="minorEastAsia"/>
              <w:lang w:val="en-US"/>
            </w:rPr>
          </w:pPr>
          <w:r>
            <w:fldChar w:fldCharType="begin"/>
          </w:r>
          <w:r>
            <w:instrText xml:space="preserve"> HYPERLINK \l "_Toc231586766" </w:instrText>
          </w:r>
          <w:r>
            <w:fldChar w:fldCharType="separate"/>
          </w:r>
          <w:r>
            <w:rPr>
              <w:rStyle w:val="28"/>
            </w:rPr>
            <w:t>2.3.2</w:t>
          </w:r>
          <w:r>
            <w:rPr>
              <w:rFonts w:asciiTheme="minorHAnsi" w:hAnsiTheme="minorHAnsi" w:eastAsiaTheme="minorEastAsia"/>
              <w:lang w:val="en-US"/>
            </w:rPr>
            <w:tab/>
          </w:r>
          <w:r>
            <w:rPr>
              <w:rStyle w:val="28"/>
            </w:rPr>
            <w:t>Knowledge Management and Employee Perceptions</w:t>
          </w:r>
          <w:r>
            <w:tab/>
          </w:r>
          <w:r>
            <w:fldChar w:fldCharType="begin"/>
          </w:r>
          <w:r>
            <w:instrText xml:space="preserve"> PAGEREF _Toc231586766 \h </w:instrText>
          </w:r>
          <w:r>
            <w:fldChar w:fldCharType="separate"/>
          </w:r>
          <w:r>
            <w:t>10</w:t>
          </w:r>
          <w:r>
            <w:fldChar w:fldCharType="end"/>
          </w:r>
          <w:r>
            <w:fldChar w:fldCharType="end"/>
          </w:r>
        </w:p>
        <w:p w14:paraId="542F9404">
          <w:pPr>
            <w:pStyle w:val="20"/>
            <w:tabs>
              <w:tab w:val="left" w:pos="1440"/>
              <w:tab w:val="right" w:leader="dot" w:pos="9350"/>
            </w:tabs>
            <w:rPr>
              <w:rFonts w:asciiTheme="minorHAnsi" w:hAnsiTheme="minorHAnsi" w:eastAsiaTheme="minorEastAsia"/>
              <w:lang w:val="en-US"/>
            </w:rPr>
          </w:pPr>
          <w:r>
            <w:fldChar w:fldCharType="begin"/>
          </w:r>
          <w:r>
            <w:instrText xml:space="preserve"> HYPERLINK \l "_Toc231586767" </w:instrText>
          </w:r>
          <w:r>
            <w:fldChar w:fldCharType="separate"/>
          </w:r>
          <w:r>
            <w:rPr>
              <w:rStyle w:val="28"/>
            </w:rPr>
            <w:t>2.3.3</w:t>
          </w:r>
          <w:r>
            <w:rPr>
              <w:rFonts w:asciiTheme="minorHAnsi" w:hAnsiTheme="minorHAnsi" w:eastAsiaTheme="minorEastAsia"/>
              <w:lang w:val="en-US"/>
            </w:rPr>
            <w:tab/>
          </w:r>
          <w:r>
            <w:rPr>
              <w:rStyle w:val="28"/>
            </w:rPr>
            <w:t>Training, Productivity and Organisational Performance</w:t>
          </w:r>
          <w:r>
            <w:tab/>
          </w:r>
          <w:r>
            <w:fldChar w:fldCharType="begin"/>
          </w:r>
          <w:r>
            <w:instrText xml:space="preserve"> PAGEREF _Toc231586767 \h </w:instrText>
          </w:r>
          <w:r>
            <w:fldChar w:fldCharType="separate"/>
          </w:r>
          <w:r>
            <w:t>10</w:t>
          </w:r>
          <w:r>
            <w:fldChar w:fldCharType="end"/>
          </w:r>
          <w:r>
            <w:fldChar w:fldCharType="end"/>
          </w:r>
        </w:p>
        <w:p w14:paraId="404E4980">
          <w:pPr>
            <w:pStyle w:val="20"/>
            <w:tabs>
              <w:tab w:val="left" w:pos="1440"/>
              <w:tab w:val="right" w:leader="dot" w:pos="9350"/>
            </w:tabs>
            <w:rPr>
              <w:rFonts w:asciiTheme="minorHAnsi" w:hAnsiTheme="minorHAnsi" w:eastAsiaTheme="minorEastAsia"/>
              <w:lang w:val="en-US"/>
            </w:rPr>
          </w:pPr>
          <w:r>
            <w:fldChar w:fldCharType="begin"/>
          </w:r>
          <w:r>
            <w:instrText xml:space="preserve"> HYPERLINK \l "_Toc231586768" </w:instrText>
          </w:r>
          <w:r>
            <w:fldChar w:fldCharType="separate"/>
          </w:r>
          <w:r>
            <w:rPr>
              <w:rStyle w:val="28"/>
            </w:rPr>
            <w:t>2.3.4</w:t>
          </w:r>
          <w:r>
            <w:rPr>
              <w:rFonts w:asciiTheme="minorHAnsi" w:hAnsiTheme="minorHAnsi" w:eastAsiaTheme="minorEastAsia"/>
              <w:lang w:val="en-US"/>
            </w:rPr>
            <w:tab/>
          </w:r>
          <w:r>
            <w:rPr>
              <w:rStyle w:val="28"/>
            </w:rPr>
            <w:t>Sustainability, Leadership and Training Limitations</w:t>
          </w:r>
          <w:r>
            <w:tab/>
          </w:r>
          <w:r>
            <w:fldChar w:fldCharType="begin"/>
          </w:r>
          <w:r>
            <w:instrText xml:space="preserve"> PAGEREF _Toc231586768 \h </w:instrText>
          </w:r>
          <w:r>
            <w:fldChar w:fldCharType="separate"/>
          </w:r>
          <w:r>
            <w:t>11</w:t>
          </w:r>
          <w:r>
            <w:fldChar w:fldCharType="end"/>
          </w:r>
          <w:r>
            <w:fldChar w:fldCharType="end"/>
          </w:r>
        </w:p>
        <w:p w14:paraId="16668A7F">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"_Toc231586769" </w:instrText>
          </w:r>
          <w:r>
            <w:fldChar w:fldCharType="separate"/>
          </w:r>
          <w:r>
            <w:rPr>
              <w:rStyle w:val="28"/>
            </w:rPr>
            <w:t>2.4</w:t>
          </w:r>
          <w:r>
            <w:rPr>
              <w:rFonts w:asciiTheme="minorHAnsi" w:hAnsiTheme="minorHAnsi" w:eastAsiaTheme="minorEastAsia"/>
              <w:lang w:val="en-US"/>
            </w:rPr>
            <w:tab/>
          </w:r>
          <w:r>
            <w:rPr>
              <w:rStyle w:val="28"/>
            </w:rPr>
            <w:t>Mechanisms Linking Training → Performance → Human Capital</w:t>
          </w:r>
          <w:r>
            <w:tab/>
          </w:r>
          <w:r>
            <w:fldChar w:fldCharType="begin"/>
          </w:r>
          <w:r>
            <w:instrText xml:space="preserve"> PAGEREF _Toc231586769 \h </w:instrText>
          </w:r>
          <w:r>
            <w:fldChar w:fldCharType="separate"/>
          </w:r>
          <w:r>
            <w:t>13</w:t>
          </w:r>
          <w:r>
            <w:fldChar w:fldCharType="end"/>
          </w:r>
          <w:r>
            <w:fldChar w:fldCharType="end"/>
          </w:r>
        </w:p>
        <w:p w14:paraId="76DBD930">
          <w:pPr>
            <w:pStyle w:val="20"/>
            <w:tabs>
              <w:tab w:val="left" w:pos="1440"/>
              <w:tab w:val="right" w:leader="dot" w:pos="9350"/>
            </w:tabs>
            <w:rPr>
              <w:rFonts w:asciiTheme="minorHAnsi" w:hAnsiTheme="minorHAnsi" w:eastAsiaTheme="minorEastAsia"/>
              <w:lang w:val="en-US"/>
            </w:rPr>
          </w:pPr>
          <w:r>
            <w:fldChar w:fldCharType="begin"/>
          </w:r>
          <w:r>
            <w:instrText xml:space="preserve"> HYPERLINK \l "_Toc231586770" </w:instrText>
          </w:r>
          <w:r>
            <w:fldChar w:fldCharType="separate"/>
          </w:r>
          <w:r>
            <w:rPr>
              <w:rStyle w:val="28"/>
            </w:rPr>
            <w:t>2.4.1</w:t>
          </w:r>
          <w:r>
            <w:rPr>
              <w:rFonts w:asciiTheme="minorHAnsi" w:hAnsiTheme="minorHAnsi" w:eastAsiaTheme="minorEastAsia"/>
              <w:lang w:val="en-US"/>
            </w:rPr>
            <w:tab/>
          </w:r>
          <w:r>
            <w:rPr>
              <w:rStyle w:val="28"/>
            </w:rPr>
            <w:t>Direct Skill-Based Mechanism</w:t>
          </w:r>
          <w:r>
            <w:tab/>
          </w:r>
          <w:r>
            <w:fldChar w:fldCharType="begin"/>
          </w:r>
          <w:r>
            <w:instrText xml:space="preserve"> PAGEREF _Toc231586770 \h </w:instrText>
          </w:r>
          <w:r>
            <w:fldChar w:fldCharType="separate"/>
          </w:r>
          <w:r>
            <w:t>13</w:t>
          </w:r>
          <w:r>
            <w:fldChar w:fldCharType="end"/>
          </w:r>
          <w:r>
            <w:fldChar w:fldCharType="end"/>
          </w:r>
        </w:p>
        <w:p w14:paraId="6B280956">
          <w:pPr>
            <w:pStyle w:val="20"/>
            <w:tabs>
              <w:tab w:val="left" w:pos="1440"/>
              <w:tab w:val="right" w:leader="dot" w:pos="9350"/>
            </w:tabs>
            <w:rPr>
              <w:rFonts w:asciiTheme="minorHAnsi" w:hAnsiTheme="minorHAnsi" w:eastAsiaTheme="minorEastAsia"/>
              <w:lang w:val="en-US"/>
            </w:rPr>
          </w:pPr>
          <w:r>
            <w:fldChar w:fldCharType="begin"/>
          </w:r>
          <w:r>
            <w:instrText xml:space="preserve"> HYPERLINK \l "_Toc231586771" </w:instrText>
          </w:r>
          <w:r>
            <w:fldChar w:fldCharType="separate"/>
          </w:r>
          <w:r>
            <w:rPr>
              <w:rStyle w:val="28"/>
            </w:rPr>
            <w:t>2.4.2</w:t>
          </w:r>
          <w:r>
            <w:rPr>
              <w:rFonts w:asciiTheme="minorHAnsi" w:hAnsiTheme="minorHAnsi" w:eastAsiaTheme="minorEastAsia"/>
              <w:lang w:val="en-US"/>
            </w:rPr>
            <w:tab/>
          </w:r>
          <w:r>
            <w:rPr>
              <w:rStyle w:val="28"/>
            </w:rPr>
            <w:t>Motivation, Commitment and Psychological Mechanisms</w:t>
          </w:r>
          <w:r>
            <w:tab/>
          </w:r>
          <w:r>
            <w:fldChar w:fldCharType="begin"/>
          </w:r>
          <w:r>
            <w:instrText xml:space="preserve"> PAGEREF _Toc231586771 \h </w:instrText>
          </w:r>
          <w:r>
            <w:fldChar w:fldCharType="separate"/>
          </w:r>
          <w:r>
            <w:t>13</w:t>
          </w:r>
          <w:r>
            <w:fldChar w:fldCharType="end"/>
          </w:r>
          <w:r>
            <w:fldChar w:fldCharType="end"/>
          </w:r>
        </w:p>
        <w:p w14:paraId="79FB0EAA">
          <w:pPr>
            <w:pStyle w:val="20"/>
            <w:tabs>
              <w:tab w:val="left" w:pos="1440"/>
              <w:tab w:val="right" w:leader="dot" w:pos="9350"/>
            </w:tabs>
            <w:rPr>
              <w:rFonts w:asciiTheme="minorHAnsi" w:hAnsiTheme="minorHAnsi" w:eastAsiaTheme="minorEastAsia"/>
              <w:lang w:val="en-US"/>
            </w:rPr>
          </w:pPr>
          <w:r>
            <w:fldChar w:fldCharType="begin"/>
          </w:r>
          <w:r>
            <w:instrText xml:space="preserve"> HYPERLINK \l "_Toc231586772" </w:instrText>
          </w:r>
          <w:r>
            <w:fldChar w:fldCharType="separate"/>
          </w:r>
          <w:r>
            <w:rPr>
              <w:rStyle w:val="28"/>
            </w:rPr>
            <w:t>2.4.3</w:t>
          </w:r>
          <w:r>
            <w:rPr>
              <w:rFonts w:asciiTheme="minorHAnsi" w:hAnsiTheme="minorHAnsi" w:eastAsiaTheme="minorEastAsia"/>
              <w:lang w:val="en-US"/>
            </w:rPr>
            <w:tab/>
          </w:r>
          <w:r>
            <w:rPr>
              <w:rStyle w:val="28"/>
            </w:rPr>
            <w:t>Knowledge Management and HR System Integration</w:t>
          </w:r>
          <w:r>
            <w:tab/>
          </w:r>
          <w:r>
            <w:fldChar w:fldCharType="begin"/>
          </w:r>
          <w:r>
            <w:instrText xml:space="preserve"> PAGEREF _Toc231586772 \h </w:instrText>
          </w:r>
          <w:r>
            <w:fldChar w:fldCharType="separate"/>
          </w:r>
          <w:r>
            <w:t>15</w:t>
          </w:r>
          <w:r>
            <w:fldChar w:fldCharType="end"/>
          </w:r>
          <w:r>
            <w:fldChar w:fldCharType="end"/>
          </w:r>
        </w:p>
        <w:p w14:paraId="2F6E9BA6">
          <w:pPr>
            <w:pStyle w:val="20"/>
            <w:tabs>
              <w:tab w:val="left" w:pos="1440"/>
              <w:tab w:val="right" w:leader="dot" w:pos="9350"/>
            </w:tabs>
            <w:rPr>
              <w:rFonts w:asciiTheme="minorHAnsi" w:hAnsiTheme="minorHAnsi" w:eastAsiaTheme="minorEastAsia"/>
              <w:lang w:val="en-US"/>
            </w:rPr>
          </w:pPr>
          <w:r>
            <w:fldChar w:fldCharType="begin"/>
          </w:r>
          <w:r>
            <w:instrText xml:space="preserve"> HYPERLINK \l "_Toc231586773" </w:instrText>
          </w:r>
          <w:r>
            <w:fldChar w:fldCharType="separate"/>
          </w:r>
          <w:r>
            <w:rPr>
              <w:rStyle w:val="28"/>
            </w:rPr>
            <w:t>2.4.4</w:t>
          </w:r>
          <w:r>
            <w:rPr>
              <w:rFonts w:asciiTheme="minorHAnsi" w:hAnsiTheme="minorHAnsi" w:eastAsiaTheme="minorEastAsia"/>
              <w:lang w:val="en-US"/>
            </w:rPr>
            <w:tab/>
          </w:r>
          <w:r>
            <w:rPr>
              <w:rStyle w:val="28"/>
            </w:rPr>
            <w:t>Digital and Contextual Moderators</w:t>
          </w:r>
          <w:r>
            <w:tab/>
          </w:r>
          <w:r>
            <w:fldChar w:fldCharType="begin"/>
          </w:r>
          <w:r>
            <w:instrText xml:space="preserve"> PAGEREF _Toc231586773 \h </w:instrText>
          </w:r>
          <w:r>
            <w:fldChar w:fldCharType="separate"/>
          </w:r>
          <w:r>
            <w:t>15</w:t>
          </w:r>
          <w:r>
            <w:fldChar w:fldCharType="end"/>
          </w:r>
          <w:r>
            <w:fldChar w:fldCharType="end"/>
          </w:r>
        </w:p>
        <w:p w14:paraId="41560DF0">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"_Toc231586774" </w:instrText>
          </w:r>
          <w:r>
            <w:fldChar w:fldCharType="separate"/>
          </w:r>
          <w:r>
            <w:rPr>
              <w:rStyle w:val="28"/>
            </w:rPr>
            <w:t>2.5</w:t>
          </w:r>
          <w:r>
            <w:rPr>
              <w:rFonts w:asciiTheme="minorHAnsi" w:hAnsiTheme="minorHAnsi" w:eastAsiaTheme="minorEastAsia"/>
              <w:lang w:val="en-US"/>
            </w:rPr>
            <w:tab/>
          </w:r>
          <w:r>
            <w:rPr>
              <w:rStyle w:val="28"/>
            </w:rPr>
            <w:t>Role of Technology and Digital Transformation in Training</w:t>
          </w:r>
          <w:r>
            <w:tab/>
          </w:r>
          <w:r>
            <w:fldChar w:fldCharType="begin"/>
          </w:r>
          <w:r>
            <w:instrText xml:space="preserve"> PAGEREF _Toc231586774 \h </w:instrText>
          </w:r>
          <w:r>
            <w:fldChar w:fldCharType="separate"/>
          </w:r>
          <w:r>
            <w:t>17</w:t>
          </w:r>
          <w:r>
            <w:fldChar w:fldCharType="end"/>
          </w:r>
          <w:r>
            <w:fldChar w:fldCharType="end"/>
          </w:r>
        </w:p>
        <w:p w14:paraId="1D6199D7">
          <w:pPr>
            <w:pStyle w:val="20"/>
            <w:tabs>
              <w:tab w:val="left" w:pos="1440"/>
              <w:tab w:val="right" w:leader="dot" w:pos="9350"/>
            </w:tabs>
            <w:rPr>
              <w:rFonts w:asciiTheme="minorHAnsi" w:hAnsiTheme="minorHAnsi" w:eastAsiaTheme="minorEastAsia"/>
              <w:lang w:val="en-US"/>
            </w:rPr>
          </w:pPr>
          <w:r>
            <w:fldChar w:fldCharType="begin"/>
          </w:r>
          <w:r>
            <w:instrText xml:space="preserve"> HYPERLINK \l "_Toc231586775" </w:instrText>
          </w:r>
          <w:r>
            <w:fldChar w:fldCharType="separate"/>
          </w:r>
          <w:r>
            <w:rPr>
              <w:rStyle w:val="28"/>
            </w:rPr>
            <w:t>2.5.1</w:t>
          </w:r>
          <w:r>
            <w:rPr>
              <w:rFonts w:asciiTheme="minorHAnsi" w:hAnsiTheme="minorHAnsi" w:eastAsiaTheme="minorEastAsia"/>
              <w:lang w:val="en-US"/>
            </w:rPr>
            <w:tab/>
          </w:r>
          <w:r>
            <w:rPr>
              <w:rStyle w:val="28"/>
            </w:rPr>
            <w:t>AI-Based Personalised Learning</w:t>
          </w:r>
          <w:r>
            <w:tab/>
          </w:r>
          <w:r>
            <w:fldChar w:fldCharType="begin"/>
          </w:r>
          <w:r>
            <w:instrText xml:space="preserve"> PAGEREF _Toc231586775 \h </w:instrText>
          </w:r>
          <w:r>
            <w:fldChar w:fldCharType="separate"/>
          </w:r>
          <w:r>
            <w:t>17</w:t>
          </w:r>
          <w:r>
            <w:fldChar w:fldCharType="end"/>
          </w:r>
          <w:r>
            <w:fldChar w:fldCharType="end"/>
          </w:r>
        </w:p>
        <w:p w14:paraId="445784ED">
          <w:pPr>
            <w:pStyle w:val="20"/>
            <w:tabs>
              <w:tab w:val="left" w:pos="1440"/>
              <w:tab w:val="right" w:leader="dot" w:pos="9350"/>
            </w:tabs>
            <w:rPr>
              <w:rFonts w:asciiTheme="minorHAnsi" w:hAnsiTheme="minorHAnsi" w:eastAsiaTheme="minorEastAsia"/>
              <w:lang w:val="en-US"/>
            </w:rPr>
          </w:pPr>
          <w:r>
            <w:fldChar w:fldCharType="begin"/>
          </w:r>
          <w:r>
            <w:instrText xml:space="preserve"> HYPERLINK \l "_Toc231586776" </w:instrText>
          </w:r>
          <w:r>
            <w:fldChar w:fldCharType="separate"/>
          </w:r>
          <w:r>
            <w:rPr>
              <w:rStyle w:val="28"/>
            </w:rPr>
            <w:t>2.5.2</w:t>
          </w:r>
          <w:r>
            <w:rPr>
              <w:rFonts w:asciiTheme="minorHAnsi" w:hAnsiTheme="minorHAnsi" w:eastAsiaTheme="minorEastAsia"/>
              <w:lang w:val="en-US"/>
            </w:rPr>
            <w:tab/>
          </w:r>
          <w:r>
            <w:rPr>
              <w:rStyle w:val="28"/>
            </w:rPr>
            <w:t>Data-Driven Training and Ethical Concerns</w:t>
          </w:r>
          <w:r>
            <w:tab/>
          </w:r>
          <w:r>
            <w:fldChar w:fldCharType="begin"/>
          </w:r>
          <w:r>
            <w:instrText xml:space="preserve"> PAGEREF _Toc231586776 \h </w:instrText>
          </w:r>
          <w:r>
            <w:fldChar w:fldCharType="separate"/>
          </w:r>
          <w:r>
            <w:t>18</w:t>
          </w:r>
          <w:r>
            <w:fldChar w:fldCharType="end"/>
          </w:r>
          <w:r>
            <w:fldChar w:fldCharType="end"/>
          </w:r>
        </w:p>
        <w:p w14:paraId="6C935E4C">
          <w:pPr>
            <w:pStyle w:val="20"/>
            <w:tabs>
              <w:tab w:val="left" w:pos="1440"/>
              <w:tab w:val="right" w:leader="dot" w:pos="9350"/>
            </w:tabs>
            <w:rPr>
              <w:rFonts w:asciiTheme="minorHAnsi" w:hAnsiTheme="minorHAnsi" w:eastAsiaTheme="minorEastAsia"/>
              <w:lang w:val="en-US"/>
            </w:rPr>
          </w:pPr>
          <w:r>
            <w:fldChar w:fldCharType="begin"/>
          </w:r>
          <w:r>
            <w:instrText xml:space="preserve"> HYPERLINK \l "_Toc231586777" </w:instrText>
          </w:r>
          <w:r>
            <w:fldChar w:fldCharType="separate"/>
          </w:r>
          <w:r>
            <w:rPr>
              <w:rStyle w:val="28"/>
            </w:rPr>
            <w:t>2.5.3</w:t>
          </w:r>
          <w:r>
            <w:rPr>
              <w:rFonts w:asciiTheme="minorHAnsi" w:hAnsiTheme="minorHAnsi" w:eastAsiaTheme="minorEastAsia"/>
              <w:lang w:val="en-US"/>
            </w:rPr>
            <w:tab/>
          </w:r>
          <w:r>
            <w:rPr>
              <w:rStyle w:val="28"/>
            </w:rPr>
            <w:t>Flexible Digital Learning and Inclusion Issues</w:t>
          </w:r>
          <w:r>
            <w:tab/>
          </w:r>
          <w:r>
            <w:fldChar w:fldCharType="begin"/>
          </w:r>
          <w:r>
            <w:instrText xml:space="preserve"> PAGEREF _Toc231586777 \h </w:instrText>
          </w:r>
          <w:r>
            <w:fldChar w:fldCharType="separate"/>
          </w:r>
          <w:r>
            <w:t>18</w:t>
          </w:r>
          <w:r>
            <w:fldChar w:fldCharType="end"/>
          </w:r>
          <w:r>
            <w:fldChar w:fldCharType="end"/>
          </w:r>
        </w:p>
        <w:p w14:paraId="6C958085">
          <w:pPr>
            <w:pStyle w:val="20"/>
            <w:tabs>
              <w:tab w:val="left" w:pos="1440"/>
              <w:tab w:val="right" w:leader="dot" w:pos="9350"/>
            </w:tabs>
            <w:rPr>
              <w:rFonts w:asciiTheme="minorHAnsi" w:hAnsiTheme="minorHAnsi" w:eastAsiaTheme="minorEastAsia"/>
              <w:lang w:val="en-US"/>
            </w:rPr>
          </w:pPr>
          <w:r>
            <w:fldChar w:fldCharType="begin"/>
          </w:r>
          <w:r>
            <w:instrText xml:space="preserve"> HYPERLINK \l "_Toc231586778" </w:instrText>
          </w:r>
          <w:r>
            <w:fldChar w:fldCharType="separate"/>
          </w:r>
          <w:r>
            <w:rPr>
              <w:rStyle w:val="28"/>
            </w:rPr>
            <w:t>2.5.4</w:t>
          </w:r>
          <w:r>
            <w:rPr>
              <w:rFonts w:asciiTheme="minorHAnsi" w:hAnsiTheme="minorHAnsi" w:eastAsiaTheme="minorEastAsia"/>
              <w:lang w:val="en-US"/>
            </w:rPr>
            <w:tab/>
          </w:r>
          <w:r>
            <w:rPr>
              <w:rStyle w:val="28"/>
            </w:rPr>
            <w:t>Digital Knowledge Management and Sustainability</w:t>
          </w:r>
          <w:r>
            <w:tab/>
          </w:r>
          <w:r>
            <w:fldChar w:fldCharType="begin"/>
          </w:r>
          <w:r>
            <w:instrText xml:space="preserve"> PAGEREF _Toc231586778 \h </w:instrText>
          </w:r>
          <w:r>
            <w:fldChar w:fldCharType="separate"/>
          </w:r>
          <w:r>
            <w:t>19</w:t>
          </w:r>
          <w:r>
            <w:fldChar w:fldCharType="end"/>
          </w:r>
          <w:r>
            <w:fldChar w:fldCharType="end"/>
          </w:r>
        </w:p>
        <w:p w14:paraId="3E705259">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"_Toc231586779" </w:instrText>
          </w:r>
          <w:r>
            <w:fldChar w:fldCharType="separate"/>
          </w:r>
          <w:r>
            <w:rPr>
              <w:rStyle w:val="28"/>
            </w:rPr>
            <w:t>2.6</w:t>
          </w:r>
          <w:r>
            <w:rPr>
              <w:rFonts w:asciiTheme="minorHAnsi" w:hAnsiTheme="minorHAnsi" w:eastAsiaTheme="minorEastAsia"/>
              <w:lang w:val="en-US"/>
            </w:rPr>
            <w:tab/>
          </w:r>
          <w:r>
            <w:rPr>
              <w:rStyle w:val="28"/>
            </w:rPr>
            <w:t>Sustainable and Green HRM &amp; Human Capital Development</w:t>
          </w:r>
          <w:r>
            <w:tab/>
          </w:r>
          <w:r>
            <w:fldChar w:fldCharType="begin"/>
          </w:r>
          <w:r>
            <w:instrText xml:space="preserve"> PAGEREF _Toc231586779 \h </w:instrText>
          </w:r>
          <w:r>
            <w:fldChar w:fldCharType="separate"/>
          </w:r>
          <w:r>
            <w:t>20</w:t>
          </w:r>
          <w:r>
            <w:fldChar w:fldCharType="end"/>
          </w:r>
          <w:r>
            <w:fldChar w:fldCharType="end"/>
          </w:r>
        </w:p>
        <w:p w14:paraId="7613E6B0">
          <w:pPr>
            <w:pStyle w:val="20"/>
            <w:tabs>
              <w:tab w:val="left" w:pos="1440"/>
              <w:tab w:val="right" w:leader="dot" w:pos="9350"/>
            </w:tabs>
            <w:rPr>
              <w:rFonts w:asciiTheme="minorHAnsi" w:hAnsiTheme="minorHAnsi" w:eastAsiaTheme="minorEastAsia"/>
              <w:lang w:val="en-US"/>
            </w:rPr>
          </w:pPr>
          <w:r>
            <w:fldChar w:fldCharType="begin"/>
          </w:r>
          <w:r>
            <w:instrText xml:space="preserve"> HYPERLINK \l "_Toc231586780" </w:instrText>
          </w:r>
          <w:r>
            <w:fldChar w:fldCharType="separate"/>
          </w:r>
          <w:r>
            <w:rPr>
              <w:rStyle w:val="28"/>
            </w:rPr>
            <w:t>2.6.1</w:t>
          </w:r>
          <w:r>
            <w:rPr>
              <w:rFonts w:asciiTheme="minorHAnsi" w:hAnsiTheme="minorHAnsi" w:eastAsiaTheme="minorEastAsia"/>
              <w:lang w:val="en-US"/>
            </w:rPr>
            <w:tab/>
          </w:r>
          <w:r>
            <w:rPr>
              <w:rStyle w:val="28"/>
            </w:rPr>
            <w:t>Green HRM and Sustainable Human Capital</w:t>
          </w:r>
          <w:r>
            <w:tab/>
          </w:r>
          <w:r>
            <w:fldChar w:fldCharType="begin"/>
          </w:r>
          <w:r>
            <w:instrText xml:space="preserve"> PAGEREF _Toc231586780 \h </w:instrText>
          </w:r>
          <w:r>
            <w:fldChar w:fldCharType="separate"/>
          </w:r>
          <w:r>
            <w:t>20</w:t>
          </w:r>
          <w:r>
            <w:fldChar w:fldCharType="end"/>
          </w:r>
          <w:r>
            <w:fldChar w:fldCharType="end"/>
          </w:r>
        </w:p>
        <w:p w14:paraId="7485DD47">
          <w:pPr>
            <w:pStyle w:val="20"/>
            <w:tabs>
              <w:tab w:val="left" w:pos="1440"/>
              <w:tab w:val="right" w:leader="dot" w:pos="9350"/>
            </w:tabs>
            <w:rPr>
              <w:rFonts w:asciiTheme="minorHAnsi" w:hAnsiTheme="minorHAnsi" w:eastAsiaTheme="minorEastAsia"/>
              <w:lang w:val="en-US"/>
            </w:rPr>
          </w:pPr>
          <w:r>
            <w:fldChar w:fldCharType="begin"/>
          </w:r>
          <w:r>
            <w:instrText xml:space="preserve"> HYPERLINK \l "_Toc231586781" </w:instrText>
          </w:r>
          <w:r>
            <w:fldChar w:fldCharType="separate"/>
          </w:r>
          <w:r>
            <w:rPr>
              <w:rStyle w:val="28"/>
            </w:rPr>
            <w:t>2.6.2</w:t>
          </w:r>
          <w:r>
            <w:rPr>
              <w:rFonts w:asciiTheme="minorHAnsi" w:hAnsiTheme="minorHAnsi" w:eastAsiaTheme="minorEastAsia"/>
              <w:lang w:val="en-US"/>
            </w:rPr>
            <w:tab/>
          </w:r>
          <w:r>
            <w:rPr>
              <w:rStyle w:val="28"/>
            </w:rPr>
            <w:t>Training, Employee Behaviour and Organisational Performance</w:t>
          </w:r>
          <w:r>
            <w:tab/>
          </w:r>
          <w:r>
            <w:fldChar w:fldCharType="begin"/>
          </w:r>
          <w:r>
            <w:instrText xml:space="preserve"> PAGEREF _Toc231586781 \h </w:instrText>
          </w:r>
          <w:r>
            <w:fldChar w:fldCharType="separate"/>
          </w:r>
          <w:r>
            <w:t>21</w:t>
          </w:r>
          <w:r>
            <w:fldChar w:fldCharType="end"/>
          </w:r>
          <w:r>
            <w:fldChar w:fldCharType="end"/>
          </w:r>
        </w:p>
        <w:p w14:paraId="4E86E9FF">
          <w:pPr>
            <w:pStyle w:val="20"/>
            <w:tabs>
              <w:tab w:val="left" w:pos="1440"/>
              <w:tab w:val="right" w:leader="dot" w:pos="9350"/>
            </w:tabs>
            <w:rPr>
              <w:rFonts w:asciiTheme="minorHAnsi" w:hAnsiTheme="minorHAnsi" w:eastAsiaTheme="minorEastAsia"/>
              <w:lang w:val="en-US"/>
            </w:rPr>
          </w:pPr>
          <w:r>
            <w:fldChar w:fldCharType="begin"/>
          </w:r>
          <w:r>
            <w:instrText xml:space="preserve"> HYPERLINK \l "_Toc231586782" </w:instrText>
          </w:r>
          <w:r>
            <w:fldChar w:fldCharType="separate"/>
          </w:r>
          <w:r>
            <w:rPr>
              <w:rStyle w:val="28"/>
            </w:rPr>
            <w:t>2.6.3</w:t>
          </w:r>
          <w:r>
            <w:rPr>
              <w:rFonts w:asciiTheme="minorHAnsi" w:hAnsiTheme="minorHAnsi" w:eastAsiaTheme="minorEastAsia"/>
              <w:lang w:val="en-US"/>
            </w:rPr>
            <w:tab/>
          </w:r>
          <w:r>
            <w:rPr>
              <w:rStyle w:val="28"/>
            </w:rPr>
            <w:t>Digitalisation, Wellbeing and Sustainability Challenges</w:t>
          </w:r>
          <w:r>
            <w:tab/>
          </w:r>
          <w:r>
            <w:fldChar w:fldCharType="begin"/>
          </w:r>
          <w:r>
            <w:instrText xml:space="preserve"> PAGEREF _Toc231586782 \h </w:instrText>
          </w:r>
          <w:r>
            <w:fldChar w:fldCharType="separate"/>
          </w:r>
          <w:r>
            <w:t>22</w:t>
          </w:r>
          <w:r>
            <w:fldChar w:fldCharType="end"/>
          </w:r>
          <w:r>
            <w:fldChar w:fldCharType="end"/>
          </w:r>
        </w:p>
        <w:p w14:paraId="28CBC98F">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"_Toc231586783" </w:instrText>
          </w:r>
          <w:r>
            <w:fldChar w:fldCharType="separate"/>
          </w:r>
          <w:r>
            <w:rPr>
              <w:rStyle w:val="28"/>
            </w:rPr>
            <w:t>2.7</w:t>
          </w:r>
          <w:r>
            <w:rPr>
              <w:rFonts w:asciiTheme="minorHAnsi" w:hAnsiTheme="minorHAnsi" w:eastAsiaTheme="minorEastAsia"/>
              <w:lang w:val="en-US"/>
            </w:rPr>
            <w:tab/>
          </w:r>
          <w:r>
            <w:rPr>
              <w:rStyle w:val="28"/>
            </w:rPr>
            <w:t>Training and Development in Multinational Context</w:t>
          </w:r>
          <w:r>
            <w:tab/>
          </w:r>
          <w:r>
            <w:fldChar w:fldCharType="begin"/>
          </w:r>
          <w:r>
            <w:instrText xml:space="preserve"> PAGEREF _Toc231586783 \h </w:instrText>
          </w:r>
          <w:r>
            <w:fldChar w:fldCharType="separate"/>
          </w:r>
          <w:r>
            <w:t>23</w:t>
          </w:r>
          <w:r>
            <w:fldChar w:fldCharType="end"/>
          </w:r>
          <w:r>
            <w:fldChar w:fldCharType="end"/>
          </w:r>
        </w:p>
        <w:p w14:paraId="2D003856">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"_Toc231586784" </w:instrText>
          </w:r>
          <w:r>
            <w:fldChar w:fldCharType="separate"/>
          </w:r>
          <w:r>
            <w:rPr>
              <w:rStyle w:val="28"/>
            </w:rPr>
            <w:t>2.8</w:t>
          </w:r>
          <w:r>
            <w:rPr>
              <w:rFonts w:asciiTheme="minorHAnsi" w:hAnsiTheme="minorHAnsi" w:eastAsiaTheme="minorEastAsia"/>
              <w:lang w:val="en-US"/>
            </w:rPr>
            <w:tab/>
          </w:r>
          <w:r>
            <w:rPr>
              <w:rStyle w:val="28"/>
            </w:rPr>
            <w:t>Theoretical Framework</w:t>
          </w:r>
          <w:r>
            <w:tab/>
          </w:r>
          <w:r>
            <w:fldChar w:fldCharType="begin"/>
          </w:r>
          <w:r>
            <w:instrText xml:space="preserve"> PAGEREF _Toc231586784 \h </w:instrText>
          </w:r>
          <w:r>
            <w:fldChar w:fldCharType="separate"/>
          </w:r>
          <w:r>
            <w:t>25</w:t>
          </w:r>
          <w:r>
            <w:fldChar w:fldCharType="end"/>
          </w:r>
          <w:r>
            <w:fldChar w:fldCharType="end"/>
          </w:r>
        </w:p>
        <w:p w14:paraId="7C7DF65B">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"_Toc231586785" </w:instrText>
          </w:r>
          <w:r>
            <w:fldChar w:fldCharType="separate"/>
          </w:r>
          <w:r>
            <w:rPr>
              <w:rStyle w:val="28"/>
            </w:rPr>
            <w:t>2.9</w:t>
          </w:r>
          <w:r>
            <w:rPr>
              <w:rFonts w:asciiTheme="minorHAnsi" w:hAnsiTheme="minorHAnsi" w:eastAsiaTheme="minorEastAsia"/>
              <w:lang w:val="en-US"/>
            </w:rPr>
            <w:tab/>
          </w:r>
          <w:r>
            <w:rPr>
              <w:rStyle w:val="28"/>
            </w:rPr>
            <w:t>Research Gap</w:t>
          </w:r>
          <w:r>
            <w:tab/>
          </w:r>
          <w:r>
            <w:fldChar w:fldCharType="begin"/>
          </w:r>
          <w:r>
            <w:instrText xml:space="preserve"> PAGEREF _Toc231586785 \h </w:instrText>
          </w:r>
          <w:r>
            <w:fldChar w:fldCharType="separate"/>
          </w:r>
          <w:r>
            <w:t>26</w:t>
          </w:r>
          <w:r>
            <w:fldChar w:fldCharType="end"/>
          </w:r>
          <w:r>
            <w:fldChar w:fldCharType="end"/>
          </w:r>
        </w:p>
        <w:p w14:paraId="07610D54">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"_Toc231586786" </w:instrText>
          </w:r>
          <w:r>
            <w:fldChar w:fldCharType="separate"/>
          </w:r>
          <w:r>
            <w:rPr>
              <w:rStyle w:val="28"/>
            </w:rPr>
            <w:t>2.10</w:t>
          </w:r>
          <w:r>
            <w:rPr>
              <w:rFonts w:asciiTheme="minorHAnsi" w:hAnsiTheme="minorHAnsi" w:eastAsiaTheme="minorEastAsia"/>
              <w:lang w:val="en-US"/>
            </w:rPr>
            <w:tab/>
          </w:r>
          <w:r>
            <w:rPr>
              <w:rStyle w:val="28"/>
            </w:rPr>
            <w:t>Research Questions</w:t>
          </w:r>
          <w:r>
            <w:tab/>
          </w:r>
          <w:r>
            <w:fldChar w:fldCharType="begin"/>
          </w:r>
          <w:r>
            <w:instrText xml:space="preserve"> PAGEREF _Toc231586786 \h </w:instrText>
          </w:r>
          <w:r>
            <w:fldChar w:fldCharType="separate"/>
          </w:r>
          <w:r>
            <w:t>26</w:t>
          </w:r>
          <w:r>
            <w:fldChar w:fldCharType="end"/>
          </w:r>
          <w:r>
            <w:fldChar w:fldCharType="end"/>
          </w:r>
        </w:p>
        <w:p w14:paraId="31490431">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"_Toc231586787" </w:instrText>
          </w:r>
          <w:r>
            <w:fldChar w:fldCharType="separate"/>
          </w:r>
          <w:r>
            <w:rPr>
              <w:rStyle w:val="28"/>
            </w:rPr>
            <w:t>2.11</w:t>
          </w:r>
          <w:r>
            <w:rPr>
              <w:rFonts w:asciiTheme="minorHAnsi" w:hAnsiTheme="minorHAnsi" w:eastAsiaTheme="minorEastAsia"/>
              <w:lang w:val="en-US"/>
            </w:rPr>
            <w:tab/>
          </w:r>
          <w:r>
            <w:rPr>
              <w:rStyle w:val="28"/>
            </w:rPr>
            <w:t>Conclusion</w:t>
          </w:r>
          <w:r>
            <w:tab/>
          </w:r>
          <w:r>
            <w:fldChar w:fldCharType="begin"/>
          </w:r>
          <w:r>
            <w:instrText xml:space="preserve"> PAGEREF _Toc231586787 \h </w:instrText>
          </w:r>
          <w:r>
            <w:fldChar w:fldCharType="separate"/>
          </w:r>
          <w:r>
            <w:t>26</w:t>
          </w:r>
          <w:r>
            <w:fldChar w:fldCharType="end"/>
          </w:r>
          <w:r>
            <w:fldChar w:fldCharType="end"/>
          </w:r>
        </w:p>
        <w:p w14:paraId="593299E0">
          <w:pPr>
            <w:pStyle w:val="18"/>
            <w:tabs>
              <w:tab w:val="left" w:pos="480"/>
              <w:tab w:val="right" w:leader="dot" w:pos="9350"/>
            </w:tabs>
            <w:rPr>
              <w:rFonts w:asciiTheme="minorHAnsi" w:hAnsiTheme="minorHAnsi" w:eastAsiaTheme="minorEastAsia"/>
              <w:lang w:val="en-US"/>
            </w:rPr>
          </w:pPr>
          <w:r>
            <w:fldChar w:fldCharType="begin"/>
          </w:r>
          <w:r>
            <w:instrText xml:space="preserve"> HYPERLINK \l "_Toc231586788" </w:instrText>
          </w:r>
          <w:r>
            <w:fldChar w:fldCharType="separate"/>
          </w:r>
          <w:r>
            <w:rPr>
              <w:rStyle w:val="28"/>
            </w:rPr>
            <w:t>3</w:t>
          </w:r>
          <w:r>
            <w:rPr>
              <w:rFonts w:asciiTheme="minorHAnsi" w:hAnsiTheme="minorHAnsi" w:eastAsiaTheme="minorEastAsia"/>
              <w:lang w:val="en-US"/>
            </w:rPr>
            <w:tab/>
          </w:r>
          <w:r>
            <w:rPr>
              <w:rStyle w:val="28"/>
            </w:rPr>
            <w:t>Methodology</w:t>
          </w:r>
          <w:r>
            <w:tab/>
          </w:r>
          <w:r>
            <w:fldChar w:fldCharType="begin"/>
          </w:r>
          <w:r>
            <w:instrText xml:space="preserve"> PAGEREF _Toc231586788 \h </w:instrText>
          </w:r>
          <w:r>
            <w:fldChar w:fldCharType="separate"/>
          </w:r>
          <w:r>
            <w:t>27</w:t>
          </w:r>
          <w:r>
            <w:fldChar w:fldCharType="end"/>
          </w:r>
          <w:r>
            <w:fldChar w:fldCharType="end"/>
          </w:r>
        </w:p>
        <w:p w14:paraId="05460A8F">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"_Toc231586789" </w:instrText>
          </w:r>
          <w:r>
            <w:fldChar w:fldCharType="separate"/>
          </w:r>
          <w:r>
            <w:rPr>
              <w:rStyle w:val="28"/>
            </w:rPr>
            <w:t>3.1</w:t>
          </w:r>
          <w:r>
            <w:rPr>
              <w:rFonts w:asciiTheme="minorHAnsi" w:hAnsiTheme="minorHAnsi" w:eastAsiaTheme="minorEastAsia"/>
              <w:lang w:val="en-US"/>
            </w:rPr>
            <w:tab/>
          </w:r>
          <w:r>
            <w:rPr>
              <w:rStyle w:val="28"/>
            </w:rPr>
            <w:t>Introduction</w:t>
          </w:r>
          <w:r>
            <w:tab/>
          </w:r>
          <w:r>
            <w:fldChar w:fldCharType="begin"/>
          </w:r>
          <w:r>
            <w:instrText xml:space="preserve"> PAGEREF _Toc231586789 \h </w:instrText>
          </w:r>
          <w:r>
            <w:fldChar w:fldCharType="separate"/>
          </w:r>
          <w:r>
            <w:t>27</w:t>
          </w:r>
          <w:r>
            <w:fldChar w:fldCharType="end"/>
          </w:r>
          <w:r>
            <w:fldChar w:fldCharType="end"/>
          </w:r>
        </w:p>
        <w:p w14:paraId="6B0FBDCE">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"_Toc231586790" </w:instrText>
          </w:r>
          <w:r>
            <w:fldChar w:fldCharType="separate"/>
          </w:r>
          <w:r>
            <w:rPr>
              <w:rStyle w:val="28"/>
            </w:rPr>
            <w:t>3.2</w:t>
          </w:r>
          <w:r>
            <w:rPr>
              <w:rFonts w:asciiTheme="minorHAnsi" w:hAnsiTheme="minorHAnsi" w:eastAsiaTheme="minorEastAsia"/>
              <w:lang w:val="en-US"/>
            </w:rPr>
            <w:tab/>
          </w:r>
          <w:r>
            <w:rPr>
              <w:rStyle w:val="28"/>
            </w:rPr>
            <w:t>Research Philosophy, Approach, and Design</w:t>
          </w:r>
          <w:r>
            <w:tab/>
          </w:r>
          <w:r>
            <w:fldChar w:fldCharType="begin"/>
          </w:r>
          <w:r>
            <w:instrText xml:space="preserve"> PAGEREF _Toc231586790 \h </w:instrText>
          </w:r>
          <w:r>
            <w:fldChar w:fldCharType="separate"/>
          </w:r>
          <w:r>
            <w:t>27</w:t>
          </w:r>
          <w:r>
            <w:fldChar w:fldCharType="end"/>
          </w:r>
          <w:r>
            <w:fldChar w:fldCharType="end"/>
          </w:r>
        </w:p>
        <w:p w14:paraId="55F167F8">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"_Toc231586791" </w:instrText>
          </w:r>
          <w:r>
            <w:fldChar w:fldCharType="separate"/>
          </w:r>
          <w:r>
            <w:rPr>
              <w:rStyle w:val="28"/>
            </w:rPr>
            <w:t>3.3</w:t>
          </w:r>
          <w:r>
            <w:rPr>
              <w:rFonts w:asciiTheme="minorHAnsi" w:hAnsiTheme="minorHAnsi" w:eastAsiaTheme="minorEastAsia"/>
              <w:lang w:val="en-US"/>
            </w:rPr>
            <w:tab/>
          </w:r>
          <w:r>
            <w:rPr>
              <w:rStyle w:val="28"/>
            </w:rPr>
            <w:t>Justification for Case Study Methodology</w:t>
          </w:r>
          <w:r>
            <w:tab/>
          </w:r>
          <w:r>
            <w:fldChar w:fldCharType="begin"/>
          </w:r>
          <w:r>
            <w:instrText xml:space="preserve"> PAGEREF _Toc231586791 \h </w:instrText>
          </w:r>
          <w:r>
            <w:fldChar w:fldCharType="separate"/>
          </w:r>
          <w:r>
            <w:t>28</w:t>
          </w:r>
          <w:r>
            <w:fldChar w:fldCharType="end"/>
          </w:r>
          <w:r>
            <w:fldChar w:fldCharType="end"/>
          </w:r>
        </w:p>
        <w:p w14:paraId="292E70BC">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"_Toc231586792" </w:instrText>
          </w:r>
          <w:r>
            <w:fldChar w:fldCharType="separate"/>
          </w:r>
          <w:r>
            <w:rPr>
              <w:rStyle w:val="28"/>
            </w:rPr>
            <w:t>3.4</w:t>
          </w:r>
          <w:r>
            <w:rPr>
              <w:rFonts w:asciiTheme="minorHAnsi" w:hAnsiTheme="minorHAnsi" w:eastAsiaTheme="minorEastAsia"/>
              <w:lang w:val="en-US"/>
            </w:rPr>
            <w:tab/>
          </w:r>
          <w:r>
            <w:rPr>
              <w:rStyle w:val="28"/>
            </w:rPr>
            <w:t>Case Selection and Sampling Strategy</w:t>
          </w:r>
          <w:r>
            <w:tab/>
          </w:r>
          <w:r>
            <w:fldChar w:fldCharType="begin"/>
          </w:r>
          <w:r>
            <w:instrText xml:space="preserve"> PAGEREF _Toc231586792 \h </w:instrText>
          </w:r>
          <w:r>
            <w:fldChar w:fldCharType="separate"/>
          </w:r>
          <w:r>
            <w:t>29</w:t>
          </w:r>
          <w:r>
            <w:fldChar w:fldCharType="end"/>
          </w:r>
          <w:r>
            <w:fldChar w:fldCharType="end"/>
          </w:r>
        </w:p>
        <w:p w14:paraId="75A79564">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"_Toc231586793" </w:instrText>
          </w:r>
          <w:r>
            <w:fldChar w:fldCharType="separate"/>
          </w:r>
          <w:r>
            <w:rPr>
              <w:rStyle w:val="28"/>
            </w:rPr>
            <w:t>3.5</w:t>
          </w:r>
          <w:r>
            <w:rPr>
              <w:rFonts w:asciiTheme="minorHAnsi" w:hAnsiTheme="minorHAnsi" w:eastAsiaTheme="minorEastAsia"/>
              <w:lang w:val="en-US"/>
            </w:rPr>
            <w:tab/>
          </w:r>
          <w:r>
            <w:rPr>
              <w:rStyle w:val="28"/>
            </w:rPr>
            <w:t>Data Search Strategy</w:t>
          </w:r>
          <w:r>
            <w:tab/>
          </w:r>
          <w:r>
            <w:fldChar w:fldCharType="begin"/>
          </w:r>
          <w:r>
            <w:instrText xml:space="preserve"> PAGEREF _Toc231586793 \h </w:instrText>
          </w:r>
          <w:r>
            <w:fldChar w:fldCharType="separate"/>
          </w:r>
          <w:r>
            <w:t>30</w:t>
          </w:r>
          <w:r>
            <w:fldChar w:fldCharType="end"/>
          </w:r>
          <w:r>
            <w:fldChar w:fldCharType="end"/>
          </w:r>
        </w:p>
        <w:p w14:paraId="391B06E7">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"_Toc231586794" </w:instrText>
          </w:r>
          <w:r>
            <w:fldChar w:fldCharType="separate"/>
          </w:r>
          <w:r>
            <w:rPr>
              <w:rStyle w:val="28"/>
            </w:rPr>
            <w:t>3.6</w:t>
          </w:r>
          <w:r>
            <w:rPr>
              <w:rFonts w:asciiTheme="minorHAnsi" w:hAnsiTheme="minorHAnsi" w:eastAsiaTheme="minorEastAsia"/>
              <w:lang w:val="en-US"/>
            </w:rPr>
            <w:tab/>
          </w:r>
          <w:r>
            <w:rPr>
              <w:rStyle w:val="28"/>
            </w:rPr>
            <w:t>Inclusion and Exclusion Criteria</w:t>
          </w:r>
          <w:r>
            <w:tab/>
          </w:r>
          <w:r>
            <w:fldChar w:fldCharType="begin"/>
          </w:r>
          <w:r>
            <w:instrText xml:space="preserve"> PAGEREF _Toc231586794 \h </w:instrText>
          </w:r>
          <w:r>
            <w:fldChar w:fldCharType="separate"/>
          </w:r>
          <w:r>
            <w:t>31</w:t>
          </w:r>
          <w:r>
            <w:fldChar w:fldCharType="end"/>
          </w:r>
          <w:r>
            <w:fldChar w:fldCharType="end"/>
          </w:r>
        </w:p>
        <w:p w14:paraId="5CE4A335">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"_Toc231586795" </w:instrText>
          </w:r>
          <w:r>
            <w:fldChar w:fldCharType="separate"/>
          </w:r>
          <w:r>
            <w:rPr>
              <w:rStyle w:val="28"/>
            </w:rPr>
            <w:t>3.7</w:t>
          </w:r>
          <w:r>
            <w:rPr>
              <w:rFonts w:asciiTheme="minorHAnsi" w:hAnsiTheme="minorHAnsi" w:eastAsiaTheme="minorEastAsia"/>
              <w:lang w:val="en-US"/>
            </w:rPr>
            <w:tab/>
          </w:r>
          <w:r>
            <w:rPr>
              <w:rStyle w:val="28"/>
            </w:rPr>
            <w:t>Article Screening and Selection Process</w:t>
          </w:r>
          <w:r>
            <w:tab/>
          </w:r>
          <w:r>
            <w:fldChar w:fldCharType="begin"/>
          </w:r>
          <w:r>
            <w:instrText xml:space="preserve"> PAGEREF _Toc231586795 \h </w:instrText>
          </w:r>
          <w:r>
            <w:fldChar w:fldCharType="separate"/>
          </w:r>
          <w:r>
            <w:t>32</w:t>
          </w:r>
          <w:r>
            <w:fldChar w:fldCharType="end"/>
          </w:r>
          <w:r>
            <w:fldChar w:fldCharType="end"/>
          </w:r>
        </w:p>
        <w:p w14:paraId="4A56198C">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"_Toc231586796" </w:instrText>
          </w:r>
          <w:r>
            <w:fldChar w:fldCharType="separate"/>
          </w:r>
          <w:r>
            <w:rPr>
              <w:rStyle w:val="28"/>
            </w:rPr>
            <w:t>3.8</w:t>
          </w:r>
          <w:r>
            <w:rPr>
              <w:rFonts w:asciiTheme="minorHAnsi" w:hAnsiTheme="minorHAnsi" w:eastAsiaTheme="minorEastAsia"/>
              <w:lang w:val="en-US"/>
            </w:rPr>
            <w:tab/>
          </w:r>
          <w:r>
            <w:rPr>
              <w:rStyle w:val="28"/>
            </w:rPr>
            <w:t>Data Sources and Data Collection</w:t>
          </w:r>
          <w:r>
            <w:tab/>
          </w:r>
          <w:r>
            <w:fldChar w:fldCharType="begin"/>
          </w:r>
          <w:r>
            <w:instrText xml:space="preserve"> PAGEREF _Toc231586796 \h </w:instrText>
          </w:r>
          <w:r>
            <w:fldChar w:fldCharType="separate"/>
          </w:r>
          <w:r>
            <w:t>33</w:t>
          </w:r>
          <w:r>
            <w:fldChar w:fldCharType="end"/>
          </w:r>
          <w:r>
            <w:fldChar w:fldCharType="end"/>
          </w:r>
        </w:p>
        <w:p w14:paraId="641EDBE9">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"_Toc231586797" </w:instrText>
          </w:r>
          <w:r>
            <w:fldChar w:fldCharType="separate"/>
          </w:r>
          <w:r>
            <w:rPr>
              <w:rStyle w:val="28"/>
            </w:rPr>
            <w:t>3.9</w:t>
          </w:r>
          <w:r>
            <w:rPr>
              <w:rFonts w:asciiTheme="minorHAnsi" w:hAnsiTheme="minorHAnsi" w:eastAsiaTheme="minorEastAsia"/>
              <w:lang w:val="en-US"/>
            </w:rPr>
            <w:tab/>
          </w:r>
          <w:r>
            <w:rPr>
              <w:rStyle w:val="28"/>
            </w:rPr>
            <w:t>Data Analysis Approach</w:t>
          </w:r>
          <w:r>
            <w:tab/>
          </w:r>
          <w:r>
            <w:fldChar w:fldCharType="begin"/>
          </w:r>
          <w:r>
            <w:instrText xml:space="preserve"> PAGEREF _Toc231586797 \h </w:instrText>
          </w:r>
          <w:r>
            <w:fldChar w:fldCharType="separate"/>
          </w:r>
          <w:r>
            <w:t>34</w:t>
          </w:r>
          <w:r>
            <w:fldChar w:fldCharType="end"/>
          </w:r>
          <w:r>
            <w:fldChar w:fldCharType="end"/>
          </w:r>
        </w:p>
        <w:p w14:paraId="0EE76180">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"_Toc231586798" </w:instrText>
          </w:r>
          <w:r>
            <w:fldChar w:fldCharType="separate"/>
          </w:r>
          <w:r>
            <w:rPr>
              <w:rStyle w:val="28"/>
            </w:rPr>
            <w:t>3.10</w:t>
          </w:r>
          <w:r>
            <w:rPr>
              <w:rFonts w:asciiTheme="minorHAnsi" w:hAnsiTheme="minorHAnsi" w:eastAsiaTheme="minorEastAsia"/>
              <w:lang w:val="en-US"/>
            </w:rPr>
            <w:tab/>
          </w:r>
          <w:r>
            <w:rPr>
              <w:rStyle w:val="28"/>
            </w:rPr>
            <w:t>Research Quality and Rigour</w:t>
          </w:r>
          <w:r>
            <w:tab/>
          </w:r>
          <w:r>
            <w:fldChar w:fldCharType="begin"/>
          </w:r>
          <w:r>
            <w:instrText xml:space="preserve"> PAGEREF _Toc231586798 \h </w:instrText>
          </w:r>
          <w:r>
            <w:fldChar w:fldCharType="separate"/>
          </w:r>
          <w:r>
            <w:t>35</w:t>
          </w:r>
          <w:r>
            <w:fldChar w:fldCharType="end"/>
          </w:r>
          <w:r>
            <w:fldChar w:fldCharType="end"/>
          </w:r>
        </w:p>
        <w:p w14:paraId="5D941589">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"_Toc231586799" </w:instrText>
          </w:r>
          <w:r>
            <w:fldChar w:fldCharType="separate"/>
          </w:r>
          <w:r>
            <w:rPr>
              <w:rStyle w:val="28"/>
            </w:rPr>
            <w:t>3.11</w:t>
          </w:r>
          <w:r>
            <w:rPr>
              <w:rFonts w:asciiTheme="minorHAnsi" w:hAnsiTheme="minorHAnsi" w:eastAsiaTheme="minorEastAsia"/>
              <w:lang w:val="en-US"/>
            </w:rPr>
            <w:tab/>
          </w:r>
          <w:r>
            <w:rPr>
              <w:rStyle w:val="28"/>
            </w:rPr>
            <w:t>Ethical Considerations</w:t>
          </w:r>
          <w:r>
            <w:tab/>
          </w:r>
          <w:r>
            <w:fldChar w:fldCharType="begin"/>
          </w:r>
          <w:r>
            <w:instrText xml:space="preserve"> PAGEREF _Toc231586799 \h </w:instrText>
          </w:r>
          <w:r>
            <w:fldChar w:fldCharType="separate"/>
          </w:r>
          <w:r>
            <w:t>35</w:t>
          </w:r>
          <w:r>
            <w:fldChar w:fldCharType="end"/>
          </w:r>
          <w:r>
            <w:fldChar w:fldCharType="end"/>
          </w:r>
        </w:p>
        <w:p w14:paraId="150AFECA">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"_Toc231586800" </w:instrText>
          </w:r>
          <w:r>
            <w:fldChar w:fldCharType="separate"/>
          </w:r>
          <w:r>
            <w:rPr>
              <w:rStyle w:val="28"/>
            </w:rPr>
            <w:t>3.12</w:t>
          </w:r>
          <w:r>
            <w:rPr>
              <w:rFonts w:asciiTheme="minorHAnsi" w:hAnsiTheme="minorHAnsi" w:eastAsiaTheme="minorEastAsia"/>
              <w:lang w:val="en-US"/>
            </w:rPr>
            <w:tab/>
          </w:r>
          <w:r>
            <w:rPr>
              <w:rStyle w:val="28"/>
            </w:rPr>
            <w:t>Chapter Summary</w:t>
          </w:r>
          <w:r>
            <w:tab/>
          </w:r>
          <w:r>
            <w:fldChar w:fldCharType="begin"/>
          </w:r>
          <w:r>
            <w:instrText xml:space="preserve"> PAGEREF _Toc231586800 \h </w:instrText>
          </w:r>
          <w:r>
            <w:fldChar w:fldCharType="separate"/>
          </w:r>
          <w:r>
            <w:t>36</w:t>
          </w:r>
          <w:r>
            <w:fldChar w:fldCharType="end"/>
          </w:r>
          <w:r>
            <w:fldChar w:fldCharType="end"/>
          </w:r>
        </w:p>
        <w:p w14:paraId="61DD52F0">
          <w:pPr>
            <w:pStyle w:val="18"/>
            <w:tabs>
              <w:tab w:val="left" w:pos="480"/>
              <w:tab w:val="right" w:leader="dot" w:pos="9350"/>
            </w:tabs>
            <w:rPr>
              <w:rFonts w:asciiTheme="minorHAnsi" w:hAnsiTheme="minorHAnsi" w:eastAsiaTheme="minorEastAsia"/>
              <w:lang w:val="en-US"/>
            </w:rPr>
          </w:pPr>
          <w:r>
            <w:fldChar w:fldCharType="begin"/>
          </w:r>
          <w:r>
            <w:instrText xml:space="preserve"> HYPERLINK \l "_Toc231586801" </w:instrText>
          </w:r>
          <w:r>
            <w:fldChar w:fldCharType="separate"/>
          </w:r>
          <w:r>
            <w:rPr>
              <w:rStyle w:val="28"/>
            </w:rPr>
            <w:t>4</w:t>
          </w:r>
          <w:r>
            <w:rPr>
              <w:rFonts w:asciiTheme="minorHAnsi" w:hAnsiTheme="minorHAnsi" w:eastAsiaTheme="minorEastAsia"/>
              <w:lang w:val="en-US"/>
            </w:rPr>
            <w:tab/>
          </w:r>
          <w:r>
            <w:rPr>
              <w:rStyle w:val="28"/>
            </w:rPr>
            <w:t>Findings and Analysis</w:t>
          </w:r>
          <w:r>
            <w:tab/>
          </w:r>
          <w:r>
            <w:fldChar w:fldCharType="begin"/>
          </w:r>
          <w:r>
            <w:instrText xml:space="preserve"> PAGEREF _Toc231586801 \h </w:instrText>
          </w:r>
          <w:r>
            <w:fldChar w:fldCharType="separate"/>
          </w:r>
          <w:r>
            <w:t>37</w:t>
          </w:r>
          <w:r>
            <w:fldChar w:fldCharType="end"/>
          </w:r>
          <w:r>
            <w:fldChar w:fldCharType="end"/>
          </w:r>
        </w:p>
        <w:p w14:paraId="02C3ACF0">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"_Toc231586802" </w:instrText>
          </w:r>
          <w:r>
            <w:fldChar w:fldCharType="separate"/>
          </w:r>
          <w:r>
            <w:rPr>
              <w:rStyle w:val="28"/>
            </w:rPr>
            <w:t>4.1</w:t>
          </w:r>
          <w:r>
            <w:rPr>
              <w:rFonts w:asciiTheme="minorHAnsi" w:hAnsiTheme="minorHAnsi" w:eastAsiaTheme="minorEastAsia"/>
              <w:lang w:val="en-US"/>
            </w:rPr>
            <w:tab/>
          </w:r>
          <w:r>
            <w:rPr>
              <w:rStyle w:val="28"/>
            </w:rPr>
            <w:t>Introduction</w:t>
          </w:r>
          <w:r>
            <w:tab/>
          </w:r>
          <w:r>
            <w:fldChar w:fldCharType="begin"/>
          </w:r>
          <w:r>
            <w:instrText xml:space="preserve"> PAGEREF _Toc231586802 \h </w:instrText>
          </w:r>
          <w:r>
            <w:fldChar w:fldCharType="separate"/>
          </w:r>
          <w:r>
            <w:t>37</w:t>
          </w:r>
          <w:r>
            <w:fldChar w:fldCharType="end"/>
          </w:r>
          <w:r>
            <w:fldChar w:fldCharType="end"/>
          </w:r>
        </w:p>
        <w:p w14:paraId="27CE2E4F">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"_Toc231586803" </w:instrText>
          </w:r>
          <w:r>
            <w:fldChar w:fldCharType="separate"/>
          </w:r>
          <w:r>
            <w:rPr>
              <w:rStyle w:val="28"/>
            </w:rPr>
            <w:t>4.2</w:t>
          </w:r>
          <w:r>
            <w:rPr>
              <w:rFonts w:asciiTheme="minorHAnsi" w:hAnsiTheme="minorHAnsi" w:eastAsiaTheme="minorEastAsia"/>
              <w:lang w:val="en-US"/>
            </w:rPr>
            <w:tab/>
          </w:r>
          <w:r>
            <w:rPr>
              <w:rStyle w:val="28"/>
            </w:rPr>
            <w:t>Theme 1: Sustainable HRM and Employee Development</w:t>
          </w:r>
          <w:r>
            <w:tab/>
          </w:r>
          <w:r>
            <w:fldChar w:fldCharType="begin"/>
          </w:r>
          <w:r>
            <w:instrText xml:space="preserve"> PAGEREF _Toc231586803 \h </w:instrText>
          </w:r>
          <w:r>
            <w:fldChar w:fldCharType="separate"/>
          </w:r>
          <w:r>
            <w:t>37</w:t>
          </w:r>
          <w:r>
            <w:fldChar w:fldCharType="end"/>
          </w:r>
          <w:r>
            <w:fldChar w:fldCharType="end"/>
          </w:r>
        </w:p>
        <w:p w14:paraId="2BD34C3E">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"_Toc231586804" </w:instrText>
          </w:r>
          <w:r>
            <w:fldChar w:fldCharType="separate"/>
          </w:r>
          <w:r>
            <w:rPr>
              <w:rStyle w:val="28"/>
            </w:rPr>
            <w:t>4.3</w:t>
          </w:r>
          <w:r>
            <w:rPr>
              <w:rFonts w:asciiTheme="minorHAnsi" w:hAnsiTheme="minorHAnsi" w:eastAsiaTheme="minorEastAsia"/>
              <w:lang w:val="en-US"/>
            </w:rPr>
            <w:tab/>
          </w:r>
          <w:r>
            <w:rPr>
              <w:rStyle w:val="28"/>
            </w:rPr>
            <w:t>Theme 2: Digital Transformation, Innovation and Organisational Competitiveness</w:t>
          </w:r>
          <w:r>
            <w:tab/>
          </w:r>
          <w:r>
            <w:fldChar w:fldCharType="begin"/>
          </w:r>
          <w:r>
            <w:instrText xml:space="preserve"> PAGEREF _Toc231586804 \h </w:instrText>
          </w:r>
          <w:r>
            <w:fldChar w:fldCharType="separate"/>
          </w:r>
          <w:r>
            <w:t>40</w:t>
          </w:r>
          <w:r>
            <w:fldChar w:fldCharType="end"/>
          </w:r>
          <w:r>
            <w:fldChar w:fldCharType="end"/>
          </w:r>
        </w:p>
        <w:p w14:paraId="6420B233">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"_Toc231586805" </w:instrText>
          </w:r>
          <w:r>
            <w:fldChar w:fldCharType="separate"/>
          </w:r>
          <w:r>
            <w:rPr>
              <w:rStyle w:val="28"/>
            </w:rPr>
            <w:t>4.4</w:t>
          </w:r>
          <w:r>
            <w:rPr>
              <w:rFonts w:asciiTheme="minorHAnsi" w:hAnsiTheme="minorHAnsi" w:eastAsiaTheme="minorEastAsia"/>
              <w:lang w:val="en-US"/>
            </w:rPr>
            <w:tab/>
          </w:r>
          <w:r>
            <w:rPr>
              <w:rStyle w:val="28"/>
            </w:rPr>
            <w:t>Theme 3: Employee Engagement, Organisational Culture and Leadership</w:t>
          </w:r>
          <w:r>
            <w:tab/>
          </w:r>
          <w:r>
            <w:fldChar w:fldCharType="begin"/>
          </w:r>
          <w:r>
            <w:instrText xml:space="preserve"> PAGEREF _Toc231586805 \h </w:instrText>
          </w:r>
          <w:r>
            <w:fldChar w:fldCharType="separate"/>
          </w:r>
          <w:r>
            <w:t>44</w:t>
          </w:r>
          <w:r>
            <w:fldChar w:fldCharType="end"/>
          </w:r>
          <w:r>
            <w:fldChar w:fldCharType="end"/>
          </w:r>
        </w:p>
        <w:p w14:paraId="556139E6">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"_Toc231586806" </w:instrText>
          </w:r>
          <w:r>
            <w:fldChar w:fldCharType="separate"/>
          </w:r>
          <w:r>
            <w:rPr>
              <w:rStyle w:val="28"/>
            </w:rPr>
            <w:t>4.5</w:t>
          </w:r>
          <w:r>
            <w:rPr>
              <w:rFonts w:asciiTheme="minorHAnsi" w:hAnsiTheme="minorHAnsi" w:eastAsiaTheme="minorEastAsia"/>
              <w:lang w:val="en-US"/>
            </w:rPr>
            <w:tab/>
          </w:r>
          <w:r>
            <w:rPr>
              <w:rStyle w:val="28"/>
            </w:rPr>
            <w:t>Theme 4: Sustainability, Green Practices and Organisational Performance</w:t>
          </w:r>
          <w:r>
            <w:tab/>
          </w:r>
          <w:r>
            <w:fldChar w:fldCharType="begin"/>
          </w:r>
          <w:r>
            <w:instrText xml:space="preserve"> PAGEREF _Toc231586806 \h </w:instrText>
          </w:r>
          <w:r>
            <w:fldChar w:fldCharType="separate"/>
          </w:r>
          <w:r>
            <w:t>47</w:t>
          </w:r>
          <w:r>
            <w:fldChar w:fldCharType="end"/>
          </w:r>
          <w:r>
            <w:fldChar w:fldCharType="end"/>
          </w:r>
        </w:p>
        <w:p w14:paraId="0DF71190">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"_Toc231586807" </w:instrText>
          </w:r>
          <w:r>
            <w:fldChar w:fldCharType="separate"/>
          </w:r>
          <w:r>
            <w:rPr>
              <w:rStyle w:val="28"/>
            </w:rPr>
            <w:t>4.6</w:t>
          </w:r>
          <w:r>
            <w:rPr>
              <w:rFonts w:asciiTheme="minorHAnsi" w:hAnsiTheme="minorHAnsi" w:eastAsiaTheme="minorEastAsia"/>
              <w:lang w:val="en-US"/>
            </w:rPr>
            <w:tab/>
          </w:r>
          <w:r>
            <w:rPr>
              <w:rStyle w:val="28"/>
            </w:rPr>
            <w:t>Summary</w:t>
          </w:r>
          <w:r>
            <w:tab/>
          </w:r>
          <w:r>
            <w:fldChar w:fldCharType="begin"/>
          </w:r>
          <w:r>
            <w:instrText xml:space="preserve"> PAGEREF _Toc231586807 \h </w:instrText>
          </w:r>
          <w:r>
            <w:fldChar w:fldCharType="separate"/>
          </w:r>
          <w:r>
            <w:t>50</w:t>
          </w:r>
          <w:r>
            <w:fldChar w:fldCharType="end"/>
          </w:r>
          <w:r>
            <w:fldChar w:fldCharType="end"/>
          </w:r>
        </w:p>
        <w:p w14:paraId="5A696F18">
          <w:pPr>
            <w:pStyle w:val="18"/>
            <w:tabs>
              <w:tab w:val="left" w:pos="480"/>
              <w:tab w:val="right" w:leader="dot" w:pos="9350"/>
            </w:tabs>
            <w:rPr>
              <w:rFonts w:asciiTheme="minorHAnsi" w:hAnsiTheme="minorHAnsi" w:eastAsiaTheme="minorEastAsia"/>
              <w:lang w:val="en-US"/>
            </w:rPr>
          </w:pPr>
          <w:r>
            <w:fldChar w:fldCharType="begin"/>
          </w:r>
          <w:r>
            <w:instrText xml:space="preserve"> HYPERLINK \l "_Toc231586808" </w:instrText>
          </w:r>
          <w:r>
            <w:fldChar w:fldCharType="separate"/>
          </w:r>
          <w:r>
            <w:rPr>
              <w:rStyle w:val="28"/>
            </w:rPr>
            <w:t>5</w:t>
          </w:r>
          <w:r>
            <w:rPr>
              <w:rFonts w:asciiTheme="minorHAnsi" w:hAnsiTheme="minorHAnsi" w:eastAsiaTheme="minorEastAsia"/>
              <w:lang w:val="en-US"/>
            </w:rPr>
            <w:tab/>
          </w:r>
          <w:r>
            <w:rPr>
              <w:rStyle w:val="28"/>
            </w:rPr>
            <w:t>Discussion</w:t>
          </w:r>
          <w:r>
            <w:tab/>
          </w:r>
          <w:r>
            <w:fldChar w:fldCharType="begin"/>
          </w:r>
          <w:r>
            <w:instrText xml:space="preserve"> PAGEREF _Toc231586808 \h </w:instrText>
          </w:r>
          <w:r>
            <w:fldChar w:fldCharType="separate"/>
          </w:r>
          <w:r>
            <w:t>51</w:t>
          </w:r>
          <w:r>
            <w:fldChar w:fldCharType="end"/>
          </w:r>
          <w:r>
            <w:fldChar w:fldCharType="end"/>
          </w:r>
        </w:p>
        <w:p w14:paraId="19D7C4E3">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"_Toc231586809" </w:instrText>
          </w:r>
          <w:r>
            <w:fldChar w:fldCharType="separate"/>
          </w:r>
          <w:r>
            <w:rPr>
              <w:rStyle w:val="28"/>
            </w:rPr>
            <w:t>5.1</w:t>
          </w:r>
          <w:r>
            <w:rPr>
              <w:rFonts w:asciiTheme="minorHAnsi" w:hAnsiTheme="minorHAnsi" w:eastAsiaTheme="minorEastAsia"/>
              <w:lang w:val="en-US"/>
            </w:rPr>
            <w:tab/>
          </w:r>
          <w:r>
            <w:rPr>
              <w:rStyle w:val="28"/>
            </w:rPr>
            <w:t>Introduction</w:t>
          </w:r>
          <w:r>
            <w:tab/>
          </w:r>
          <w:r>
            <w:fldChar w:fldCharType="begin"/>
          </w:r>
          <w:r>
            <w:instrText xml:space="preserve"> PAGEREF _Toc231586809 \h </w:instrText>
          </w:r>
          <w:r>
            <w:fldChar w:fldCharType="separate"/>
          </w:r>
          <w:r>
            <w:t>51</w:t>
          </w:r>
          <w:r>
            <w:fldChar w:fldCharType="end"/>
          </w:r>
          <w:r>
            <w:fldChar w:fldCharType="end"/>
          </w:r>
        </w:p>
        <w:p w14:paraId="05A8F1CA">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"_Toc231586810" </w:instrText>
          </w:r>
          <w:r>
            <w:fldChar w:fldCharType="separate"/>
          </w:r>
          <w:r>
            <w:rPr>
              <w:rStyle w:val="28"/>
            </w:rPr>
            <w:t>5.2</w:t>
          </w:r>
          <w:r>
            <w:rPr>
              <w:rFonts w:asciiTheme="minorHAnsi" w:hAnsiTheme="minorHAnsi" w:eastAsiaTheme="minorEastAsia"/>
              <w:lang w:val="en-US"/>
            </w:rPr>
            <w:tab/>
          </w:r>
          <w:r>
            <w:rPr>
              <w:rStyle w:val="28"/>
            </w:rPr>
            <w:t>Training and Development as a Driver of Human Capital</w:t>
          </w:r>
          <w:r>
            <w:tab/>
          </w:r>
          <w:r>
            <w:fldChar w:fldCharType="begin"/>
          </w:r>
          <w:r>
            <w:instrText xml:space="preserve"> PAGEREF _Toc231586810 \h </w:instrText>
          </w:r>
          <w:r>
            <w:fldChar w:fldCharType="separate"/>
          </w:r>
          <w:r>
            <w:t>51</w:t>
          </w:r>
          <w:r>
            <w:fldChar w:fldCharType="end"/>
          </w:r>
          <w:r>
            <w:fldChar w:fldCharType="end"/>
          </w:r>
        </w:p>
        <w:p w14:paraId="3D508423">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"_Toc231586811" </w:instrText>
          </w:r>
          <w:r>
            <w:fldChar w:fldCharType="separate"/>
          </w:r>
          <w:r>
            <w:rPr>
              <w:rStyle w:val="28"/>
            </w:rPr>
            <w:t>5.3</w:t>
          </w:r>
          <w:r>
            <w:rPr>
              <w:rFonts w:asciiTheme="minorHAnsi" w:hAnsiTheme="minorHAnsi" w:eastAsiaTheme="minorEastAsia"/>
              <w:lang w:val="en-US"/>
            </w:rPr>
            <w:tab/>
          </w:r>
          <w:r>
            <w:rPr>
              <w:rStyle w:val="28"/>
            </w:rPr>
            <w:t>Digital Transformation and Workforce Capability-Building</w:t>
          </w:r>
          <w:r>
            <w:tab/>
          </w:r>
          <w:r>
            <w:fldChar w:fldCharType="begin"/>
          </w:r>
          <w:r>
            <w:instrText xml:space="preserve"> PAGEREF _Toc231586811 \h </w:instrText>
          </w:r>
          <w:r>
            <w:fldChar w:fldCharType="separate"/>
          </w:r>
          <w:r>
            <w:t>52</w:t>
          </w:r>
          <w:r>
            <w:fldChar w:fldCharType="end"/>
          </w:r>
          <w:r>
            <w:fldChar w:fldCharType="end"/>
          </w:r>
        </w:p>
        <w:p w14:paraId="54E9FD91">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"_Toc231586812" </w:instrText>
          </w:r>
          <w:r>
            <w:fldChar w:fldCharType="separate"/>
          </w:r>
          <w:r>
            <w:rPr>
              <w:rStyle w:val="28"/>
            </w:rPr>
            <w:t>5.4</w:t>
          </w:r>
          <w:r>
            <w:rPr>
              <w:rFonts w:asciiTheme="minorHAnsi" w:hAnsiTheme="minorHAnsi" w:eastAsiaTheme="minorEastAsia"/>
              <w:lang w:val="en-US"/>
            </w:rPr>
            <w:tab/>
          </w:r>
          <w:r>
            <w:rPr>
              <w:rStyle w:val="28"/>
            </w:rPr>
            <w:t>Sustainable HRM, Green HRM and Employee Engagement</w:t>
          </w:r>
          <w:r>
            <w:tab/>
          </w:r>
          <w:r>
            <w:fldChar w:fldCharType="begin"/>
          </w:r>
          <w:r>
            <w:instrText xml:space="preserve"> PAGEREF _Toc231586812 \h </w:instrText>
          </w:r>
          <w:r>
            <w:fldChar w:fldCharType="separate"/>
          </w:r>
          <w:r>
            <w:t>53</w:t>
          </w:r>
          <w:r>
            <w:fldChar w:fldCharType="end"/>
          </w:r>
          <w:r>
            <w:fldChar w:fldCharType="end"/>
          </w:r>
        </w:p>
        <w:p w14:paraId="2FB18F20">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"_Toc231586813" </w:instrText>
          </w:r>
          <w:r>
            <w:fldChar w:fldCharType="separate"/>
          </w:r>
          <w:r>
            <w:rPr>
              <w:rStyle w:val="28"/>
            </w:rPr>
            <w:t>5.5</w:t>
          </w:r>
          <w:r>
            <w:rPr>
              <w:rFonts w:asciiTheme="minorHAnsi" w:hAnsiTheme="minorHAnsi" w:eastAsiaTheme="minorEastAsia"/>
              <w:lang w:val="en-US"/>
            </w:rPr>
            <w:tab/>
          </w:r>
          <w:r>
            <w:rPr>
              <w:rStyle w:val="28"/>
            </w:rPr>
            <w:t>Training, Organisational Competitiveness and Strategic Value</w:t>
          </w:r>
          <w:r>
            <w:tab/>
          </w:r>
          <w:r>
            <w:fldChar w:fldCharType="begin"/>
          </w:r>
          <w:r>
            <w:instrText xml:space="preserve"> PAGEREF _Toc231586813 \h </w:instrText>
          </w:r>
          <w:r>
            <w:fldChar w:fldCharType="separate"/>
          </w:r>
          <w:r>
            <w:t>53</w:t>
          </w:r>
          <w:r>
            <w:fldChar w:fldCharType="end"/>
          </w:r>
          <w:r>
            <w:fldChar w:fldCharType="end"/>
          </w:r>
        </w:p>
        <w:p w14:paraId="49CC843C">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"_Toc231586814" </w:instrText>
          </w:r>
          <w:r>
            <w:fldChar w:fldCharType="separate"/>
          </w:r>
          <w:r>
            <w:rPr>
              <w:rStyle w:val="28"/>
            </w:rPr>
            <w:t>5.6</w:t>
          </w:r>
          <w:r>
            <w:rPr>
              <w:rFonts w:asciiTheme="minorHAnsi" w:hAnsiTheme="minorHAnsi" w:eastAsiaTheme="minorEastAsia"/>
              <w:lang w:val="en-US"/>
            </w:rPr>
            <w:tab/>
          </w:r>
          <w:r>
            <w:rPr>
              <w:rStyle w:val="28"/>
            </w:rPr>
            <w:t>Summary</w:t>
          </w:r>
          <w:r>
            <w:tab/>
          </w:r>
          <w:r>
            <w:fldChar w:fldCharType="begin"/>
          </w:r>
          <w:r>
            <w:instrText xml:space="preserve"> PAGEREF _Toc231586814 \h </w:instrText>
          </w:r>
          <w:r>
            <w:fldChar w:fldCharType="separate"/>
          </w:r>
          <w:r>
            <w:t>54</w:t>
          </w:r>
          <w:r>
            <w:fldChar w:fldCharType="end"/>
          </w:r>
          <w:r>
            <w:fldChar w:fldCharType="end"/>
          </w:r>
        </w:p>
        <w:p w14:paraId="45F9C1D2">
          <w:pPr>
            <w:pStyle w:val="18"/>
            <w:tabs>
              <w:tab w:val="left" w:pos="480"/>
              <w:tab w:val="right" w:leader="dot" w:pos="9350"/>
            </w:tabs>
            <w:rPr>
              <w:rFonts w:asciiTheme="minorHAnsi" w:hAnsiTheme="minorHAnsi" w:eastAsiaTheme="minorEastAsia"/>
              <w:lang w:val="en-US"/>
            </w:rPr>
          </w:pPr>
          <w:r>
            <w:fldChar w:fldCharType="begin"/>
          </w:r>
          <w:r>
            <w:instrText xml:space="preserve"> HYPERLINK \l "_Toc231586815" </w:instrText>
          </w:r>
          <w:r>
            <w:fldChar w:fldCharType="separate"/>
          </w:r>
          <w:r>
            <w:rPr>
              <w:rStyle w:val="28"/>
            </w:rPr>
            <w:t>6</w:t>
          </w:r>
          <w:r>
            <w:rPr>
              <w:rFonts w:asciiTheme="minorHAnsi" w:hAnsiTheme="minorHAnsi" w:eastAsiaTheme="minorEastAsia"/>
              <w:lang w:val="en-US"/>
            </w:rPr>
            <w:tab/>
          </w:r>
          <w:r>
            <w:rPr>
              <w:rStyle w:val="28"/>
            </w:rPr>
            <w:t>Conclusion and Recommendations</w:t>
          </w:r>
          <w:r>
            <w:tab/>
          </w:r>
          <w:r>
            <w:fldChar w:fldCharType="begin"/>
          </w:r>
          <w:r>
            <w:instrText xml:space="preserve"> PAGEREF _Toc231586815 \h </w:instrText>
          </w:r>
          <w:r>
            <w:fldChar w:fldCharType="separate"/>
          </w:r>
          <w:r>
            <w:t>55</w:t>
          </w:r>
          <w:r>
            <w:fldChar w:fldCharType="end"/>
          </w:r>
          <w:r>
            <w:fldChar w:fldCharType="end"/>
          </w:r>
        </w:p>
        <w:p w14:paraId="198D6ED5">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"_Toc231586816" </w:instrText>
          </w:r>
          <w:r>
            <w:fldChar w:fldCharType="separate"/>
          </w:r>
          <w:r>
            <w:rPr>
              <w:rStyle w:val="28"/>
            </w:rPr>
            <w:t>6.1</w:t>
          </w:r>
          <w:r>
            <w:rPr>
              <w:rFonts w:asciiTheme="minorHAnsi" w:hAnsiTheme="minorHAnsi" w:eastAsiaTheme="minorEastAsia"/>
              <w:lang w:val="en-US"/>
            </w:rPr>
            <w:tab/>
          </w:r>
          <w:r>
            <w:rPr>
              <w:rStyle w:val="28"/>
            </w:rPr>
            <w:t>Conclusion</w:t>
          </w:r>
          <w:r>
            <w:tab/>
          </w:r>
          <w:r>
            <w:fldChar w:fldCharType="begin"/>
          </w:r>
          <w:r>
            <w:instrText xml:space="preserve"> PAGEREF _Toc231586816 \h </w:instrText>
          </w:r>
          <w:r>
            <w:fldChar w:fldCharType="separate"/>
          </w:r>
          <w:r>
            <w:t>55</w:t>
          </w:r>
          <w:r>
            <w:fldChar w:fldCharType="end"/>
          </w:r>
          <w:r>
            <w:fldChar w:fldCharType="end"/>
          </w:r>
        </w:p>
        <w:p w14:paraId="61E1972D">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"_Toc231586817" </w:instrText>
          </w:r>
          <w:r>
            <w:fldChar w:fldCharType="separate"/>
          </w:r>
          <w:r>
            <w:rPr>
              <w:rStyle w:val="28"/>
            </w:rPr>
            <w:t>6.2</w:t>
          </w:r>
          <w:r>
            <w:rPr>
              <w:rFonts w:asciiTheme="minorHAnsi" w:hAnsiTheme="minorHAnsi" w:eastAsiaTheme="minorEastAsia"/>
              <w:lang w:val="en-US"/>
            </w:rPr>
            <w:tab/>
          </w:r>
          <w:r>
            <w:rPr>
              <w:rStyle w:val="28"/>
            </w:rPr>
            <w:t>Contributions of the Study</w:t>
          </w:r>
          <w:r>
            <w:tab/>
          </w:r>
          <w:r>
            <w:fldChar w:fldCharType="begin"/>
          </w:r>
          <w:r>
            <w:instrText xml:space="preserve"> PAGEREF _Toc231586817 \h </w:instrText>
          </w:r>
          <w:r>
            <w:fldChar w:fldCharType="separate"/>
          </w:r>
          <w:r>
            <w:t>56</w:t>
          </w:r>
          <w:r>
            <w:fldChar w:fldCharType="end"/>
          </w:r>
          <w:r>
            <w:fldChar w:fldCharType="end"/>
          </w:r>
        </w:p>
        <w:p w14:paraId="26718339">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"_Toc231586818" </w:instrText>
          </w:r>
          <w:r>
            <w:fldChar w:fldCharType="separate"/>
          </w:r>
          <w:r>
            <w:rPr>
              <w:rStyle w:val="28"/>
            </w:rPr>
            <w:t>6.3</w:t>
          </w:r>
          <w:r>
            <w:rPr>
              <w:rFonts w:asciiTheme="minorHAnsi" w:hAnsiTheme="minorHAnsi" w:eastAsiaTheme="minorEastAsia"/>
              <w:lang w:val="en-US"/>
            </w:rPr>
            <w:tab/>
          </w:r>
          <w:r>
            <w:rPr>
              <w:rStyle w:val="28"/>
            </w:rPr>
            <w:t>Practical Implications and Recommendations</w:t>
          </w:r>
          <w:r>
            <w:tab/>
          </w:r>
          <w:r>
            <w:fldChar w:fldCharType="begin"/>
          </w:r>
          <w:r>
            <w:instrText xml:space="preserve"> PAGEREF _Toc231586818 \h </w:instrText>
          </w:r>
          <w:r>
            <w:fldChar w:fldCharType="separate"/>
          </w:r>
          <w:r>
            <w:t>57</w:t>
          </w:r>
          <w:r>
            <w:fldChar w:fldCharType="end"/>
          </w:r>
          <w:r>
            <w:fldChar w:fldCharType="end"/>
          </w:r>
        </w:p>
        <w:p w14:paraId="6BC3EE6E">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"_Toc231586819" </w:instrText>
          </w:r>
          <w:r>
            <w:fldChar w:fldCharType="separate"/>
          </w:r>
          <w:r>
            <w:rPr>
              <w:rStyle w:val="28"/>
            </w:rPr>
            <w:t>6.4</w:t>
          </w:r>
          <w:r>
            <w:rPr>
              <w:rFonts w:asciiTheme="minorHAnsi" w:hAnsiTheme="minorHAnsi" w:eastAsiaTheme="minorEastAsia"/>
              <w:lang w:val="en-US"/>
            </w:rPr>
            <w:tab/>
          </w:r>
          <w:r>
            <w:rPr>
              <w:rStyle w:val="28"/>
            </w:rPr>
            <w:t>Limitations of the Study</w:t>
          </w:r>
          <w:r>
            <w:tab/>
          </w:r>
          <w:r>
            <w:fldChar w:fldCharType="begin"/>
          </w:r>
          <w:r>
            <w:instrText xml:space="preserve"> PAGEREF _Toc231586819 \h </w:instrText>
          </w:r>
          <w:r>
            <w:fldChar w:fldCharType="separate"/>
          </w:r>
          <w:r>
            <w:t>58</w:t>
          </w:r>
          <w:r>
            <w:fldChar w:fldCharType="end"/>
          </w:r>
          <w:r>
            <w:fldChar w:fldCharType="end"/>
          </w:r>
        </w:p>
        <w:p w14:paraId="569EF22A">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"_Toc231586820" </w:instrText>
          </w:r>
          <w:r>
            <w:fldChar w:fldCharType="separate"/>
          </w:r>
          <w:r>
            <w:rPr>
              <w:rStyle w:val="28"/>
            </w:rPr>
            <w:t>6.5</w:t>
          </w:r>
          <w:r>
            <w:rPr>
              <w:rFonts w:asciiTheme="minorHAnsi" w:hAnsiTheme="minorHAnsi" w:eastAsiaTheme="minorEastAsia"/>
              <w:lang w:val="en-US"/>
            </w:rPr>
            <w:tab/>
          </w:r>
          <w:r>
            <w:rPr>
              <w:rStyle w:val="28"/>
            </w:rPr>
            <w:t>Future Research</w:t>
          </w:r>
          <w:r>
            <w:tab/>
          </w:r>
          <w:r>
            <w:fldChar w:fldCharType="begin"/>
          </w:r>
          <w:r>
            <w:instrText xml:space="preserve"> PAGEREF _Toc231586820 \h </w:instrText>
          </w:r>
          <w:r>
            <w:fldChar w:fldCharType="separate"/>
          </w:r>
          <w:r>
            <w:t>58</w:t>
          </w:r>
          <w:r>
            <w:fldChar w:fldCharType="end"/>
          </w:r>
          <w:r>
            <w:fldChar w:fldCharType="end"/>
          </w:r>
        </w:p>
        <w:p w14:paraId="2ABD0702">
          <w:pPr>
            <w:pStyle w:val="18"/>
            <w:tabs>
              <w:tab w:val="left" w:pos="480"/>
              <w:tab w:val="right" w:leader="dot" w:pos="9350"/>
            </w:tabs>
            <w:rPr>
              <w:rFonts w:asciiTheme="minorHAnsi" w:hAnsiTheme="minorHAnsi" w:eastAsiaTheme="minorEastAsia"/>
              <w:lang w:val="en-US"/>
            </w:rPr>
          </w:pPr>
          <w:r>
            <w:fldChar w:fldCharType="begin"/>
          </w:r>
          <w:r>
            <w:instrText xml:space="preserve"> HYPERLINK \l "_Toc231586821" </w:instrText>
          </w:r>
          <w:r>
            <w:fldChar w:fldCharType="separate"/>
          </w:r>
          <w:r>
            <w:rPr>
              <w:rStyle w:val="28"/>
            </w:rPr>
            <w:t>7</w:t>
          </w:r>
          <w:r>
            <w:rPr>
              <w:rFonts w:asciiTheme="minorHAnsi" w:hAnsiTheme="minorHAnsi" w:eastAsiaTheme="minorEastAsia"/>
              <w:lang w:val="en-US"/>
            </w:rPr>
            <w:tab/>
          </w:r>
          <w:r>
            <w:rPr>
              <w:rStyle w:val="28"/>
            </w:rPr>
            <w:t>References</w:t>
          </w:r>
          <w:r>
            <w:tab/>
          </w:r>
          <w:r>
            <w:fldChar w:fldCharType="begin"/>
          </w:r>
          <w:r>
            <w:instrText xml:space="preserve"> PAGEREF _Toc231586821 \h </w:instrText>
          </w:r>
          <w:r>
            <w:fldChar w:fldCharType="separate"/>
          </w:r>
          <w:r>
            <w:t>60</w:t>
          </w:r>
          <w:r>
            <w:fldChar w:fldCharType="end"/>
          </w:r>
          <w:r>
            <w:fldChar w:fldCharType="end"/>
          </w:r>
        </w:p>
        <w:p w14:paraId="30C291B9">
          <w:pPr>
            <w:pStyle w:val="18"/>
            <w:tabs>
              <w:tab w:val="left" w:pos="480"/>
              <w:tab w:val="right" w:leader="dot" w:pos="9350"/>
            </w:tabs>
            <w:rPr>
              <w:rFonts w:asciiTheme="minorHAnsi" w:hAnsiTheme="minorHAnsi" w:eastAsiaTheme="minorEastAsia"/>
              <w:lang w:val="en-US"/>
            </w:rPr>
          </w:pPr>
          <w:r>
            <w:fldChar w:fldCharType="begin"/>
          </w:r>
          <w:r>
            <w:instrText xml:space="preserve"> HYPERLINK \l "_Toc231586822" </w:instrText>
          </w:r>
          <w:r>
            <w:fldChar w:fldCharType="separate"/>
          </w:r>
          <w:r>
            <w:rPr>
              <w:rStyle w:val="28"/>
            </w:rPr>
            <w:t>8</w:t>
          </w:r>
          <w:r>
            <w:rPr>
              <w:rFonts w:asciiTheme="minorHAnsi" w:hAnsiTheme="minorHAnsi" w:eastAsiaTheme="minorEastAsia"/>
              <w:lang w:val="en-US"/>
            </w:rPr>
            <w:tab/>
          </w:r>
          <w:r>
            <w:rPr>
              <w:rStyle w:val="28"/>
            </w:rPr>
            <w:t>Appendix</w:t>
          </w:r>
          <w:r>
            <w:tab/>
          </w:r>
          <w:r>
            <w:fldChar w:fldCharType="begin"/>
          </w:r>
          <w:r>
            <w:instrText xml:space="preserve"> PAGEREF _Toc231586822 \h </w:instrText>
          </w:r>
          <w:r>
            <w:fldChar w:fldCharType="separate"/>
          </w:r>
          <w:r>
            <w:t>74</w:t>
          </w:r>
          <w:r>
            <w:fldChar w:fldCharType="end"/>
          </w:r>
          <w:r>
            <w:fldChar w:fldCharType="end"/>
          </w:r>
        </w:p>
        <w:p w14:paraId="335D3050">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"_Toc231586823" </w:instrText>
          </w:r>
          <w:r>
            <w:fldChar w:fldCharType="separate"/>
          </w:r>
          <w:r>
            <w:rPr>
              <w:rStyle w:val="28"/>
            </w:rPr>
            <w:t>8.1</w:t>
          </w:r>
          <w:r>
            <w:rPr>
              <w:rFonts w:asciiTheme="minorHAnsi" w:hAnsiTheme="minorHAnsi" w:eastAsiaTheme="minorEastAsia"/>
              <w:lang w:val="en-US"/>
            </w:rPr>
            <w:tab/>
          </w:r>
          <w:r>
            <w:rPr>
              <w:rStyle w:val="28"/>
            </w:rPr>
            <w:t>Ethic Form</w:t>
          </w:r>
          <w:r>
            <w:tab/>
          </w:r>
          <w:r>
            <w:fldChar w:fldCharType="begin"/>
          </w:r>
          <w:r>
            <w:instrText xml:space="preserve"> PAGEREF _Toc231586823 \h </w:instrText>
          </w:r>
          <w:r>
            <w:fldChar w:fldCharType="separate"/>
          </w:r>
          <w:r>
            <w:t>74</w:t>
          </w:r>
          <w:r>
            <w:fldChar w:fldCharType="end"/>
          </w:r>
          <w:r>
            <w:fldChar w:fldCharType="end"/>
          </w:r>
        </w:p>
        <w:p w14:paraId="19133931">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"_Toc231586824" </w:instrText>
          </w:r>
          <w:r>
            <w:fldChar w:fldCharType="separate"/>
          </w:r>
          <w:r>
            <w:rPr>
              <w:rStyle w:val="28"/>
            </w:rPr>
            <w:t>8.2</w:t>
          </w:r>
          <w:r>
            <w:rPr>
              <w:rFonts w:asciiTheme="minorHAnsi" w:hAnsiTheme="minorHAnsi" w:eastAsiaTheme="minorEastAsia"/>
              <w:lang w:val="en-US"/>
            </w:rPr>
            <w:tab/>
          </w:r>
          <w:r>
            <w:rPr>
              <w:rStyle w:val="28"/>
            </w:rPr>
            <w:t>Literature Summary Table</w:t>
          </w:r>
          <w:r>
            <w:tab/>
          </w:r>
          <w:r>
            <w:fldChar w:fldCharType="begin"/>
          </w:r>
          <w:r>
            <w:instrText xml:space="preserve"> PAGEREF _Toc231586824 \h </w:instrText>
          </w:r>
          <w:r>
            <w:fldChar w:fldCharType="separate"/>
          </w:r>
          <w:r>
            <w:t>75</w:t>
          </w:r>
          <w:r>
            <w:fldChar w:fldCharType="end"/>
          </w:r>
          <w:r>
            <w:fldChar w:fldCharType="end"/>
          </w:r>
        </w:p>
        <w:p w14:paraId="1185D542">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"_Toc231586825" </w:instrText>
          </w:r>
          <w:r>
            <w:fldChar w:fldCharType="separate"/>
          </w:r>
          <w:r>
            <w:rPr>
              <w:rStyle w:val="28"/>
            </w:rPr>
            <w:t>8.3</w:t>
          </w:r>
          <w:r>
            <w:rPr>
              <w:rFonts w:asciiTheme="minorHAnsi" w:hAnsiTheme="minorHAnsi" w:eastAsiaTheme="minorEastAsia"/>
              <w:lang w:val="en-US"/>
            </w:rPr>
            <w:tab/>
          </w:r>
          <w:r>
            <w:rPr>
              <w:rStyle w:val="28"/>
            </w:rPr>
            <w:t>Data Extraction and Thematic Coding Summary</w:t>
          </w:r>
          <w:r>
            <w:tab/>
          </w:r>
          <w:r>
            <w:fldChar w:fldCharType="begin"/>
          </w:r>
          <w:r>
            <w:instrText xml:space="preserve"> PAGEREF _Toc231586825 \h </w:instrText>
          </w:r>
          <w:r>
            <w:fldChar w:fldCharType="separate"/>
          </w:r>
          <w:r>
            <w:t>79</w:t>
          </w:r>
          <w:r>
            <w:fldChar w:fldCharType="end"/>
          </w:r>
          <w:r>
            <w:fldChar w:fldCharType="end"/>
          </w:r>
        </w:p>
        <w:p w14:paraId="56531141">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"_Toc231586826" </w:instrText>
          </w:r>
          <w:r>
            <w:fldChar w:fldCharType="separate"/>
          </w:r>
          <w:r>
            <w:rPr>
              <w:rStyle w:val="28"/>
            </w:rPr>
            <w:t>8.4</w:t>
          </w:r>
          <w:r>
            <w:rPr>
              <w:rFonts w:asciiTheme="minorHAnsi" w:hAnsiTheme="minorHAnsi" w:eastAsiaTheme="minorEastAsia"/>
              <w:lang w:val="en-US"/>
            </w:rPr>
            <w:tab/>
          </w:r>
          <w:r>
            <w:rPr>
              <w:rStyle w:val="28"/>
            </w:rPr>
            <w:t>Final Cross-Source Themes Identified Through Braun and Clarke Thematic Analysis</w:t>
          </w:r>
          <w:r>
            <w:tab/>
          </w:r>
          <w:r>
            <w:fldChar w:fldCharType="begin"/>
          </w:r>
          <w:r>
            <w:instrText xml:space="preserve"> PAGEREF _Toc231586826 \h </w:instrText>
          </w:r>
          <w:r>
            <w:fldChar w:fldCharType="separate"/>
          </w:r>
          <w:r>
            <w:t>83</w:t>
          </w:r>
          <w:r>
            <w:fldChar w:fldCharType="end"/>
          </w:r>
          <w:r>
            <w:fldChar w:fldCharType="end"/>
          </w:r>
        </w:p>
        <w:p w14:paraId="4BC9C101">
          <w:pPr>
            <w:pStyle w:val="19"/>
            <w:tabs>
              <w:tab w:val="left" w:pos="960"/>
              <w:tab w:val="right" w:leader="dot" w:pos="9350"/>
            </w:tabs>
            <w:rPr>
              <w:rFonts w:asciiTheme="minorHAnsi" w:hAnsiTheme="minorHAnsi" w:eastAsiaTheme="minorEastAsia"/>
              <w:lang w:val="en-US"/>
            </w:rPr>
          </w:pPr>
          <w:r>
            <w:fldChar w:fldCharType="begin"/>
          </w:r>
          <w:r>
            <w:instrText xml:space="preserve"> HYPERLINK \l "_Toc231586827" </w:instrText>
          </w:r>
          <w:r>
            <w:fldChar w:fldCharType="separate"/>
          </w:r>
          <w:r>
            <w:rPr>
              <w:rStyle w:val="28"/>
            </w:rPr>
            <w:t>8.5</w:t>
          </w:r>
          <w:r>
            <w:rPr>
              <w:rFonts w:asciiTheme="minorHAnsi" w:hAnsiTheme="minorHAnsi" w:eastAsiaTheme="minorEastAsia"/>
              <w:lang w:val="en-US"/>
            </w:rPr>
            <w:tab/>
          </w:r>
          <w:r>
            <w:rPr>
              <w:rStyle w:val="28"/>
            </w:rPr>
            <w:t>Thematic Coding</w:t>
          </w:r>
          <w:r>
            <w:tab/>
          </w:r>
          <w:r>
            <w:fldChar w:fldCharType="begin"/>
          </w:r>
          <w:r>
            <w:instrText xml:space="preserve"> PAGEREF _Toc231586827 \h </w:instrText>
          </w:r>
          <w:r>
            <w:fldChar w:fldCharType="separate"/>
          </w:r>
          <w:r>
            <w:t>83</w:t>
          </w:r>
          <w:r>
            <w:fldChar w:fldCharType="end"/>
          </w:r>
          <w:r>
            <w:fldChar w:fldCharType="end"/>
          </w:r>
        </w:p>
        <w:p w14:paraId="06A2282C">
          <w:pPr/>
          <w:r>
            <w:rPr>
              <w:b/>
              <w:bCs/>
            </w:rPr>
            <w:fldChar w:fldCharType="end"/>
          </w:r>
        </w:p>
      </w:sdtContent>
    </w:sdt>
    <w:p w14:paraId="1A970E0B">
      <w:pPr/>
    </w:p>
    <w:p w14:paraId="3DCA4DBA">
      <w:pPr>
        <w:rPr>
          <w:b/>
          <w:bCs/>
        </w:rPr>
      </w:pPr>
      <w:r>
        <w:rPr>
          <w:b/>
          <w:bCs/>
        </w:rPr>
        <w:t>List of Figures</w:t>
      </w:r>
    </w:p>
    <w:p w14:paraId="185E55EE">
      <w:pPr>
        <w:pStyle w:val="16"/>
        <w:tabs>
          <w:tab w:val="right" w:leader="dot" w:pos="9350"/>
        </w:tabs>
        <w:rPr>
          <w:rFonts w:asciiTheme="minorHAnsi" w:hAnsiTheme="minorHAnsi" w:eastAsiaTheme="minorEastAsia"/>
          <w:lang w:eastAsia="en-GB"/>
        </w:rPr>
      </w:pPr>
      <w:r>
        <w:fldChar w:fldCharType="begin"/>
      </w:r>
      <w:r>
        <w:instrText xml:space="preserve"> TOC \h \z \c "Figure" </w:instrText>
      </w:r>
      <w:r>
        <w:fldChar w:fldCharType="separate"/>
      </w:r>
      <w:r>
        <w:fldChar w:fldCharType="begin"/>
      </w:r>
      <w:r>
        <w:instrText xml:space="preserve"> HYPERLINK \l "_Toc231453586" </w:instrText>
      </w:r>
      <w:r>
        <w:fldChar w:fldCharType="separate"/>
      </w:r>
      <w:r>
        <w:rPr>
          <w:rStyle w:val="28"/>
        </w:rPr>
        <w:t>Figure 1: PRISMA-Informed Article Screening and Selection Process</w:t>
      </w:r>
      <w:r>
        <w:tab/>
      </w:r>
      <w:r>
        <w:fldChar w:fldCharType="begin"/>
      </w:r>
      <w:r>
        <w:instrText xml:space="preserve"> PAGEREF _Toc231453586 \h </w:instrText>
      </w:r>
      <w:r>
        <w:fldChar w:fldCharType="separate"/>
      </w:r>
      <w:r>
        <w:t>33</w:t>
      </w:r>
      <w:r>
        <w:fldChar w:fldCharType="end"/>
      </w:r>
      <w:r>
        <w:fldChar w:fldCharType="end"/>
      </w:r>
    </w:p>
    <w:p w14:paraId="76134BF9">
      <w:pPr>
        <w:pStyle w:val="16"/>
        <w:tabs>
          <w:tab w:val="right" w:leader="dot" w:pos="9350"/>
        </w:tabs>
        <w:rPr>
          <w:rFonts w:asciiTheme="minorHAnsi" w:hAnsiTheme="minorHAnsi" w:eastAsiaTheme="minorEastAsia"/>
          <w:lang w:eastAsia="en-GB"/>
        </w:rPr>
      </w:pPr>
      <w:r>
        <w:fldChar w:fldCharType="begin"/>
      </w:r>
      <w:r>
        <w:instrText xml:space="preserve"> HYPERLINK \l "_Toc231453587" </w:instrText>
      </w:r>
      <w:r>
        <w:fldChar w:fldCharType="separate"/>
      </w:r>
      <w:r>
        <w:rPr>
          <w:rStyle w:val="28"/>
        </w:rPr>
        <w:t>Figure 2: Unilever Innovation-led (Unilever, 2025)</w:t>
      </w:r>
      <w:r>
        <w:tab/>
      </w:r>
      <w:r>
        <w:fldChar w:fldCharType="begin"/>
      </w:r>
      <w:r>
        <w:instrText xml:space="preserve"> PAGEREF _Toc231453587 \h </w:instrText>
      </w:r>
      <w:r>
        <w:fldChar w:fldCharType="separate"/>
      </w:r>
      <w:r>
        <w:t>41</w:t>
      </w:r>
      <w:r>
        <w:fldChar w:fldCharType="end"/>
      </w:r>
      <w:r>
        <w:fldChar w:fldCharType="end"/>
      </w:r>
    </w:p>
    <w:p w14:paraId="5D56785B">
      <w:pPr>
        <w:pStyle w:val="16"/>
        <w:tabs>
          <w:tab w:val="right" w:leader="dot" w:pos="9350"/>
        </w:tabs>
        <w:rPr>
          <w:rFonts w:asciiTheme="minorHAnsi" w:hAnsiTheme="minorHAnsi" w:eastAsiaTheme="minorEastAsia"/>
          <w:lang w:eastAsia="en-GB"/>
        </w:rPr>
      </w:pPr>
      <w:r>
        <w:fldChar w:fldCharType="begin"/>
      </w:r>
      <w:r>
        <w:instrText xml:space="preserve"> HYPERLINK \l "_Toc231453588" </w:instrText>
      </w:r>
      <w:r>
        <w:fldChar w:fldCharType="separate"/>
      </w:r>
      <w:r>
        <w:rPr>
          <w:rStyle w:val="28"/>
        </w:rPr>
        <w:t>Figure 3: Tesco Performance highlights (Tesco Plc, 2025)</w:t>
      </w:r>
      <w:r>
        <w:tab/>
      </w:r>
      <w:r>
        <w:fldChar w:fldCharType="begin"/>
      </w:r>
      <w:r>
        <w:instrText xml:space="preserve"> PAGEREF _Toc231453588 \h </w:instrText>
      </w:r>
      <w:r>
        <w:fldChar w:fldCharType="separate"/>
      </w:r>
      <w:r>
        <w:t>42</w:t>
      </w:r>
      <w:r>
        <w:fldChar w:fldCharType="end"/>
      </w:r>
      <w:r>
        <w:fldChar w:fldCharType="end"/>
      </w:r>
    </w:p>
    <w:p w14:paraId="59542049">
      <w:pPr>
        <w:pStyle w:val="16"/>
        <w:tabs>
          <w:tab w:val="right" w:leader="dot" w:pos="9350"/>
        </w:tabs>
        <w:rPr>
          <w:rFonts w:asciiTheme="minorHAnsi" w:hAnsiTheme="minorHAnsi" w:eastAsiaTheme="minorEastAsia"/>
          <w:lang w:eastAsia="en-GB"/>
        </w:rPr>
      </w:pPr>
      <w:r>
        <w:fldChar w:fldCharType="begin"/>
      </w:r>
      <w:r>
        <w:instrText xml:space="preserve"> HYPERLINK \l "_Toc231453589" </w:instrText>
      </w:r>
      <w:r>
        <w:fldChar w:fldCharType="separate"/>
      </w:r>
      <w:r>
        <w:rPr>
          <w:rStyle w:val="28"/>
        </w:rPr>
        <w:t>Figure 4: Employee satisfaction (Unilever, 2025)</w:t>
      </w:r>
      <w:r>
        <w:tab/>
      </w:r>
      <w:r>
        <w:fldChar w:fldCharType="begin"/>
      </w:r>
      <w:r>
        <w:instrText xml:space="preserve"> PAGEREF _Toc231453589 \h </w:instrText>
      </w:r>
      <w:r>
        <w:fldChar w:fldCharType="separate"/>
      </w:r>
      <w:r>
        <w:t>45</w:t>
      </w:r>
      <w:r>
        <w:fldChar w:fldCharType="end"/>
      </w:r>
      <w:r>
        <w:fldChar w:fldCharType="end"/>
      </w:r>
    </w:p>
    <w:p w14:paraId="0B677993">
      <w:pPr>
        <w:pStyle w:val="16"/>
        <w:tabs>
          <w:tab w:val="right" w:leader="dot" w:pos="9350"/>
        </w:tabs>
        <w:rPr>
          <w:rFonts w:asciiTheme="minorHAnsi" w:hAnsiTheme="minorHAnsi" w:eastAsiaTheme="minorEastAsia"/>
          <w:lang w:eastAsia="en-GB"/>
        </w:rPr>
      </w:pPr>
      <w:r>
        <w:fldChar w:fldCharType="begin"/>
      </w:r>
      <w:r>
        <w:instrText xml:space="preserve"> HYPERLINK \l "_Toc231453590" </w:instrText>
      </w:r>
      <w:r>
        <w:fldChar w:fldCharType="separate"/>
      </w:r>
      <w:r>
        <w:rPr>
          <w:rStyle w:val="28"/>
        </w:rPr>
        <w:t>Figure 5: Reductions in greenhouse gas emissions (ABF Corporate, 2025)</w:t>
      </w:r>
      <w:r>
        <w:tab/>
      </w:r>
      <w:r>
        <w:fldChar w:fldCharType="begin"/>
      </w:r>
      <w:r>
        <w:instrText xml:space="preserve"> PAGEREF _Toc231453590 \h </w:instrText>
      </w:r>
      <w:r>
        <w:fldChar w:fldCharType="separate"/>
      </w:r>
      <w:r>
        <w:t>48</w:t>
      </w:r>
      <w:r>
        <w:fldChar w:fldCharType="end"/>
      </w:r>
      <w:r>
        <w:fldChar w:fldCharType="end"/>
      </w:r>
    </w:p>
    <w:p w14:paraId="7A7783BA">
      <w:pPr/>
      <w:r>
        <w:fldChar w:fldCharType="end"/>
      </w:r>
    </w:p>
    <w:p w14:paraId="26E48722">
      <w:pPr>
        <w:rPr>
          <w:b/>
          <w:bCs/>
        </w:rPr>
      </w:pPr>
      <w:r>
        <w:rPr>
          <w:b/>
          <w:bCs/>
        </w:rPr>
        <w:t>List of Tables</w:t>
      </w:r>
    </w:p>
    <w:p w14:paraId="66F1DE0F">
      <w:pPr>
        <w:pStyle w:val="16"/>
        <w:tabs>
          <w:tab w:val="right" w:leader="dot" w:pos="9350"/>
        </w:tabs>
        <w:rPr>
          <w:rFonts w:asciiTheme="minorHAnsi" w:hAnsiTheme="minorHAnsi" w:eastAsiaTheme="minorEastAsia"/>
          <w:lang w:eastAsia="en-GB"/>
        </w:rPr>
      </w:pPr>
      <w:r>
        <w:fldChar w:fldCharType="begin"/>
      </w:r>
      <w:r>
        <w:instrText xml:space="preserve"> TOC \h \z \c "Table" </w:instrText>
      </w:r>
      <w:r>
        <w:fldChar w:fldCharType="separate"/>
      </w:r>
      <w:r>
        <w:fldChar w:fldCharType="begin"/>
      </w:r>
      <w:r>
        <w:instrText xml:space="preserve"> HYPERLINK \l "_Toc231524371" </w:instrText>
      </w:r>
      <w:r>
        <w:fldChar w:fldCharType="separate"/>
      </w:r>
      <w:r>
        <w:rPr>
          <w:rStyle w:val="28"/>
        </w:rPr>
        <w:t>Table 1: Data Search Strategy</w:t>
      </w:r>
      <w:r>
        <w:tab/>
      </w:r>
      <w:r>
        <w:fldChar w:fldCharType="begin"/>
      </w:r>
      <w:r>
        <w:instrText xml:space="preserve"> PAGEREF _Toc231524371 \h </w:instrText>
      </w:r>
      <w:r>
        <w:fldChar w:fldCharType="separate"/>
      </w:r>
      <w:r>
        <w:t>31</w:t>
      </w:r>
      <w:r>
        <w:fldChar w:fldCharType="end"/>
      </w:r>
      <w:r>
        <w:fldChar w:fldCharType="end"/>
      </w:r>
    </w:p>
    <w:p w14:paraId="67E0D22B">
      <w:pPr>
        <w:pStyle w:val="16"/>
        <w:tabs>
          <w:tab w:val="right" w:leader="dot" w:pos="9350"/>
        </w:tabs>
        <w:rPr>
          <w:rFonts w:asciiTheme="minorHAnsi" w:hAnsiTheme="minorHAnsi" w:eastAsiaTheme="minorEastAsia"/>
          <w:lang w:eastAsia="en-GB"/>
        </w:rPr>
      </w:pPr>
      <w:r>
        <w:fldChar w:fldCharType="begin"/>
      </w:r>
      <w:r>
        <w:instrText xml:space="preserve"> HYPERLINK \l "_Toc231524372" </w:instrText>
      </w:r>
      <w:r>
        <w:fldChar w:fldCharType="separate"/>
      </w:r>
      <w:r>
        <w:rPr>
          <w:rStyle w:val="28"/>
        </w:rPr>
        <w:t>Table 2: Inclusion and Exclusion Criteria</w:t>
      </w:r>
      <w:r>
        <w:tab/>
      </w:r>
      <w:r>
        <w:fldChar w:fldCharType="begin"/>
      </w:r>
      <w:r>
        <w:instrText xml:space="preserve"> PAGEREF _Toc231524372 \h </w:instrText>
      </w:r>
      <w:r>
        <w:fldChar w:fldCharType="separate"/>
      </w:r>
      <w:r>
        <w:t>31</w:t>
      </w:r>
      <w:r>
        <w:fldChar w:fldCharType="end"/>
      </w:r>
      <w:r>
        <w:fldChar w:fldCharType="end"/>
      </w:r>
    </w:p>
    <w:p w14:paraId="36EBAAF7">
      <w:pPr>
        <w:pStyle w:val="16"/>
        <w:tabs>
          <w:tab w:val="right" w:leader="dot" w:pos="9350"/>
        </w:tabs>
        <w:rPr>
          <w:rFonts w:asciiTheme="minorHAnsi" w:hAnsiTheme="minorHAnsi" w:eastAsiaTheme="minorEastAsia"/>
          <w:lang w:eastAsia="en-GB"/>
        </w:rPr>
      </w:pPr>
      <w:r>
        <w:fldChar w:fldCharType="begin"/>
      </w:r>
      <w:r>
        <w:instrText xml:space="preserve"> HYPERLINK \l "_Toc231524373" </w:instrText>
      </w:r>
      <w:r>
        <w:fldChar w:fldCharType="separate"/>
      </w:r>
      <w:r>
        <w:rPr>
          <w:rStyle w:val="28"/>
        </w:rPr>
        <w:t>Table 3: Sustainable HRM Practices and Organisational Outcomes</w:t>
      </w:r>
      <w:r>
        <w:tab/>
      </w:r>
      <w:r>
        <w:fldChar w:fldCharType="begin"/>
      </w:r>
      <w:r>
        <w:instrText xml:space="preserve"> PAGEREF _Toc231524373 \h </w:instrText>
      </w:r>
      <w:r>
        <w:fldChar w:fldCharType="separate"/>
      </w:r>
      <w:r>
        <w:t>38</w:t>
      </w:r>
      <w:r>
        <w:fldChar w:fldCharType="end"/>
      </w:r>
      <w:r>
        <w:fldChar w:fldCharType="end"/>
      </w:r>
    </w:p>
    <w:p w14:paraId="0A0A9C6D">
      <w:pPr>
        <w:pStyle w:val="16"/>
        <w:tabs>
          <w:tab w:val="right" w:leader="dot" w:pos="9350"/>
        </w:tabs>
        <w:rPr>
          <w:rFonts w:asciiTheme="minorHAnsi" w:hAnsiTheme="minorHAnsi" w:eastAsiaTheme="minorEastAsia"/>
          <w:lang w:eastAsia="en-GB"/>
        </w:rPr>
      </w:pPr>
      <w:r>
        <w:fldChar w:fldCharType="begin"/>
      </w:r>
      <w:r>
        <w:instrText xml:space="preserve"> HYPERLINK \l "_Toc231524374" </w:instrText>
      </w:r>
      <w:r>
        <w:fldChar w:fldCharType="separate"/>
      </w:r>
      <w:r>
        <w:rPr>
          <w:rStyle w:val="28"/>
        </w:rPr>
        <w:t>Table 4: Digital Transformation Practices and Organisational Outcomes</w:t>
      </w:r>
      <w:r>
        <w:tab/>
      </w:r>
      <w:r>
        <w:fldChar w:fldCharType="begin"/>
      </w:r>
      <w:r>
        <w:instrText xml:space="preserve"> PAGEREF _Toc231524374 \h </w:instrText>
      </w:r>
      <w:r>
        <w:fldChar w:fldCharType="separate"/>
      </w:r>
      <w:r>
        <w:t>42</w:t>
      </w:r>
      <w:r>
        <w:fldChar w:fldCharType="end"/>
      </w:r>
      <w:r>
        <w:fldChar w:fldCharType="end"/>
      </w:r>
    </w:p>
    <w:p w14:paraId="541FBB24">
      <w:pPr>
        <w:pStyle w:val="16"/>
        <w:tabs>
          <w:tab w:val="right" w:leader="dot" w:pos="9350"/>
        </w:tabs>
        <w:rPr>
          <w:rFonts w:asciiTheme="minorHAnsi" w:hAnsiTheme="minorHAnsi" w:eastAsiaTheme="minorEastAsia"/>
          <w:lang w:eastAsia="en-GB"/>
        </w:rPr>
      </w:pPr>
      <w:r>
        <w:fldChar w:fldCharType="begin"/>
      </w:r>
      <w:r>
        <w:instrText xml:space="preserve"> HYPERLINK \l "_Toc231524375" </w:instrText>
      </w:r>
      <w:r>
        <w:fldChar w:fldCharType="separate"/>
      </w:r>
      <w:r>
        <w:rPr>
          <w:rStyle w:val="28"/>
        </w:rPr>
        <w:t>Table 5: Employee Engagement, Organisational Culture and Leadership Findings</w:t>
      </w:r>
      <w:r>
        <w:tab/>
      </w:r>
      <w:r>
        <w:fldChar w:fldCharType="begin"/>
      </w:r>
      <w:r>
        <w:instrText xml:space="preserve"> PAGEREF _Toc231524375 \h </w:instrText>
      </w:r>
      <w:r>
        <w:fldChar w:fldCharType="separate"/>
      </w:r>
      <w:r>
        <w:t>45</w:t>
      </w:r>
      <w:r>
        <w:fldChar w:fldCharType="end"/>
      </w:r>
      <w:r>
        <w:fldChar w:fldCharType="end"/>
      </w:r>
    </w:p>
    <w:p w14:paraId="605B4119">
      <w:pPr>
        <w:pStyle w:val="16"/>
        <w:tabs>
          <w:tab w:val="right" w:leader="dot" w:pos="9350"/>
        </w:tabs>
        <w:rPr>
          <w:rFonts w:asciiTheme="minorHAnsi" w:hAnsiTheme="minorHAnsi" w:eastAsiaTheme="minorEastAsia"/>
          <w:lang w:eastAsia="en-GB"/>
        </w:rPr>
      </w:pPr>
      <w:r>
        <w:fldChar w:fldCharType="begin"/>
      </w:r>
      <w:r>
        <w:instrText xml:space="preserve"> HYPERLINK \l "_Toc231524376" </w:instrText>
      </w:r>
      <w:r>
        <w:fldChar w:fldCharType="separate"/>
      </w:r>
      <w:r>
        <w:rPr>
          <w:rStyle w:val="28"/>
        </w:rPr>
        <w:t>Table 6: Sustainability Practices and Organisational Outcomes</w:t>
      </w:r>
      <w:r>
        <w:tab/>
      </w:r>
      <w:r>
        <w:fldChar w:fldCharType="begin"/>
      </w:r>
      <w:r>
        <w:instrText xml:space="preserve"> PAGEREF _Toc231524376 \h </w:instrText>
      </w:r>
      <w:r>
        <w:fldChar w:fldCharType="separate"/>
      </w:r>
      <w:r>
        <w:t>48</w:t>
      </w:r>
      <w:r>
        <w:fldChar w:fldCharType="end"/>
      </w:r>
      <w:r>
        <w:fldChar w:fldCharType="end"/>
      </w:r>
    </w:p>
    <w:p w14:paraId="7EF700CA">
      <w:pPr/>
      <w:r>
        <w:fldChar w:fldCharType="end"/>
      </w:r>
    </w:p>
    <w:p w14:paraId="6DC3E2CC">
      <w:pPr/>
    </w:p>
    <w:p w14:paraId="12099095">
      <w:pPr/>
    </w:p>
    <w:p w14:paraId="3A1B9A08">
      <w:pPr/>
    </w:p>
    <w:p w14:paraId="139A06F2">
      <w:pPr>
        <w:rPr>
          <w:b/>
          <w:bCs/>
          <w:sz w:val="32"/>
          <w:szCs w:val="32"/>
        </w:rPr>
      </w:pPr>
      <w:r>
        <w:rPr>
          <w:b/>
          <w:bCs/>
          <w:sz w:val="32"/>
          <w:szCs w:val="32"/>
        </w:rPr>
        <w:t>List of Acronyms</w:t>
      </w:r>
    </w:p>
    <w:tbl>
      <w:tblPr>
        <w:tblStyle w:val="52"/>
        <w:tblW w:w="9803" w:type="dxa"/>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fixed"/>
        <w:tblCellMar>
          <w:top w:w="0" w:type="dxa"/>
          <w:left w:w="108" w:type="dxa"/>
          <w:bottom w:w="0" w:type="dxa"/>
          <w:right w:w="108" w:type="dxa"/>
        </w:tblCellMar>
      </w:tblPr>
      <w:tblGrid>
        <w:gridCol w:w="2011"/>
        <w:gridCol w:w="7792"/>
      </w:tblGrid>
      <w:tr w14:paraId="43020EF9">
        <w:tblPrEx>
          <w:tblLayout w:type="fixed"/>
        </w:tblPrEx>
        <w:trPr>
          <w:trHeight w:val="573" w:hRule="atLeast"/>
        </w:trPr>
        <w:tc>
          <w:tcPr>
            <w:tcW w:w="2011" w:type="dxa"/>
          </w:tcPr>
          <w:p w14:paraId="17092FF5">
            <w:pPr>
              <w:spacing w:after="160"/>
              <w:rPr>
                <w:b/>
                <w:bCs/>
              </w:rPr>
            </w:pPr>
            <w:r>
              <w:rPr>
                <w:b/>
                <w:bCs/>
              </w:rPr>
              <w:t>Acronym</w:t>
            </w:r>
          </w:p>
        </w:tc>
        <w:tc>
          <w:tcPr>
            <w:tcW w:w="7792" w:type="dxa"/>
          </w:tcPr>
          <w:p w14:paraId="56818CC4">
            <w:pPr>
              <w:spacing w:after="160"/>
              <w:rPr>
                <w:b/>
                <w:bCs/>
              </w:rPr>
            </w:pPr>
            <w:r>
              <w:rPr>
                <w:b/>
                <w:bCs/>
              </w:rPr>
              <w:t>Full Form</w:t>
            </w:r>
          </w:p>
        </w:tc>
      </w:tr>
      <w:tr w14:paraId="1693DC65">
        <w:tblPrEx>
          <w:tblLayout w:type="fixed"/>
        </w:tblPrEx>
        <w:trPr>
          <w:trHeight w:val="583" w:hRule="atLeast"/>
        </w:trPr>
        <w:tc>
          <w:tcPr>
            <w:tcW w:w="2011" w:type="dxa"/>
            <w:shd w:val="clear" w:color="auto" w:fill="F1F1F1" w:themeFill="background1" w:themeFillShade="F2"/>
          </w:tcPr>
          <w:p w14:paraId="41054325">
            <w:pPr>
              <w:spacing w:after="160"/>
              <w:rPr>
                <w:b/>
                <w:bCs/>
              </w:rPr>
            </w:pPr>
            <w:r>
              <w:rPr>
                <w:b/>
                <w:bCs/>
              </w:rPr>
              <w:t>AI</w:t>
            </w:r>
          </w:p>
        </w:tc>
        <w:tc>
          <w:tcPr>
            <w:tcW w:w="7792" w:type="dxa"/>
            <w:shd w:val="clear" w:color="auto" w:fill="F1F1F1" w:themeFill="background1" w:themeFillShade="F2"/>
          </w:tcPr>
          <w:p w14:paraId="01EDB05F">
            <w:pPr>
              <w:spacing w:after="160"/>
            </w:pPr>
            <w:r>
              <w:t>Artificial Intelligence</w:t>
            </w:r>
          </w:p>
        </w:tc>
      </w:tr>
      <w:tr w14:paraId="2CB8B21B">
        <w:tblPrEx>
          <w:tblLayout w:type="fixed"/>
        </w:tblPrEx>
        <w:trPr>
          <w:trHeight w:val="573" w:hRule="atLeast"/>
        </w:trPr>
        <w:tc>
          <w:tcPr>
            <w:tcW w:w="2011" w:type="dxa"/>
          </w:tcPr>
          <w:p w14:paraId="417AC4CB">
            <w:pPr>
              <w:spacing w:after="160"/>
              <w:rPr>
                <w:b/>
                <w:bCs/>
              </w:rPr>
            </w:pPr>
            <w:r>
              <w:rPr>
                <w:b/>
                <w:bCs/>
              </w:rPr>
              <w:t>AMO</w:t>
            </w:r>
          </w:p>
        </w:tc>
        <w:tc>
          <w:tcPr>
            <w:tcW w:w="7792" w:type="dxa"/>
          </w:tcPr>
          <w:p w14:paraId="1DDC6FC6">
            <w:pPr>
              <w:spacing w:after="160"/>
            </w:pPr>
            <w:r>
              <w:t>Ability–Motivation–Opportunity</w:t>
            </w:r>
          </w:p>
        </w:tc>
      </w:tr>
      <w:tr w14:paraId="5FB0B6D2">
        <w:tblPrEx>
          <w:tblLayout w:type="fixed"/>
        </w:tblPrEx>
        <w:trPr>
          <w:trHeight w:val="583" w:hRule="atLeast"/>
        </w:trPr>
        <w:tc>
          <w:tcPr>
            <w:tcW w:w="2011" w:type="dxa"/>
            <w:shd w:val="clear" w:color="auto" w:fill="F1F1F1" w:themeFill="background1" w:themeFillShade="F2"/>
          </w:tcPr>
          <w:p w14:paraId="449591F8">
            <w:pPr>
              <w:spacing w:after="160"/>
              <w:rPr>
                <w:b/>
                <w:bCs/>
              </w:rPr>
            </w:pPr>
            <w:r>
              <w:rPr>
                <w:b/>
                <w:bCs/>
              </w:rPr>
              <w:t>ESG</w:t>
            </w:r>
          </w:p>
        </w:tc>
        <w:tc>
          <w:tcPr>
            <w:tcW w:w="7792" w:type="dxa"/>
            <w:shd w:val="clear" w:color="auto" w:fill="F1F1F1" w:themeFill="background1" w:themeFillShade="F2"/>
          </w:tcPr>
          <w:p w14:paraId="390DC0F8">
            <w:pPr>
              <w:spacing w:after="160"/>
            </w:pPr>
            <w:r>
              <w:t>Environmental, Social and Governance</w:t>
            </w:r>
          </w:p>
        </w:tc>
      </w:tr>
      <w:tr w14:paraId="3E85F3C9">
        <w:tblPrEx>
          <w:tblLayout w:type="fixed"/>
        </w:tblPrEx>
        <w:trPr>
          <w:trHeight w:val="573" w:hRule="atLeast"/>
        </w:trPr>
        <w:tc>
          <w:tcPr>
            <w:tcW w:w="2011" w:type="dxa"/>
          </w:tcPr>
          <w:p w14:paraId="19627021">
            <w:pPr>
              <w:spacing w:after="160"/>
              <w:rPr>
                <w:b/>
                <w:bCs/>
              </w:rPr>
            </w:pPr>
            <w:r>
              <w:rPr>
                <w:b/>
                <w:bCs/>
              </w:rPr>
              <w:t>FMCG</w:t>
            </w:r>
          </w:p>
        </w:tc>
        <w:tc>
          <w:tcPr>
            <w:tcW w:w="7792" w:type="dxa"/>
          </w:tcPr>
          <w:p w14:paraId="707473A8">
            <w:pPr>
              <w:spacing w:after="160"/>
            </w:pPr>
            <w:r>
              <w:t>Fast-Moving Consumer Goods</w:t>
            </w:r>
          </w:p>
        </w:tc>
      </w:tr>
      <w:tr w14:paraId="2D8A6973">
        <w:tblPrEx>
          <w:tblLayout w:type="fixed"/>
        </w:tblPrEx>
        <w:trPr>
          <w:trHeight w:val="573" w:hRule="atLeast"/>
        </w:trPr>
        <w:tc>
          <w:tcPr>
            <w:tcW w:w="2011" w:type="dxa"/>
            <w:shd w:val="clear" w:color="auto" w:fill="F1F1F1" w:themeFill="background1" w:themeFillShade="F2"/>
          </w:tcPr>
          <w:p w14:paraId="33E63452">
            <w:pPr>
              <w:spacing w:after="160"/>
              <w:rPr>
                <w:b/>
                <w:bCs/>
              </w:rPr>
            </w:pPr>
            <w:r>
              <w:rPr>
                <w:b/>
                <w:bCs/>
              </w:rPr>
              <w:t>GHRM</w:t>
            </w:r>
          </w:p>
        </w:tc>
        <w:tc>
          <w:tcPr>
            <w:tcW w:w="7792" w:type="dxa"/>
            <w:shd w:val="clear" w:color="auto" w:fill="F1F1F1" w:themeFill="background1" w:themeFillShade="F2"/>
          </w:tcPr>
          <w:p w14:paraId="21720083">
            <w:pPr>
              <w:spacing w:after="160"/>
            </w:pPr>
            <w:r>
              <w:t>Green Human Resource Management</w:t>
            </w:r>
          </w:p>
        </w:tc>
      </w:tr>
      <w:tr w14:paraId="366E6416">
        <w:tblPrEx>
          <w:tblLayout w:type="fixed"/>
        </w:tblPrEx>
        <w:trPr>
          <w:trHeight w:val="583" w:hRule="atLeast"/>
        </w:trPr>
        <w:tc>
          <w:tcPr>
            <w:tcW w:w="2011" w:type="dxa"/>
          </w:tcPr>
          <w:p w14:paraId="31FC1BAC">
            <w:pPr>
              <w:spacing w:after="160"/>
              <w:rPr>
                <w:b/>
                <w:bCs/>
              </w:rPr>
            </w:pPr>
            <w:r>
              <w:rPr>
                <w:b/>
                <w:bCs/>
              </w:rPr>
              <w:t>HRD</w:t>
            </w:r>
          </w:p>
        </w:tc>
        <w:tc>
          <w:tcPr>
            <w:tcW w:w="7792" w:type="dxa"/>
          </w:tcPr>
          <w:p w14:paraId="2FBE667C">
            <w:pPr>
              <w:spacing w:after="160"/>
            </w:pPr>
            <w:r>
              <w:t>Human Resource Development</w:t>
            </w:r>
          </w:p>
        </w:tc>
      </w:tr>
      <w:tr w14:paraId="075450EC">
        <w:tblPrEx>
          <w:tblLayout w:type="fixed"/>
        </w:tblPrEx>
        <w:trPr>
          <w:trHeight w:val="573" w:hRule="atLeast"/>
        </w:trPr>
        <w:tc>
          <w:tcPr>
            <w:tcW w:w="2011" w:type="dxa"/>
            <w:shd w:val="clear" w:color="auto" w:fill="F1F1F1" w:themeFill="background1" w:themeFillShade="F2"/>
          </w:tcPr>
          <w:p w14:paraId="44026CF2">
            <w:pPr>
              <w:spacing w:after="160"/>
              <w:rPr>
                <w:b/>
                <w:bCs/>
              </w:rPr>
            </w:pPr>
            <w:r>
              <w:rPr>
                <w:b/>
                <w:bCs/>
              </w:rPr>
              <w:t>HRM</w:t>
            </w:r>
          </w:p>
        </w:tc>
        <w:tc>
          <w:tcPr>
            <w:tcW w:w="7792" w:type="dxa"/>
            <w:shd w:val="clear" w:color="auto" w:fill="F1F1F1" w:themeFill="background1" w:themeFillShade="F2"/>
          </w:tcPr>
          <w:p w14:paraId="2C1A484C">
            <w:pPr>
              <w:spacing w:after="160"/>
            </w:pPr>
            <w:r>
              <w:t>Human Resource Management</w:t>
            </w:r>
          </w:p>
        </w:tc>
      </w:tr>
      <w:tr w14:paraId="64303749">
        <w:tblPrEx>
          <w:tblLayout w:type="fixed"/>
        </w:tblPrEx>
        <w:trPr>
          <w:trHeight w:val="583" w:hRule="atLeast"/>
        </w:trPr>
        <w:tc>
          <w:tcPr>
            <w:tcW w:w="2011" w:type="dxa"/>
          </w:tcPr>
          <w:p w14:paraId="48B121E2">
            <w:pPr>
              <w:spacing w:after="160"/>
              <w:rPr>
                <w:b/>
                <w:bCs/>
              </w:rPr>
            </w:pPr>
            <w:r>
              <w:rPr>
                <w:b/>
                <w:bCs/>
              </w:rPr>
              <w:t>RBV</w:t>
            </w:r>
          </w:p>
        </w:tc>
        <w:tc>
          <w:tcPr>
            <w:tcW w:w="7792" w:type="dxa"/>
          </w:tcPr>
          <w:p w14:paraId="4E6DC520">
            <w:pPr>
              <w:spacing w:after="160"/>
            </w:pPr>
            <w:r>
              <w:t>Resource-Based View</w:t>
            </w:r>
          </w:p>
        </w:tc>
      </w:tr>
      <w:tr w14:paraId="1207B628">
        <w:tblPrEx>
          <w:tblLayout w:type="fixed"/>
        </w:tblPrEx>
        <w:trPr>
          <w:trHeight w:val="573" w:hRule="atLeast"/>
        </w:trPr>
        <w:tc>
          <w:tcPr>
            <w:tcW w:w="2011" w:type="dxa"/>
            <w:shd w:val="clear" w:color="auto" w:fill="F1F1F1" w:themeFill="background1" w:themeFillShade="F2"/>
          </w:tcPr>
          <w:p w14:paraId="28C5E37B">
            <w:pPr>
              <w:spacing w:after="160"/>
              <w:rPr>
                <w:b/>
                <w:bCs/>
              </w:rPr>
            </w:pPr>
            <w:r>
              <w:rPr>
                <w:b/>
                <w:bCs/>
              </w:rPr>
              <w:t>SDGs</w:t>
            </w:r>
          </w:p>
        </w:tc>
        <w:tc>
          <w:tcPr>
            <w:tcW w:w="7792" w:type="dxa"/>
            <w:shd w:val="clear" w:color="auto" w:fill="F1F1F1" w:themeFill="background1" w:themeFillShade="F2"/>
          </w:tcPr>
          <w:p w14:paraId="4AB4B81B">
            <w:pPr>
              <w:spacing w:after="160"/>
            </w:pPr>
            <w:r>
              <w:t>Sustainable Development Goals</w:t>
            </w:r>
          </w:p>
        </w:tc>
      </w:tr>
      <w:tr w14:paraId="0A804B92">
        <w:tblPrEx>
          <w:tblLayout w:type="fixed"/>
        </w:tblPrEx>
        <w:trPr>
          <w:trHeight w:val="573" w:hRule="atLeast"/>
        </w:trPr>
        <w:tc>
          <w:tcPr>
            <w:tcW w:w="2011" w:type="dxa"/>
          </w:tcPr>
          <w:p w14:paraId="4CE3E7E9">
            <w:pPr>
              <w:spacing w:after="160"/>
              <w:rPr>
                <w:b/>
                <w:bCs/>
              </w:rPr>
            </w:pPr>
            <w:r>
              <w:rPr>
                <w:b/>
                <w:bCs/>
              </w:rPr>
              <w:t>SHRM</w:t>
            </w:r>
          </w:p>
        </w:tc>
        <w:tc>
          <w:tcPr>
            <w:tcW w:w="7792" w:type="dxa"/>
          </w:tcPr>
          <w:p w14:paraId="5E44A524">
            <w:pPr>
              <w:spacing w:after="160"/>
            </w:pPr>
            <w:r>
              <w:t>Sustainable Human Resource Management</w:t>
            </w:r>
          </w:p>
        </w:tc>
      </w:tr>
      <w:tr w14:paraId="73CE5E28">
        <w:tblPrEx>
          <w:tblLayout w:type="fixed"/>
        </w:tblPrEx>
        <w:trPr>
          <w:trHeight w:val="583" w:hRule="atLeast"/>
        </w:trPr>
        <w:tc>
          <w:tcPr>
            <w:tcW w:w="2011" w:type="dxa"/>
            <w:shd w:val="clear" w:color="auto" w:fill="F1F1F1" w:themeFill="background1" w:themeFillShade="F2"/>
          </w:tcPr>
          <w:p w14:paraId="76DFCC52">
            <w:pPr>
              <w:spacing w:after="160"/>
              <w:rPr>
                <w:b/>
                <w:bCs/>
              </w:rPr>
            </w:pPr>
            <w:r>
              <w:rPr>
                <w:b/>
                <w:bCs/>
              </w:rPr>
              <w:t>T&amp;D</w:t>
            </w:r>
          </w:p>
        </w:tc>
        <w:tc>
          <w:tcPr>
            <w:tcW w:w="7792" w:type="dxa"/>
            <w:shd w:val="clear" w:color="auto" w:fill="F1F1F1" w:themeFill="background1" w:themeFillShade="F2"/>
          </w:tcPr>
          <w:p w14:paraId="02AE4D0B">
            <w:pPr>
              <w:spacing w:after="160"/>
            </w:pPr>
            <w:r>
              <w:t>Training and Development</w:t>
            </w:r>
          </w:p>
        </w:tc>
      </w:tr>
      <w:tr w14:paraId="755497C2">
        <w:tblPrEx>
          <w:tblLayout w:type="fixed"/>
        </w:tblPrEx>
        <w:trPr>
          <w:trHeight w:val="573" w:hRule="atLeast"/>
        </w:trPr>
        <w:tc>
          <w:tcPr>
            <w:tcW w:w="2011" w:type="dxa"/>
          </w:tcPr>
          <w:p w14:paraId="4EFF2975">
            <w:pPr>
              <w:spacing w:after="160"/>
              <w:rPr>
                <w:b/>
                <w:bCs/>
              </w:rPr>
            </w:pPr>
            <w:r>
              <w:rPr>
                <w:b/>
                <w:bCs/>
              </w:rPr>
              <w:t>UK</w:t>
            </w:r>
          </w:p>
        </w:tc>
        <w:tc>
          <w:tcPr>
            <w:tcW w:w="7792" w:type="dxa"/>
          </w:tcPr>
          <w:p w14:paraId="2DE640E7">
            <w:pPr>
              <w:spacing w:after="160"/>
            </w:pPr>
            <w:r>
              <w:t>United Kingdom</w:t>
            </w:r>
          </w:p>
        </w:tc>
      </w:tr>
    </w:tbl>
    <w:p w14:paraId="494EF65F">
      <w:pPr/>
    </w:p>
    <w:p w14:paraId="273880A4">
      <w:pPr/>
    </w:p>
    <w:p w14:paraId="051C71F0">
      <w:pPr/>
    </w:p>
    <w:p w14:paraId="0827D70B">
      <w:pPr/>
    </w:p>
    <w:p w14:paraId="4BBBEA0D">
      <w:pPr/>
    </w:p>
    <w:p w14:paraId="686DCF1F">
      <w:pPr/>
    </w:p>
    <w:p w14:paraId="0F697D69">
      <w:pPr/>
    </w:p>
    <w:p w14:paraId="6AF53E98">
      <w:pPr/>
    </w:p>
    <w:p w14:paraId="754E6EF4">
      <w:pPr>
        <w:rPr>
          <w:b/>
          <w:bCs/>
          <w:sz w:val="32"/>
          <w:szCs w:val="32"/>
        </w:rPr>
      </w:pPr>
      <w:r>
        <w:rPr>
          <w:b/>
          <w:bCs/>
          <w:sz w:val="32"/>
          <w:szCs w:val="32"/>
        </w:rPr>
        <w:t>Glossary of Key Terms</w:t>
      </w:r>
    </w:p>
    <w:tbl>
      <w:tblPr>
        <w:tblStyle w:val="52"/>
        <w:tblW w:w="0" w:type="auto"/>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fixed"/>
        <w:tblCellMar>
          <w:top w:w="0" w:type="dxa"/>
          <w:left w:w="108" w:type="dxa"/>
          <w:bottom w:w="0" w:type="dxa"/>
          <w:right w:w="108" w:type="dxa"/>
        </w:tblCellMar>
      </w:tblPr>
      <w:tblGrid>
        <w:gridCol w:w="2583"/>
        <w:gridCol w:w="6767"/>
      </w:tblGrid>
      <w:tr w14:paraId="1C590281">
        <w:tblPrEx>
          <w:tblLayout w:type="fixed"/>
        </w:tblPrEx>
        <w:tc>
          <w:tcPr>
            <w:tcW w:w="2583" w:type="dxa"/>
          </w:tcPr>
          <w:p w14:paraId="5D037BAD">
            <w:pPr>
              <w:spacing w:after="160" w:line="240" w:lineRule="auto"/>
              <w:rPr>
                <w:b/>
                <w:bCs/>
              </w:rPr>
            </w:pPr>
            <w:r>
              <w:rPr>
                <w:b/>
                <w:bCs/>
              </w:rPr>
              <w:t>Term</w:t>
            </w:r>
          </w:p>
        </w:tc>
        <w:tc>
          <w:tcPr>
            <w:tcW w:w="6767" w:type="dxa"/>
          </w:tcPr>
          <w:p w14:paraId="69AC918F">
            <w:pPr>
              <w:spacing w:after="160" w:line="240" w:lineRule="auto"/>
              <w:rPr>
                <w:b/>
                <w:bCs/>
              </w:rPr>
            </w:pPr>
            <w:r>
              <w:rPr>
                <w:b/>
                <w:bCs/>
              </w:rPr>
              <w:t>Definition</w:t>
            </w:r>
          </w:p>
        </w:tc>
      </w:tr>
      <w:tr w14:paraId="793328A6">
        <w:tblPrEx>
          <w:tblLayout w:type="fixed"/>
        </w:tblPrEx>
        <w:tc>
          <w:tcPr>
            <w:tcW w:w="2583" w:type="dxa"/>
            <w:shd w:val="clear" w:color="auto" w:fill="F1F1F1" w:themeFill="background1" w:themeFillShade="F2"/>
          </w:tcPr>
          <w:p w14:paraId="1DC1C364">
            <w:pPr>
              <w:spacing w:after="160" w:line="240" w:lineRule="auto"/>
              <w:rPr>
                <w:b/>
                <w:bCs/>
              </w:rPr>
            </w:pPr>
            <w:r>
              <w:rPr>
                <w:b/>
                <w:bCs/>
              </w:rPr>
              <w:t>Digital Transformation</w:t>
            </w:r>
          </w:p>
        </w:tc>
        <w:tc>
          <w:tcPr>
            <w:tcW w:w="6767" w:type="dxa"/>
            <w:shd w:val="clear" w:color="auto" w:fill="F1F1F1" w:themeFill="background1" w:themeFillShade="F2"/>
          </w:tcPr>
          <w:p w14:paraId="2D719378">
            <w:pPr>
              <w:spacing w:after="160" w:line="240" w:lineRule="auto"/>
            </w:pPr>
            <w:r>
              <w:t>The integration of digital technologies into organisational processes to improve efficiency, innovation, and decision-making.</w:t>
            </w:r>
          </w:p>
        </w:tc>
      </w:tr>
      <w:tr w14:paraId="58342BFA">
        <w:tblPrEx>
          <w:tblLayout w:type="fixed"/>
        </w:tblPrEx>
        <w:tc>
          <w:tcPr>
            <w:tcW w:w="2583" w:type="dxa"/>
          </w:tcPr>
          <w:p w14:paraId="3AAB6224">
            <w:pPr>
              <w:spacing w:after="160" w:line="240" w:lineRule="auto"/>
              <w:rPr>
                <w:b/>
                <w:bCs/>
              </w:rPr>
            </w:pPr>
            <w:r>
              <w:rPr>
                <w:b/>
                <w:bCs/>
              </w:rPr>
              <w:t>Employee Engagement</w:t>
            </w:r>
          </w:p>
        </w:tc>
        <w:tc>
          <w:tcPr>
            <w:tcW w:w="6767" w:type="dxa"/>
          </w:tcPr>
          <w:p w14:paraId="5BE0C00A">
            <w:pPr>
              <w:spacing w:after="160" w:line="240" w:lineRule="auto"/>
            </w:pPr>
            <w:r>
              <w:t>The level of employees’ commitment, involvement, and enthusiasm towards their work and organisation.</w:t>
            </w:r>
          </w:p>
        </w:tc>
      </w:tr>
      <w:tr w14:paraId="1C74A50D">
        <w:tblPrEx>
          <w:tblLayout w:type="fixed"/>
        </w:tblPrEx>
        <w:tc>
          <w:tcPr>
            <w:tcW w:w="2583" w:type="dxa"/>
            <w:shd w:val="clear" w:color="auto" w:fill="F1F1F1" w:themeFill="background1" w:themeFillShade="F2"/>
          </w:tcPr>
          <w:p w14:paraId="648808AF">
            <w:pPr>
              <w:spacing w:after="160" w:line="240" w:lineRule="auto"/>
              <w:rPr>
                <w:b/>
                <w:bCs/>
              </w:rPr>
            </w:pPr>
            <w:r>
              <w:rPr>
                <w:b/>
                <w:bCs/>
              </w:rPr>
              <w:t>Green HRM</w:t>
            </w:r>
          </w:p>
        </w:tc>
        <w:tc>
          <w:tcPr>
            <w:tcW w:w="6767" w:type="dxa"/>
            <w:shd w:val="clear" w:color="auto" w:fill="F1F1F1" w:themeFill="background1" w:themeFillShade="F2"/>
          </w:tcPr>
          <w:p w14:paraId="51C20CDF">
            <w:pPr>
              <w:spacing w:after="160" w:line="240" w:lineRule="auto"/>
            </w:pPr>
            <w:r>
              <w:t>Sustainable human resource management practices encourage environmentally sustainable behaviours and organisational sustainability.</w:t>
            </w:r>
          </w:p>
        </w:tc>
      </w:tr>
      <w:tr w14:paraId="067E3B37">
        <w:tblPrEx>
          <w:tblLayout w:type="fixed"/>
        </w:tblPrEx>
        <w:tc>
          <w:tcPr>
            <w:tcW w:w="2583" w:type="dxa"/>
          </w:tcPr>
          <w:p w14:paraId="41EC95A0">
            <w:pPr>
              <w:spacing w:after="160" w:line="240" w:lineRule="auto"/>
              <w:rPr>
                <w:b/>
                <w:bCs/>
              </w:rPr>
            </w:pPr>
            <w:r>
              <w:rPr>
                <w:b/>
                <w:bCs/>
              </w:rPr>
              <w:t>Human Capital</w:t>
            </w:r>
          </w:p>
        </w:tc>
        <w:tc>
          <w:tcPr>
            <w:tcW w:w="6767" w:type="dxa"/>
          </w:tcPr>
          <w:p w14:paraId="2C34F3EB">
            <w:pPr>
              <w:spacing w:after="160" w:line="240" w:lineRule="auto"/>
            </w:pPr>
            <w:r>
              <w:t>The abilities that employees possess which allows them to perform for the betterment of the organisation.</w:t>
            </w:r>
          </w:p>
        </w:tc>
      </w:tr>
      <w:tr w14:paraId="6BB3E62F">
        <w:tblPrEx>
          <w:tblLayout w:type="fixed"/>
        </w:tblPrEx>
        <w:tc>
          <w:tcPr>
            <w:tcW w:w="2583" w:type="dxa"/>
            <w:shd w:val="clear" w:color="auto" w:fill="F1F1F1" w:themeFill="background1" w:themeFillShade="F2"/>
          </w:tcPr>
          <w:p w14:paraId="33B27357">
            <w:pPr>
              <w:spacing w:after="160" w:line="240" w:lineRule="auto"/>
              <w:rPr>
                <w:b/>
                <w:bCs/>
              </w:rPr>
            </w:pPr>
            <w:r>
              <w:rPr>
                <w:b/>
                <w:bCs/>
              </w:rPr>
              <w:t>Knowledge Management</w:t>
            </w:r>
          </w:p>
        </w:tc>
        <w:tc>
          <w:tcPr>
            <w:tcW w:w="6767" w:type="dxa"/>
            <w:shd w:val="clear" w:color="auto" w:fill="F1F1F1" w:themeFill="background1" w:themeFillShade="F2"/>
          </w:tcPr>
          <w:p w14:paraId="5FFF9996">
            <w:pPr>
              <w:spacing w:after="160" w:line="240" w:lineRule="auto"/>
            </w:pPr>
            <w:r>
              <w:t>The use of people’s collective intelligence to create, share, store and apply organisational knowledge.</w:t>
            </w:r>
          </w:p>
        </w:tc>
      </w:tr>
      <w:tr w14:paraId="418509D2">
        <w:tblPrEx>
          <w:tblLayout w:type="fixed"/>
        </w:tblPrEx>
        <w:tc>
          <w:tcPr>
            <w:tcW w:w="2583" w:type="dxa"/>
          </w:tcPr>
          <w:p w14:paraId="6F9278FB">
            <w:pPr>
              <w:spacing w:after="160" w:line="240" w:lineRule="auto"/>
              <w:rPr>
                <w:b/>
                <w:bCs/>
              </w:rPr>
            </w:pPr>
            <w:r>
              <w:rPr>
                <w:b/>
                <w:bCs/>
              </w:rPr>
              <w:t>Organisational Learning</w:t>
            </w:r>
          </w:p>
        </w:tc>
        <w:tc>
          <w:tcPr>
            <w:tcW w:w="6767" w:type="dxa"/>
          </w:tcPr>
          <w:p w14:paraId="61382234">
            <w:pPr>
              <w:spacing w:after="160" w:line="240" w:lineRule="auto"/>
            </w:pPr>
            <w:r>
              <w:t>Organizations use a continuous process to acquire, develop and utilize knowledge to be more effective and adaptable.</w:t>
            </w:r>
          </w:p>
        </w:tc>
      </w:tr>
      <w:tr w14:paraId="2507AB44">
        <w:tblPrEx>
          <w:tblLayout w:type="fixed"/>
        </w:tblPrEx>
        <w:tc>
          <w:tcPr>
            <w:tcW w:w="2583" w:type="dxa"/>
            <w:shd w:val="clear" w:color="auto" w:fill="F1F1F1" w:themeFill="background1" w:themeFillShade="F2"/>
          </w:tcPr>
          <w:p w14:paraId="27D68A78">
            <w:pPr>
              <w:spacing w:after="160" w:line="240" w:lineRule="auto"/>
              <w:rPr>
                <w:b/>
                <w:bCs/>
              </w:rPr>
            </w:pPr>
            <w:r>
              <w:rPr>
                <w:b/>
                <w:bCs/>
              </w:rPr>
              <w:t>Organisational Performance</w:t>
            </w:r>
          </w:p>
        </w:tc>
        <w:tc>
          <w:tcPr>
            <w:tcW w:w="6767" w:type="dxa"/>
            <w:shd w:val="clear" w:color="auto" w:fill="F1F1F1" w:themeFill="background1" w:themeFillShade="F2"/>
          </w:tcPr>
          <w:p w14:paraId="6C8AD484">
            <w:pPr>
              <w:spacing w:after="160" w:line="240" w:lineRule="auto"/>
            </w:pPr>
            <w:r>
              <w:t>The degree to which an organization achieves its strategic, productivity, competitiveness and sustainability goals.</w:t>
            </w:r>
          </w:p>
        </w:tc>
      </w:tr>
      <w:tr w14:paraId="23EDEF5E">
        <w:tblPrEx>
          <w:tblLayout w:type="fixed"/>
        </w:tblPrEx>
        <w:tc>
          <w:tcPr>
            <w:tcW w:w="2583" w:type="dxa"/>
          </w:tcPr>
          <w:p w14:paraId="324204FA">
            <w:pPr>
              <w:spacing w:after="160" w:line="240" w:lineRule="auto"/>
              <w:rPr>
                <w:b/>
                <w:bCs/>
              </w:rPr>
            </w:pPr>
            <w:r>
              <w:rPr>
                <w:b/>
                <w:bCs/>
              </w:rPr>
              <w:t>Resource-Based View (RBV)</w:t>
            </w:r>
          </w:p>
        </w:tc>
        <w:tc>
          <w:tcPr>
            <w:tcW w:w="6767" w:type="dxa"/>
          </w:tcPr>
          <w:p w14:paraId="29C5CA48">
            <w:pPr>
              <w:spacing w:after="160" w:line="240" w:lineRule="auto"/>
            </w:pPr>
            <w:r>
              <w:t>A theory suggesting that sustainable competitive advantage is achieved through valuable, rare, inimitable, and non-substitutable resources.</w:t>
            </w:r>
          </w:p>
        </w:tc>
      </w:tr>
      <w:tr w14:paraId="7FA8F46B">
        <w:tblPrEx>
          <w:tblLayout w:type="fixed"/>
        </w:tblPrEx>
        <w:tc>
          <w:tcPr>
            <w:tcW w:w="2583" w:type="dxa"/>
            <w:shd w:val="clear" w:color="auto" w:fill="F1F1F1" w:themeFill="background1" w:themeFillShade="F2"/>
          </w:tcPr>
          <w:p w14:paraId="7A04C05D">
            <w:pPr>
              <w:spacing w:after="160" w:line="240" w:lineRule="auto"/>
              <w:rPr>
                <w:b/>
                <w:bCs/>
              </w:rPr>
            </w:pPr>
            <w:r>
              <w:rPr>
                <w:b/>
                <w:bCs/>
              </w:rPr>
              <w:t>Sustainable HRM</w:t>
            </w:r>
          </w:p>
        </w:tc>
        <w:tc>
          <w:tcPr>
            <w:tcW w:w="6767" w:type="dxa"/>
            <w:shd w:val="clear" w:color="auto" w:fill="F1F1F1" w:themeFill="background1" w:themeFillShade="F2"/>
          </w:tcPr>
          <w:p w14:paraId="23549A1C">
            <w:pPr>
              <w:spacing w:after="160" w:line="240" w:lineRule="auto"/>
            </w:pPr>
            <w:r>
              <w:t>HRM practices reconcile economic, social and environmental goals with the aim of sustaining the wellbeing of employees and organizations over the longer-term.</w:t>
            </w:r>
          </w:p>
        </w:tc>
      </w:tr>
      <w:tr w14:paraId="35432F72">
        <w:tblPrEx>
          <w:tblLayout w:type="fixed"/>
        </w:tblPrEx>
        <w:tc>
          <w:tcPr>
            <w:tcW w:w="2583" w:type="dxa"/>
          </w:tcPr>
          <w:p w14:paraId="0FB59B52">
            <w:pPr>
              <w:spacing w:after="160" w:line="240" w:lineRule="auto"/>
              <w:rPr>
                <w:b/>
                <w:bCs/>
              </w:rPr>
            </w:pPr>
            <w:r>
              <w:rPr>
                <w:b/>
                <w:bCs/>
              </w:rPr>
              <w:t>Training and Development (T&amp;D)</w:t>
            </w:r>
          </w:p>
        </w:tc>
        <w:tc>
          <w:tcPr>
            <w:tcW w:w="6767" w:type="dxa"/>
          </w:tcPr>
          <w:p w14:paraId="45144260">
            <w:pPr>
              <w:spacing w:after="160" w:line="240" w:lineRule="auto"/>
            </w:pPr>
            <w:r>
              <w:t>Organised learning activities aimed at improving employees’ knowledge, skills, competencies, and performance.</w:t>
            </w:r>
          </w:p>
        </w:tc>
      </w:tr>
    </w:tbl>
    <w:p w14:paraId="3863E4AF">
      <w:pPr/>
    </w:p>
    <w:p w14:paraId="4BA6A83A">
      <w:pPr/>
    </w:p>
    <w:p w14:paraId="56739189">
      <w:pPr>
        <w:sectPr>
          <w:footerReference r:id="rId3" w:type="default"/>
          <w:pgSz w:w="12240" w:h="15840"/>
          <w:pgMar w:top="1440" w:right="1440" w:bottom="1440" w:left="1440" w:header="720" w:footer="720" w:gutter="0"/>
          <w:pgNumType w:fmt="lowerRoman"/>
          <w:cols w:space="720" w:num="1"/>
          <w:docGrid w:linePitch="360" w:charSpace="0"/>
        </w:sectPr>
      </w:pPr>
    </w:p>
    <w:p w14:paraId="77B89D6E">
      <w:pPr>
        <w:pStyle w:val="2"/>
      </w:pPr>
      <w:bookmarkStart w:id="0" w:name="_Toc231586749"/>
      <w:r>
        <w:t>Introduction</w:t>
      </w:r>
      <w:bookmarkEnd w:id="0"/>
    </w:p>
    <w:p w14:paraId="007C6B18">
      <w:pPr>
        <w:pStyle w:val="3"/>
      </w:pPr>
      <w:bookmarkStart w:id="1" w:name="_Toc231586750"/>
      <w:r>
        <w:t>Background of the Study</w:t>
      </w:r>
      <w:bookmarkEnd w:id="1"/>
    </w:p>
    <w:p w14:paraId="6D68CC7D">
      <w:pPr/>
      <w:r>
        <w:t>New technologies, sustainability requirements, competitive globalisation and changing expectations of staff are driving the modern business landscape to change quickly. In such a context, companies are coming to understand that human resources are one of the most valuable strategic assets for long-term innovation, adaptability, and competitive success (Budhwar et al., 2023). According to Becker (1975), human capital can be defined as the knowledge, skills, competencies, experience and capabilities that employees have that add value to their organisations and processes. As industries are becoming attached to knowledge-intensive and technology-based activities, companies have termed training and development (T&amp;D) practices as a vital investment to enhance employee and organisation’s competitiveness (Obeng-Tuaah, 2025).</w:t>
      </w:r>
    </w:p>
    <w:p w14:paraId="6A8A0AC5">
      <w:pPr/>
      <w:r>
        <w:t>Arguably one of the most competitive and dynamic industries across the globe is the Fast-Moving Consumer Goods (FMCG) Industry. UK FMCG firms operate within a competitive environment with a high degree of dynamism and a plethora of choices (collaborative consumption, e-commerce, health and wellness, etc). Moreover, consumer behaviour is volatile with the incessant demand for innovations (new products and services) from brands (Misopoulos and Bajiraj, 2025). According to a recent study conducted by Mohammed, Ojo and Shah (2024), major FMCG companies such as Unilever, Tesco, Diageo and Associated British Foods are increasingly relying on adaptability of the workforce, digital capabilities, and organisational learning. As a result, training and development are no longer seen as administrative activities of HR, but as strategic investments of the organisation that aid innovation, productivity and sustainability (Rahmoune and Djekidel, 2025).</w:t>
      </w:r>
    </w:p>
    <w:p w14:paraId="28401F4F">
      <w:pPr/>
      <w:r>
        <w:t>The significance of training and development has seen a marked increase on account of Digital Transformation and Industry 4.0 technologies. The introduction of AI, automation, data analytics and digital HRM systems within organisations is changing their operations and generating continuous demand for employee reskilling and upskilling (Sima et al., 2020). More employees are being looked at to have the digital skillset and flexibility to solve problems and assist with innovation in an organisation so that operational efficiency is achieved. Organisations are now personalizing the learning process for their staff, pinpointing skill gaps, and enhancing their capacity to build skills using AI-powered learning systems, as cited by Huu (2023) and Ekuma (2023). Similarly, Zhang and Chen (2023) state that development systems with digital HRM reinforce the employees’ learning flexibility and the organisation’s responsiveness using technology. Workforce development systems are increasingly using technology as shown by this transformational development.</w:t>
      </w:r>
    </w:p>
    <w:p w14:paraId="4C3043FE">
      <w:pPr/>
      <w:r>
        <w:t>Concurrently, sustainability has emerged as an additional key strategic priority to influence organisational HRM practices. It is being demanded of organisations that they contribute not just to economic performance but environmental and social sustainability objectives (Missimer and Mesquita, 2022). As a result, the incorporation of sustainable HRM and Green HRM practices into employee training and development systems is increasing (Chams and García-Blandón, 2019). Green HRM refers to the way human resource management can make employees and organizational players adopt environmentally- friendly behaviours (Yong et al., 2020). Training plays an important role in creating green human capital through enhancing environmental knowledge, sustainable behaviour and organisational adaptability.</w:t>
      </w:r>
    </w:p>
    <w:p w14:paraId="34EEEC75">
      <w:pPr/>
      <w:r>
        <w:t>Training and development are strategically important. This is supported by Human Capital Theory and the Resource-Based View (RBV). The Human Capital Theory highlights how businesses can develop or improve upon human talent to increase output or productivity. According to the resource-based view, human resource capabilities that are valuable, rare and difficult to imitate can generate sustainable competitive advantage.  As a result, contemporary organisations are using contemporary training systems more frequently to develop their organisational learning, innovation capability and strategic flexibility. Big FMCG companies have started pouring a lot of money into making their work forces better and AI-enabled HR systems as Ahmed et al. (2026) demonstrate.</w:t>
      </w:r>
    </w:p>
    <w:p w14:paraId="4CF20757">
      <w:pPr/>
      <w:r>
        <w:t>Although organisations are spending more on training and development, their effectiveness is still debated in the literature. There are various research advocating the existence of positive relationships among training, employee performance and organisational outcomes. However, some argue that the effectiveness of training depends depend on organisational culture, perception of employees, leadership support and HR system (Rafi’i et al, 2025). Many existing studies treat training as a separate element, along with sustainability and digital transformation, rather than evaluating their joint effect on human capital development. Consequently, this creates an important research gap, particularly within UK FMCGs undergoing a considerable technology and sustainability transformation.</w:t>
      </w:r>
    </w:p>
    <w:p w14:paraId="0825764D">
      <w:pPr/>
      <w:r>
        <w:t>The purpose of this study is to investigate how training and development contribute towards human capital development with respect to UK FMCG companies while also examining the impact of digital transformation as well as sustainable HRM practices on capability-building and competitiveness.</w:t>
      </w:r>
    </w:p>
    <w:p w14:paraId="238D5BEF">
      <w:pPr>
        <w:pStyle w:val="3"/>
      </w:pPr>
      <w:bookmarkStart w:id="2" w:name="_Toc231586751"/>
      <w:r>
        <w:t>Research Problem</w:t>
      </w:r>
      <w:bookmarkEnd w:id="2"/>
    </w:p>
    <w:p w14:paraId="010CA8BC">
      <w:pPr/>
      <w:r>
        <w:t>UK FMCG firms are facing increasing pressure to enhance their employees' flexibility, innovation capability and competitiveness in the rapidly changing technological and sustainability environments (Nwabekee et al., 2024). Despite the significant financial outlay of organisations for training and development practices, there is still a limited understanding of the way in which training practices help achieve sustainable human capital development under digital transformation and sustainable HRM (Day et al., 2021).  The research literature on training, sustainability and digitalisation has tended to be limited, with often a focus on one of the three key areas, resulting in a low-level integrated understanding.</w:t>
      </w:r>
    </w:p>
    <w:p w14:paraId="0B915A11">
      <w:pPr>
        <w:pStyle w:val="3"/>
      </w:pPr>
      <w:bookmarkStart w:id="3" w:name="_Toc231586752"/>
      <w:r>
        <w:t>Research Aim</w:t>
      </w:r>
      <w:bookmarkEnd w:id="3"/>
    </w:p>
    <w:p w14:paraId="6238E98F">
      <w:pPr/>
      <w:r>
        <w:t>To examine how organisational learning practices contribute to employee capability, organisational performance and long-term competitive advantage in the UK FMCG sector.</w:t>
      </w:r>
    </w:p>
    <w:p w14:paraId="07D6E7CF">
      <w:pPr>
        <w:pStyle w:val="3"/>
      </w:pPr>
      <w:bookmarkStart w:id="4" w:name="_Toc231586753"/>
      <w:r>
        <w:t>Research Objectives</w:t>
      </w:r>
      <w:bookmarkEnd w:id="4"/>
    </w:p>
    <w:p w14:paraId="7F2A9B29">
      <w:pPr>
        <w:pStyle w:val="45"/>
        <w:numPr>
          <w:ilvl w:val="0"/>
          <w:numId w:val="2"/>
        </w:numPr>
      </w:pPr>
      <w:r>
        <w:t xml:space="preserve">To investigate the concept and significance of training and development in developing human capital within organisations. </w:t>
      </w:r>
    </w:p>
    <w:p w14:paraId="208F78F8">
      <w:pPr>
        <w:pStyle w:val="45"/>
        <w:numPr>
          <w:ilvl w:val="0"/>
          <w:numId w:val="2"/>
        </w:numPr>
      </w:pPr>
      <w:r>
        <w:t xml:space="preserve">To examine the training and development activities used by UK FMCG companies to enhance employee skills and competencies. </w:t>
      </w:r>
    </w:p>
    <w:p w14:paraId="3ABC40E0">
      <w:pPr>
        <w:pStyle w:val="45"/>
        <w:numPr>
          <w:ilvl w:val="0"/>
          <w:numId w:val="2"/>
        </w:numPr>
        <w:rPr>
          <w:rFonts w:cs="Arial"/>
        </w:rPr>
      </w:pPr>
      <w:r>
        <w:t xml:space="preserve">To assess the role of training and development activities in improving human capital and organisational performance in the UK FMCG sector. </w:t>
      </w:r>
    </w:p>
    <w:p w14:paraId="349DB44A">
      <w:pPr>
        <w:pStyle w:val="3"/>
      </w:pPr>
      <w:bookmarkStart w:id="5" w:name="_Toc231586754"/>
      <w:r>
        <w:t>Research Questions</w:t>
      </w:r>
      <w:bookmarkEnd w:id="5"/>
    </w:p>
    <w:p w14:paraId="1BD59973">
      <w:pPr>
        <w:rPr>
          <w:rFonts w:cs="Arial"/>
        </w:rPr>
      </w:pPr>
      <w:r>
        <w:rPr>
          <w:rFonts w:cs="Arial"/>
        </w:rPr>
        <w:t>The main research question is:</w:t>
      </w:r>
    </w:p>
    <w:p w14:paraId="6C6C9A94">
      <w:pPr>
        <w:jc w:val="left"/>
        <w:rPr>
          <w:rFonts w:cs="Arial"/>
        </w:rPr>
      </w:pPr>
      <w:r>
        <w:rPr>
          <w:rFonts w:cs="Arial"/>
        </w:rPr>
        <w:t>How do training and development practices enhance human capital in UK FMCG companies?</w:t>
      </w:r>
    </w:p>
    <w:p w14:paraId="7A474957">
      <w:pPr>
        <w:rPr>
          <w:rFonts w:cs="Arial"/>
        </w:rPr>
      </w:pPr>
      <w:r>
        <w:rPr>
          <w:rFonts w:cs="Arial"/>
        </w:rPr>
        <w:t>Supporting questions are:</w:t>
      </w:r>
    </w:p>
    <w:p w14:paraId="48767989">
      <w:pPr>
        <w:pStyle w:val="45"/>
        <w:numPr>
          <w:ilvl w:val="0"/>
          <w:numId w:val="3"/>
        </w:numPr>
      </w:pPr>
      <w:r>
        <w:rPr>
          <w:rFonts w:cs="Arial"/>
        </w:rPr>
        <w:t xml:space="preserve">What </w:t>
      </w:r>
      <w:r>
        <w:t xml:space="preserve">role does training and development play in enhancing human capital within organisations? </w:t>
      </w:r>
    </w:p>
    <w:p w14:paraId="042150D8">
      <w:pPr>
        <w:pStyle w:val="45"/>
        <w:numPr>
          <w:ilvl w:val="0"/>
          <w:numId w:val="3"/>
        </w:numPr>
      </w:pPr>
      <w:r>
        <w:t xml:space="preserve">What training and development practices are implemented by UK FMCG companies to strengthen employee capabilities? </w:t>
      </w:r>
    </w:p>
    <w:p w14:paraId="05DE60AC">
      <w:pPr>
        <w:pStyle w:val="45"/>
        <w:numPr>
          <w:ilvl w:val="0"/>
          <w:numId w:val="3"/>
        </w:numPr>
      </w:pPr>
      <w:r>
        <w:t>How do training and development</w:t>
      </w:r>
      <w:r>
        <w:rPr>
          <w:rFonts w:cs="Arial"/>
        </w:rPr>
        <w:t xml:space="preserve"> initiatives contribute to organisational performance and long-term competitiveness in the UK FMCG sector</w:t>
      </w:r>
      <w:r>
        <w:t xml:space="preserve">? </w:t>
      </w:r>
    </w:p>
    <w:p w14:paraId="1897CD27">
      <w:pPr>
        <w:pStyle w:val="3"/>
      </w:pPr>
      <w:bookmarkStart w:id="6" w:name="_Toc231586755"/>
      <w:r>
        <w:t>Justification and Significance of the Study</w:t>
      </w:r>
      <w:bookmarkEnd w:id="6"/>
    </w:p>
    <w:p w14:paraId="1B79ED4A">
      <w:pPr/>
      <w:r>
        <w:t>This research is essential as it helps to comprehend how modern organisations create capability for their workforce in an increasingly digitised and sustainability-oriented organisation. This research is especially vital in the context of UK organisations operating in the FMCG space that are facing continued pressures to enhance efficiency profitably in operation sustainably as well as improve the adaptiveness of the workforce.</w:t>
      </w:r>
    </w:p>
    <w:p w14:paraId="05E7A14C">
      <w:pPr/>
      <w:r>
        <w:t xml:space="preserve"> The results of the research may assist in understanding how training and development systems contribute towards innovation and employee engagement and competitiveness. The research adds value to existing literature by linking Human Capital Theory, sustainable HRM, digital transformation and organisational learning within a common analytical framework. This research analyses these variables together, with analysis confined to an UK data centre and the health insurance industry. In practical terms, the findings may assist HR managers and organizational leaders in developing more effective training systems aligned with the objectives of sustainability and digital transformation.</w:t>
      </w:r>
    </w:p>
    <w:p w14:paraId="4C2B2830">
      <w:pPr>
        <w:pStyle w:val="3"/>
      </w:pPr>
      <w:bookmarkStart w:id="7" w:name="_Toc231586756"/>
      <w:r>
        <w:t>Literature Gap</w:t>
      </w:r>
      <w:bookmarkEnd w:id="7"/>
    </w:p>
    <w:p w14:paraId="2EB18C9C">
      <w:pPr/>
      <w:r>
        <w:t>There is significant literature on training and development, sustainable HRM and digital transformation but still gaps. Many studies focus exclusively on training, digital HRM, and sustainability and do not explore the interrelationship between them as part of capability building systems (Boon et al., 2019) A significant amount of existing research is context-specific.  Furthermore, UK FMCG organisations operating in an environment of high levels of competition and rapid technological change have not been subject to sufficient research. Additionally, not much research has studied the simultaneous effect of employee perceptions, organisational culture and sustainability-oriented HRM systems on training effectiveness and human capital development. Overall, limited efforts have been devoted towards examining the relationship between AI-enabled HRM systems and sustainable human capital development particularly in the case of multinational FMCG.</w:t>
      </w:r>
    </w:p>
    <w:p w14:paraId="077ACA5B">
      <w:pPr>
        <w:pStyle w:val="3"/>
      </w:pPr>
      <w:bookmarkStart w:id="8" w:name="_Toc231586757"/>
      <w:r>
        <w:t>Dissertation Structure</w:t>
      </w:r>
      <w:bookmarkEnd w:id="8"/>
    </w:p>
    <w:p w14:paraId="04D84200">
      <w:pPr/>
      <w:r>
        <w:t>The dissertation consists of five chapters. Chapter One presents background information on the research problem, research aim, objectives, significance of study and literature gap. The second chapter presents a literature review on human capital, training and development, sustainable management and digital transformation and organizational competitiveness with various theoretical perspectives. The research describes the research methodology, research philosophy, research design, data collection, and thematic analysis approach. The findings and analysis are presented in chapter four with the aid of secondary data. To conclude, chapter five contains conclusion, recommendation implication of the research limitation and suggestion.</w:t>
      </w:r>
    </w:p>
    <w:p w14:paraId="2162D851">
      <w:pPr/>
    </w:p>
    <w:p w14:paraId="7C2C38A7">
      <w:pPr/>
    </w:p>
    <w:p w14:paraId="4288A32A">
      <w:pPr/>
    </w:p>
    <w:p w14:paraId="42DEFF95">
      <w:pPr/>
    </w:p>
    <w:p w14:paraId="638BC212">
      <w:pPr/>
    </w:p>
    <w:p w14:paraId="4A27EB0E">
      <w:pPr/>
    </w:p>
    <w:p w14:paraId="787E30F8">
      <w:pPr>
        <w:pStyle w:val="2"/>
      </w:pPr>
      <w:bookmarkStart w:id="9" w:name="_Toc229800088"/>
      <w:bookmarkStart w:id="10" w:name="_Toc231586758"/>
      <w:r>
        <w:t>LITERATURE REVIEW</w:t>
      </w:r>
      <w:bookmarkEnd w:id="9"/>
      <w:bookmarkEnd w:id="10"/>
    </w:p>
    <w:p w14:paraId="3E53E65B">
      <w:pPr>
        <w:pStyle w:val="3"/>
      </w:pPr>
      <w:bookmarkStart w:id="11" w:name="_Toc231586759"/>
      <w:bookmarkStart w:id="12" w:name="_Toc229800089"/>
      <w:r>
        <w:t>Introduction</w:t>
      </w:r>
      <w:bookmarkEnd w:id="11"/>
      <w:bookmarkEnd w:id="12"/>
      <w:r>
        <w:t xml:space="preserve"> </w:t>
      </w:r>
    </w:p>
    <w:p w14:paraId="40F9F3FF">
      <w:pPr/>
      <w:r>
        <w:t>This chapter is a critical analysis of how training and development (T&amp;D) can improve human capital in contemporary organisations. Human capital, which is the skills, knowledge and competencies of employees is a major source of sustainable competitive advantage in the knowledge-based and competitive global environment today. T&amp;D thus is a strategic HRM practice that facilitates capability building, innovation and performance of an organisation. The literature on it reveals its effects on employee engagement, adaptability and productivity, but there is still a discussion on the issue of how training can be translated into outcomes. Also, the training approaches are being transformed by the digital transformation and sustainable HRM. This chapter will examine these themes and determine some major gaps that form the basis of this study.</w:t>
      </w:r>
    </w:p>
    <w:p w14:paraId="2A95077C">
      <w:pPr>
        <w:pStyle w:val="3"/>
      </w:pPr>
      <w:bookmarkStart w:id="13" w:name="_Toc231586760"/>
      <w:bookmarkStart w:id="14" w:name="_Toc229800090"/>
      <w:r>
        <w:t>Concept of Human Capital and Strategic Importance</w:t>
      </w:r>
      <w:bookmarkEnd w:id="13"/>
      <w:bookmarkEnd w:id="14"/>
    </w:p>
    <w:p w14:paraId="33C6A0CE">
      <w:pPr>
        <w:pStyle w:val="4"/>
      </w:pPr>
      <w:bookmarkStart w:id="15" w:name="_Toc229800091"/>
      <w:bookmarkStart w:id="16" w:name="_Toc231586761"/>
      <w:r>
        <w:t>Definition and Strategic Value of Human Capital</w:t>
      </w:r>
      <w:bookmarkEnd w:id="15"/>
      <w:bookmarkEnd w:id="16"/>
    </w:p>
    <w:p w14:paraId="62A65E15">
      <w:pPr/>
      <w:r>
        <w:t>The concept of human capital is commonly defined as the reservoir of knowledge, skills, abilities, experience, and other useful employee factors that lead to organisational performance and long-term competitiveness (Becker, 1975). It is no longer considered a mere labour input in the literature but as a strategic resource that determines innovation, flexibility and value creation. According to Boon et al. (2018), human capital is at the core of Strategic Human Capital and Strategic Human Resource Management since knowledge, skills, abilities, and other traits of employees can create competitive advantage in case they are valuable, rare, and difficult to duplicate. This perspective transcends the conventional personnel management and makes the employees a source of strategic differentiation as opposed to an operating cost.</w:t>
      </w:r>
    </w:p>
    <w:p w14:paraId="23744098">
      <w:pPr/>
      <w:r>
        <w:t>Human capital theory is a great advocate of this strategic concept of human capital (Becker, 1975; Gerhart and Feng, 2021). As Aldrickzler et al. (2025) claim, investment into education, training, and employee development enhances productivity and economic value as it fortifies the competence and effectiveness of workers. Similarly, Rahmoune and Djekidel (2025) identify human resources as strategic human assets whose resourcefulness, flexibility, and skills will define the resilience of institutions and their success. Their argument is significant in that it expands human capital beyond technical competence. Human capital does not just refer to formal knowledge and job skills, but also behavioural and adaptive abilities enabling organisations to respond to a rapid environmental, technological and market change.</w:t>
      </w:r>
    </w:p>
    <w:p w14:paraId="5E8B9B81">
      <w:pPr>
        <w:pStyle w:val="4"/>
      </w:pPr>
      <w:bookmarkStart w:id="17" w:name="_Toc231586762"/>
      <w:bookmarkStart w:id="18" w:name="_Toc229800092"/>
      <w:r>
        <w:t>Human Capital as a Dynamic Organisational Resource</w:t>
      </w:r>
      <w:bookmarkEnd w:id="17"/>
      <w:bookmarkEnd w:id="18"/>
    </w:p>
    <w:p w14:paraId="3DDECF73">
      <w:pPr/>
      <w:r>
        <w:t>The literature indicates that the human capital cannot be viewed as a fixed or isolated resource. Boon et al. (2018) point out as a shortcoming that most strategic human capital studies tend to concentrate on human capital as a firm-level resource, yet strategic HRM studies the HR systems that create and exploit that resource. This difference is important since employees do not generate value by default. Their skills should be cultivated, coordinated and matched with broader organisational systems. This is to say, human capital is strategic not merely because it has talented individuals in the firm, but because organisational processes assist in converting their potential to performance</w:t>
      </w:r>
      <w:r>
        <w:rPr>
          <w:rFonts w:eastAsia="Times New Roman" w:cs="Times New Roman"/>
          <w:kern w:val="0"/>
          <w:lang w:eastAsia="en-GB"/>
          <w14:ligatures w14:val="none"/>
        </w:rPr>
        <w:t xml:space="preserve"> </w:t>
      </w:r>
      <w:r>
        <w:t>(Othman and Mahmood, 2019). This places HR practices especially training and development at the heart of human capital formation.</w:t>
      </w:r>
    </w:p>
    <w:p w14:paraId="27C94C84">
      <w:pPr/>
      <w:r>
        <w:t>Intellectual capital and knowledge processes are also associated with the strategic value of human capital. Al-Tit et al. (2022) state that human capital is one of the facets of broader intellectual capital, which is accompanied by social and structural capital. Employee development practices in their study enhance the human capital both directly and indirectly by knowledge management. This is an important contribution since it demonstrates that human capital is not a personal asset only; it is surrounded by organisational structures, which facilitate knowledge sharing, application, and internalisation</w:t>
      </w:r>
      <w:r>
        <w:rPr>
          <w:rFonts w:eastAsia="Times New Roman" w:cs="Times New Roman"/>
          <w:kern w:val="0"/>
          <w:lang w:eastAsia="en-GB"/>
          <w14:ligatures w14:val="none"/>
        </w:rPr>
        <w:t xml:space="preserve"> </w:t>
      </w:r>
      <w:r>
        <w:t>(Lee et al., 2023). Their results indicate that human capital is more valuable when organisations provide the environment where knowledge could flow and be transformed into further competencies. This renders human capital as an organisational and a personal phenomenon.</w:t>
      </w:r>
    </w:p>
    <w:p w14:paraId="70892058">
      <w:pPr/>
      <w:r>
        <w:t>Simultaneously, the literature is becoming increasingly focused on the fact that the meaning of human capital is evolving in the digital age. According to Sima et al. (2020), Industry 4.0 is changing human capital in the relatively stable occupational knowledge to a model in which it is a continuous learning model, adaptable, and digital competence. Similarly, Nastase et al. (2025) argue that human capital has become the key component of sustainable advantage since the employees now have to supplement the emerging technologies as opposed to competing with them. With the automation of routine tasks, creativity, critical thinking, emotional intelligence, and learning agility are increasingly becoming important. Ekuma (2023) also states that AI and automation are transforming Human Resource Development through personalised, data-driven, and skill gap responsive learning. Collectively, these studies indicate that human capital is becoming dynamic. Its strategic value is not just the current knowledge of employees, but also their ability to reskill, adapt, and interact with digital transformation.</w:t>
      </w:r>
    </w:p>
    <w:p w14:paraId="2D80B92D">
      <w:pPr>
        <w:pStyle w:val="4"/>
      </w:pPr>
      <w:bookmarkStart w:id="19" w:name="_Toc229800093"/>
      <w:bookmarkStart w:id="20" w:name="_Toc231586763"/>
      <w:r>
        <w:t>Human Capital, Sustainability and Critical Issues</w:t>
      </w:r>
      <w:bookmarkEnd w:id="19"/>
      <w:bookmarkEnd w:id="20"/>
    </w:p>
    <w:p w14:paraId="3BAAF01F">
      <w:pPr/>
      <w:r>
        <w:t>Another trend in the literature is the relationship between human capital and sustainability. Chams and Garccia-Blandon (2019) state that the Sustainable Human Resource Management relates to the ability to narrow the gap between human capabilities and other social and environmental goals, which presupposes that human capital does not only bring benefits to the performance of firms but also generates long-term value in society. According to Yong et al. (2019), the green human capital, or the knowledge, skills, and commitment of the involved employees in terms of the environment, is also among the main sources of green HRM. Yong et al. (2020) also prove that green training is among the best predictors of sustainability performance in manufacturing companies. These articles push the concept of human capital beyond the economic productivity, and this idea is that the human capital that is strategically important is environmental awareness, ethical responsibility and the ability to join in sustainability agendas.</w:t>
      </w:r>
    </w:p>
    <w:p w14:paraId="4B91614E">
      <w:pPr/>
      <w:r>
        <w:t>With this influential strategic framing, there are severe critical problems that are identified in the literature. According to Collings et al. (2018), it is disturbing how HRM rhetoric comes to depict employees as valuable resource; yet efficiency and control mechanisms they remain in the first instance. The importance of this criticism is that it challenges overly idealistic beliefs on human capital. Also, Boon et al. (2019) state that HR systems research is rather conceptually vague and it is not always clear how a set of practices achieves performance results. As revealed by these criticisms, notwithstanding the global acknowledgement of human capital as a source of advantage, the measurement, development and translation of human capital into sustained performance remains a matter of disagreement. (Amid and Ming, 2020).</w:t>
      </w:r>
    </w:p>
    <w:p w14:paraId="6E79ED35">
      <w:pPr/>
      <w:r>
        <w:t>All in all, the literature indicates that human capital is a strategic factor since it forms the foundation of organisational productivity, innovation, resilience and competitiveness. But its value is not created by itself. It relies on HR systems, knowledge processes, digital adaptation and more sustainable ways of developing capabilities. Human capital thus needs to be seen as a dynamic and strategically controlled commodity as opposed to a given employee attribute.</w:t>
      </w:r>
    </w:p>
    <w:p w14:paraId="799DE016">
      <w:pPr>
        <w:pStyle w:val="3"/>
      </w:pPr>
      <w:bookmarkStart w:id="21" w:name="_Toc231586764"/>
      <w:bookmarkStart w:id="22" w:name="_Toc229800094"/>
      <w:r>
        <w:t>Training and Development as a Driver of Human Capital</w:t>
      </w:r>
      <w:bookmarkEnd w:id="21"/>
      <w:bookmarkEnd w:id="22"/>
      <w:r>
        <w:t xml:space="preserve"> </w:t>
      </w:r>
    </w:p>
    <w:p w14:paraId="532F3E93">
      <w:pPr>
        <w:pStyle w:val="4"/>
      </w:pPr>
      <w:bookmarkStart w:id="23" w:name="_Toc231586765"/>
      <w:bookmarkStart w:id="24" w:name="_Toc229800095"/>
      <w:r>
        <w:t>Training as Skills and Capability Development</w:t>
      </w:r>
      <w:bookmarkEnd w:id="23"/>
      <w:bookmarkEnd w:id="24"/>
    </w:p>
    <w:p w14:paraId="368EA5A7">
      <w:pPr/>
      <w:r>
        <w:t>Training and development (T&amp;D) have been well understood as the basic processes of improving human capital that include the knowledge, skills, abilities and competencies that employees bring to the organisations performance. In the context of the Human Capital Theory (Becker, 1975), employee development is considered a strategic asset that creates long-term value and competitive advantage (Aldrickzler et al., 2025). But modern literature indicates that training and human capital are not strictly related in a direct way but instead are complex under the influence of organisational processes and affected by contextual factors</w:t>
      </w:r>
      <w:r>
        <w:rPr>
          <w:rFonts w:eastAsia="Times New Roman" w:cs="Times New Roman"/>
          <w:kern w:val="0"/>
          <w:lang w:eastAsia="en-GB"/>
          <w14:ligatures w14:val="none"/>
        </w:rPr>
        <w:t xml:space="preserve"> </w:t>
      </w:r>
      <w:r>
        <w:t>(Rezaei, Khalilzadeh and Soleimani, 2021).</w:t>
      </w:r>
    </w:p>
    <w:p w14:paraId="1975DB2D">
      <w:pPr/>
      <w:r>
        <w:t>One of the most important approaches to the literature is the focus on the fact that training is a major contributor to human capital formation in terms of acquiring skills and developing competencies. Indicatively, Rahmoune and Djekidel (2025) claim that training is essential to the technical and behavioural abilities of employees that help organisations to adapt to the dynamic changes in the environment. On the same note, Habeeb and Babatunde (2023) indicate that structured training programmes enhance efficiency, creativity, and performance of tasks by employees, which enhances organisational capability. All these studies agree with the traditional perspective that training has a direct role in human capital improvement in terms of providing the employee with pertinent knowledge and skills.</w:t>
      </w:r>
    </w:p>
    <w:p w14:paraId="7100D052">
      <w:pPr>
        <w:pStyle w:val="4"/>
      </w:pPr>
      <w:bookmarkStart w:id="25" w:name="_Toc231586766"/>
      <w:bookmarkStart w:id="26" w:name="_Toc229800096"/>
      <w:r>
        <w:t>Knowledge Management and Employee Perceptions</w:t>
      </w:r>
      <w:bookmarkEnd w:id="25"/>
      <w:bookmarkEnd w:id="26"/>
    </w:p>
    <w:p w14:paraId="59660937">
      <w:pPr/>
      <w:r>
        <w:t>Recent studies have moved beyond the traditional linear perspective and instead focus on indirect mechanisms linking training and human capital. The critical contribution of the article by Al-Tit et al. (2022)  prove that knowledge management mediates the connection between employee development practices and human capital. They say that training is not sufficient unless the organisations establish knowledge sharing, transfer, and application systems. This is breaking the previous beliefs that training will automatically translate to better human capital, and rather, the relevance of organisational learning processes is emphasised (Becker, 1975; (Zihan, Makhbul and Alam, 2024)). It is in this spirit that human capital development does not only entail individual capability building but it also entails how knowledge is institutionalised within the organisation.</w:t>
      </w:r>
    </w:p>
    <w:p w14:paraId="3A7C61D7">
      <w:pPr/>
      <w:r>
        <w:t>Besides, training performance is greatly related to training design and perception among workers. The authors state that organisational investment (top-down approach) and employee perceptions (bottom-up approach) have an impact on the outcomes of training (Sung and Choi, 2018; Gotsch et al., 2022). Although organisations can invest a lot in development programmes, their influence on human capital depends on how the employees are engaged, motivated and perceived relevancy. The research also provides employee competence and commitment as the mediating variables between training and the organisational outcomes including innovation (Sung and Choi, 2018). This brings in a more subtle picture which indicates that training is a source of human capital development not necessarily in terms of skills but also in psychological aspects like commitment</w:t>
      </w:r>
      <w:r>
        <w:rPr>
          <w:rFonts w:eastAsia="Times New Roman" w:cs="Times New Roman"/>
          <w:kern w:val="0"/>
          <w:lang w:eastAsia="en-GB"/>
          <w14:ligatures w14:val="none"/>
        </w:rPr>
        <w:t xml:space="preserve"> </w:t>
      </w:r>
      <w:r>
        <w:t>(Hamadamin and Atan, 2019).</w:t>
      </w:r>
    </w:p>
    <w:p w14:paraId="69EDB26F">
      <w:pPr>
        <w:pStyle w:val="4"/>
      </w:pPr>
      <w:bookmarkStart w:id="27" w:name="_Toc231586767"/>
      <w:bookmarkStart w:id="28" w:name="_Toc229800097"/>
      <w:r>
        <w:t>Training, Productivity and Organisational Performance</w:t>
      </w:r>
      <w:bookmarkEnd w:id="27"/>
      <w:bookmarkEnd w:id="28"/>
    </w:p>
    <w:p w14:paraId="50C24D4C">
      <w:pPr/>
      <w:r>
        <w:t>Training is a necessary aspect to enhance the productivity and performance of an organization through the development of individual capabilities and organizational capabilities as well. According to Sima et al. (2020), human capital in terms of 4IR is no longer static knowledge but constant learning and development, which is altered in response to the emerging situations. Training is hence ceased to be a single event but a continuous process of reskilling and upskilling. This is in line with Ekuma (2023), who says that digital transformation has increased the demand of personalised and data-driven learning systems. The use of AI allows organisations to detect what skills they lack and provide specific training to facilitate more successful human capital development</w:t>
      </w:r>
      <w:r>
        <w:rPr>
          <w:rFonts w:eastAsia="Times New Roman" w:cs="Times New Roman"/>
          <w:kern w:val="0"/>
          <w:lang w:eastAsia="en-GB"/>
          <w14:ligatures w14:val="none"/>
        </w:rPr>
        <w:t xml:space="preserve"> </w:t>
      </w:r>
      <w:r>
        <w:t>(Morandini et al., 2023). Nonetheless, there are also issues of data privacy, algorithm bias, and excessive dependence on algorithms, which are associated with this technological change, which indicates that the advantages of digital training should be weighed against ethical interests</w:t>
      </w:r>
      <w:r>
        <w:rPr>
          <w:rFonts w:eastAsia="Times New Roman" w:cs="Times New Roman"/>
          <w:kern w:val="0"/>
          <w:lang w:eastAsia="en-GB"/>
          <w14:ligatures w14:val="none"/>
        </w:rPr>
        <w:t xml:space="preserve"> </w:t>
      </w:r>
      <w:r>
        <w:t>(Ntoutsi et al., 2020).</w:t>
      </w:r>
    </w:p>
    <w:p w14:paraId="491C2E6E">
      <w:pPr/>
      <w:r>
        <w:t>The other critical aspect of the literature is the role of training in the larger system of HRM. According to Boon et al. (2018), it is impossible to consider human capital without referring to HR practices. Rather, it is influenced by built-in HR systems that include training and recruitment, performance management and rewards. This opinion is confirmed by Boon et al. (2019), who stress that HR practices are bundles, not individual activities. The effects of training on the human capital are therefore enhanced where the training is synergized with other HR practices. Nevertheless, a gap in understanding of how these synergies work in practice is also stated in the literature, provoking the necessity of new empirical studies.</w:t>
      </w:r>
    </w:p>
    <w:p w14:paraId="0CD7261C">
      <w:pPr/>
      <w:r>
        <w:t>The correlation between training and human capital also interrelates closely with the employee productivity and organisational performance. According to Aldrickzler et al. (2025), training increases quality and efficiency of output of the employees to make them productive. Also, according to Tio Fabian et al. (2024), training, along with career development, improves employee motivation and retention, which are essential components of human capital. The outcomes of this study can be attributed to the fact that training results in not only the personal capacity but also the organisational outcomes (Al-Tit et al., 2022). Nevertheless, such studies are inclined to draw a positive relationship with a lack of a closer examination of the contextual constraints, such as resources, organisational culture, or disproportionate access to training opportunities.</w:t>
      </w:r>
    </w:p>
    <w:p w14:paraId="2236F109">
      <w:pPr>
        <w:pStyle w:val="4"/>
      </w:pPr>
      <w:bookmarkStart w:id="29" w:name="_Toc231586768"/>
      <w:bookmarkStart w:id="30" w:name="_Toc229800098"/>
      <w:r>
        <w:t>Sustainability, Leadership and Training Limitations</w:t>
      </w:r>
      <w:bookmarkEnd w:id="29"/>
      <w:bookmarkEnd w:id="30"/>
    </w:p>
    <w:p w14:paraId="588CF1DD">
      <w:pPr/>
      <w:r>
        <w:t>Despite its benefits, training is also associated with several limitations and challenges that can affect its effectiveness in organisational contexts. These problems as Aldrickzler et al. (2025) refer to as favouritism, ineffective resource allocation, and the lack of merit-related systems can be used in the training programmes and may have a negative influence on the effectiveness of the training programs. This implies that investing in training is not a sure way of human capital development; quality, equity, and accessibility of training are as well significant</w:t>
      </w:r>
      <w:r>
        <w:rPr>
          <w:rFonts w:eastAsia="Times New Roman" w:cs="Times New Roman"/>
          <w:kern w:val="0"/>
          <w:lang w:eastAsia="en-GB"/>
          <w14:ligatures w14:val="none"/>
        </w:rPr>
        <w:t xml:space="preserve"> </w:t>
      </w:r>
      <w:r>
        <w:t>(Rahman and Akhter, 2021). Moreover, Sung and Choi (2018) warn that compulsory training and over-assessment can lower the motivation of employees, thus undermining the beneficial effects of training. These results indicate the need to develop training programmes to promote voluntary attendance and self-drive.</w:t>
      </w:r>
    </w:p>
    <w:p w14:paraId="32279E27">
      <w:pPr/>
      <w:r>
        <w:t>The theme of sustainability and environmental viewpoint is also becoming a more important part of the discussion on training and human capital. As Saeed et al. (2019) and Yong et al. (2020) show, green training improves the knowledge of employees about the environment and sustainable behaviour, which leads to green human capital. This generalizes the human capital beyond the economic value to the environmental and social aspects. On the same note, Chams and Garccia-Blandon (2019) believe that sustainable HRM practices, which include training, are important towards the realization of the broader sustainability objectives like Sustainable Development Goals (SDGs). This is an indication of a change in HRM thinking towards less performance-based and more holistic and socially responsible models.</w:t>
      </w:r>
    </w:p>
    <w:p w14:paraId="28456919">
      <w:pPr/>
      <w:r>
        <w:t>Moreover, leadership and organisational situation cannot be overlooked in terms of interpreting the training effectiveness. Dirani et al. (2020) note that in crises, HRD and leadership are extremely important to aid employee growth and organisational resilience. Training programmes should thus be in line with the organisational needs and external challenges to be relevant. It is a contextual approach that allows promoting the notion that human capital formation is not a fixed process but it is the process that is subject to the impact of environmental factors</w:t>
      </w:r>
      <w:r>
        <w:rPr>
          <w:rFonts w:eastAsia="Times New Roman" w:cs="Times New Roman"/>
          <w:kern w:val="0"/>
          <w:lang w:eastAsia="en-GB"/>
          <w14:ligatures w14:val="none"/>
        </w:rPr>
        <w:t xml:space="preserve"> </w:t>
      </w:r>
      <w:r>
        <w:t>(Xu, 2021).</w:t>
      </w:r>
    </w:p>
    <w:p w14:paraId="25029C6E">
      <w:pPr/>
      <w:r>
        <w:t>In conclusion, the literature has shown that training and development are the most important elements of human capital formation, yet they turned out to be inefficient because there were numerous issues that were interconnected. The traditional perspectives are oriented on the direct enhancement of the skills, but the recent research also draw attention to the role of the mediating variables, such as knowledge management, perceptions of employees, and integration of the HR systems. In addition, technological changes and sustainability are redefining the purpose of training in human capital. More to the point, it is hypothesised in the literature that training does not exist as a vacuum; its impacts are contingent on the context, design, and implementation in the organisation. Thus, organisations need to take the holistic and strategic approach to training so that they can fully utilise its potential as a source of human capital.</w:t>
      </w:r>
    </w:p>
    <w:p w14:paraId="247983A4">
      <w:pPr>
        <w:pStyle w:val="3"/>
      </w:pPr>
      <w:bookmarkStart w:id="31" w:name="_Toc231586769"/>
      <w:bookmarkStart w:id="32" w:name="_Toc229800099"/>
      <w:r>
        <w:t>Mechanisms Linking Training → Performance → Human Capital</w:t>
      </w:r>
      <w:bookmarkEnd w:id="31"/>
      <w:bookmarkEnd w:id="32"/>
      <w:r>
        <w:t xml:space="preserve"> </w:t>
      </w:r>
    </w:p>
    <w:p w14:paraId="188C1ADF">
      <w:pPr>
        <w:pStyle w:val="4"/>
      </w:pPr>
      <w:bookmarkStart w:id="33" w:name="_Toc229800100"/>
      <w:bookmarkStart w:id="34" w:name="_Toc231586770"/>
      <w:r>
        <w:t>Direct Skill-Based Mechanism</w:t>
      </w:r>
      <w:bookmarkEnd w:id="33"/>
      <w:bookmarkEnd w:id="34"/>
    </w:p>
    <w:p w14:paraId="6B724ABA">
      <w:pPr/>
      <w:r>
        <w:t>The association between training, employee performance, and human capital development is well known in the literature, but there is a variety in the conceptualisation of the mechanisms linking these constructs by scholars. Some of the studies focus on direct skill acquisition pathways, some focus on mediating processes like knowledge management, psychological processes and employee attitudes, and more recent studies include digital moderators and contextual moderators (Rahmoune and Djekidel, 2025). Critical review of the literature reveals that training is not directly related to human capital or performance, but its effect is affected through various interrelated processes</w:t>
      </w:r>
      <w:r>
        <w:rPr>
          <w:rFonts w:eastAsia="Times New Roman" w:cs="Times New Roman"/>
          <w:kern w:val="0"/>
          <w:lang w:eastAsia="en-GB"/>
          <w14:ligatures w14:val="none"/>
        </w:rPr>
        <w:t xml:space="preserve"> </w:t>
      </w:r>
      <w:r>
        <w:t>(Zhang and Chen, 2023).</w:t>
      </w:r>
    </w:p>
    <w:p w14:paraId="1AA9C4D9">
      <w:pPr/>
      <w:r>
        <w:t>One of the prevailing lines of thought is the fact that training increases the human capital in terms of knowledge and skill base which in turn improves performance. As an example, Rahmoune and Djekidel (2025) define training as a planned process to equip employees with skills, skills, and attitudes, thus, facilitating improved work performance and flexibility. On the same note, Habeeb and Babatunde (2023) maintain that training enhances efficiency, accuracy and innovation through skill gap closeouts and ensuring that employee capabilities match job demands. Such studies coincide with the human capital theory that presupposes the rather linear course: training- better skills- better performance- better value of human capital.</w:t>
      </w:r>
    </w:p>
    <w:p w14:paraId="0F8A9D58">
      <w:pPr>
        <w:pStyle w:val="4"/>
      </w:pPr>
      <w:bookmarkStart w:id="35" w:name="_Toc231586771"/>
      <w:bookmarkStart w:id="36" w:name="_Toc229800101"/>
      <w:r>
        <w:t>Motivation, Commitment and Psychological Mechanisms</w:t>
      </w:r>
      <w:bookmarkEnd w:id="35"/>
      <w:bookmarkEnd w:id="36"/>
    </w:p>
    <w:p w14:paraId="7DF1754C">
      <w:pPr/>
      <w:r>
        <w:t>Training impact on employee performance is through development of skills, plus motivation, commitment, and psychological engagement. Aldrickzler et al. (2025) develop this point of view by showing that training impacts the performance not only on technical skills but on the psychological and behavioural levels, including confidence, job satisfaction, and motivation. This implies that the improvement in performance is not entirely cognitive but also influenced by the attitudes and emotional involvement of the employees. Therefore, the training-performance mechanism is multidimensional, which entails the development of capabilities as well as the motivational boost</w:t>
      </w:r>
      <w:r>
        <w:rPr>
          <w:rFonts w:eastAsia="Times New Roman" w:cs="Times New Roman"/>
          <w:kern w:val="0"/>
          <w:lang w:eastAsia="en-GB"/>
          <w14:ligatures w14:val="none"/>
        </w:rPr>
        <w:t xml:space="preserve"> </w:t>
      </w:r>
      <w:r>
        <w:t>(Dao et al., 2025).</w:t>
      </w:r>
    </w:p>
    <w:p w14:paraId="332DD4DA">
      <w:pPr/>
      <w:r>
        <w:t>A more subtle description is presented by Al-Tit et al. (2022), who add knowledge management as one of the mediating processes. Their results demonstrate that employee development practices (training and empowerment) improve human capital both directly and indirectly by way of better knowledge sharing, transfer, and application. This puts the perspective on individual learning to organizational learning processes, implying that training can only be effective when the knowledge is properly integrated and transferred in the organization. Notably, their research shows that knowledge management plays a major role in mediating between training and human capital, but not social capital, which implies that various aspects of intellectual capital are mediated by different mechanisms</w:t>
      </w:r>
      <w:r>
        <w:rPr>
          <w:rFonts w:eastAsia="Times New Roman" w:cs="Times New Roman"/>
          <w:kern w:val="0"/>
          <w:lang w:eastAsia="en-GB"/>
          <w14:ligatures w14:val="none"/>
        </w:rPr>
        <w:t xml:space="preserve"> </w:t>
      </w:r>
      <w:r>
        <w:t>(Al-Tit et al., 2022).</w:t>
      </w:r>
    </w:p>
    <w:p w14:paraId="004B8CEF">
      <w:pPr/>
      <w:r>
        <w:t>This mediation view is affirmed by the wider body of literature on HRM, which points out that Hr practices have intermediate outcomes on employees and not direct. Indicatively, Sung and Choi (2018) suggest that training is related to organizational outcomes due to employee competence and commitment. The ability aspect of AMO (Ability Motivation Opportunity) framework is competence, whereas the motivational mechanisms are represented by commitment</w:t>
      </w:r>
      <w:r>
        <w:rPr>
          <w:rFonts w:eastAsia="Times New Roman" w:cs="Times New Roman"/>
          <w:kern w:val="0"/>
          <w:lang w:eastAsia="en-GB"/>
          <w14:ligatures w14:val="none"/>
        </w:rPr>
        <w:t xml:space="preserve"> </w:t>
      </w:r>
      <w:r>
        <w:t>(Appelbaum et al., 2000). According to their findings, training only helps to improve performance in cases where employees can perform (skills) and desire to perform (commitment). This questions the purely resource-based perspectives by emphasizing the role of employee perceptions and participation in the training-performance outcomes translation.</w:t>
      </w:r>
    </w:p>
    <w:p w14:paraId="6D6A6937">
      <w:pPr/>
      <w:r>
        <w:t>Besides competence and motivation, there are other mechanisms that have been established as being critical between training and behaviour: psychological climate and perception-based mechanisms. In their case of green HRM, Saeed et al. (2019) show that training has an indirect effect on employee behaviour by creating a pro-environmental psychological climate. Though with a sustainability focus, the mechanism behind it can be transferred: employees perceptions of organizational values are developed through training, which subsequently leads to behavioural results. This supports the argument that the effectiveness of training relies on how the employees understand and internalize the practices of development and not just the content of the training</w:t>
      </w:r>
      <w:r>
        <w:rPr>
          <w:rFonts w:eastAsia="Times New Roman" w:cs="Times New Roman"/>
          <w:kern w:val="0"/>
          <w:lang w:eastAsia="en-GB"/>
          <w14:ligatures w14:val="none"/>
        </w:rPr>
        <w:t xml:space="preserve"> </w:t>
      </w:r>
      <w:r>
        <w:t>(Boon et al., 2018).</w:t>
      </w:r>
    </w:p>
    <w:p w14:paraId="3C67F08E">
      <w:pPr>
        <w:pStyle w:val="4"/>
      </w:pPr>
      <w:bookmarkStart w:id="37" w:name="_Toc231586772"/>
      <w:bookmarkStart w:id="38" w:name="_Toc229800102"/>
      <w:r>
        <w:t>Knowledge Management and HR System Integration</w:t>
      </w:r>
      <w:bookmarkEnd w:id="37"/>
      <w:bookmarkEnd w:id="38"/>
    </w:p>
    <w:p w14:paraId="26534C42">
      <w:pPr/>
      <w:r>
        <w:t>Training effectiveness is closely linked to knowledge management processes and its integration within broader human resource systems. According to Sung and Choi (2018), the results of training are contingent on such factors as voluntary participation and evaluation systems. Voluntary attendance increases personal drive and involvement, which make training more effective on competence and dedication. On the contrary, overvaluation can decrease learning performance by inducing pressure and constraining experimentation. This brings about the concept that training- performance relationship is contingent, which depends on organizational design and performance practices.</w:t>
      </w:r>
    </w:p>
    <w:p w14:paraId="64A149C7">
      <w:pPr/>
      <w:r>
        <w:t>Literature published recently adds even more to the discussion, including the processes of digital transformation, as well as technological mechanisms. Ekuma (2023) demonstrates that artificial intelligence increases the effectiveness of training by providing it with customization, real-time feedback, and data-driven decisions. Skill gaps are detected by AI-powered systems and learning trajectories are customized, which helps enhance learning outcomes and performance. Equally, Zhang and Chen (2023) establish that online HRM platforms promote lifelong learning and performance appraisals, which enhance the connection between training and human capital formation. This research imply that technology is an enabling factor, which enhances the efficiency and relevance of training processes. Nevertheless, they also point out such risks as the bias of algorithms or over-dependence on human capital that can negatively affect the development of human capital in case of the lack of proper control.</w:t>
      </w:r>
    </w:p>
    <w:p w14:paraId="152EC088">
      <w:pPr>
        <w:pStyle w:val="4"/>
      </w:pPr>
      <w:bookmarkStart w:id="39" w:name="_Toc229800103"/>
      <w:bookmarkStart w:id="40" w:name="_Toc231586773"/>
      <w:r>
        <w:t>Digital and Contextual Moderators</w:t>
      </w:r>
      <w:bookmarkEnd w:id="39"/>
      <w:bookmarkEnd w:id="40"/>
    </w:p>
    <w:p w14:paraId="1A985447">
      <w:pPr/>
      <w:r>
        <w:t>The effectiveness of training is shaped by digital advancements and broader organisational contexts that influence how learning translates into performance. Boon et al. (2018) posit that human capital cannot be considered a simple product of the personal training process but an outcome of the comprehensive HR systems that define the capabilities, motivation, and opportunities of employees. This means that training is not enough, its success is determined by its correspondence to other HR strategies like performance management, rewards, and career development. Likewise, Davidescu et al. (2020) demonstrate that training (as functional flexibility) has a positive effect on the level of job satisfaction and performance, especially with the support of work arrangements. This emphasizes the essence of complementarity, in which various HR practices complement each other to improve human capital performance.</w:t>
      </w:r>
    </w:p>
    <w:p w14:paraId="60E5DA5E">
      <w:pPr/>
      <w:r>
        <w:t>Moreover, the research on Industry 4.0 and the digital economy focuses on the significance of training in the creation of adaptive and future-oriented human capital. According to Sima et al. (2020), training should be aimed at constant learning, digital skills and ability to solve problems to address the changes in the labour market. In this regard, human capital is not stagnant but it is dynamic and needs continuous reskilling and upskilling. This is where a switch is made between the short term performance enhancement to the long term capability enhancement and the organizational sustainability.</w:t>
      </w:r>
    </w:p>
    <w:p w14:paraId="62C2BA06">
      <w:pPr/>
      <w:r>
        <w:t>Importantly, although most studies are positive in their relationships, some limitations and contradictions are significant. As an example, Sung and Choi (2018) note that training may be rather neutral or even detrimental in case it is not designed effectively or is viewed as irrelevant. Equally, Al-Tit et al. (2022) also determine that the knowledge management does not have pronounced impact on social capital, which implies that the training results cannot be transferable to various dimensions. These findings prove that the relationship between training and performance and human capital is not linear and context-dependent and varies based on the organizational culture, perception of the employees, and the quality of implementation.</w:t>
      </w:r>
    </w:p>
    <w:p w14:paraId="1819FB8D">
      <w:pPr/>
      <w:r>
        <w:t>Generally, the literature shows that training has various impacts on performance and the human capital in a manner that is interdependent. The more traditional ones are founded on the direct skill development, but the more recent studies highlight the role of the knowledge management, psychological mechanisms, employee attitudes, and technological systems as a mediating and moderating factor. This could be termed as a process that is multi-level and dynamic, whereby training enhances the capabilities of individuals which is translated into performance via motivation, engagement and organizational systems and ultimately results to the development of human capital.</w:t>
      </w:r>
    </w:p>
    <w:p w14:paraId="23CF7CFC">
      <w:pPr>
        <w:pStyle w:val="3"/>
      </w:pPr>
      <w:bookmarkStart w:id="41" w:name="_Toc229800104"/>
      <w:bookmarkStart w:id="42" w:name="_Toc231586774"/>
      <w:r>
        <w:t>Role of Technology and Digital Transformation in Training</w:t>
      </w:r>
      <w:bookmarkEnd w:id="41"/>
      <w:bookmarkEnd w:id="42"/>
      <w:r>
        <w:t xml:space="preserve"> </w:t>
      </w:r>
    </w:p>
    <w:p w14:paraId="563A61D8">
      <w:pPr>
        <w:pStyle w:val="4"/>
      </w:pPr>
      <w:bookmarkStart w:id="43" w:name="_Toc231586775"/>
      <w:bookmarkStart w:id="44" w:name="_Toc229800105"/>
      <w:r>
        <w:t>AI-Based Personalised Learning</w:t>
      </w:r>
      <w:bookmarkEnd w:id="43"/>
      <w:bookmarkEnd w:id="44"/>
    </w:p>
    <w:p w14:paraId="7EA0913A">
      <w:pPr/>
      <w:r>
        <w:t>The rapid development of digital technologies has drastically transformed training and development (T&amp;D) as it is no longer a uniform and classroom-based activity but a dynamic and information-focused process with individualized elements. The contemporary literature is placing digital transformation as a strategic facilitator of human capital creation as a competitive and knowledge-based environment, more saliently</w:t>
      </w:r>
      <w:r>
        <w:rPr>
          <w:rFonts w:eastAsia="Times New Roman" w:cs="Times New Roman"/>
          <w:kern w:val="0"/>
          <w:lang w:eastAsia="en-GB"/>
          <w14:ligatures w14:val="none"/>
        </w:rPr>
        <w:t xml:space="preserve"> </w:t>
      </w:r>
      <w:r>
        <w:t>(Mohamed et al., 2021). However, to the inevitable beneficial outcomes of a technology-mediated training, researchers also observe that there are also serious limitations and circumstantial factors that define its effectiveness.</w:t>
      </w:r>
    </w:p>
    <w:p w14:paraId="70F04E29">
      <w:pPr/>
      <w:r>
        <w:t>One of the main themes in the literature is the transition to personalised and adaptive learning systems made possible by artificial intelligence (AI). Research in Human Resource Development proves that AI-based solutions can process employee data, detect skill shortages, and suggest custom learning courses, enhancing engagement and learning results (Ekuma, 2023). On the same note, Jia et al. (2018) state that intelligent training systems enable organisations to abandon the concept of one-size-fits-all training since the content can be continuously modified depending on the performance and behaviour of the employees. This is in line with the larger arguments of the digital HRM literature that highlight responsiveness to the needs of individual employees as an important determinant of training effectiveness (Zhang and Chen, 2023).</w:t>
      </w:r>
    </w:p>
    <w:p w14:paraId="08ADCDF0">
      <w:pPr/>
      <w:r>
        <w:t>Nevertheless, even with such benefits, there is an argument that personalization does not necessarily result in better outcomes. According to Ekuma (2023), AI-based training requires that the organisation culture, technological preparedness, and digital literacy of the workforce. In the absence of such supporting conditions, digital tools can either fail to bring about meaningful learning or can even cause disengagement. This means that technology by itself is not sufficient but it must be integrated into the favourable organisational system</w:t>
      </w:r>
      <w:r>
        <w:rPr>
          <w:rFonts w:eastAsia="Times New Roman" w:cs="Times New Roman"/>
          <w:kern w:val="0"/>
          <w:lang w:eastAsia="en-GB"/>
          <w14:ligatures w14:val="none"/>
        </w:rPr>
        <w:t xml:space="preserve"> </w:t>
      </w:r>
      <w:r>
        <w:t>(Bergdahl, Nouri and Fors, 2020).</w:t>
      </w:r>
    </w:p>
    <w:p w14:paraId="3611A199">
      <w:pPr>
        <w:pStyle w:val="4"/>
      </w:pPr>
      <w:bookmarkStart w:id="45" w:name="_Toc231586776"/>
      <w:bookmarkStart w:id="46" w:name="_Toc229800106"/>
      <w:r>
        <w:t>Data-Driven Training and Ethical Concerns</w:t>
      </w:r>
      <w:bookmarkEnd w:id="45"/>
      <w:bookmarkEnd w:id="46"/>
    </w:p>
    <w:p w14:paraId="0EC22BE9">
      <w:pPr/>
      <w:r>
        <w:t>As a result of digital transformation, training has become increasingly data-driven, enabling organisations to make more informed and real-time decisions. AI and analytics can monitor the performance and learning of employees in real-time without the necessity to use periodic performance analysis, but rather provide feedback, which is used in real-time (El-Ghoul et al., 2024). This allows training to be more relevant and allows organisations to focus development initiatives to strategic objectives. This makes a strategic case of the Strategic Human Resource Management argument that the development of human capital must be tightly intertwined with organisational goals to produce sustainable competitive advantage (Nastase et al., 2025).</w:t>
      </w:r>
    </w:p>
    <w:p w14:paraId="4A1B3434">
      <w:pPr/>
      <w:r>
        <w:t>Sceptical views have however been brought up highlighting potential risks of excessive reliance on data-driven systems. Fairness and the existence of trust may influence the process of training and be undermined by algorithmic bias, the lack of transparency, and data privacy issues (Sklavos et al., 2024). In addition, continuous monitoring may induce additional stress in the workers and lower the levels of intrinsic motivation, particularly when it appears to be some form of surveillance rather than developmental assistance (Ekuma, 2023). These issues indicate that digital transformation has in its wake ethical and psychological issues that organisations should address with care.</w:t>
      </w:r>
    </w:p>
    <w:p w14:paraId="2D864689">
      <w:pPr>
        <w:pStyle w:val="4"/>
      </w:pPr>
      <w:bookmarkStart w:id="47" w:name="_Toc229800107"/>
      <w:bookmarkStart w:id="48" w:name="_Toc231586777"/>
      <w:r>
        <w:t>Flexible Digital Learning and Inclusion Issues</w:t>
      </w:r>
      <w:bookmarkEnd w:id="47"/>
      <w:bookmarkEnd w:id="48"/>
    </w:p>
    <w:p w14:paraId="10AE8F54">
      <w:pPr/>
      <w:r>
        <w:t>Digital transformation also contributes to the development of additional access to and flexibility in training, in particular, the use of e-learning platforms, virtual environments, and remote learning tools. Zhang and Chen (2023) argue that digital HRM also enables the workers to access the training materials wherever they are and at any time, thereby supporting the concepts of self-directed learning and lifelong learning. It is particularly relevant to Industry 4.0, where technology change is so rapid that reskilling and upskilling are required on a continuous basis (Sima et al., 2020). The digital systems have a considerable advantage in terms of the ability to train at a massive scale and at the geographically dispersed workforces.</w:t>
      </w:r>
    </w:p>
    <w:p w14:paraId="13BD343A">
      <w:pPr/>
      <w:r>
        <w:t>And this is not always the positive side of flexibility. The studies on sustainable HRM indicate that the digital working conditions can blur the boundary between the professional and personal life and, as a result, cause the rise in the level of stress and the decline in well-being (Cooke et al., 2022). In addition, inequalities in access to training can also be caused by digital access and skill gaps, particularly in less technologically equipped workers</w:t>
      </w:r>
      <w:r>
        <w:rPr>
          <w:rFonts w:eastAsia="Times New Roman" w:cs="Times New Roman"/>
          <w:kern w:val="0"/>
          <w:lang w:eastAsia="en-GB"/>
          <w14:ligatures w14:val="none"/>
        </w:rPr>
        <w:t xml:space="preserve"> </w:t>
      </w:r>
      <w:r>
        <w:t>(Kumar and Singh, 2025). This highlights the need to have inclusive digital training that takes into consideration the diverse workforce needs.</w:t>
      </w:r>
    </w:p>
    <w:p w14:paraId="50506894">
      <w:pPr>
        <w:pStyle w:val="4"/>
      </w:pPr>
      <w:bookmarkStart w:id="49" w:name="_Toc231586778"/>
      <w:bookmarkStart w:id="50" w:name="_Toc229800108"/>
      <w:r>
        <w:t>Digital Knowledge Management and Sustainability</w:t>
      </w:r>
      <w:bookmarkEnd w:id="49"/>
      <w:bookmarkEnd w:id="50"/>
    </w:p>
    <w:p w14:paraId="6A76933D">
      <w:pPr/>
      <w:r>
        <w:t>Technology plays a strategic role in enhancing knowledge management and organisational learning, thereby supporting sustainable human capital development. Knowledge is created, shared, and applied using digital systems, which are crucial to developing human capital (Al-Tit et al., 2022). The artificial intelligence and digital platforms allow organisations to store and share knowledge more effectively, facilitate collaborative learning and innovation. This is in line with the research that indicates that knowledge management is one of the important mechanisms that connect training practices to human capital development</w:t>
      </w:r>
      <w:r>
        <w:rPr>
          <w:rFonts w:eastAsia="Times New Roman" w:cs="Times New Roman"/>
          <w:kern w:val="0"/>
          <w:lang w:eastAsia="en-GB"/>
          <w14:ligatures w14:val="none"/>
        </w:rPr>
        <w:t xml:space="preserve"> </w:t>
      </w:r>
      <w:r>
        <w:t>(Aziri, 2019).</w:t>
      </w:r>
    </w:p>
    <w:p w14:paraId="61FB8B96">
      <w:pPr/>
      <w:r>
        <w:t>However, other researchers warn that excessive dependence on digital systems can also result in the loss of tacit knowledge and human interaction that are important to deep learning and the formation of social capital (Ekuma, 2023). This weakness reiterates the results that the processes of knowledge are not always converted into more robust social networks, and technology cannot be utilized to fully substitute interpersonal learning processes (Al-Tit et al., 2022).</w:t>
      </w:r>
    </w:p>
    <w:p w14:paraId="5CD2A653">
      <w:pPr/>
      <w:r>
        <w:t>Moreover, digital transformation is also directly connected with the general trends of green and sustainable HRM, with technology helping to conduct a training process of an environmentally responsible nature. Online learning eliminates the use of physical resources and transportation, which serve the sustainability agenda (Yong et al., 2020). However, the energy use and infrastructure related needs of modern digital technologies will offset their positive environmental impact.</w:t>
      </w:r>
    </w:p>
    <w:p w14:paraId="2A0D4D14">
      <w:pPr/>
      <w:r>
        <w:t>In sum, technology and digital transformation are reshaping and revolutionizing modern training by enabling personalization, data-driven decision-making, flexibility, and better knowledge management. These advantages are not automatic though. Digital training is effective based on such factors as organisational context, employee capabilities, ethical governance, and integration of human and technological factors. An important lesson is that technology must not substitute human-centred development but must act as a supplement. In the case of research in human capital and employee development, this means that digital transformation should not be considered a one-sided remedy, but that it belongs to a larger strategic and socio-technical system that influences the learning outcomes and organisational performance.</w:t>
      </w:r>
    </w:p>
    <w:p w14:paraId="31F500E2">
      <w:pPr>
        <w:pStyle w:val="3"/>
      </w:pPr>
      <w:bookmarkStart w:id="51" w:name="_Toc229800109"/>
      <w:bookmarkStart w:id="52" w:name="_Toc231586779"/>
      <w:r>
        <w:t>Sustainable and Green HRM &amp; Human Capital Development</w:t>
      </w:r>
      <w:bookmarkEnd w:id="51"/>
      <w:bookmarkEnd w:id="52"/>
      <w:r>
        <w:t xml:space="preserve"> </w:t>
      </w:r>
    </w:p>
    <w:p w14:paraId="01517570">
      <w:pPr>
        <w:pStyle w:val="4"/>
      </w:pPr>
      <w:bookmarkStart w:id="53" w:name="_Toc229800110"/>
      <w:bookmarkStart w:id="54" w:name="_Toc231586780"/>
      <w:r>
        <w:t>Green HRM and Sustainable Human Capital</w:t>
      </w:r>
      <w:bookmarkEnd w:id="53"/>
      <w:bookmarkEnd w:id="54"/>
    </w:p>
    <w:p w14:paraId="4BBA3351">
      <w:pPr/>
      <w:r>
        <w:t>The increased importance of sustainability and digital transformation has substantially transformed the functions of Human Resource Management (HRM) and placed it as a strategic contributor to the development of human capital and the sustainability of the organization over the long-term. New literature is also moving towards the assumption that sustainable and green HRM practices are not only ethically desirable but that they are fundamental in developing competitive advantage based on human capital (Chams and García-Blandón, 2019; Cooke, Dickmann and Parry, 2022).</w:t>
      </w:r>
    </w:p>
    <w:p w14:paraId="414F7581">
      <w:pPr/>
      <w:r>
        <w:t>One of the most important themes of the literature is that human capital, as a resource of knowledge, skills, and capabilities of employees, is a crucial resource in the Resource-Based View (RBV) (Boon et al., 2018). Nonetheless, the latest research expands the point of view by incorporating the sustainability and environmental aspects into the HRM practices. As an example, Yong et al. (2020) claim that green HRM (GHRM) can contribute to sustainability performance through recruitment and training, as they are the most effective practices in this context. In the same manner, Saeed et al. (2019) show that green HRM can greatly affect the pro-environmental behaviour of employees by providing a psychological explanation of this process, including environmental climate, which emphasizes the role of employee perceptions in converting HR policies into real behaviours.</w:t>
      </w:r>
    </w:p>
    <w:p w14:paraId="205BAFDB">
      <w:pPr/>
      <w:r>
        <w:t>Although these were positive findings, there are also inconsistencies in the literature about the effectiveness of various HR practices. Tang et al. (2018) mention several dimensions of GHRM, such as the recruitment, training, performance management, and rewards, yet the empirical data indicate that not every dimension has the same impact on the sustainability results. This is in line with Boon et al. (2019) who criticize HR systems research as not being clear and not measuring the synergetic effects of bundled practices. As a result, the concept of GHRM is sound, but the application of the concept has not been unfirming across the board.</w:t>
      </w:r>
    </w:p>
    <w:p w14:paraId="24A1FFF3">
      <w:pPr>
        <w:pStyle w:val="4"/>
      </w:pPr>
      <w:bookmarkStart w:id="55" w:name="_Toc231586781"/>
      <w:bookmarkStart w:id="56" w:name="_Toc229800111"/>
      <w:r>
        <w:t>Training, Employee Behaviour and Organisational Performance</w:t>
      </w:r>
      <w:bookmarkEnd w:id="55"/>
      <w:bookmarkEnd w:id="56"/>
    </w:p>
    <w:p w14:paraId="78761DCD">
      <w:pPr/>
      <w:r>
        <w:t>Efforts of human capital development are always placed as a fundamental product of HRM practices especially training and development. Empirical research like that by Al-Tit et al. (2022) has confirmed that the employee development practices have a significant positive effect on human capital both directly and indirectly via knowledge management. This emphasizes the intermediary nature of the organizational processes in converting the HR inputs into worthwhile outputs. On the same note, Rahmoune and Djekidel (2025) conceptualize training as a strategic investment and not an administrative activity, and they point out the importance of training in increasing flexibility, innovation and organizational resilience in changing environments.</w:t>
      </w:r>
    </w:p>
    <w:p w14:paraId="6F603174">
      <w:pPr/>
      <w:r>
        <w:t>Nonetheless, there is no direct correlation between training and the overall organizational performance. According to Sung and Choi (2018), the effectiveness of training is determined by the contextual aspects of employees, their voluntary involvement, and the evaluation process. They find that inefficient evaluation systems have the potential to reduce motivation and slow down learning that may negate the relationship between human capital development and innovation. This challenges the notion that increased investment in training would inevitably lead to improved performance and thus more personalized and people-oriented solutions should be justified.</w:t>
      </w:r>
    </w:p>
    <w:p w14:paraId="6130EA98">
      <w:pPr/>
      <w:r>
        <w:t>The whole relationship is made more complex by the fact that sustainability is being integrated into HRM. Yong et al. (2019) introduce the idea of green human capital that is concerned with environmental knowledge and skills as the driver of the green adoption of the HRM. However, the research concludes that structural capital in itself does not have much impact on HRM practices, which makes human and relational dimensions more significant. This underscores the argument that sustainability efforts have to be incorporated into the abilities of the employees and the organizational culture as opposed to being enforced by systems alone.</w:t>
      </w:r>
    </w:p>
    <w:p w14:paraId="489440C5">
      <w:pPr>
        <w:pStyle w:val="4"/>
      </w:pPr>
      <w:bookmarkStart w:id="57" w:name="_Toc229800112"/>
      <w:bookmarkStart w:id="58" w:name="_Toc231586782"/>
      <w:r>
        <w:t>Digitalisation, Wellbeing and Sustainability Challenges</w:t>
      </w:r>
      <w:bookmarkEnd w:id="57"/>
      <w:bookmarkEnd w:id="58"/>
    </w:p>
    <w:p w14:paraId="1AC6243D">
      <w:pPr/>
      <w:r>
        <w:t>Furthermore, the introduction of digital technologies and the occurrence of Industry 4.0 have opened up new dimensions in human capital development.  According to Sima et al. (2020) and Ekuma (2023), technological innovations demand continuous upskilling and reskilling, which redefines human capital as dynamic and changing ability. Tools that support employee management such as AI features offers personalization and productivity but on the downside also raises ethical issues relating to privacy and bias (Zhang and Chen, 2023; Budhwar et al., 2023). The existing resources do not comprehensively discuss its conflict between technological effectiveness and humanity-based sustainability.</w:t>
      </w:r>
    </w:p>
    <w:p w14:paraId="46B0BE59">
      <w:pPr/>
      <w:r>
        <w:t>Human resource management sustainability does not concern only the environmental issues but also the well-being, flexibility, and social equity of the employees. According to the writers (2020), anything from training and development to functional flexibility can do wonders for employee job satisfaction and performance which can lead to the overall aims of sustainable HRM. According to Chams and García-Blandon (2019), when HRM aligns itself with Sustainable Development Goals (SDGs) it enhances the performance of the organization as well as the wellbeing of society, thus supporting the strategic role of flexibility in HR practices.</w:t>
      </w:r>
    </w:p>
    <w:p w14:paraId="3012B2B9">
      <w:pPr/>
      <w:r>
        <w:t>Nonetheless, some gaps are still present. A wide range of studies contemporary literature are cross-sectional studies. These studies limit external validity due to their concentration on specific industries. (Al-Tit et al., 2022) Moreover, there is limited research on the inter-linkage of green HRM, digital transformation and human capital development. It is suggested that longitudinal and multi-level designs be used in further studies to enhance the understanding of the interaction between these factors at any one time and across organizations.</w:t>
      </w:r>
    </w:p>
    <w:p w14:paraId="62912004">
      <w:pPr/>
      <w:r>
        <w:t>As a whole, the literature suggest sustainable and green HRM is crucial in human capital and organizational sustainability formation. Nonetheless, success depends on the integration of HR practices, employees’ perception, organization culture and technological capabilities. To ensure sustainable development, the ability of human resource management will have to fully utilized in a context and environment sensitive way.</w:t>
      </w:r>
    </w:p>
    <w:p w14:paraId="54E1F484">
      <w:pPr>
        <w:pStyle w:val="3"/>
      </w:pPr>
      <w:bookmarkStart w:id="59" w:name="_Toc229800113"/>
      <w:bookmarkStart w:id="60" w:name="_Toc231586783"/>
      <w:r>
        <w:t>Training and Development in Multinational Context</w:t>
      </w:r>
      <w:bookmarkEnd w:id="59"/>
      <w:bookmarkEnd w:id="60"/>
      <w:r>
        <w:t xml:space="preserve">  </w:t>
      </w:r>
    </w:p>
    <w:p w14:paraId="7480F45A">
      <w:pPr/>
      <w:r>
        <w:t>Training and development (T&amp;D) has been popularly acknowledged to be one of the primary processes of improving human capital in multinational enterprises (MNEs), especially in organisations that are working in a complex and dynamic global environment. In those settings, T&amp;D is not a functional affair that is meant to enhance the capacity of the employees, but a strategic instrument to make the workforce fit in the global business strategy, emerging markets and fast changing technology environment. This strategic orientation is an indication of increasing significance of human capital as a competitive advantage source in globalised industries.</w:t>
      </w:r>
    </w:p>
    <w:p w14:paraId="122B119E">
      <w:pPr/>
      <w:r>
        <w:t>One of the common threads in the literature is that MNEs need a highly skilled, flexible and culturally conscious workforce to be effective in a wide range of institutional, cultural and competitive settings. Nastase et al. (2025) state that digital transformation and Industry 4.0 have grown the continuous reskilling requirement enormously and that training has become a strategic requirement and not a supportive role. Likewise, Tio Fabian et al. (2024) emphasise that T&amp;D is frequently selected as part of larger talent development solutions, such as leadership development, global mobility, and digital learning system, which taken together contribute to the competitiveness of organisations.</w:t>
      </w:r>
    </w:p>
    <w:p w14:paraId="194F83B0">
      <w:pPr/>
      <w:r>
        <w:t>The main advantage of T&amp;D in multinational is that it fosters not only development of human capital but organisational performance as well. According to empirical data, structured training programmes have been shown to enhance employee productivity, efficiency, and overall performance through the acquisition of technical and soft skills (Habeeb and Babatunde, 2023). In addition, mentoring, coaching and internal mobility are also career development programs that have been found to improve employee motivation and retention which are essential in highly competitive international labour markets.</w:t>
      </w:r>
    </w:p>
    <w:p w14:paraId="1A7BADA3">
      <w:pPr/>
      <w:r>
        <w:t>Nevertheless, T&amp;D effectiveness in MNEs is not universal and depends on several contextual factors, the perception of employees and programme design. Sung and Choi (2018) underline that employee perceptions of training relevance and quality have equal importance when it comes to outcomes determined by organisational investment. Cultural diversity and geographical dispersion are also more of a challenge in multi-national settings, where standardised training methods may not be applicable to various geographical regions. This underscores why localisation strategies should be employed to ensure that there is global consistency and cultural flexibility.</w:t>
      </w:r>
    </w:p>
    <w:p w14:paraId="15C1109F">
      <w:pPr/>
      <w:r>
        <w:t>T&amp;D in multinational organisations is also further transformed by the role of digital technologies. New technologies in artificial intelligence make it possible to provide personalised learning, which can solve individual skill gaps and increase engagement (Ekuma, 2023). Moreover, digital HRM systems demand new skills of employees, such as digital literacy and analytical skills, which support the notion of lifelong learning (Zhang and Chen, 2023). In spite of these benefits, issues like issues of data security, technology preparedness, and excessive dependence on computerized systems should be handled.</w:t>
      </w:r>
    </w:p>
    <w:p w14:paraId="2AA76567">
      <w:pPr/>
      <w:r>
        <w:t>In addition, organisational impediments may restrain the success of T&amp;D efforts. Problems like unequal access to the training opportunities, absence of transparency in the career development, and insufficient awareness among the employees can diminish the overall effectiveness of the development programmes (Tio Fabian et al., 2024). Another challenge that MNEs continue to grapple with is the standardisation vs. flexibility, whereby training should be relevant to the corporate strategy, but at the same time, it must be sensitive to local conditions.</w:t>
      </w:r>
    </w:p>
    <w:p w14:paraId="797BA3C3">
      <w:pPr/>
      <w:r>
        <w:t>To sum up, T&amp;D is an important strategic element of the human capital, performance, and competitiveness of multinational organisations. Nonetheless, it is effective based on whether training is aligned with the organisational strategy, there is employee engagement, cultural sensitivity, and digital technologies are integrated. T&amp;D should be maximised in the global contexts therefore a holistic and adaptive approach is necessary.</w:t>
      </w:r>
    </w:p>
    <w:p w14:paraId="508D0241">
      <w:pPr>
        <w:pStyle w:val="3"/>
      </w:pPr>
      <w:bookmarkStart w:id="61" w:name="_Toc229800114"/>
      <w:bookmarkStart w:id="62" w:name="_Toc231586784"/>
      <w:r>
        <w:t>Theoretical Framework</w:t>
      </w:r>
      <w:bookmarkEnd w:id="61"/>
      <w:bookmarkEnd w:id="62"/>
    </w:p>
    <w:p w14:paraId="3669787D">
      <w:pPr>
        <w:rPr>
          <w:lang w:eastAsia="en-GB"/>
        </w:rPr>
      </w:pPr>
      <w:r>
        <w:rPr>
          <w:lang w:eastAsia="en-GB"/>
        </w:rPr>
        <w:t xml:space="preserve">The research is grounded on a synthesized theoretical framework of the Resource-Based View (RBV), Human Capital Theory, and the Ability-Motivation-Opportunity (AMO) model in order to find out the relationship between training and development and human capital and organizational performance. </w:t>
      </w:r>
    </w:p>
    <w:p w14:paraId="44E6987B">
      <w:pPr>
        <w:rPr>
          <w:lang w:eastAsia="en-GB"/>
        </w:rPr>
      </w:pPr>
      <w:r>
        <w:rPr>
          <w:lang w:eastAsia="en-GB"/>
        </w:rPr>
        <w:t xml:space="preserve">The resource-based View indicates that the most effective means by which organizations acquire sustainable competitive advantage is the possession of valuable, rare, inimitable as well as non-substitutable resources (Barney, 2001). This model perceives human capital as a strategic resource in terms of knowledge, skills, and competencies of employees (Boon et al., 2018). Training and development facilitates these competences within the realms of multinational companies in such a way that companies are able to react to the dynamic international markets. </w:t>
      </w:r>
    </w:p>
    <w:p w14:paraId="5D064742">
      <w:pPr>
        <w:rPr>
          <w:lang w:eastAsia="en-GB"/>
        </w:rPr>
      </w:pPr>
      <w:r>
        <w:rPr>
          <w:lang w:eastAsia="en-GB"/>
        </w:rPr>
        <w:t xml:space="preserve">To add to this, the Human Capital Theory (Becker, 1975) is of the view that an investment in education and training increases the productivity of employees and also the performance of an organization. Empirical research agrees with this view (Habeeb and Babatunde, 2023), observing that the long-term effect of structures training is the improvement of efficiency, innovation, and value creation. </w:t>
      </w:r>
    </w:p>
    <w:p w14:paraId="58402A09">
      <w:pPr>
        <w:rPr>
          <w:lang w:eastAsia="en-GB"/>
        </w:rPr>
      </w:pPr>
      <w:r>
        <w:rPr>
          <w:lang w:eastAsia="en-GB"/>
        </w:rPr>
        <w:t>Nevertheless, the theory has been criticized as being too simplistic in its approach to the relationship between skills and performance, where contextual and behavioural elements are also involved. To overcome this constraint, the Ability-Motivation-Opportunity (AMO) model is included. According to the AMO model, three factors determine employee performance, including ability (skills and knowledge gained during training), motivation (improved by career development and rewards), and opportunity (supported and involved in the organization) (Kellner, Cafferkey and Townsend, 2019). This model is more holistic as the HR practices are connected to the behaviour and performance of employees.</w:t>
      </w:r>
    </w:p>
    <w:p w14:paraId="115C7996">
      <w:pPr>
        <w:rPr>
          <w:rFonts w:ascii="Times New Roman" w:hAnsi="Times New Roman" w:eastAsia="Times New Roman" w:cs="Times New Roman"/>
          <w:kern w:val="0"/>
          <w:lang w:eastAsia="en-GB"/>
          <w14:ligatures w14:val="none"/>
        </w:rPr>
      </w:pPr>
      <w:r>
        <w:rPr>
          <w:lang w:eastAsia="en-GB"/>
        </w:rPr>
        <w:t>These theories may be combined to provide us with a detailed theory to learn how training and development leads to human capital development and organizational success in multinational settings</w:t>
      </w:r>
      <w:r>
        <w:t>.</w:t>
      </w:r>
    </w:p>
    <w:p w14:paraId="373BDF66">
      <w:pPr>
        <w:pStyle w:val="3"/>
      </w:pPr>
      <w:bookmarkStart w:id="63" w:name="_Toc231586785"/>
      <w:bookmarkStart w:id="64" w:name="_Toc229800115"/>
      <w:r>
        <w:t>Research Gap</w:t>
      </w:r>
      <w:bookmarkEnd w:id="63"/>
      <w:bookmarkEnd w:id="64"/>
    </w:p>
    <w:p w14:paraId="66BC0E0E">
      <w:pPr/>
      <w:r>
        <w:t>Although there are extensive studies on training, development and sustainable HRM, there are still several gaps. To begin with, most of the literature analyses those constructs separately, as opposed to analyzing training, green HRM, and digital transformation as part of one framework (Boon et al., 2019; Zhang and Chen, 2023). Second, empirical research can be context-dependent, which is centred on a single country or industry and does not allow making generalisations about multinational corporations (Al-Tit et al., 2022). Third, while training is often associated with human capital, there have been very few studies examining how employee perceptions and culture impact its efficacy cross-culturally (Sung and Choi, 2018). Finally, further comprehensive studies, longitudinal studies, and research are needed on the relationship between AI in HR practices and the creation of sustainable human capital.</w:t>
      </w:r>
    </w:p>
    <w:p w14:paraId="2F8EA974">
      <w:pPr>
        <w:pStyle w:val="3"/>
      </w:pPr>
      <w:bookmarkStart w:id="65" w:name="_Toc229800116"/>
      <w:bookmarkStart w:id="66" w:name="_Toc231586786"/>
      <w:r>
        <w:t>Research Questions</w:t>
      </w:r>
      <w:bookmarkEnd w:id="65"/>
      <w:bookmarkEnd w:id="66"/>
    </w:p>
    <w:p w14:paraId="479CD87C">
      <w:pPr/>
      <w:r>
        <w:t>Based on the identified gaps in the literature, this study is guided by the following research questions:</w:t>
      </w:r>
    </w:p>
    <w:p w14:paraId="3BA25031">
      <w:pPr>
        <w:pStyle w:val="45"/>
        <w:numPr>
          <w:ilvl w:val="0"/>
          <w:numId w:val="4"/>
        </w:numPr>
      </w:pPr>
      <w:r>
        <w:t xml:space="preserve">What role does training and development play in enhancing human capital within organisations? </w:t>
      </w:r>
    </w:p>
    <w:p w14:paraId="5CEB4682">
      <w:pPr>
        <w:pStyle w:val="45"/>
        <w:numPr>
          <w:ilvl w:val="0"/>
          <w:numId w:val="4"/>
        </w:numPr>
      </w:pPr>
      <w:r>
        <w:t xml:space="preserve">What training and development practices are implemented by UK FMCG companies to strengthen employee capabilities? </w:t>
      </w:r>
    </w:p>
    <w:p w14:paraId="27118EA0">
      <w:pPr>
        <w:pStyle w:val="45"/>
        <w:numPr>
          <w:ilvl w:val="0"/>
          <w:numId w:val="4"/>
        </w:numPr>
      </w:pPr>
      <w:r>
        <w:t>How do training and development initiatives contribute to organisational performance and long-term competitiveness in the UK FMCG sector?</w:t>
      </w:r>
    </w:p>
    <w:p w14:paraId="58F76C5C">
      <w:pPr>
        <w:pStyle w:val="3"/>
      </w:pPr>
      <w:bookmarkStart w:id="67" w:name="_Toc231586787"/>
      <w:bookmarkStart w:id="68" w:name="_Toc229800118"/>
      <w:r>
        <w:t>Conclusion</w:t>
      </w:r>
      <w:bookmarkEnd w:id="67"/>
      <w:bookmarkEnd w:id="68"/>
      <w:r>
        <w:t xml:space="preserve"> </w:t>
      </w:r>
    </w:p>
    <w:p w14:paraId="7353015F">
      <w:pPr/>
      <w:r>
        <w:t xml:space="preserve">To sum up, the literature reveals that training and development form the core of human capital and organization performance especially when it comes to multinational setting. This connection is further improved by sustainable and green HRM practices that introduce environment and social values of the working capabilities. Success of such practices depends on their strategic fit, perception among the employees and their adaptability to global environment and digital environment. </w:t>
      </w:r>
    </w:p>
    <w:p w14:paraId="5B4C9710">
      <w:pPr/>
    </w:p>
    <w:p w14:paraId="2DD22F21">
      <w:pPr>
        <w:pStyle w:val="2"/>
      </w:pPr>
      <w:bookmarkStart w:id="69" w:name="_Toc229800119"/>
      <w:bookmarkStart w:id="70" w:name="_Toc231586788"/>
      <w:r>
        <w:t>Methodology</w:t>
      </w:r>
      <w:bookmarkEnd w:id="69"/>
      <w:bookmarkEnd w:id="70"/>
    </w:p>
    <w:p w14:paraId="4C707529">
      <w:pPr>
        <w:pStyle w:val="3"/>
      </w:pPr>
      <w:bookmarkStart w:id="71" w:name="_Toc231586789"/>
      <w:bookmarkStart w:id="72" w:name="_Toc229800120"/>
      <w:r>
        <w:t>Introduction</w:t>
      </w:r>
      <w:bookmarkEnd w:id="71"/>
      <w:bookmarkEnd w:id="72"/>
    </w:p>
    <w:p w14:paraId="3C27E820">
      <w:pPr/>
      <w:r>
        <w:t>This chapter describes the methodology used to investigate the role of training and development activities in enhancing the human capital of UK based FMCG organisations. As per the purpose, aim and objectives of the study, the present study will follow qualitative secondary research design that will analyse existing evidence from academic and organisational sources. By compiling secondary information like journal articles, books, industry reports, and company publications, and collecting these from Google Scholar, ScienceDirect and Emerald Insight. According to Cheong et al (2023), indirect participation makes it easier to analyse organisational practices. This section discusses the research philosophy, research design, data collection, analysis methods, and ethical issues.</w:t>
      </w:r>
    </w:p>
    <w:p w14:paraId="7B64E9F8">
      <w:pPr>
        <w:pStyle w:val="3"/>
      </w:pPr>
      <w:bookmarkStart w:id="73" w:name="_Toc231586790"/>
      <w:bookmarkStart w:id="74" w:name="_Toc229800121"/>
      <w:r>
        <w:t>Research Philosophy, Approach, and Design</w:t>
      </w:r>
      <w:bookmarkEnd w:id="73"/>
      <w:bookmarkEnd w:id="74"/>
    </w:p>
    <w:p w14:paraId="3B369637">
      <w:pPr/>
      <w:r>
        <w:t>The research is based on an interpretivist research philosophy which focuses on trying to explain social phenomena in their organisational context. Interpretivism presupposes that the world or a reality is socially constructed and influenced by the experiences, perceptions, and interactions of human beings (Pervin and Mokhtar, 2022). Since this study discusses the role that training and development practices play in human capital formation within the UK FMCG companies, an interpretivist view is suitable since it helps in the formation of deeper insight into the organisational processes and meanings through the available literature and reports. Although positivist methods emphasise study of measurable variables, they can ignore contextual and behavioural aspects (Musa and Aldiabat, 2024), which are the focus of this paper.</w:t>
      </w:r>
    </w:p>
    <w:p w14:paraId="382D8CC1">
      <w:pPr/>
      <w:r>
        <w:t>The study is inductive because it aims to create insights and trends based on the available data instead of testing the hypothesis that has been formulated in advance (Yuwono and Rachmawati, 2023). This would be especially appropriate in the case of secondary qualitative research, in which themes can be identified by analysing a variety of sources. Nevertheless, the research is also based on the available theoretical frameworks, reflecting some aspects of an abductive method, integrating inductive reasoning and theoretical instructions (Khurshid et al., 2025). This provides a way of the research to cycle between theory and data, which enhances depth of analysis and conceptualization.</w:t>
      </w:r>
    </w:p>
    <w:p w14:paraId="467D9A9C">
      <w:pPr/>
      <w:r>
        <w:t>A qualitative secondary research design is used in terms of the research design. This method is suitable since the research aims at critically reviewing the available academic and organisation evidence instead of gathering primary data (Cheong et al., 2023). The design allows synthesizing various sources, such as peer-reviewed literature and industry reports, to have comprehensive knowledge of the practices in training and development. Additionally, qualitative research enables the study of complicated organisational processes like employee development, innovation, and performance that are hardly quantifiable using quantitative research (Syahputra et al., 2023).</w:t>
      </w:r>
    </w:p>
    <w:p w14:paraId="459C208A">
      <w:pPr/>
      <w:r>
        <w:t>All in all, a mix of interpretivism, inductive-abductive approach and a qualitative research design offers a strong and context-sensitive model of studying the significance of training and development in developing human capital.</w:t>
      </w:r>
    </w:p>
    <w:p w14:paraId="3ADA0C1C">
      <w:pPr>
        <w:pStyle w:val="3"/>
      </w:pPr>
      <w:bookmarkStart w:id="75" w:name="_Toc231586791"/>
      <w:bookmarkStart w:id="76" w:name="_Toc229800122"/>
      <w:r>
        <w:t>Justification for Case Study Methodology</w:t>
      </w:r>
      <w:bookmarkEnd w:id="75"/>
      <w:bookmarkEnd w:id="76"/>
    </w:p>
    <w:p w14:paraId="7E5448C0">
      <w:pPr/>
      <w:r>
        <w:t>The research will use a case study approach in discussing the role of training and development practices in developing human capital in UK FMCG organisations. Case study research is especially suitable to answer questions of how and what research as it enables a deep exploration of complex organisational phenomena in real-life situations (Busetto, Wick and Gumbinger, 2020). Training and development cannot be isolated in terms of analysis in the context of this study because they are part of the organisational systems and therefore need to be analysed in their natural environment.</w:t>
      </w:r>
    </w:p>
    <w:p w14:paraId="0277E33E">
      <w:pPr/>
      <w:r>
        <w:t>One of the main advantages of the case study method is that it produces contextualised and rich information and captures the interaction of training practices, employee behaviour, and organisational results (Paparini et al., 2021). It can also be used to investigate underlying processes, like knowledge transfer and skill development, which cannot be easily measured using only statistical methods. Moreover, secondary data used in the case studies allows access to detailed and longitudinal data, such as organisational reports, industry analyses, and documented practices, which may not be available using primary research (Orsini et al., 2020).</w:t>
      </w:r>
    </w:p>
    <w:p w14:paraId="4A021373">
      <w:pPr/>
      <w:r>
        <w:t>Case study research, however, might be criticised in terms of generalisability. This research solves this problem by concentrating on the analytical generalisation where results are associated with the theoretical frameworks instead of the statistical populations. Thus, the methodology of the case study is quite appropriate in the context of the realization of the research aim.</w:t>
      </w:r>
    </w:p>
    <w:p w14:paraId="15105B96">
      <w:pPr>
        <w:pStyle w:val="3"/>
      </w:pPr>
      <w:bookmarkStart w:id="77" w:name="_Toc231586792"/>
      <w:bookmarkStart w:id="78" w:name="_Toc229800123"/>
      <w:r>
        <w:t>Case Selection and Sampling Strategy</w:t>
      </w:r>
      <w:bookmarkEnd w:id="77"/>
      <w:bookmarkEnd w:id="78"/>
      <w:r>
        <w:t xml:space="preserve"> </w:t>
      </w:r>
    </w:p>
    <w:p w14:paraId="670E9348">
      <w:pPr/>
      <w:r>
        <w:t>In this study, purposive (non-probability) sampling strategy will be used to choose the cases that will be of interest in the UK FMCG industry. In qualitative studies, purposive sampling is suitable because it will enable the researcher to select the most informative and relevant cases to the study objectives (Campbell et al., 2020). This method is analytically deep and theoretically relevant in contrast to probability sampling which is statistically representative (Gok and Goldstone, 2024).</w:t>
      </w:r>
    </w:p>
    <w:p w14:paraId="35351D47">
      <w:pPr/>
      <w:r>
        <w:t>A theoretical sampling logic informs the sampling strategy; it is based on the idea that cases are chosen to demonstrate and investigate the relation between training and development and human capital formation. The chosen cases are those organisations that effectively use structured training programmes, which make it possible to analyse the organisational practices. This method offers the opportunity to identify patterns and compare cases, which increases the strength of the results (Xia, Qamruzzaman and Adow, 2022).</w:t>
      </w:r>
    </w:p>
    <w:p w14:paraId="51B10AC1">
      <w:pPr/>
      <w:r>
        <w:t>Rigour is maintained by using specific case selection criteria. To begin with, the cases should be pertinent to the area of study, i.e. the cases should entail organisations in the UK FMCG industry that are undertaking training and development programmes. Secondly, the richness of information is required; the chosen cases should be characterized by the availability of data on the topic, including annual reports and industry analyses, to facilitate a detailed analysis. Thirdly, it avoids lack of credibility and reliability of sources by putting a priority on peer-reviewed research and authoritative organisational reports (Dwyer, Karanikas and Sav, 2023). Lastly, the selection of cases is done on a recency basis, with attention to the practices in the past five to ten years.</w:t>
      </w:r>
    </w:p>
    <w:p w14:paraId="0CCAAD3D">
      <w:pPr/>
      <w:r>
        <w:t>Although purposive sampling increases the analytical clarity, it can bring about selection bias. In response, every case is triangulated with several sources, which enhances credibility (Grant, Longhurst and Thier, 2024). In general, this sampling approach will guarantee that the cases sampled are not only relevant but also robust enough to answer the research questions.</w:t>
      </w:r>
    </w:p>
    <w:p w14:paraId="72FA8148">
      <w:pPr>
        <w:pStyle w:val="3"/>
      </w:pPr>
      <w:bookmarkStart w:id="79" w:name="_Toc229800124"/>
      <w:bookmarkStart w:id="80" w:name="_Toc231586793"/>
      <w:r>
        <w:t>Data Search Strategy</w:t>
      </w:r>
      <w:bookmarkEnd w:id="79"/>
      <w:bookmarkEnd w:id="80"/>
    </w:p>
    <w:p w14:paraId="0F3EA8A3">
      <w:pPr/>
      <w:r>
        <w:t>A systematic strategy for searching data was developed to identify relevant academic literature and organisational evidence in the area of training and development, sustainable HRM, employee engagement, digital transformation and Green HRM within UK FMCG organisations. The search was carried out mostly in Google Scholar and also using organisational annual reports and sustainability reports. This study search was limited to a timeframe 2018–2026 to draw younger portrayals associated with sustainability and technological transformation.</w:t>
      </w:r>
    </w:p>
    <w:p w14:paraId="71D823E4">
      <w:pPr/>
      <w:r>
        <w:t>The following keyword string was applied:</w:t>
      </w:r>
    </w:p>
    <w:p w14:paraId="0BE5E841">
      <w:pPr/>
      <w:r>
        <w:t>“training and development AND human capital development AND employee engagement AND digital transformation AND green HRM AND UK FMCG”</w:t>
      </w:r>
    </w:p>
    <w:p w14:paraId="720501D2">
      <w:pPr/>
      <w:r>
        <w:t>Additional searches included combinations of keywords such as “sustainable HRM,” “AI workforce development,” “green supply chain,” and “employee wellbeing.” The search process initially identified results, from which relevant peer-reviewed journal articles, annual reports, and case studies were selected for thematic analysis.</w:t>
      </w:r>
    </w:p>
    <w:p w14:paraId="046644EB">
      <w:pPr/>
      <w:r>
        <w:t>This table presents the systematic search strategy used to identify relevant academic literature and organisational evidence for the study. Different Boolean keyword combinations were applied in Google Scholar to identify studies relating to training and development, human capital development, employee engagement, sustainable HRM, digital transformation and sustainability practices within the UK FMCG context. The screening process involved title screening, abstract review, full-text assessment and methodological quality evaluation using inclusion and exclusion criteria. The final dataset consisted of 14 high-quality academic and organisational sources selected for Braun and Clarke thematic analysis.</w:t>
      </w:r>
    </w:p>
    <w:p w14:paraId="7A8E5851">
      <w:pPr>
        <w:pStyle w:val="11"/>
        <w:keepNext/>
      </w:pPr>
      <w:bookmarkStart w:id="81" w:name="_Toc231524371"/>
      <w:r>
        <w:t xml:space="preserve">Table </w:t>
      </w:r>
      <w:r>
        <w:fldChar w:fldCharType="begin"/>
      </w:r>
      <w:r>
        <w:instrText xml:space="preserve"> SEQ Table \* ARABIC </w:instrText>
      </w:r>
      <w:r>
        <w:fldChar w:fldCharType="separate"/>
      </w:r>
      <w:r>
        <w:t>1</w:t>
      </w:r>
      <w:r>
        <w:fldChar w:fldCharType="end"/>
      </w:r>
      <w:r>
        <w:t>: Data Search Strategy</w:t>
      </w:r>
      <w:bookmarkEnd w:id="81"/>
    </w:p>
    <w:tbl>
      <w:tblPr>
        <w:tblStyle w:val="52"/>
        <w:tblW w:w="0" w:type="auto"/>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fixed"/>
        <w:tblCellMar>
          <w:top w:w="0" w:type="dxa"/>
          <w:left w:w="108" w:type="dxa"/>
          <w:bottom w:w="0" w:type="dxa"/>
          <w:right w:w="108" w:type="dxa"/>
        </w:tblCellMar>
      </w:tblPr>
      <w:tblGrid>
        <w:gridCol w:w="2449"/>
        <w:gridCol w:w="1818"/>
        <w:gridCol w:w="1792"/>
        <w:gridCol w:w="1961"/>
        <w:gridCol w:w="1330"/>
      </w:tblGrid>
      <w:tr w14:paraId="3187DFD9">
        <w:tblPrEx>
          <w:tblLayout w:type="fixed"/>
        </w:tblPrEx>
        <w:tc>
          <w:tcPr>
            <w:tcW w:w="2449" w:type="dxa"/>
          </w:tcPr>
          <w:p w14:paraId="6406E03F">
            <w:pPr>
              <w:spacing w:after="160" w:line="240" w:lineRule="auto"/>
              <w:rPr>
                <w:b/>
                <w:bCs/>
              </w:rPr>
            </w:pPr>
            <w:r>
              <w:rPr>
                <w:b/>
                <w:bCs/>
              </w:rPr>
              <w:t>Search Phrase</w:t>
            </w:r>
          </w:p>
        </w:tc>
        <w:tc>
          <w:tcPr>
            <w:tcW w:w="1818" w:type="dxa"/>
          </w:tcPr>
          <w:p w14:paraId="76D5C326">
            <w:pPr>
              <w:spacing w:after="160" w:line="240" w:lineRule="auto"/>
              <w:rPr>
                <w:b/>
                <w:bCs/>
              </w:rPr>
            </w:pPr>
            <w:r>
              <w:rPr>
                <w:b/>
                <w:bCs/>
              </w:rPr>
              <w:t>Database</w:t>
            </w:r>
          </w:p>
        </w:tc>
        <w:tc>
          <w:tcPr>
            <w:tcW w:w="1792" w:type="dxa"/>
          </w:tcPr>
          <w:p w14:paraId="01AC8916">
            <w:pPr>
              <w:spacing w:after="160" w:line="240" w:lineRule="auto"/>
              <w:rPr>
                <w:b/>
                <w:bCs/>
              </w:rPr>
            </w:pPr>
            <w:r>
              <w:rPr>
                <w:b/>
                <w:bCs/>
              </w:rPr>
              <w:t>Initial Results Found</w:t>
            </w:r>
          </w:p>
        </w:tc>
        <w:tc>
          <w:tcPr>
            <w:tcW w:w="1961" w:type="dxa"/>
          </w:tcPr>
          <w:p w14:paraId="5313C345">
            <w:pPr>
              <w:spacing w:after="160" w:line="240" w:lineRule="auto"/>
              <w:rPr>
                <w:b/>
                <w:bCs/>
              </w:rPr>
            </w:pPr>
            <w:r>
              <w:rPr>
                <w:b/>
                <w:bCs/>
              </w:rPr>
              <w:t>After Screening</w:t>
            </w:r>
          </w:p>
        </w:tc>
        <w:tc>
          <w:tcPr>
            <w:tcW w:w="1330" w:type="dxa"/>
          </w:tcPr>
          <w:p w14:paraId="38370357">
            <w:pPr>
              <w:spacing w:after="160" w:line="240" w:lineRule="auto"/>
              <w:rPr>
                <w:b/>
                <w:bCs/>
              </w:rPr>
            </w:pPr>
            <w:r>
              <w:rPr>
                <w:b/>
                <w:bCs/>
              </w:rPr>
              <w:t>Final Selected Sources</w:t>
            </w:r>
          </w:p>
        </w:tc>
      </w:tr>
      <w:tr w14:paraId="450AA68C">
        <w:tblPrEx>
          <w:tblLayout w:type="fixed"/>
        </w:tblPrEx>
        <w:tc>
          <w:tcPr>
            <w:tcW w:w="2449" w:type="dxa"/>
            <w:shd w:val="clear" w:color="auto" w:fill="F1F1F1" w:themeFill="background1" w:themeFillShade="F2"/>
          </w:tcPr>
          <w:p w14:paraId="44A346FF">
            <w:pPr>
              <w:spacing w:after="160" w:line="240" w:lineRule="auto"/>
              <w:rPr>
                <w:b/>
                <w:bCs/>
              </w:rPr>
            </w:pPr>
            <w:r>
              <w:rPr>
                <w:b/>
                <w:bCs/>
              </w:rPr>
              <w:t>“training and development” AND “human capital development” AND “employee engagement” AND “digital transformation” AND “green HRM” AND “UK FMCG”</w:t>
            </w:r>
          </w:p>
        </w:tc>
        <w:tc>
          <w:tcPr>
            <w:tcW w:w="1818" w:type="dxa"/>
            <w:shd w:val="clear" w:color="auto" w:fill="F1F1F1" w:themeFill="background1" w:themeFillShade="F2"/>
          </w:tcPr>
          <w:p w14:paraId="46E78332">
            <w:pPr>
              <w:spacing w:after="160" w:line="240" w:lineRule="auto"/>
            </w:pPr>
            <w:r>
              <w:t>Google Scholar</w:t>
            </w:r>
          </w:p>
        </w:tc>
        <w:tc>
          <w:tcPr>
            <w:tcW w:w="1792" w:type="dxa"/>
            <w:shd w:val="clear" w:color="auto" w:fill="F1F1F1" w:themeFill="background1" w:themeFillShade="F2"/>
          </w:tcPr>
          <w:p w14:paraId="3AA0F7D8">
            <w:pPr>
              <w:spacing w:after="160" w:line="240" w:lineRule="auto"/>
            </w:pPr>
            <w:r>
              <w:t>Approximately 560</w:t>
            </w:r>
          </w:p>
        </w:tc>
        <w:tc>
          <w:tcPr>
            <w:tcW w:w="1961" w:type="dxa"/>
            <w:shd w:val="clear" w:color="auto" w:fill="F1F1F1" w:themeFill="background1" w:themeFillShade="F2"/>
          </w:tcPr>
          <w:p w14:paraId="4C50FBC6">
            <w:pPr>
              <w:spacing w:after="160" w:line="240" w:lineRule="auto"/>
            </w:pPr>
            <w:r>
              <w:t>34 full-text studies assessed</w:t>
            </w:r>
          </w:p>
        </w:tc>
        <w:tc>
          <w:tcPr>
            <w:tcW w:w="1330" w:type="dxa"/>
            <w:shd w:val="clear" w:color="auto" w:fill="F1F1F1" w:themeFill="background1" w:themeFillShade="F2"/>
          </w:tcPr>
          <w:p w14:paraId="59D7C0C2">
            <w:pPr>
              <w:spacing w:after="160" w:line="240" w:lineRule="auto"/>
            </w:pPr>
            <w:r>
              <w:t>10 peer-reviewed academic studies</w:t>
            </w:r>
          </w:p>
        </w:tc>
      </w:tr>
      <w:tr w14:paraId="22B6E044">
        <w:tblPrEx>
          <w:tblLayout w:type="fixed"/>
        </w:tblPrEx>
        <w:tc>
          <w:tcPr>
            <w:tcW w:w="2449" w:type="dxa"/>
          </w:tcPr>
          <w:p w14:paraId="44A41B0E">
            <w:pPr>
              <w:spacing w:after="160" w:line="240" w:lineRule="auto"/>
              <w:rPr>
                <w:b/>
                <w:bCs/>
              </w:rPr>
            </w:pPr>
            <w:r>
              <w:rPr>
                <w:b/>
                <w:bCs/>
              </w:rPr>
              <w:t>FMCG annual reports and sustainability reports</w:t>
            </w:r>
          </w:p>
        </w:tc>
        <w:tc>
          <w:tcPr>
            <w:tcW w:w="1818" w:type="dxa"/>
          </w:tcPr>
          <w:p w14:paraId="66AECBE3">
            <w:pPr>
              <w:spacing w:after="160" w:line="240" w:lineRule="auto"/>
            </w:pPr>
            <w:r>
              <w:t>Company annual reports and organisational websites</w:t>
            </w:r>
          </w:p>
        </w:tc>
        <w:tc>
          <w:tcPr>
            <w:tcW w:w="1792" w:type="dxa"/>
          </w:tcPr>
          <w:p w14:paraId="5AD0C191">
            <w:pPr>
              <w:spacing w:after="160" w:line="240" w:lineRule="auto"/>
            </w:pPr>
            <w:r>
              <w:t>18 organisational reports identified</w:t>
            </w:r>
          </w:p>
        </w:tc>
        <w:tc>
          <w:tcPr>
            <w:tcW w:w="1961" w:type="dxa"/>
          </w:tcPr>
          <w:p w14:paraId="159ECC6B">
            <w:pPr>
              <w:spacing w:after="160" w:line="240" w:lineRule="auto"/>
            </w:pPr>
            <w:r>
              <w:t>8 reports assessed for relevance and methodological suitability</w:t>
            </w:r>
          </w:p>
        </w:tc>
        <w:tc>
          <w:tcPr>
            <w:tcW w:w="1330" w:type="dxa"/>
          </w:tcPr>
          <w:p w14:paraId="0814D833">
            <w:pPr>
              <w:spacing w:after="160" w:line="240" w:lineRule="auto"/>
            </w:pPr>
            <w:r>
              <w:t>4 FMCG annual reports and case studies</w:t>
            </w:r>
          </w:p>
        </w:tc>
      </w:tr>
      <w:tr w14:paraId="49CA09DC">
        <w:tblPrEx>
          <w:tblLayout w:type="fixed"/>
        </w:tblPrEx>
        <w:tc>
          <w:tcPr>
            <w:tcW w:w="2449" w:type="dxa"/>
            <w:shd w:val="clear" w:color="auto" w:fill="F1F1F1" w:themeFill="background1" w:themeFillShade="F2"/>
          </w:tcPr>
          <w:p w14:paraId="5CC64BF8">
            <w:pPr>
              <w:spacing w:after="160" w:line="240" w:lineRule="auto"/>
              <w:rPr>
                <w:b/>
                <w:bCs/>
              </w:rPr>
            </w:pPr>
            <w:r>
              <w:rPr>
                <w:b/>
                <w:bCs/>
              </w:rPr>
              <w:t>Total Final Sources Included in Thematic Analysis</w:t>
            </w:r>
          </w:p>
        </w:tc>
        <w:tc>
          <w:tcPr>
            <w:tcW w:w="1818" w:type="dxa"/>
            <w:shd w:val="clear" w:color="auto" w:fill="F1F1F1" w:themeFill="background1" w:themeFillShade="F2"/>
          </w:tcPr>
          <w:p w14:paraId="3E5D5CEF">
            <w:pPr>
              <w:spacing w:after="160" w:line="240" w:lineRule="auto"/>
            </w:pPr>
            <w:r>
              <w:t>—</w:t>
            </w:r>
          </w:p>
        </w:tc>
        <w:tc>
          <w:tcPr>
            <w:tcW w:w="1792" w:type="dxa"/>
            <w:shd w:val="clear" w:color="auto" w:fill="F1F1F1" w:themeFill="background1" w:themeFillShade="F2"/>
          </w:tcPr>
          <w:p w14:paraId="1EC30F9F">
            <w:pPr>
              <w:spacing w:after="160" w:line="240" w:lineRule="auto"/>
            </w:pPr>
            <w:r>
              <w:rPr>
                <w:b/>
                <w:bCs/>
              </w:rPr>
              <w:t>578 total records identified</w:t>
            </w:r>
          </w:p>
        </w:tc>
        <w:tc>
          <w:tcPr>
            <w:tcW w:w="1961" w:type="dxa"/>
            <w:shd w:val="clear" w:color="auto" w:fill="F1F1F1" w:themeFill="background1" w:themeFillShade="F2"/>
          </w:tcPr>
          <w:p w14:paraId="3C3B1596">
            <w:pPr>
              <w:spacing w:after="160" w:line="240" w:lineRule="auto"/>
            </w:pPr>
            <w:r>
              <w:rPr>
                <w:b/>
                <w:bCs/>
              </w:rPr>
              <w:t>34 studies and reports fully assessed</w:t>
            </w:r>
          </w:p>
        </w:tc>
        <w:tc>
          <w:tcPr>
            <w:tcW w:w="1330" w:type="dxa"/>
            <w:shd w:val="clear" w:color="auto" w:fill="F1F1F1" w:themeFill="background1" w:themeFillShade="F2"/>
          </w:tcPr>
          <w:p w14:paraId="41B7F8A1">
            <w:pPr>
              <w:spacing w:after="160" w:line="240" w:lineRule="auto"/>
            </w:pPr>
            <w:r>
              <w:rPr>
                <w:b/>
                <w:bCs/>
              </w:rPr>
              <w:t>14 final sources included</w:t>
            </w:r>
          </w:p>
        </w:tc>
      </w:tr>
    </w:tbl>
    <w:p w14:paraId="3A4D6EE7">
      <w:pPr/>
    </w:p>
    <w:p w14:paraId="129B4425">
      <w:pPr>
        <w:pStyle w:val="3"/>
      </w:pPr>
      <w:bookmarkStart w:id="82" w:name="_Toc231586794"/>
      <w:bookmarkStart w:id="83" w:name="_Toc229800125"/>
      <w:r>
        <w:t>Inclusion and Exclusion Criteria</w:t>
      </w:r>
      <w:bookmarkEnd w:id="82"/>
      <w:bookmarkEnd w:id="83"/>
    </w:p>
    <w:p w14:paraId="1CB9CC30">
      <w:pPr/>
      <w:r>
        <w:t>To make sure that only relevant, credible, and methodologically appropriate studies were included within the thematic analysis, inclusion and exclusion criteria were established. The inclusion of Studies was limited to the use of sustainable HRM, employee development, digital transformation, employee engagement and organisational sustainability studies in business and FMCG contexts. Only peer-reviewed journal articles, organisational reports and sustainability reports in English published between 2018 and 2026 were adopted. Studies not related to organisational behaviour, HRM or sustainability practices were excluded from the analysis.</w:t>
      </w:r>
    </w:p>
    <w:p w14:paraId="19A495CD">
      <w:pPr>
        <w:pStyle w:val="11"/>
        <w:keepNext/>
      </w:pPr>
      <w:bookmarkStart w:id="84" w:name="_Toc231524372"/>
      <w:r>
        <w:t xml:space="preserve">Table </w:t>
      </w:r>
      <w:r>
        <w:fldChar w:fldCharType="begin"/>
      </w:r>
      <w:r>
        <w:instrText xml:space="preserve"> SEQ Table \* ARABIC </w:instrText>
      </w:r>
      <w:r>
        <w:fldChar w:fldCharType="separate"/>
      </w:r>
      <w:r>
        <w:t>2</w:t>
      </w:r>
      <w:r>
        <w:fldChar w:fldCharType="end"/>
      </w:r>
      <w:r>
        <w:t>: Inclusion and Exclusion Criteria</w:t>
      </w:r>
      <w:bookmarkEnd w:id="84"/>
    </w:p>
    <w:tbl>
      <w:tblPr>
        <w:tblStyle w:val="3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906"/>
        <w:gridCol w:w="4444"/>
      </w:tblGrid>
      <w:tr w14:paraId="448E068C">
        <w:tblPrEx>
          <w:tblLayout w:type="fixed"/>
        </w:tblPrEx>
        <w:tc>
          <w:tcPr>
            <w:tcW w:w="4906" w:type="dxa"/>
          </w:tcPr>
          <w:p w14:paraId="1EDB1166">
            <w:pPr>
              <w:spacing w:after="0"/>
              <w:rPr>
                <w:b/>
                <w:bCs/>
              </w:rPr>
            </w:pPr>
            <w:r>
              <w:rPr>
                <w:b/>
                <w:bCs/>
              </w:rPr>
              <w:t>Inclusion Criteria</w:t>
            </w:r>
          </w:p>
        </w:tc>
        <w:tc>
          <w:tcPr>
            <w:tcW w:w="4444" w:type="dxa"/>
          </w:tcPr>
          <w:p w14:paraId="5537463A">
            <w:pPr>
              <w:spacing w:after="0"/>
              <w:rPr>
                <w:b/>
                <w:bCs/>
              </w:rPr>
            </w:pPr>
            <w:r>
              <w:rPr>
                <w:b/>
                <w:bCs/>
              </w:rPr>
              <w:t>Exclusion Criteria</w:t>
            </w:r>
          </w:p>
        </w:tc>
      </w:tr>
      <w:tr w14:paraId="03B5250F">
        <w:tblPrEx>
          <w:tblLayout w:type="fixed"/>
        </w:tblPrEx>
        <w:tc>
          <w:tcPr>
            <w:tcW w:w="4906" w:type="dxa"/>
          </w:tcPr>
          <w:p w14:paraId="179DFCC8">
            <w:pPr>
              <w:spacing w:after="0"/>
            </w:pPr>
            <w:r>
              <w:t>Peer-reviewed journal articles</w:t>
            </w:r>
          </w:p>
        </w:tc>
        <w:tc>
          <w:tcPr>
            <w:tcW w:w="4444" w:type="dxa"/>
          </w:tcPr>
          <w:p w14:paraId="22F748EB">
            <w:pPr>
              <w:spacing w:after="0"/>
            </w:pPr>
            <w:r>
              <w:t>Non-peer-reviewed opinion articles</w:t>
            </w:r>
          </w:p>
        </w:tc>
      </w:tr>
      <w:tr w14:paraId="35BB431D">
        <w:tblPrEx>
          <w:tblLayout w:type="fixed"/>
        </w:tblPrEx>
        <w:tc>
          <w:tcPr>
            <w:tcW w:w="4906" w:type="dxa"/>
          </w:tcPr>
          <w:p w14:paraId="575B6114">
            <w:pPr>
              <w:spacing w:after="0"/>
            </w:pPr>
            <w:r>
              <w:t>Published between 2018–2026</w:t>
            </w:r>
          </w:p>
        </w:tc>
        <w:tc>
          <w:tcPr>
            <w:tcW w:w="4444" w:type="dxa"/>
          </w:tcPr>
          <w:p w14:paraId="67A811AF">
            <w:pPr>
              <w:spacing w:after="0"/>
            </w:pPr>
            <w:r>
              <w:t>Studies published before 2018</w:t>
            </w:r>
          </w:p>
        </w:tc>
      </w:tr>
      <w:tr w14:paraId="3341950C">
        <w:tblPrEx>
          <w:tblLayout w:type="fixed"/>
        </w:tblPrEx>
        <w:tc>
          <w:tcPr>
            <w:tcW w:w="4906" w:type="dxa"/>
          </w:tcPr>
          <w:p w14:paraId="6C0A6F86">
            <w:pPr>
              <w:spacing w:after="0"/>
            </w:pPr>
            <w:r>
              <w:t>English-language studies</w:t>
            </w:r>
          </w:p>
        </w:tc>
        <w:tc>
          <w:tcPr>
            <w:tcW w:w="4444" w:type="dxa"/>
          </w:tcPr>
          <w:p w14:paraId="6765462A">
            <w:pPr>
              <w:spacing w:after="0"/>
            </w:pPr>
            <w:r>
              <w:t>Non-English publications</w:t>
            </w:r>
          </w:p>
        </w:tc>
      </w:tr>
      <w:tr w14:paraId="50BBC86F">
        <w:tblPrEx>
          <w:tblLayout w:type="fixed"/>
        </w:tblPrEx>
        <w:tc>
          <w:tcPr>
            <w:tcW w:w="4906" w:type="dxa"/>
          </w:tcPr>
          <w:p w14:paraId="75FFB463">
            <w:pPr>
              <w:spacing w:after="0"/>
            </w:pPr>
            <w:r>
              <w:t>HRM, sustainability, digital transformation focus</w:t>
            </w:r>
          </w:p>
        </w:tc>
        <w:tc>
          <w:tcPr>
            <w:tcW w:w="4444" w:type="dxa"/>
          </w:tcPr>
          <w:p w14:paraId="6DB841A8">
            <w:pPr>
              <w:spacing w:after="0"/>
            </w:pPr>
            <w:r>
              <w:t>Irrelevant technical/environmental studies</w:t>
            </w:r>
          </w:p>
        </w:tc>
      </w:tr>
      <w:tr w14:paraId="3E69F3CC">
        <w:tblPrEx>
          <w:tblLayout w:type="fixed"/>
        </w:tblPrEx>
        <w:tc>
          <w:tcPr>
            <w:tcW w:w="4906" w:type="dxa"/>
          </w:tcPr>
          <w:p w14:paraId="4F0534A6">
            <w:pPr>
              <w:spacing w:after="0"/>
            </w:pPr>
            <w:r>
              <w:t>FMCG or organisational context</w:t>
            </w:r>
          </w:p>
        </w:tc>
        <w:tc>
          <w:tcPr>
            <w:tcW w:w="4444" w:type="dxa"/>
          </w:tcPr>
          <w:p w14:paraId="15C1947B">
            <w:pPr>
              <w:spacing w:after="0"/>
            </w:pPr>
            <w:r>
              <w:t>Non-organisational studies</w:t>
            </w:r>
          </w:p>
        </w:tc>
      </w:tr>
      <w:tr w14:paraId="421AC74F">
        <w:tblPrEx>
          <w:tblLayout w:type="fixed"/>
        </w:tblPrEx>
        <w:trPr>
          <w:trHeight w:val="30" w:hRule="atLeast"/>
        </w:trPr>
        <w:tc>
          <w:tcPr>
            <w:tcW w:w="4906" w:type="dxa"/>
          </w:tcPr>
          <w:p w14:paraId="01BAAD08">
            <w:pPr>
              <w:spacing w:after="0"/>
            </w:pPr>
            <w:r>
              <w:t>Annual reports and sustainability reports</w:t>
            </w:r>
          </w:p>
        </w:tc>
        <w:tc>
          <w:tcPr>
            <w:tcW w:w="4444" w:type="dxa"/>
          </w:tcPr>
          <w:p w14:paraId="718CD02A">
            <w:pPr>
              <w:spacing w:after="0"/>
            </w:pPr>
            <w:r>
              <w:t>Duplicate studies</w:t>
            </w:r>
          </w:p>
        </w:tc>
      </w:tr>
    </w:tbl>
    <w:p w14:paraId="0078AC52">
      <w:pPr>
        <w:pStyle w:val="3"/>
      </w:pPr>
      <w:bookmarkStart w:id="85" w:name="_Toc231586795"/>
      <w:bookmarkStart w:id="86" w:name="_Toc229800126"/>
      <w:r>
        <w:t>Article Screening and Selection Process</w:t>
      </w:r>
      <w:bookmarkEnd w:id="85"/>
      <w:bookmarkEnd w:id="86"/>
    </w:p>
    <w:p w14:paraId="6331A6A4">
      <w:pPr/>
      <w:r>
        <w:t>The article filtering and selection process adopted a PRISMA-informed approach to guarantee methodological transparency and systematic evidence selection. Database searching identified academic studies and organisational reports, which were then screened using inclusion and exclusion criteria. We eliminated duplicate and irrelevant studies via evaluation of title, abstract, and full text. Only the sources that are directly linked to sustainable HRM, training and development, employee engagement, digital transformation and organisational sustainability were retained for analysis. Subsequently, Braun and Clarke (2022) thematic analysis was employed to analyse the final selected studies and FMCG case studies. Below is a PRISMA (Page et al., 2021) screening table.</w:t>
      </w:r>
    </w:p>
    <w:p w14:paraId="7DBA70F0">
      <w:pPr>
        <w:keepNext/>
        <w:jc w:val="center"/>
      </w:pPr>
      <w:r>
        <w:rPr>
          <w:lang w:val="en-US"/>
        </w:rPr>
        <w:drawing>
          <wp:inline distT="0" distB="0" distL="0" distR="0">
            <wp:extent cx="5943600" cy="4035425"/>
            <wp:effectExtent l="0" t="0" r="0" b="3175"/>
            <wp:docPr id="781788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788159" name="Picture 1"/>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5943600" cy="4035425"/>
                    </a:xfrm>
                    <a:prstGeom prst="rect">
                      <a:avLst/>
                    </a:prstGeom>
                  </pic:spPr>
                </pic:pic>
              </a:graphicData>
            </a:graphic>
          </wp:inline>
        </w:drawing>
      </w:r>
    </w:p>
    <w:p w14:paraId="3AE7E893">
      <w:pPr>
        <w:pStyle w:val="11"/>
        <w:jc w:val="center"/>
      </w:pPr>
      <w:bookmarkStart w:id="87" w:name="_Toc231453586"/>
      <w:r>
        <w:t xml:space="preserve">Figure </w:t>
      </w:r>
      <w:r>
        <w:fldChar w:fldCharType="begin"/>
      </w:r>
      <w:r>
        <w:instrText xml:space="preserve"> SEQ Figure \* ARABIC </w:instrText>
      </w:r>
      <w:r>
        <w:fldChar w:fldCharType="separate"/>
      </w:r>
      <w:r>
        <w:t>1</w:t>
      </w:r>
      <w:r>
        <w:fldChar w:fldCharType="end"/>
      </w:r>
      <w:r>
        <w:t>: PRISMA-Informed Article Screening and Selection Process</w:t>
      </w:r>
      <w:bookmarkEnd w:id="87"/>
    </w:p>
    <w:p w14:paraId="172E376E">
      <w:pPr>
        <w:pStyle w:val="3"/>
      </w:pPr>
      <w:bookmarkStart w:id="88" w:name="_Toc229800127"/>
      <w:bookmarkStart w:id="89" w:name="_Toc231586796"/>
      <w:r>
        <w:t>Data Sources and Data Collection</w:t>
      </w:r>
      <w:bookmarkEnd w:id="88"/>
      <w:bookmarkEnd w:id="89"/>
      <w:r>
        <w:t xml:space="preserve"> </w:t>
      </w:r>
    </w:p>
    <w:p w14:paraId="317D3E02">
      <w:pPr/>
      <w:r>
        <w:t>This research is based on secondary data sources, which offer an all-encompassing and practical method of examining training and development practices in the UK FMCG organisations. Secondary data would be especially appropriate in this study because the researcher will be able to explore the organisational practices that are already in place without having to get access to the individuals (Orsini et al., 2020). The data will be in the form of peer-reviewed journal articles, scholarly books, industry reports, annual reports of companies and business publications, which will lead to a multi-dimensional perception of the research subject.</w:t>
      </w:r>
    </w:p>
    <w:p w14:paraId="2CC09258">
      <w:pPr/>
      <w:r>
        <w:t>Theoretical background and empirical data pertaining to the issue of human capital and training practices can be found in academic sources that are available on databases like Google Scholar, ScienceDirect and Emerald Insight. Industry reports and organisational documents provide practical information about the use of training and development strategies in the real world by companies. Also, the business press and trade publications offer independent view of organisational performance and strategic initiatives.</w:t>
      </w:r>
    </w:p>
    <w:p w14:paraId="72BAF59C">
      <w:pPr/>
      <w:r>
        <w:t>The merits and demerits of each source of data exist. Academic sources are trustworthy and have a methodology but might not have up-to-date industry knowledge. Organisational reports, on the other hand, are very detailed and contextual but they may be positively biased as they are promotional. To overcome these shortcomings, this research will use a triangulation methodology and will incorporate several data sources to increase the validity and reliability (Grant, Longhurst and Thier, 2024).</w:t>
      </w:r>
    </w:p>
    <w:p w14:paraId="0C4B58C9">
      <w:pPr/>
      <w:r>
        <w:t>The data collection will be conducted in terms of the systematic identification, selection, and systematisation of the relevant literature in terms of pre-determined criteria of inclusion, including relevance to training and human capital, date of publication and credibility of the source. This systematic methodology makes sure that the data employed is trustworthy and in line with the aims of the research. On balance, the application of various secondary sources of data has made it possible to carry out a complete and balanced analysis of training and development practices. A detailed Data Extraction and Thematic Coding Summary table, including the selected sources, extracted data, initial codes and developed themes used for Braun and Clarke thematic analysis, is provided in Appendix A.</w:t>
      </w:r>
    </w:p>
    <w:p w14:paraId="305B0841">
      <w:pPr>
        <w:pStyle w:val="3"/>
      </w:pPr>
      <w:bookmarkStart w:id="90" w:name="_Toc229800128"/>
      <w:bookmarkStart w:id="91" w:name="_Toc231586797"/>
      <w:r>
        <w:t>Data Analysis Approach</w:t>
      </w:r>
      <w:bookmarkEnd w:id="90"/>
      <w:bookmarkEnd w:id="91"/>
      <w:r>
        <w:t xml:space="preserve"> </w:t>
      </w:r>
    </w:p>
    <w:p w14:paraId="19FC0681">
      <w:pPr>
        <w:rPr>
          <w:lang w:eastAsia="en-GB"/>
        </w:rPr>
      </w:pPr>
      <w:r>
        <w:rPr>
          <w:lang w:eastAsia="en-GB"/>
        </w:rPr>
        <w:t>Thematic analysis will be used to examine and synthesize the qualitative secondary data. It is a systematic and flexible approach that identifies patterns and themes across diverse qualitative data sources (Braun and Clarke, 2022). The method chosen is appropriate as it allows the academic literature, industry reports, and organisational documents to be integrated to understand how training and development contribute to the enhancement of human capital in UK FMCG organisations.</w:t>
      </w:r>
    </w:p>
    <w:p w14:paraId="7BC36B93">
      <w:pPr>
        <w:rPr>
          <w:lang w:eastAsia="en-GB"/>
        </w:rPr>
      </w:pPr>
      <w:r>
        <w:rPr>
          <w:lang w:eastAsia="en-GB"/>
        </w:rPr>
        <w:t>An abductive analytical approach is taken which combines insights from existing theory with insights from the data. This keeps the analysis anchored in Human Capital Theory, the Resource-Based View while simultaneously opening other interpretations.  The process involves the following steps (Braun and Clarke, 2022): data familiarisation, coding, generating themes, reviewing themes, defining themes and reporting. Independently analysing individual sources prior to cross-source comparisons to identify patterns, similarities and differences (Zhu, Chen and DeLiema, 2026). Data triangulation from various proof sources is said to add credibility and validity to findings by reducing dependence on a single source and supporting a more solid interpretation of the research problem (Grant, Longhurst and Thier, 2024)</w:t>
      </w:r>
      <w:r>
        <w:t>.</w:t>
      </w:r>
    </w:p>
    <w:p w14:paraId="3D97241D">
      <w:pPr>
        <w:pStyle w:val="3"/>
      </w:pPr>
      <w:bookmarkStart w:id="92" w:name="_Toc231586798"/>
      <w:bookmarkStart w:id="93" w:name="_Toc229800129"/>
      <w:r>
        <w:t>Research Quality and Rigour</w:t>
      </w:r>
      <w:bookmarkEnd w:id="92"/>
      <w:bookmarkEnd w:id="93"/>
      <w:r>
        <w:t xml:space="preserve"> </w:t>
      </w:r>
    </w:p>
    <w:p w14:paraId="12201A88">
      <w:pPr/>
      <w:r>
        <w:t>The credibility and trustworthiness of qualitative secondary research are ensured through research quality and rigour.  Use of multiple data sources strengthens the credibility of the study. This includes academic literature, industry reports and organisational documents, which help in data triangulation to reduce bias (Noble and Smith, 2025). To enhance the internal validity of the paper, findings were linked to varied theoretical frameworks, Human Capital Theory and the Resource-Based View. External validity is achieved through analytical generalisation which helps in theoretical understanding in the FMCG sector. Trustworthiness is achieved through a clear documentation of data sources, inclusion criteria, and analytical procedures. These measures improve overall coherence, reliability, and robustness of the research results.</w:t>
      </w:r>
    </w:p>
    <w:p w14:paraId="75AE0033">
      <w:pPr>
        <w:pStyle w:val="3"/>
      </w:pPr>
      <w:bookmarkStart w:id="94" w:name="_Toc229800130"/>
      <w:bookmarkStart w:id="95" w:name="_Toc231586799"/>
      <w:r>
        <w:t>Ethical Considerations</w:t>
      </w:r>
      <w:bookmarkEnd w:id="94"/>
      <w:bookmarkEnd w:id="95"/>
      <w:r>
        <w:t xml:space="preserve"> </w:t>
      </w:r>
    </w:p>
    <w:p w14:paraId="69F5D413">
      <w:pPr>
        <w:rPr>
          <w:lang w:eastAsia="en-GB"/>
        </w:rPr>
      </w:pPr>
      <w:r>
        <w:rPr>
          <w:lang w:eastAsia="en-GB"/>
        </w:rPr>
        <w:t>To ensure of the integrity, credibility, and transparency of the research process, ethical considerations are implemented. While the research is based solely on secondary data, the ethical responsibilities of how that data is used and interpreted, as well as that of the authors and researchers, remain valid. The study makes use of secondary data from publicly available sources like peer-reviewed journals, industry reports and organizational reports. This eliminates any issues pertaining to informed consent and participant confidentiality (Badampudi et al, 2022). Nevertheless, all sources are used responsibly and evaluated critically.</w:t>
      </w:r>
    </w:p>
    <w:p w14:paraId="061F2B89">
      <w:pPr>
        <w:rPr>
          <w:rFonts w:ascii="Times New Roman" w:hAnsi="Times New Roman" w:eastAsia="Times New Roman" w:cs="Times New Roman"/>
          <w:kern w:val="0"/>
          <w:lang w:eastAsia="en-GB"/>
          <w14:ligatures w14:val="none"/>
        </w:rPr>
      </w:pPr>
      <w:r>
        <w:rPr>
          <w:lang w:eastAsia="en-GB"/>
        </w:rPr>
        <w:t>All information, ideas and findings from existing literature will be acknowledged through the Harvard referencing style to maintain academic honesty. This ensures that original authors get due recognition, avoiding plagiarism. Moreover, it aims for impartiality by accurately representing findings and not purposely mis-representing or over-selling the evidence. The study critically reflects on possible limitations and biases of secondary sources, specifically reports from organisations.  The study, overall, would be conducted in accordance with institutional ethical protocols and would enhance transparency, honesty, and responsible scholarship</w:t>
      </w:r>
      <w:r>
        <w:t>.</w:t>
      </w:r>
    </w:p>
    <w:p w14:paraId="3894CAE0">
      <w:pPr>
        <w:pStyle w:val="3"/>
      </w:pPr>
      <w:bookmarkStart w:id="96" w:name="_Toc231586800"/>
      <w:bookmarkStart w:id="97" w:name="_Toc229800131"/>
      <w:r>
        <w:t>Chapter Summary</w:t>
      </w:r>
      <w:bookmarkEnd w:id="96"/>
      <w:bookmarkEnd w:id="97"/>
      <w:r>
        <w:t xml:space="preserve"> </w:t>
      </w:r>
    </w:p>
    <w:p w14:paraId="3F37BBAE">
      <w:pPr/>
      <w:r>
        <w:t>This chapter has presented and explained the methodological approach that will be used in this study. It described how an interpretivist philosophy, an inductive-abductive approach and a qualitative secondary research design were utilised to investigate the application of training and development in cultivating human capital in UK FMCG organisations. Various secondary data sources and purposive sampling as well as the use of a case study strategy were also justified in the chapter. The thematic analysis with the help of the framework by Braun and Clarke was chosen as the main approach to analysing data. Quality measures that would guarantee the quality of the research such as validity, reliability and ethical consideration were also addressed. On the whole, the methodology offers a clear and strict plan of action when responding to the research objectives. The following chapter will show the findings of data analysis.</w:t>
      </w:r>
    </w:p>
    <w:p w14:paraId="635B0E97">
      <w:pPr/>
    </w:p>
    <w:p w14:paraId="10E41F0D">
      <w:pPr/>
    </w:p>
    <w:p w14:paraId="6E5A150C">
      <w:pPr/>
    </w:p>
    <w:p w14:paraId="6EFE0D69">
      <w:pPr/>
    </w:p>
    <w:p w14:paraId="1DF166C6">
      <w:pPr/>
    </w:p>
    <w:p w14:paraId="182A23B0">
      <w:pPr/>
    </w:p>
    <w:p w14:paraId="7AECC98F">
      <w:pPr/>
    </w:p>
    <w:p w14:paraId="1CA941D7">
      <w:pPr/>
    </w:p>
    <w:p w14:paraId="1BD85B0D">
      <w:pPr/>
    </w:p>
    <w:p w14:paraId="6019AD04">
      <w:pPr>
        <w:pStyle w:val="2"/>
      </w:pPr>
      <w:bookmarkStart w:id="98" w:name="_Toc231586801"/>
      <w:bookmarkStart w:id="99" w:name="_Toc229800132"/>
      <w:r>
        <w:t>Findings and Analysis</w:t>
      </w:r>
      <w:bookmarkEnd w:id="98"/>
      <w:bookmarkEnd w:id="99"/>
    </w:p>
    <w:p w14:paraId="5C266C8A">
      <w:pPr>
        <w:pStyle w:val="3"/>
      </w:pPr>
      <w:bookmarkStart w:id="100" w:name="_Toc229800133"/>
      <w:bookmarkStart w:id="101" w:name="_Toc231586802"/>
      <w:r>
        <w:t>Introduction</w:t>
      </w:r>
      <w:bookmarkEnd w:id="100"/>
      <w:bookmarkEnd w:id="101"/>
    </w:p>
    <w:p w14:paraId="02C8A71C">
      <w:pPr/>
      <w:r>
        <w:t>The inductive thematic analysis conducted by Braun and Clarke leads to the findings and analysis presented in this chapter. The examination used secondary qualitative data obtained from peer-reviewed journal articles, as well as sustainability and annual reports of major FMCG organisations such as Unilever, Tesco, Diageo and ABF. Four major themes were identified in the data which include:  Sustainable HRM and employee development; Digital Transformation, Innovation and Organisational Competitiveness; Employee engagement, organisational culture and leadership; and Sustainability, Green practices and Organisational Performance. The research is critically analysed through the lenses of various relevant theories to investigate how training and development practices impact organisational sustainability, employee and organisational capabilities, employee engagement and commitment and the long-term competitiveness of UK FMCG organisations.</w:t>
      </w:r>
    </w:p>
    <w:p w14:paraId="2639ED1E">
      <w:pPr>
        <w:pStyle w:val="3"/>
      </w:pPr>
      <w:bookmarkStart w:id="102" w:name="_Toc229800134"/>
      <w:bookmarkStart w:id="103" w:name="_Toc231586803"/>
      <w:r>
        <w:t>Theme 1: Sustainable HRM and Employee Development</w:t>
      </w:r>
      <w:bookmarkEnd w:id="102"/>
      <w:bookmarkEnd w:id="103"/>
    </w:p>
    <w:p w14:paraId="7648D090">
      <w:pPr/>
      <w:r>
        <w:t>Employee capability development and efficiency of organisations could be positively influenced by sustainable HRM practices. According to Ojakorotu (2025), an increasing number of organisations are using “green training programs,” “sustainable recruitment” and “stakeholder-centric compensation systems” to achieve sustainability outcomes and employee engagement. Wang's findings suggest that responsible HRM practices enhance employee wellbeing, commitment, and satisfaction through ethical organisational support systems and sustainability-oriented HRM practices. Organisational sustainability revolves around employee wellbeing because engaged and supported employees contribute toward innovation, increased productivity, and long-term organisational resilience, as the study further revealed.</w:t>
      </w:r>
    </w:p>
    <w:p w14:paraId="62762244">
      <w:pPr/>
      <w:r>
        <w:t>Khan and colleagues (2022) showed that organisations expect HR management to train employees effectively to sustain the environment. Further, Green HRM systems improve employee motivation, teamwork and operational efficiency. In the same way, Susanto (2023) found that Green HRM has a positive effect on employee motivation, job satisfaction, organizational commitment and workforce stability. The research findings indicate that HRM practices circumventing turnover and enhancing employee engagement creating environmentally friendly culture at organization with sustainability focus. According to the findings, sustainable HRM enhances an organisation’s level of productivity and strengthens the organisations’ commitment level of employees.</w:t>
      </w:r>
    </w:p>
    <w:p w14:paraId="78DB2F47">
      <w:pPr/>
      <w:r>
        <w:t xml:space="preserve">This is proved by the annual reports of the top FMCG firms. Unilever (2025) plans for investments in “AI workforce upskilling,” “talent accelerator programmes” and digital capability-building initiatives for enhancing employee future-readiness and organisational adaptability. The company also highlighted its “Play to Win” organisational culture and the establishment of leadership development systems to enhance workforce capability and organisational competitiveness. Tesco (2025) similarly spent “£180m in colleague pay” meanwhile, with 85% of employees recommending Tesco as a workplace, it shows high levels of employee engagement and organisational commitment. The investment involves substantial anticipation in “talent development” as one component of the ABF Corporate (2025) key strategy for long-term organisational capability. </w:t>
      </w:r>
    </w:p>
    <w:p w14:paraId="7F08688D">
      <w:pPr>
        <w:pStyle w:val="11"/>
        <w:keepNext/>
      </w:pPr>
      <w:bookmarkStart w:id="104" w:name="_Toc231524373"/>
      <w:r>
        <w:t xml:space="preserve">Table </w:t>
      </w:r>
      <w:r>
        <w:fldChar w:fldCharType="begin"/>
      </w:r>
      <w:r>
        <w:instrText xml:space="preserve"> SEQ Table \* ARABIC </w:instrText>
      </w:r>
      <w:r>
        <w:fldChar w:fldCharType="separate"/>
      </w:r>
      <w:r>
        <w:t>3</w:t>
      </w:r>
      <w:r>
        <w:fldChar w:fldCharType="end"/>
      </w:r>
      <w:r>
        <w:t>: Sustainable HRM Practices and Organisational Outcomes</w:t>
      </w:r>
      <w:bookmarkEnd w:id="104"/>
    </w:p>
    <w:tbl>
      <w:tblPr>
        <w:tblStyle w:val="31"/>
        <w:tblW w:w="0" w:type="auto"/>
        <w:jc w:val="cente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071"/>
        <w:gridCol w:w="3354"/>
        <w:gridCol w:w="3925"/>
      </w:tblGrid>
      <w:tr w14:paraId="2865F59B">
        <w:tblPrEx>
          <w:tblLayout w:type="fixed"/>
        </w:tblPrEx>
        <w:trPr>
          <w:jc w:val="center"/>
        </w:trPr>
        <w:tc>
          <w:tcPr>
            <w:tcW w:w="2071" w:type="dxa"/>
          </w:tcPr>
          <w:p w14:paraId="0BB1C276">
            <w:pPr>
              <w:spacing w:after="0"/>
            </w:pPr>
            <w:r>
              <w:t>Source</w:t>
            </w:r>
          </w:p>
        </w:tc>
        <w:tc>
          <w:tcPr>
            <w:tcW w:w="3354" w:type="dxa"/>
          </w:tcPr>
          <w:p w14:paraId="3D7DF286">
            <w:pPr>
              <w:spacing w:after="0"/>
            </w:pPr>
            <w:r>
              <w:t>HRM Practice</w:t>
            </w:r>
          </w:p>
        </w:tc>
        <w:tc>
          <w:tcPr>
            <w:tcW w:w="3925" w:type="dxa"/>
          </w:tcPr>
          <w:p w14:paraId="23CDC75D">
            <w:pPr>
              <w:spacing w:after="0"/>
            </w:pPr>
            <w:r>
              <w:t>Organisational Outcome</w:t>
            </w:r>
          </w:p>
        </w:tc>
      </w:tr>
      <w:tr w14:paraId="59DB3A8F">
        <w:tblPrEx>
          <w:tblLayout w:type="fixed"/>
        </w:tblPrEx>
        <w:trPr>
          <w:jc w:val="center"/>
        </w:trPr>
        <w:tc>
          <w:tcPr>
            <w:tcW w:w="2071" w:type="dxa"/>
          </w:tcPr>
          <w:p w14:paraId="6A8C0556">
            <w:pPr>
              <w:spacing w:after="0"/>
            </w:pPr>
            <w:r>
              <w:t>Ojakorotu (2025)</w:t>
            </w:r>
          </w:p>
        </w:tc>
        <w:tc>
          <w:tcPr>
            <w:tcW w:w="3354" w:type="dxa"/>
          </w:tcPr>
          <w:p w14:paraId="18B59FC4">
            <w:pPr>
              <w:spacing w:after="0"/>
            </w:pPr>
            <w:r>
              <w:t>Green training programmes</w:t>
            </w:r>
          </w:p>
        </w:tc>
        <w:tc>
          <w:tcPr>
            <w:tcW w:w="3925" w:type="dxa"/>
          </w:tcPr>
          <w:p w14:paraId="0ABEEEC9">
            <w:pPr>
              <w:spacing w:after="0"/>
            </w:pPr>
            <w:r>
              <w:t>Employee sustainability commitment</w:t>
            </w:r>
          </w:p>
        </w:tc>
      </w:tr>
      <w:tr w14:paraId="1D091CC0">
        <w:tblPrEx>
          <w:tblLayout w:type="fixed"/>
        </w:tblPrEx>
        <w:trPr>
          <w:jc w:val="center"/>
        </w:trPr>
        <w:tc>
          <w:tcPr>
            <w:tcW w:w="2071" w:type="dxa"/>
          </w:tcPr>
          <w:p w14:paraId="4A6259DD">
            <w:pPr>
              <w:spacing w:after="0"/>
            </w:pPr>
            <w:r>
              <w:t>Wang et al. (2026)</w:t>
            </w:r>
          </w:p>
        </w:tc>
        <w:tc>
          <w:tcPr>
            <w:tcW w:w="3354" w:type="dxa"/>
          </w:tcPr>
          <w:p w14:paraId="3A1E4BED">
            <w:pPr>
              <w:spacing w:after="0"/>
            </w:pPr>
            <w:r>
              <w:t>Responsible HRM systems</w:t>
            </w:r>
          </w:p>
        </w:tc>
        <w:tc>
          <w:tcPr>
            <w:tcW w:w="3925" w:type="dxa"/>
          </w:tcPr>
          <w:p w14:paraId="3753985E">
            <w:pPr>
              <w:spacing w:after="0"/>
            </w:pPr>
            <w:r>
              <w:t>Employee wellbeing and engagement</w:t>
            </w:r>
          </w:p>
        </w:tc>
      </w:tr>
      <w:tr w14:paraId="57C69966">
        <w:tblPrEx>
          <w:tblLayout w:type="fixed"/>
        </w:tblPrEx>
        <w:trPr>
          <w:jc w:val="center"/>
        </w:trPr>
        <w:tc>
          <w:tcPr>
            <w:tcW w:w="2071" w:type="dxa"/>
          </w:tcPr>
          <w:p w14:paraId="01A0B9FC">
            <w:pPr>
              <w:spacing w:after="0"/>
            </w:pPr>
            <w:r>
              <w:t>Khan et al. (2022)</w:t>
            </w:r>
          </w:p>
        </w:tc>
        <w:tc>
          <w:tcPr>
            <w:tcW w:w="3354" w:type="dxa"/>
          </w:tcPr>
          <w:p w14:paraId="0E0BAFEC">
            <w:pPr>
              <w:spacing w:after="0"/>
            </w:pPr>
            <w:r>
              <w:t>Sustainability-focused training</w:t>
            </w:r>
          </w:p>
        </w:tc>
        <w:tc>
          <w:tcPr>
            <w:tcW w:w="3925" w:type="dxa"/>
          </w:tcPr>
          <w:p w14:paraId="7168AD20">
            <w:pPr>
              <w:spacing w:after="0"/>
            </w:pPr>
            <w:r>
              <w:t>Employee efficiency and motivation</w:t>
            </w:r>
          </w:p>
        </w:tc>
      </w:tr>
      <w:tr w14:paraId="6C74584E">
        <w:tblPrEx>
          <w:tblLayout w:type="fixed"/>
        </w:tblPrEx>
        <w:trPr>
          <w:jc w:val="center"/>
        </w:trPr>
        <w:tc>
          <w:tcPr>
            <w:tcW w:w="2071" w:type="dxa"/>
          </w:tcPr>
          <w:p w14:paraId="78F7CE85">
            <w:pPr>
              <w:spacing w:after="0"/>
            </w:pPr>
            <w:r>
              <w:t>Susanto (2023)</w:t>
            </w:r>
          </w:p>
        </w:tc>
        <w:tc>
          <w:tcPr>
            <w:tcW w:w="3354" w:type="dxa"/>
          </w:tcPr>
          <w:p w14:paraId="55BAB6CE">
            <w:pPr>
              <w:spacing w:after="0"/>
            </w:pPr>
            <w:r>
              <w:t>Green work engagement</w:t>
            </w:r>
          </w:p>
        </w:tc>
        <w:tc>
          <w:tcPr>
            <w:tcW w:w="3925" w:type="dxa"/>
          </w:tcPr>
          <w:p w14:paraId="7703EBA7">
            <w:pPr>
              <w:spacing w:after="0"/>
            </w:pPr>
            <w:r>
              <w:t>Job satisfaction and retention</w:t>
            </w:r>
          </w:p>
        </w:tc>
      </w:tr>
      <w:tr w14:paraId="58DEF743">
        <w:tblPrEx>
          <w:tblLayout w:type="fixed"/>
        </w:tblPrEx>
        <w:trPr>
          <w:jc w:val="center"/>
        </w:trPr>
        <w:tc>
          <w:tcPr>
            <w:tcW w:w="2071" w:type="dxa"/>
          </w:tcPr>
          <w:p w14:paraId="466CA53E">
            <w:pPr>
              <w:spacing w:after="0"/>
            </w:pPr>
            <w:r>
              <w:t>Unilever (2025)</w:t>
            </w:r>
          </w:p>
        </w:tc>
        <w:tc>
          <w:tcPr>
            <w:tcW w:w="3354" w:type="dxa"/>
          </w:tcPr>
          <w:p w14:paraId="510C0D92">
            <w:pPr>
              <w:spacing w:after="0"/>
            </w:pPr>
            <w:r>
              <w:t>AI capability upskilling</w:t>
            </w:r>
          </w:p>
        </w:tc>
        <w:tc>
          <w:tcPr>
            <w:tcW w:w="3925" w:type="dxa"/>
          </w:tcPr>
          <w:p w14:paraId="56716FE8">
            <w:pPr>
              <w:spacing w:after="0"/>
            </w:pPr>
            <w:r>
              <w:t>Workforce adaptability</w:t>
            </w:r>
          </w:p>
        </w:tc>
      </w:tr>
      <w:tr w14:paraId="1C427E23">
        <w:tblPrEx>
          <w:tblLayout w:type="fixed"/>
        </w:tblPrEx>
        <w:trPr>
          <w:jc w:val="center"/>
        </w:trPr>
        <w:tc>
          <w:tcPr>
            <w:tcW w:w="2071" w:type="dxa"/>
          </w:tcPr>
          <w:p w14:paraId="7CC0B953">
            <w:pPr>
              <w:spacing w:after="0"/>
            </w:pPr>
            <w:r>
              <w:t>Tesco (2025)</w:t>
            </w:r>
          </w:p>
        </w:tc>
        <w:tc>
          <w:tcPr>
            <w:tcW w:w="3354" w:type="dxa"/>
          </w:tcPr>
          <w:p w14:paraId="0892AC40">
            <w:pPr>
              <w:spacing w:after="0"/>
            </w:pPr>
            <w:r>
              <w:t>Employee wellbeing investment</w:t>
            </w:r>
          </w:p>
        </w:tc>
        <w:tc>
          <w:tcPr>
            <w:tcW w:w="3925" w:type="dxa"/>
          </w:tcPr>
          <w:p w14:paraId="7DE6D9E7">
            <w:pPr>
              <w:spacing w:after="0"/>
            </w:pPr>
            <w:r>
              <w:t>Higher employee engagement</w:t>
            </w:r>
          </w:p>
        </w:tc>
      </w:tr>
      <w:tr w14:paraId="1F3A0FA8">
        <w:tblPrEx>
          <w:tblLayout w:type="fixed"/>
        </w:tblPrEx>
        <w:trPr>
          <w:jc w:val="center"/>
        </w:trPr>
        <w:tc>
          <w:tcPr>
            <w:tcW w:w="2071" w:type="dxa"/>
          </w:tcPr>
          <w:p w14:paraId="3DEDCB13">
            <w:pPr>
              <w:spacing w:after="0"/>
            </w:pPr>
            <w:r>
              <w:t>ABF (2025)</w:t>
            </w:r>
          </w:p>
        </w:tc>
        <w:tc>
          <w:tcPr>
            <w:tcW w:w="3354" w:type="dxa"/>
          </w:tcPr>
          <w:p w14:paraId="669460E1">
            <w:pPr>
              <w:spacing w:after="0"/>
            </w:pPr>
            <w:r>
              <w:t>Talent development initiatives</w:t>
            </w:r>
          </w:p>
        </w:tc>
        <w:tc>
          <w:tcPr>
            <w:tcW w:w="3925" w:type="dxa"/>
          </w:tcPr>
          <w:p w14:paraId="655594CB">
            <w:pPr>
              <w:spacing w:after="0"/>
            </w:pPr>
            <w:r>
              <w:t>Organisational capability growth</w:t>
            </w:r>
          </w:p>
        </w:tc>
      </w:tr>
    </w:tbl>
    <w:p w14:paraId="2C4AEF24">
      <w:pPr/>
      <w:r>
        <w:t>The findings importantly show that sustainable HRM significantly improves workforce adaptability, employee capabilities and organisational competitiveness in modern FMCG settings. Human Capital Theory strongly supports these findings. Becker (1993) claimed that due to this paradigm shift in thinking, organisations increasingly treat employees as strategic organisational assets who can generate long-term value through innovation, knowledge, productivity and organisational learning. In the same way, the Resource-Based View (RBV) suggests that capabilities of the workforce and systems of organisational learning provide sustainable competitive advantage because they are valuable, hard to imitate and strategically embedded in organisational systems (Barney 2001). Irad et al. (2025) solidifies this notion by stating that Green HRM has the capacity for developing an employee’s abilities in line with organisation’s sustainability objectives while enhancing innovation and organisational competitiveness.</w:t>
      </w:r>
    </w:p>
    <w:p w14:paraId="2CAB52CB">
      <w:pPr/>
      <w:r>
        <w:t xml:space="preserve">Analysis of themes also found that workforce development systems are increasingly being used to integrate Digital Transformation and Sustainability capability-building within Sustainable HRM. Unilever's techniques of AI upskilling of employees and HRM digitisation transform show how firms are seeking to make employees future-ready competent due to technological transformation and market evolution. Similarly, according to Ojakorotu (2025) and Khan et al. (2022), sustainability-related training enhances employees’ environmental awareness, adaptability, and operational performance of the organization. It indicates that capacity building training for employees is shifting from traditional technical training to more sustainability related and digital. </w:t>
      </w:r>
    </w:p>
    <w:p w14:paraId="34BEC806">
      <w:pPr/>
      <w:r>
        <w:t>Despite the findings, significant organizational challenges were identified to sustainability HRM implementation. The capacity for investment in sustainability management learning systems, staff occupational health and wellbeing programmes, and development of a workforce in the digital age is far greater for large multinationals such as Unilever, Tesco and ABF. On the other hand, smaller organisations face implementation issues for similar sustainability-oriented HRM systems due to lack of financial and technological and operational constraints. Moreover, the analysis indicates that some organizations might be adopting sustainability-oriented SHRM practices symbolically for organizational reputation and not for employee transformation. It raises important issues relating to empty sustainability and symbolic organizational behaviour in HRM systems.</w:t>
      </w:r>
    </w:p>
    <w:p w14:paraId="1F35A10D">
      <w:pPr/>
      <w:r>
        <w:t>In short, findings strongly suggest that sustainable HRM and employee development have become strategic priorities of modern FMCG organisations. The consistent results of research studies and organisational reports show that training for sustainability, employee wellbeing, leadership and capability-building enhance competitiveness, engagement, operational resilience and sustainability of organisations. Notwithstanding, the success of sustainable HRM systems is largely contingent on leadership commitment, organisational culture, financial investments, and genuine integration of sustainability into the broader organisational strategy.</w:t>
      </w:r>
    </w:p>
    <w:p w14:paraId="18123F36">
      <w:pPr>
        <w:pStyle w:val="3"/>
      </w:pPr>
      <w:bookmarkStart w:id="105" w:name="_Toc231586804"/>
      <w:bookmarkStart w:id="106" w:name="_Toc229800135"/>
      <w:r>
        <w:t>Theme 2: Digital Transformation, Innovation and Organisational Competitiveness</w:t>
      </w:r>
      <w:bookmarkEnd w:id="105"/>
      <w:bookmarkEnd w:id="106"/>
    </w:p>
    <w:p w14:paraId="5A499AE2">
      <w:pPr/>
      <w:r>
        <w:t xml:space="preserve">The evidence indicates the increasing influence of digital transformation on sustainable HRM practices and organizational performance. According to Ojakorotu (2025), organisations today use digital recruitment systems, learning programmes on sustainability and strategic HRM to improve the sustainability of organisations and their human resources adaptability. The research claimed that HRM has evolved into a strategic driver for sustainable development strategies, while sustainabiity-orientated organisational systems also strengthen organisational competitiveness and employee engagement. According to Wang et al. (2026), responsible HRM systems can boost employee wellbeing, perceived organisational support, and employee satisfaction through organisational adaptability and ethical organisational practices. As per findings digital transformation is used as crucial support for sustainable HRM through improved communication systems, employee development programmes, and organisational capability-building initiatives. </w:t>
      </w:r>
    </w:p>
    <w:p w14:paraId="47ECEEBF">
      <w:pPr/>
      <w:r>
        <w:t xml:space="preserve">Khan et al. (2022) highlighted that Green HRM practices enhance employee efficiency, teamwork and employee motivation through sustainability-oriented organisational systems. The research explained that the contemporary organisation expects the HR department to efficiently train employees in a green and tech-savvy environment. Sustainability-oriented HRM practices are shown to improve operational productivity and workplace cooperation that lead to competitive advantage. The integration of technology and sustainability-oriented human resource management (HRM) systems is strengthening the adaptability and efficiency of organisations. </w:t>
      </w:r>
    </w:p>
    <w:p w14:paraId="678FF8BD">
      <w:pPr/>
      <w:r>
        <w:t xml:space="preserve">Annual reports of leading FMCG companies strongly supported these academic findings. Unilever (2025) announced its “AI Age transformation strategy” and has invested in AI powered simulation, digital HRM systems, upskilling of the workforce and AI capabilities. The simulations generated by artificial intelligence speed up innovation while the innovations that streamline digital workflows enhance onboarding as well as operational productivity. In addition, Unilever spent roughly “€836m on R&amp;D” along with building AI capabilities in many operational markets (Unilever, 2025). The studies concluded that how digital transformation enhances the innovation capacity and adaptability of the workforce and operational efficiency within a highly competitive sector like FMCG. </w:t>
      </w:r>
    </w:p>
    <w:p w14:paraId="647EA417">
      <w:pPr>
        <w:keepNext/>
        <w:jc w:val="center"/>
      </w:pPr>
      <w:r>
        <w:rPr>
          <w:lang w:val="en-US"/>
        </w:rPr>
        <w:drawing>
          <wp:inline distT="0" distB="0" distL="0" distR="0">
            <wp:extent cx="5943600" cy="2175510"/>
            <wp:effectExtent l="0" t="0" r="0" b="0"/>
            <wp:docPr id="1671131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131243" name="Picture 1"/>
                    <pic:cNvPicPr>
                      <a:picLocks noChangeAspect="1"/>
                    </pic:cNvPicPr>
                  </pic:nvPicPr>
                  <pic:blipFill>
                    <a:blip r:embed="rId7"/>
                    <a:stretch>
                      <a:fillRect/>
                    </a:stretch>
                  </pic:blipFill>
                  <pic:spPr>
                    <a:xfrm>
                      <a:off x="0" y="0"/>
                      <a:ext cx="5943600" cy="2175510"/>
                    </a:xfrm>
                    <a:prstGeom prst="rect">
                      <a:avLst/>
                    </a:prstGeom>
                  </pic:spPr>
                </pic:pic>
              </a:graphicData>
            </a:graphic>
          </wp:inline>
        </w:drawing>
      </w:r>
    </w:p>
    <w:p w14:paraId="4F725BC5">
      <w:pPr>
        <w:pStyle w:val="11"/>
        <w:jc w:val="center"/>
      </w:pPr>
      <w:bookmarkStart w:id="107" w:name="_Toc231453587"/>
      <w:r>
        <w:t xml:space="preserve">Figure </w:t>
      </w:r>
      <w:r>
        <w:fldChar w:fldCharType="begin"/>
      </w:r>
      <w:r>
        <w:instrText xml:space="preserve"> SEQ Figure \* ARABIC </w:instrText>
      </w:r>
      <w:r>
        <w:fldChar w:fldCharType="separate"/>
      </w:r>
      <w:r>
        <w:t>2</w:t>
      </w:r>
      <w:r>
        <w:fldChar w:fldCharType="end"/>
      </w:r>
      <w:r>
        <w:t>: Unilever Innovation-led (Unilever, 2025)</w:t>
      </w:r>
      <w:bookmarkEnd w:id="107"/>
    </w:p>
    <w:p w14:paraId="19466552">
      <w:pPr/>
      <w:r>
        <w:t xml:space="preserve">Tesco (2025) on the other hand implemented “AI-powered Clubcard Challenges campaigns” and AI-based logistics optimisation systems to improve efficiency. The firm also reported ‘£63.6bn group sales growth’ since the drivers’ routes were optimised by AI technology and the supply chain improved. About 1,000 new products were launched by Tesco while enjoying good market competitiveness through technological innovation and customer-focused digital systems. As per this evidence, an organisation’s operational competitiveness, customer responsiveness and long-term growth improves with digital transformation. </w:t>
      </w:r>
    </w:p>
    <w:p w14:paraId="3ED8AF45">
      <w:pPr>
        <w:keepNext/>
        <w:jc w:val="center"/>
      </w:pPr>
      <w:r>
        <w:rPr>
          <w:lang w:val="en-US"/>
        </w:rPr>
        <w:drawing>
          <wp:inline distT="0" distB="0" distL="0" distR="0">
            <wp:extent cx="5943600" cy="2955925"/>
            <wp:effectExtent l="0" t="0" r="0" b="0"/>
            <wp:docPr id="1012843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843179" name="Picture 1"/>
                    <pic:cNvPicPr>
                      <a:picLocks noChangeAspect="1"/>
                    </pic:cNvPicPr>
                  </pic:nvPicPr>
                  <pic:blipFill>
                    <a:blip r:embed="rId8"/>
                    <a:stretch>
                      <a:fillRect/>
                    </a:stretch>
                  </pic:blipFill>
                  <pic:spPr>
                    <a:xfrm>
                      <a:off x="0" y="0"/>
                      <a:ext cx="5943600" cy="2955925"/>
                    </a:xfrm>
                    <a:prstGeom prst="rect">
                      <a:avLst/>
                    </a:prstGeom>
                  </pic:spPr>
                </pic:pic>
              </a:graphicData>
            </a:graphic>
          </wp:inline>
        </w:drawing>
      </w:r>
    </w:p>
    <w:p w14:paraId="73AEB6A6">
      <w:pPr>
        <w:pStyle w:val="11"/>
        <w:jc w:val="center"/>
      </w:pPr>
      <w:bookmarkStart w:id="108" w:name="_Toc231453588"/>
      <w:r>
        <w:t xml:space="preserve">Figure </w:t>
      </w:r>
      <w:r>
        <w:fldChar w:fldCharType="begin"/>
      </w:r>
      <w:r>
        <w:instrText xml:space="preserve"> SEQ Figure \* ARABIC </w:instrText>
      </w:r>
      <w:r>
        <w:fldChar w:fldCharType="separate"/>
      </w:r>
      <w:r>
        <w:t>3</w:t>
      </w:r>
      <w:r>
        <w:fldChar w:fldCharType="end"/>
      </w:r>
      <w:r>
        <w:t>: Tesco Performance highlights (Tesco Plc, 2025)</w:t>
      </w:r>
      <w:bookmarkEnd w:id="108"/>
    </w:p>
    <w:p w14:paraId="3CA9BB87">
      <w:pPr/>
    </w:p>
    <w:p w14:paraId="4E221DB8">
      <w:pPr>
        <w:pStyle w:val="11"/>
        <w:keepNext/>
      </w:pPr>
      <w:bookmarkStart w:id="109" w:name="_Toc231524374"/>
      <w:r>
        <w:t xml:space="preserve">Table </w:t>
      </w:r>
      <w:r>
        <w:fldChar w:fldCharType="begin"/>
      </w:r>
      <w:r>
        <w:instrText xml:space="preserve"> SEQ Table \* ARABIC </w:instrText>
      </w:r>
      <w:r>
        <w:fldChar w:fldCharType="separate"/>
      </w:r>
      <w:r>
        <w:t>4</w:t>
      </w:r>
      <w:r>
        <w:fldChar w:fldCharType="end"/>
      </w:r>
      <w:r>
        <w:t>: Digital Transformation Practices and Organisational Outcomes</w:t>
      </w:r>
      <w:bookmarkEnd w:id="109"/>
    </w:p>
    <w:tbl>
      <w:tblPr>
        <w:tblStyle w:val="31"/>
        <w:tblW w:w="0" w:type="auto"/>
        <w:jc w:val="cente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767"/>
        <w:gridCol w:w="3824"/>
        <w:gridCol w:w="3759"/>
      </w:tblGrid>
      <w:tr w14:paraId="4BADD886">
        <w:tblPrEx>
          <w:tblLayout w:type="fixed"/>
        </w:tblPrEx>
        <w:trPr>
          <w:jc w:val="center"/>
        </w:trPr>
        <w:tc>
          <w:tcPr>
            <w:tcW w:w="1767" w:type="dxa"/>
          </w:tcPr>
          <w:p w14:paraId="568C017C">
            <w:pPr>
              <w:spacing w:after="0"/>
            </w:pPr>
            <w:r>
              <w:t>Source</w:t>
            </w:r>
          </w:p>
        </w:tc>
        <w:tc>
          <w:tcPr>
            <w:tcW w:w="3824" w:type="dxa"/>
          </w:tcPr>
          <w:p w14:paraId="5421CAE9">
            <w:pPr>
              <w:spacing w:after="0"/>
            </w:pPr>
            <w:r>
              <w:t>Digital Transformation Practice</w:t>
            </w:r>
          </w:p>
        </w:tc>
        <w:tc>
          <w:tcPr>
            <w:tcW w:w="3759" w:type="dxa"/>
          </w:tcPr>
          <w:p w14:paraId="2F7236D2">
            <w:pPr>
              <w:spacing w:after="0"/>
            </w:pPr>
            <w:r>
              <w:t>Organisational Outcome</w:t>
            </w:r>
          </w:p>
        </w:tc>
      </w:tr>
      <w:tr w14:paraId="69A99F67">
        <w:tblPrEx>
          <w:tblLayout w:type="fixed"/>
        </w:tblPrEx>
        <w:trPr>
          <w:jc w:val="center"/>
        </w:trPr>
        <w:tc>
          <w:tcPr>
            <w:tcW w:w="1767" w:type="dxa"/>
          </w:tcPr>
          <w:p w14:paraId="67587C65">
            <w:pPr>
              <w:spacing w:after="0"/>
            </w:pPr>
            <w:r>
              <w:t>Ojakorotu (2025)</w:t>
            </w:r>
          </w:p>
        </w:tc>
        <w:tc>
          <w:tcPr>
            <w:tcW w:w="3824" w:type="dxa"/>
          </w:tcPr>
          <w:p w14:paraId="48A9283A">
            <w:pPr>
              <w:spacing w:after="0"/>
            </w:pPr>
            <w:r>
              <w:t>Sustainability-focused digital HRM systems</w:t>
            </w:r>
          </w:p>
        </w:tc>
        <w:tc>
          <w:tcPr>
            <w:tcW w:w="3759" w:type="dxa"/>
          </w:tcPr>
          <w:p w14:paraId="1C790460">
            <w:pPr>
              <w:spacing w:after="0"/>
            </w:pPr>
            <w:r>
              <w:t>Workforce adaptability and sustainability</w:t>
            </w:r>
          </w:p>
        </w:tc>
      </w:tr>
      <w:tr w14:paraId="4934DEF0">
        <w:tblPrEx>
          <w:tblLayout w:type="fixed"/>
        </w:tblPrEx>
        <w:trPr>
          <w:jc w:val="center"/>
        </w:trPr>
        <w:tc>
          <w:tcPr>
            <w:tcW w:w="1767" w:type="dxa"/>
          </w:tcPr>
          <w:p w14:paraId="2B552C07">
            <w:pPr>
              <w:spacing w:after="0"/>
            </w:pPr>
            <w:r>
              <w:t>Wang et al. (2026)</w:t>
            </w:r>
          </w:p>
        </w:tc>
        <w:tc>
          <w:tcPr>
            <w:tcW w:w="3824" w:type="dxa"/>
          </w:tcPr>
          <w:p w14:paraId="7D86DAD0">
            <w:pPr>
              <w:spacing w:after="0"/>
            </w:pPr>
            <w:r>
              <w:t>Responsible organisational systems</w:t>
            </w:r>
          </w:p>
        </w:tc>
        <w:tc>
          <w:tcPr>
            <w:tcW w:w="3759" w:type="dxa"/>
          </w:tcPr>
          <w:p w14:paraId="39854856">
            <w:pPr>
              <w:spacing w:after="0"/>
            </w:pPr>
            <w:r>
              <w:t>Employee wellbeing and organisational support</w:t>
            </w:r>
          </w:p>
        </w:tc>
      </w:tr>
      <w:tr w14:paraId="3249CB96">
        <w:tblPrEx>
          <w:tblLayout w:type="fixed"/>
        </w:tblPrEx>
        <w:trPr>
          <w:jc w:val="center"/>
        </w:trPr>
        <w:tc>
          <w:tcPr>
            <w:tcW w:w="1767" w:type="dxa"/>
          </w:tcPr>
          <w:p w14:paraId="0C5972E9">
            <w:pPr>
              <w:spacing w:after="0"/>
            </w:pPr>
            <w:r>
              <w:t>Khan et al. (2022)</w:t>
            </w:r>
          </w:p>
        </w:tc>
        <w:tc>
          <w:tcPr>
            <w:tcW w:w="3824" w:type="dxa"/>
          </w:tcPr>
          <w:p w14:paraId="5E9A0054">
            <w:pPr>
              <w:spacing w:after="0"/>
            </w:pPr>
            <w:r>
              <w:t>Sustainability-oriented HRM and training systems</w:t>
            </w:r>
          </w:p>
        </w:tc>
        <w:tc>
          <w:tcPr>
            <w:tcW w:w="3759" w:type="dxa"/>
          </w:tcPr>
          <w:p w14:paraId="550B6C62">
            <w:pPr>
              <w:spacing w:after="0"/>
            </w:pPr>
            <w:r>
              <w:t>Employee efficiency and teamwork</w:t>
            </w:r>
          </w:p>
        </w:tc>
      </w:tr>
      <w:tr w14:paraId="7B23F335">
        <w:tblPrEx>
          <w:tblLayout w:type="fixed"/>
        </w:tblPrEx>
        <w:trPr>
          <w:jc w:val="center"/>
        </w:trPr>
        <w:tc>
          <w:tcPr>
            <w:tcW w:w="1767" w:type="dxa"/>
          </w:tcPr>
          <w:p w14:paraId="5414071E">
            <w:pPr>
              <w:spacing w:after="0"/>
            </w:pPr>
            <w:r>
              <w:t>Unilever (2025)</w:t>
            </w:r>
          </w:p>
        </w:tc>
        <w:tc>
          <w:tcPr>
            <w:tcW w:w="3824" w:type="dxa"/>
          </w:tcPr>
          <w:p w14:paraId="1F61EAA2">
            <w:pPr>
              <w:spacing w:after="0"/>
            </w:pPr>
            <w:r>
              <w:t>AI Age transformation strategy</w:t>
            </w:r>
          </w:p>
        </w:tc>
        <w:tc>
          <w:tcPr>
            <w:tcW w:w="3759" w:type="dxa"/>
          </w:tcPr>
          <w:p w14:paraId="0A730F70">
            <w:pPr>
              <w:spacing w:after="0"/>
            </w:pPr>
            <w:r>
              <w:t>Innovation and operational productivity</w:t>
            </w:r>
          </w:p>
        </w:tc>
      </w:tr>
      <w:tr w14:paraId="6E11E3E9">
        <w:tblPrEx>
          <w:tblLayout w:type="fixed"/>
        </w:tblPrEx>
        <w:trPr>
          <w:jc w:val="center"/>
        </w:trPr>
        <w:tc>
          <w:tcPr>
            <w:tcW w:w="1767" w:type="dxa"/>
          </w:tcPr>
          <w:p w14:paraId="2D3628F3">
            <w:pPr>
              <w:spacing w:after="0"/>
            </w:pPr>
            <w:r>
              <w:t>Unilever (2025)</w:t>
            </w:r>
          </w:p>
        </w:tc>
        <w:tc>
          <w:tcPr>
            <w:tcW w:w="3824" w:type="dxa"/>
          </w:tcPr>
          <w:p w14:paraId="11CDACF3">
            <w:pPr>
              <w:spacing w:after="0"/>
            </w:pPr>
            <w:r>
              <w:t>AI capability-building programmes</w:t>
            </w:r>
          </w:p>
        </w:tc>
        <w:tc>
          <w:tcPr>
            <w:tcW w:w="3759" w:type="dxa"/>
          </w:tcPr>
          <w:p w14:paraId="1A70A25F">
            <w:pPr>
              <w:spacing w:after="0"/>
            </w:pPr>
            <w:r>
              <w:t>Workforce future-readiness</w:t>
            </w:r>
          </w:p>
        </w:tc>
      </w:tr>
      <w:tr w14:paraId="10A216ED">
        <w:tblPrEx>
          <w:tblLayout w:type="fixed"/>
        </w:tblPrEx>
        <w:trPr>
          <w:jc w:val="center"/>
        </w:trPr>
        <w:tc>
          <w:tcPr>
            <w:tcW w:w="1767" w:type="dxa"/>
          </w:tcPr>
          <w:p w14:paraId="3F6153D6">
            <w:pPr>
              <w:spacing w:after="0"/>
            </w:pPr>
            <w:r>
              <w:t>Tesco (2025)</w:t>
            </w:r>
          </w:p>
        </w:tc>
        <w:tc>
          <w:tcPr>
            <w:tcW w:w="3824" w:type="dxa"/>
          </w:tcPr>
          <w:p w14:paraId="13DA0BB1">
            <w:pPr>
              <w:spacing w:after="0"/>
            </w:pPr>
            <w:r>
              <w:t>AI logistics optimisation</w:t>
            </w:r>
          </w:p>
        </w:tc>
        <w:tc>
          <w:tcPr>
            <w:tcW w:w="3759" w:type="dxa"/>
          </w:tcPr>
          <w:p w14:paraId="2EFF3BB3">
            <w:pPr>
              <w:spacing w:after="0"/>
            </w:pPr>
            <w:r>
              <w:t>Supply chain efficiency</w:t>
            </w:r>
          </w:p>
        </w:tc>
      </w:tr>
      <w:tr w14:paraId="732BDA95">
        <w:tblPrEx>
          <w:tblLayout w:type="fixed"/>
        </w:tblPrEx>
        <w:trPr>
          <w:jc w:val="center"/>
        </w:trPr>
        <w:tc>
          <w:tcPr>
            <w:tcW w:w="1767" w:type="dxa"/>
          </w:tcPr>
          <w:p w14:paraId="35562DDB">
            <w:pPr>
              <w:spacing w:after="0"/>
            </w:pPr>
            <w:r>
              <w:t>Tesco (2025)</w:t>
            </w:r>
          </w:p>
        </w:tc>
        <w:tc>
          <w:tcPr>
            <w:tcW w:w="3824" w:type="dxa"/>
          </w:tcPr>
          <w:p w14:paraId="462A0765">
            <w:pPr>
              <w:spacing w:after="0"/>
            </w:pPr>
            <w:r>
              <w:t>AI-powered customer campaigns</w:t>
            </w:r>
          </w:p>
        </w:tc>
        <w:tc>
          <w:tcPr>
            <w:tcW w:w="3759" w:type="dxa"/>
          </w:tcPr>
          <w:p w14:paraId="556A898D">
            <w:pPr>
              <w:spacing w:after="0"/>
            </w:pPr>
            <w:r>
              <w:t>Customer engagement and competitiveness</w:t>
            </w:r>
          </w:p>
        </w:tc>
      </w:tr>
    </w:tbl>
    <w:p w14:paraId="1DB9DC1F">
      <w:pPr/>
      <w:r>
        <w:t>The results show that digital transformation contributes significantly to competitiveness and innovation capacity. The Resource-Based View (RBV) evidently supports these findings since technological capabilities, AI systems, organizational knowledge, and digitally skilled employees are increasingly considered valuable organizational resources capable of generating sustainable competitive advantage (Barney, 2001). Likewise, according to Becker (1993), Dynamic Capability Theory indicates that organisations must constantly adapt their operational systems, employee skills and technological infrastructure to respond to changing market conditions and technological disruption (Cavusgil and Deligonul, 2024). The study’s finding indicates that FMCG organisations are becoming increasingly reliant on digital transformation to enhance innovation capability, operational flexibility, customer responsiveness and organisational resilience (Wang et al., 2026).</w:t>
      </w:r>
    </w:p>
    <w:p w14:paraId="294896BC">
      <w:pPr/>
      <w:r>
        <w:t xml:space="preserve">Another critical finding that has emerged from the thematic analysis is that employee capacity development and workforce adaptability are critical for effective digital transformation. The Unilever (2025) AI upskilling initiative and systems of workforce development with sustainability focus point to organisations spending more on digital learning systems. Khan and others (2022) showed the organizational efficiency and teamwork of employees and the workforces’ ability to adjust to similar technologies. The findings suggest that simply investing in technology cannot ensure the success of digital transformation. Staff capacity building and organisational learning remain equally critical strategic priorities. </w:t>
      </w:r>
    </w:p>
    <w:p w14:paraId="503EB863">
      <w:pPr/>
      <w:r>
        <w:t>Nevertheless, the study also identified serious organisational and ethical concerns linked to digital transformation. According to Wang et al. (2026), the ethical systems of organisations and employee wellbeing are vital in technological changing environments, while Ojakorotu (2025) states that successful transformation relies on leadership commitment and organisational support. Hence, the results indicate that the implementation of a technological system without the support of the workforce, ethical governance, leadership involvement, and organisational culture can give rise to organisational risks. In addition, small companies cannot use advanced technological systems because of the cost, technological infrastructure weakness, and workforce skill shortages.</w:t>
      </w:r>
    </w:p>
    <w:p w14:paraId="75BF3C41">
      <w:pPr/>
      <w:r>
        <w:t xml:space="preserve">The findings provide a strong indication that digital transformation, innovation and organisational competitiveness are with reference to FMCG organisations. Using AI, green HRM systems, technological progress, and workforce capability enhancement strengthens operational efficiency and business resilience and employee adaptability as well as long-term competitive advantage. For a successful digital transformation to occur, we require good ethical governance, leadership support and reskilling of the workforce. There also must be continued organisational investment in technology systems and people. </w:t>
      </w:r>
    </w:p>
    <w:p w14:paraId="65E27436">
      <w:pPr>
        <w:pStyle w:val="3"/>
      </w:pPr>
      <w:bookmarkStart w:id="110" w:name="_Toc229800136"/>
      <w:bookmarkStart w:id="111" w:name="_Toc231586805"/>
      <w:r>
        <w:t>Theme 3: Employee Engagement, Organisational Culture and Leadership</w:t>
      </w:r>
      <w:bookmarkEnd w:id="110"/>
      <w:bookmarkEnd w:id="111"/>
    </w:p>
    <w:p w14:paraId="7449EF61">
      <w:pPr/>
      <w:r>
        <w:t>The results of the research show that sustainable human resource management practices improve employees’ wellbeing, commitment and engagement. As per Wang et al. (2026), responsible HRM systems enhance employee wellbeing through the provision of organisational support, ethical organisational practices, organisational pride and affective commitment. Working for support and sustainability offers many benefits, including improved job satisfaction, greater emotional attachment, and increased organizational commitment. Also, Mishra (2022) discovered a noteworthy positive correlation between Green HRM practices, employee engagement, and employees’ work-life balance. The study found that employee engagement significantly moderates the relationship between green HRM work-life balance and green organizational practices that enhance employee wellbeing, focus, and productivity at work.</w:t>
      </w:r>
    </w:p>
    <w:p w14:paraId="52AE01F5">
      <w:pPr/>
      <w:r>
        <w:t xml:space="preserve">The findings explained by Ojakorotu (2025) which defines the sustainability-oriented organizational culture enhances the motivation, commitment and job satisfaction of the employees. The research contended that companies with sustainable HRM systems lead to improved employee satisfaction, commitment and discretionary effort due to employees increasingly seeking meaningful work that aligns with ethical and sustainability values. Additionally, the commitment of leadership was identified a major organisational factor impact success of sustainability and workforce buy-in According to the findings, employees will participate more in organisational systems when leadership demonstrates their support towards employee development, sustainability and organisational wellbeing (Ojakorotu, 2025). </w:t>
      </w:r>
    </w:p>
    <w:p w14:paraId="788E0478">
      <w:pPr/>
      <w:r>
        <w:t xml:space="preserve">Annual reviews of key FMCG firms supported these academics’ findings about employee engagement and organisational culture.  According to Diageo (2025), an impressive 90% of its employees stated that they are proud to work at Diageo.  Additionally, the organisation has identified workforce diversity and inclusive leadership as key priorities. Tesco (2025) stated that roughly £180m spent on colleague pay,85% of employees would recommend Tesco as a place to work. According to Unilever (2025) , 84 percent of employees said they were satisfied with the organisation and that was mainly attributed to “Play to Win” organisational culture and talent development systems. According to the results, leading FMCG organizations rank workforce wellbeing, pride in the organization, employee engagement, and leadership development as the most critical drivers of organizational performance and sustainability. </w:t>
      </w:r>
    </w:p>
    <w:p w14:paraId="02AFEBF9">
      <w:pPr>
        <w:keepNext/>
        <w:jc w:val="center"/>
      </w:pPr>
      <w:r>
        <w:rPr>
          <w:lang w:val="en-US"/>
        </w:rPr>
        <w:drawing>
          <wp:inline distT="0" distB="0" distL="0" distR="0">
            <wp:extent cx="5943600" cy="2204720"/>
            <wp:effectExtent l="0" t="0" r="0" b="5080"/>
            <wp:docPr id="1652852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852563" name="Picture 1"/>
                    <pic:cNvPicPr>
                      <a:picLocks noChangeAspect="1"/>
                    </pic:cNvPicPr>
                  </pic:nvPicPr>
                  <pic:blipFill>
                    <a:blip r:embed="rId9"/>
                    <a:stretch>
                      <a:fillRect/>
                    </a:stretch>
                  </pic:blipFill>
                  <pic:spPr>
                    <a:xfrm>
                      <a:off x="0" y="0"/>
                      <a:ext cx="5943600" cy="2204720"/>
                    </a:xfrm>
                    <a:prstGeom prst="rect">
                      <a:avLst/>
                    </a:prstGeom>
                  </pic:spPr>
                </pic:pic>
              </a:graphicData>
            </a:graphic>
          </wp:inline>
        </w:drawing>
      </w:r>
    </w:p>
    <w:p w14:paraId="7B4E6215">
      <w:pPr>
        <w:pStyle w:val="11"/>
        <w:jc w:val="center"/>
      </w:pPr>
      <w:bookmarkStart w:id="112" w:name="_Toc231453589"/>
      <w:r>
        <w:t xml:space="preserve">Figure </w:t>
      </w:r>
      <w:r>
        <w:fldChar w:fldCharType="begin"/>
      </w:r>
      <w:r>
        <w:instrText xml:space="preserve"> SEQ Figure \* ARABIC </w:instrText>
      </w:r>
      <w:r>
        <w:fldChar w:fldCharType="separate"/>
      </w:r>
      <w:r>
        <w:t>4</w:t>
      </w:r>
      <w:r>
        <w:fldChar w:fldCharType="end"/>
      </w:r>
      <w:r>
        <w:t>: Employee satisfaction (Unilever, 2025)</w:t>
      </w:r>
      <w:bookmarkEnd w:id="112"/>
    </w:p>
    <w:p w14:paraId="45A2B8E9">
      <w:pPr>
        <w:pStyle w:val="11"/>
        <w:keepNext/>
      </w:pPr>
      <w:bookmarkStart w:id="113" w:name="_Toc231524375"/>
      <w:r>
        <w:t xml:space="preserve">Table </w:t>
      </w:r>
      <w:r>
        <w:fldChar w:fldCharType="begin"/>
      </w:r>
      <w:r>
        <w:instrText xml:space="preserve"> SEQ Table \* ARABIC </w:instrText>
      </w:r>
      <w:r>
        <w:fldChar w:fldCharType="separate"/>
      </w:r>
      <w:r>
        <w:t>5</w:t>
      </w:r>
      <w:r>
        <w:fldChar w:fldCharType="end"/>
      </w:r>
      <w:r>
        <w:t>: Employee Engagement, Organisational Culture and Leadership Findings</w:t>
      </w:r>
      <w:bookmarkEnd w:id="113"/>
    </w:p>
    <w:tbl>
      <w:tblPr>
        <w:tblStyle w:val="3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821"/>
        <w:gridCol w:w="4139"/>
        <w:gridCol w:w="3390"/>
      </w:tblGrid>
      <w:tr w14:paraId="0B251D9D">
        <w:tblPrEx>
          <w:tblLayout w:type="fixed"/>
        </w:tblPrEx>
        <w:tc>
          <w:tcPr>
            <w:tcW w:w="1821" w:type="dxa"/>
          </w:tcPr>
          <w:p w14:paraId="0915AE74">
            <w:pPr>
              <w:spacing w:after="0"/>
            </w:pPr>
            <w:r>
              <w:t>Source</w:t>
            </w:r>
          </w:p>
        </w:tc>
        <w:tc>
          <w:tcPr>
            <w:tcW w:w="4139" w:type="dxa"/>
          </w:tcPr>
          <w:p w14:paraId="1FD23E22">
            <w:pPr>
              <w:spacing w:after="0"/>
            </w:pPr>
            <w:r>
              <w:t>Key Organisational Practice</w:t>
            </w:r>
          </w:p>
        </w:tc>
        <w:tc>
          <w:tcPr>
            <w:tcW w:w="3390" w:type="dxa"/>
          </w:tcPr>
          <w:p w14:paraId="5FA65559">
            <w:pPr>
              <w:spacing w:after="0"/>
            </w:pPr>
            <w:r>
              <w:t>Organisational Outcome</w:t>
            </w:r>
          </w:p>
        </w:tc>
      </w:tr>
      <w:tr w14:paraId="4B4BAEDF">
        <w:tblPrEx>
          <w:tblLayout w:type="fixed"/>
        </w:tblPrEx>
        <w:tc>
          <w:tcPr>
            <w:tcW w:w="1821" w:type="dxa"/>
          </w:tcPr>
          <w:p w14:paraId="29EDC131">
            <w:pPr>
              <w:spacing w:after="0"/>
            </w:pPr>
            <w:r>
              <w:t>Wang et al. (2026)</w:t>
            </w:r>
          </w:p>
        </w:tc>
        <w:tc>
          <w:tcPr>
            <w:tcW w:w="4139" w:type="dxa"/>
          </w:tcPr>
          <w:p w14:paraId="21192E46">
            <w:pPr>
              <w:spacing w:after="0"/>
            </w:pPr>
            <w:r>
              <w:t>Responsible HRM systems</w:t>
            </w:r>
          </w:p>
        </w:tc>
        <w:tc>
          <w:tcPr>
            <w:tcW w:w="3390" w:type="dxa"/>
          </w:tcPr>
          <w:p w14:paraId="5E10F31E">
            <w:pPr>
              <w:spacing w:after="0"/>
            </w:pPr>
            <w:r>
              <w:t>Employee wellbeing and commitment</w:t>
            </w:r>
          </w:p>
        </w:tc>
      </w:tr>
      <w:tr w14:paraId="4F60B389">
        <w:tblPrEx>
          <w:tblLayout w:type="fixed"/>
        </w:tblPrEx>
        <w:tc>
          <w:tcPr>
            <w:tcW w:w="1821" w:type="dxa"/>
          </w:tcPr>
          <w:p w14:paraId="31808D36">
            <w:pPr>
              <w:spacing w:after="0"/>
            </w:pPr>
            <w:r>
              <w:t>Mishra (2022)</w:t>
            </w:r>
          </w:p>
        </w:tc>
        <w:tc>
          <w:tcPr>
            <w:tcW w:w="4139" w:type="dxa"/>
          </w:tcPr>
          <w:p w14:paraId="2BB60F2F">
            <w:pPr>
              <w:spacing w:after="0"/>
            </w:pPr>
            <w:r>
              <w:t>Green HRM and work-life balance</w:t>
            </w:r>
          </w:p>
        </w:tc>
        <w:tc>
          <w:tcPr>
            <w:tcW w:w="3390" w:type="dxa"/>
          </w:tcPr>
          <w:p w14:paraId="02714B41">
            <w:pPr>
              <w:spacing w:after="0"/>
            </w:pPr>
            <w:r>
              <w:t>Employee engagement and productivity</w:t>
            </w:r>
          </w:p>
        </w:tc>
      </w:tr>
      <w:tr w14:paraId="7AD501E1">
        <w:tblPrEx>
          <w:tblLayout w:type="fixed"/>
        </w:tblPrEx>
        <w:tc>
          <w:tcPr>
            <w:tcW w:w="1821" w:type="dxa"/>
          </w:tcPr>
          <w:p w14:paraId="4BD46E15">
            <w:pPr>
              <w:spacing w:after="0"/>
            </w:pPr>
            <w:r>
              <w:t>Ojakorotu (2025)</w:t>
            </w:r>
          </w:p>
        </w:tc>
        <w:tc>
          <w:tcPr>
            <w:tcW w:w="4139" w:type="dxa"/>
          </w:tcPr>
          <w:p w14:paraId="2F8FE7E8">
            <w:pPr>
              <w:spacing w:after="0"/>
            </w:pPr>
            <w:r>
              <w:t>Sustainable organisational culture</w:t>
            </w:r>
          </w:p>
        </w:tc>
        <w:tc>
          <w:tcPr>
            <w:tcW w:w="3390" w:type="dxa"/>
          </w:tcPr>
          <w:p w14:paraId="3EC085AD">
            <w:pPr>
              <w:spacing w:after="0"/>
            </w:pPr>
            <w:r>
              <w:t>Employee satisfaction and motivation</w:t>
            </w:r>
          </w:p>
        </w:tc>
      </w:tr>
      <w:tr w14:paraId="58460EE6">
        <w:tblPrEx>
          <w:tblLayout w:type="fixed"/>
        </w:tblPrEx>
        <w:tc>
          <w:tcPr>
            <w:tcW w:w="1821" w:type="dxa"/>
          </w:tcPr>
          <w:p w14:paraId="58B6123E">
            <w:pPr>
              <w:spacing w:after="0"/>
            </w:pPr>
            <w:r>
              <w:t>Diageo (2025)</w:t>
            </w:r>
          </w:p>
        </w:tc>
        <w:tc>
          <w:tcPr>
            <w:tcW w:w="4139" w:type="dxa"/>
          </w:tcPr>
          <w:p w14:paraId="5BE6B7F4">
            <w:pPr>
              <w:spacing w:after="0"/>
            </w:pPr>
            <w:r>
              <w:t>Inclusive leadership and workforce pride</w:t>
            </w:r>
          </w:p>
        </w:tc>
        <w:tc>
          <w:tcPr>
            <w:tcW w:w="3390" w:type="dxa"/>
          </w:tcPr>
          <w:p w14:paraId="3D2BE6E7">
            <w:pPr>
              <w:spacing w:after="0"/>
            </w:pPr>
            <w:r>
              <w:t>Organisational commitment</w:t>
            </w:r>
          </w:p>
        </w:tc>
      </w:tr>
      <w:tr w14:paraId="4FB6B33F">
        <w:tblPrEx>
          <w:tblLayout w:type="fixed"/>
        </w:tblPrEx>
        <w:tc>
          <w:tcPr>
            <w:tcW w:w="1821" w:type="dxa"/>
          </w:tcPr>
          <w:p w14:paraId="12B66560">
            <w:pPr>
              <w:spacing w:after="0"/>
            </w:pPr>
            <w:r>
              <w:t>Tesco (2025)</w:t>
            </w:r>
          </w:p>
        </w:tc>
        <w:tc>
          <w:tcPr>
            <w:tcW w:w="4139" w:type="dxa"/>
          </w:tcPr>
          <w:p w14:paraId="7A5BC2DA">
            <w:pPr>
              <w:spacing w:after="0"/>
            </w:pPr>
            <w:r>
              <w:t>Employee wellbeing investment</w:t>
            </w:r>
          </w:p>
        </w:tc>
        <w:tc>
          <w:tcPr>
            <w:tcW w:w="3390" w:type="dxa"/>
          </w:tcPr>
          <w:p w14:paraId="2D4F2121">
            <w:pPr>
              <w:spacing w:after="0"/>
            </w:pPr>
            <w:r>
              <w:t>Workforce engagement</w:t>
            </w:r>
          </w:p>
        </w:tc>
      </w:tr>
      <w:tr w14:paraId="2EE94582">
        <w:tblPrEx>
          <w:tblLayout w:type="fixed"/>
        </w:tblPrEx>
        <w:tc>
          <w:tcPr>
            <w:tcW w:w="1821" w:type="dxa"/>
          </w:tcPr>
          <w:p w14:paraId="2F0763EF">
            <w:pPr>
              <w:spacing w:after="0"/>
            </w:pPr>
            <w:r>
              <w:t>Unilever (2025)</w:t>
            </w:r>
          </w:p>
        </w:tc>
        <w:tc>
          <w:tcPr>
            <w:tcW w:w="4139" w:type="dxa"/>
          </w:tcPr>
          <w:p w14:paraId="49919ED1">
            <w:pPr>
              <w:spacing w:after="0"/>
            </w:pPr>
            <w:r>
              <w:t>Leadership development and organisational culture</w:t>
            </w:r>
          </w:p>
        </w:tc>
        <w:tc>
          <w:tcPr>
            <w:tcW w:w="3390" w:type="dxa"/>
          </w:tcPr>
          <w:p w14:paraId="72868D57">
            <w:pPr>
              <w:spacing w:after="0"/>
            </w:pPr>
            <w:r>
              <w:t>Employee satisfaction and adaptability</w:t>
            </w:r>
          </w:p>
        </w:tc>
      </w:tr>
    </w:tbl>
    <w:p w14:paraId="6D8389BA">
      <w:pPr/>
      <w:r>
        <w:t>Findings indicate that employee engagement is becoming a strategic organisational capability rather than just a motivational practice.  Findings of this study are well supported by Social Identity Theory because employees are likely to identify with organizations exhibiting ethical behaviour, supportive culture, committed leadership and sustainability values. The Job Demands-Resources (JD-R) Model also explains that supportive organisation, leadership support, employee wellbeing systems, and workforce development opportunities positively impact employee motivation, organisational commitment and workplace performance (Bakker and Demerouti, 2007). As per the results, employee engagement is a direct contributory towards organisational productivity as well as workforce retention.</w:t>
      </w:r>
    </w:p>
    <w:p w14:paraId="46A79856">
      <w:pPr/>
      <w:r>
        <w:t>However, employee engagement, and leadership systems, were also highlighted as significant organisational challenges. While the corporate reports of organisations strongly stress an organisational culture and employee wellbeing outcomes, in academia there are studies that suggest that engagement strategies of the organisation could operate symbolically without the full acknowledgment of the workload pressures on employees, organisational inequalities, and the stressors of the workplace. Moreover, authentic commitment by leadership, organisational transparency, workplace culture, and investment in the wellbeing of employees are crucial for successful employee engagement. As a result, organisations conducting superficial engagement activities without real support by the organisation, may not achieve long-term trust, motivation and organisational loyalty in workers.</w:t>
      </w:r>
    </w:p>
    <w:p w14:paraId="735985D4">
      <w:pPr>
        <w:pStyle w:val="3"/>
      </w:pPr>
      <w:bookmarkStart w:id="114" w:name="_Toc229800137"/>
      <w:bookmarkStart w:id="115" w:name="_Toc231586806"/>
      <w:r>
        <w:t>Theme 4: Sustainability, Green Practices and Organisational Performance</w:t>
      </w:r>
      <w:bookmarkEnd w:id="114"/>
      <w:bookmarkEnd w:id="115"/>
    </w:p>
    <w:p w14:paraId="3B441F9C">
      <w:pPr/>
      <w:r>
        <w:t>As per Hasan et al. (2025), green supply chain management (GSCM) shows a high impact on organizational sustainability as well as environmental performance. Research suggests that industrialization and globalization have resulted in pollution, waste generation, depletion of resources and other environmental problems which has forced the organizations to adopt green operational systems. According to Hasan et al. (2025), GSCM embeds environmental considerations into supply chain and strategic management via improvement in operational efficiency and organisational competitiveness. In addition, the results indicated that culture and sustainability-oriented leadership in the organisation have an important relation to the successful implementation of green operational practices (Hasan et al., 2025).</w:t>
      </w:r>
    </w:p>
    <w:p w14:paraId="2EB91185">
      <w:pPr/>
      <w:r>
        <w:t xml:space="preserve">The explanation given by Popescu (2020),which is very similar, explains that that green marketing and Environmental sustainability is having an increasing impact on the competitive power of organizations and the purchasing behavior of consumers in the FMCG industries. The research found that consumers are increasingly environmentally aware and prefer organisations with a demonstrable commitment to sustainability that does not stop at their products. In furtherance to this, Popescu (2020) argued that “sustainability has become a source of added value and competitive advantage”. This is because environmentally responsible organisations enhance consumer trust , organisation’s reputation and long-term competence in the market. On the other hand, it warned against greenwashing practices, stating that any environmental miscommunication can backfire their organisational legitimacy and consumer trust. </w:t>
      </w:r>
    </w:p>
    <w:p w14:paraId="665735DD">
      <w:pPr/>
      <w:r>
        <w:t>Khan (2022) also reported robust statistical linkages between environmental performance and green HRM practices. According to the study, the initiatives namely Green Recruitment, Green Training and Development, Green Employee Empowerment and Green Performance Management positively enhance organisational sustainability outcomes and environmental efficiency. The findings especially showed that “Green Performance Management” had the most pronounced positive influence on environmental performance while sustainability-oriented employee training enhanced environmental awareness and operational efficiency (Khan et al., 2022). Khan et al. (2022) conclude that employee engagement, organisational culture and sustainability-focused HRM systems contribute significantly to enhancing environmental performance and organisational sustainability.</w:t>
      </w:r>
    </w:p>
    <w:p w14:paraId="5302A2A7">
      <w:pPr/>
      <w:r>
        <w:t xml:space="preserve">The annual reports of leading FMCG organisations were in consistent agreement with the academic findings on sustainability and organizational performance. Diageo (2025) revealed “20.6% improvement in water efficiency” and an “18.8% reduction in greenhouse gas emissions” due to operational baseline. The company also highlighted large scale water replenishment initiatives and operational restructuring plans focused on sustainability to enhance long-term resilience. Likewise, ABF Corporate (2025) achieved reductions in greenhouse gas emissions and “94% recycling or beneficial reuse” of operational waste. According to Tesco (2025), we aim to achieve carbon neutrality by 2035 and are investing in operational sustainability systems, waste reduction initiatives, and community sustainability. Leading fast-moving consumer goods (FMCG) corporations are integrating sustainability into the very fabric of their long-term strategic activity, operational decision-making systems. </w:t>
      </w:r>
    </w:p>
    <w:p w14:paraId="59B1F300">
      <w:pPr>
        <w:keepNext/>
        <w:jc w:val="center"/>
      </w:pPr>
      <w:r>
        <w:rPr>
          <w:lang w:val="en-US"/>
        </w:rPr>
        <w:drawing>
          <wp:inline distT="0" distB="0" distL="0" distR="0">
            <wp:extent cx="4197350" cy="1816100"/>
            <wp:effectExtent l="0" t="0" r="0" b="0"/>
            <wp:docPr id="225716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716258" name="Picture 1"/>
                    <pic:cNvPicPr>
                      <a:picLocks noChangeAspect="1"/>
                    </pic:cNvPicPr>
                  </pic:nvPicPr>
                  <pic:blipFill>
                    <a:blip r:embed="rId10"/>
                    <a:stretch>
                      <a:fillRect/>
                    </a:stretch>
                  </pic:blipFill>
                  <pic:spPr>
                    <a:xfrm>
                      <a:off x="0" y="0"/>
                      <a:ext cx="4197566" cy="1816193"/>
                    </a:xfrm>
                    <a:prstGeom prst="rect">
                      <a:avLst/>
                    </a:prstGeom>
                  </pic:spPr>
                </pic:pic>
              </a:graphicData>
            </a:graphic>
          </wp:inline>
        </w:drawing>
      </w:r>
    </w:p>
    <w:p w14:paraId="2726C676">
      <w:pPr>
        <w:pStyle w:val="11"/>
        <w:jc w:val="center"/>
      </w:pPr>
      <w:bookmarkStart w:id="116" w:name="_Toc231453590"/>
      <w:r>
        <w:t xml:space="preserve">Figure </w:t>
      </w:r>
      <w:r>
        <w:fldChar w:fldCharType="begin"/>
      </w:r>
      <w:r>
        <w:instrText xml:space="preserve"> SEQ Figure \* ARABIC </w:instrText>
      </w:r>
      <w:r>
        <w:fldChar w:fldCharType="separate"/>
      </w:r>
      <w:r>
        <w:t>5</w:t>
      </w:r>
      <w:r>
        <w:fldChar w:fldCharType="end"/>
      </w:r>
      <w:r>
        <w:t>: Reductions in greenhouse gas emissions (ABF Corporate, 2025)</w:t>
      </w:r>
      <w:bookmarkEnd w:id="116"/>
    </w:p>
    <w:p w14:paraId="0CF0B3D8">
      <w:pPr>
        <w:pStyle w:val="11"/>
        <w:keepNext/>
      </w:pPr>
      <w:bookmarkStart w:id="117" w:name="_Toc231524376"/>
      <w:r>
        <w:t xml:space="preserve">Table </w:t>
      </w:r>
      <w:r>
        <w:fldChar w:fldCharType="begin"/>
      </w:r>
      <w:r>
        <w:instrText xml:space="preserve"> SEQ Table \* ARABIC </w:instrText>
      </w:r>
      <w:r>
        <w:fldChar w:fldCharType="separate"/>
      </w:r>
      <w:r>
        <w:t>6</w:t>
      </w:r>
      <w:r>
        <w:fldChar w:fldCharType="end"/>
      </w:r>
      <w:r>
        <w:t>: Sustainability Practices and Organisational Outcomes</w:t>
      </w:r>
      <w:bookmarkEnd w:id="117"/>
    </w:p>
    <w:tbl>
      <w:tblPr>
        <w:tblStyle w:val="3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070"/>
        <w:gridCol w:w="3900"/>
        <w:gridCol w:w="3380"/>
      </w:tblGrid>
      <w:tr w14:paraId="50193849">
        <w:tblPrEx>
          <w:tblLayout w:type="fixed"/>
        </w:tblPrEx>
        <w:tc>
          <w:tcPr>
            <w:tcW w:w="2070" w:type="dxa"/>
          </w:tcPr>
          <w:p w14:paraId="15985A50">
            <w:pPr>
              <w:spacing w:after="0"/>
            </w:pPr>
            <w:r>
              <w:t>Source</w:t>
            </w:r>
          </w:p>
        </w:tc>
        <w:tc>
          <w:tcPr>
            <w:tcW w:w="3900" w:type="dxa"/>
          </w:tcPr>
          <w:p w14:paraId="10CD6072">
            <w:pPr>
              <w:spacing w:after="0"/>
            </w:pPr>
            <w:r>
              <w:t>Sustainability Practice</w:t>
            </w:r>
          </w:p>
        </w:tc>
        <w:tc>
          <w:tcPr>
            <w:tcW w:w="3380" w:type="dxa"/>
          </w:tcPr>
          <w:p w14:paraId="31F99D6D">
            <w:pPr>
              <w:spacing w:after="0"/>
            </w:pPr>
            <w:r>
              <w:t>Organisational Outcome</w:t>
            </w:r>
          </w:p>
        </w:tc>
      </w:tr>
      <w:tr w14:paraId="6361A344">
        <w:tblPrEx>
          <w:tblLayout w:type="fixed"/>
        </w:tblPrEx>
        <w:tc>
          <w:tcPr>
            <w:tcW w:w="2070" w:type="dxa"/>
          </w:tcPr>
          <w:p w14:paraId="7291329D">
            <w:pPr>
              <w:spacing w:after="0"/>
            </w:pPr>
            <w:r>
              <w:t>Hasan et al. (2025)</w:t>
            </w:r>
          </w:p>
        </w:tc>
        <w:tc>
          <w:tcPr>
            <w:tcW w:w="3900" w:type="dxa"/>
          </w:tcPr>
          <w:p w14:paraId="474FB908">
            <w:pPr>
              <w:spacing w:after="0"/>
            </w:pPr>
            <w:r>
              <w:t>Green Supply Chain Management</w:t>
            </w:r>
          </w:p>
        </w:tc>
        <w:tc>
          <w:tcPr>
            <w:tcW w:w="3380" w:type="dxa"/>
          </w:tcPr>
          <w:p w14:paraId="587A3575">
            <w:pPr>
              <w:spacing w:after="0"/>
            </w:pPr>
            <w:r>
              <w:t>Improved environmental performance</w:t>
            </w:r>
          </w:p>
        </w:tc>
      </w:tr>
      <w:tr w14:paraId="5C223A2C">
        <w:tblPrEx>
          <w:tblLayout w:type="fixed"/>
        </w:tblPrEx>
        <w:tc>
          <w:tcPr>
            <w:tcW w:w="2070" w:type="dxa"/>
          </w:tcPr>
          <w:p w14:paraId="33C158C5">
            <w:pPr>
              <w:spacing w:after="0"/>
            </w:pPr>
            <w:r>
              <w:t>Popescu (2020)</w:t>
            </w:r>
          </w:p>
        </w:tc>
        <w:tc>
          <w:tcPr>
            <w:tcW w:w="3900" w:type="dxa"/>
          </w:tcPr>
          <w:p w14:paraId="1B775B14">
            <w:pPr>
              <w:spacing w:after="0"/>
            </w:pPr>
            <w:r>
              <w:t>Green marketing strategies</w:t>
            </w:r>
          </w:p>
        </w:tc>
        <w:tc>
          <w:tcPr>
            <w:tcW w:w="3380" w:type="dxa"/>
          </w:tcPr>
          <w:p w14:paraId="4CEDDC1E">
            <w:pPr>
              <w:spacing w:after="0"/>
            </w:pPr>
            <w:r>
              <w:t>Consumer trust and competitiveness</w:t>
            </w:r>
          </w:p>
        </w:tc>
      </w:tr>
      <w:tr w14:paraId="297FD8F9">
        <w:tblPrEx>
          <w:tblLayout w:type="fixed"/>
        </w:tblPrEx>
        <w:tc>
          <w:tcPr>
            <w:tcW w:w="2070" w:type="dxa"/>
          </w:tcPr>
          <w:p w14:paraId="281E8A92">
            <w:pPr>
              <w:spacing w:after="0"/>
            </w:pPr>
            <w:r>
              <w:t>Khan (2022)</w:t>
            </w:r>
          </w:p>
        </w:tc>
        <w:tc>
          <w:tcPr>
            <w:tcW w:w="3900" w:type="dxa"/>
          </w:tcPr>
          <w:p w14:paraId="36B6BBB0">
            <w:pPr>
              <w:spacing w:after="0"/>
            </w:pPr>
            <w:r>
              <w:t>Green HRM systems</w:t>
            </w:r>
          </w:p>
        </w:tc>
        <w:tc>
          <w:tcPr>
            <w:tcW w:w="3380" w:type="dxa"/>
          </w:tcPr>
          <w:p w14:paraId="1B4B0EB4">
            <w:pPr>
              <w:spacing w:after="0"/>
            </w:pPr>
            <w:r>
              <w:t>Environmental efficiency</w:t>
            </w:r>
          </w:p>
        </w:tc>
      </w:tr>
      <w:tr w14:paraId="2721E5CC">
        <w:tblPrEx>
          <w:tblLayout w:type="fixed"/>
        </w:tblPrEx>
        <w:tc>
          <w:tcPr>
            <w:tcW w:w="2070" w:type="dxa"/>
          </w:tcPr>
          <w:p w14:paraId="28B38A2C">
            <w:pPr>
              <w:spacing w:after="0"/>
            </w:pPr>
            <w:r>
              <w:t>Diageo (2025)</w:t>
            </w:r>
          </w:p>
        </w:tc>
        <w:tc>
          <w:tcPr>
            <w:tcW w:w="3900" w:type="dxa"/>
          </w:tcPr>
          <w:p w14:paraId="0AC878ED">
            <w:pPr>
              <w:spacing w:after="0"/>
            </w:pPr>
            <w:r>
              <w:t>Carbon and water reduction initiatives</w:t>
            </w:r>
          </w:p>
        </w:tc>
        <w:tc>
          <w:tcPr>
            <w:tcW w:w="3380" w:type="dxa"/>
          </w:tcPr>
          <w:p w14:paraId="47D3E5C1">
            <w:pPr>
              <w:spacing w:after="0"/>
            </w:pPr>
            <w:r>
              <w:t>Sustainability resilience</w:t>
            </w:r>
          </w:p>
        </w:tc>
      </w:tr>
      <w:tr w14:paraId="080A7068">
        <w:tblPrEx>
          <w:tblLayout w:type="fixed"/>
        </w:tblPrEx>
        <w:tc>
          <w:tcPr>
            <w:tcW w:w="2070" w:type="dxa"/>
          </w:tcPr>
          <w:p w14:paraId="5A797DED">
            <w:pPr>
              <w:spacing w:after="0"/>
            </w:pPr>
            <w:r>
              <w:t>ABF Corporate (2025)</w:t>
            </w:r>
          </w:p>
        </w:tc>
        <w:tc>
          <w:tcPr>
            <w:tcW w:w="3900" w:type="dxa"/>
          </w:tcPr>
          <w:p w14:paraId="01E0DD7F">
            <w:pPr>
              <w:spacing w:after="0"/>
            </w:pPr>
            <w:r>
              <w:t>Recycling and waste management systems</w:t>
            </w:r>
          </w:p>
        </w:tc>
        <w:tc>
          <w:tcPr>
            <w:tcW w:w="3380" w:type="dxa"/>
          </w:tcPr>
          <w:p w14:paraId="2A9DEFEF">
            <w:pPr>
              <w:spacing w:after="0"/>
            </w:pPr>
            <w:r>
              <w:t>Resource efficiency</w:t>
            </w:r>
          </w:p>
        </w:tc>
      </w:tr>
      <w:tr w14:paraId="4303926D">
        <w:tblPrEx>
          <w:tblLayout w:type="fixed"/>
        </w:tblPrEx>
        <w:tc>
          <w:tcPr>
            <w:tcW w:w="2070" w:type="dxa"/>
          </w:tcPr>
          <w:p w14:paraId="13870254">
            <w:pPr>
              <w:spacing w:after="0"/>
            </w:pPr>
            <w:r>
              <w:t>Tesco (2025)</w:t>
            </w:r>
          </w:p>
        </w:tc>
        <w:tc>
          <w:tcPr>
            <w:tcW w:w="3900" w:type="dxa"/>
          </w:tcPr>
          <w:p w14:paraId="3D70FB00">
            <w:pPr>
              <w:spacing w:after="0"/>
            </w:pPr>
            <w:r>
              <w:t>Carbon neutrality and sustainability programmes</w:t>
            </w:r>
          </w:p>
        </w:tc>
        <w:tc>
          <w:tcPr>
            <w:tcW w:w="3380" w:type="dxa"/>
          </w:tcPr>
          <w:p w14:paraId="325A0877">
            <w:pPr>
              <w:spacing w:after="0"/>
            </w:pPr>
            <w:r>
              <w:t>Long-term organisational sustainability</w:t>
            </w:r>
          </w:p>
        </w:tc>
      </w:tr>
    </w:tbl>
    <w:p w14:paraId="293CB097">
      <w:pPr/>
      <w:r>
        <w:t>The sustainability practices are increasingly becoming a strategic organisational capability that is linked with operational excellence, competitive advantage, trust by the stakeholders, and long-term viability. Stakeholder Theory lends strong support to these findings as organisations increasingly respond to the expectations of regulators, consumers, employees, investors, and society at large (Freeman, 1984). Also, according to the Triple Bottom Line perspective, organisational success increasingly depends on economic performance, environmental sustainability and social responsibility (Elkington, 1997). The findings show that sustainability has become an embedded organisational strategy across supply chains, human resources, customers, processes, and organisational culture.</w:t>
      </w:r>
    </w:p>
    <w:p w14:paraId="758ECEC8">
      <w:pPr/>
      <w:r>
        <w:t xml:space="preserve">There were also some important organisational challenges identified which are related to sustainability. While annual reports make loud and clear claims about the positive environmental achievements and sustainability targets of firms, scholars cite implementation costs, operational complications, greenwashing, and lack of consistency in sustainability practices among firms. Additionally, bigger global companies like Diageo, Tesco and ABF have more financial and technological capacity to invest in sustainability transformation than smaller firms that face financial and operational constraints. Despite the way sustainability practices do show a positive organizational performance and environmental management impact nevertheless, the long term results will still rely heavily on leadership commitment.  An authentic organizational integration, active employee engagement and a long-term strategic investment remain essential. </w:t>
      </w:r>
    </w:p>
    <w:p w14:paraId="4214E432">
      <w:pPr>
        <w:pStyle w:val="3"/>
      </w:pPr>
      <w:bookmarkStart w:id="118" w:name="_Toc229800138"/>
      <w:bookmarkStart w:id="119" w:name="_Toc231586807"/>
      <w:r>
        <w:t>Summary</w:t>
      </w:r>
      <w:bookmarkEnd w:id="118"/>
      <w:bookmarkEnd w:id="119"/>
    </w:p>
    <w:p w14:paraId="36833538">
      <w:pPr/>
      <w:r>
        <w:t>The current chapter examined the results obtained from a thematic analysis of secondary qualitative data on the training and development practices in UK FMCG organisations. The analysis showed that sustainable human resource management, digital transformation, employee engagement and sustainability-oriented organisational practices influence organisational competitiveness, workforce adaptability, operational resilience and long-term organisational performance significantly. The findings further revealed that employee capability development, leadership support, technological innovation, and sustainability integration are strongly related to modern organisational systems. In spite of organisations spending increasingly on sustainability-based HRM and digital transformation initiatives, the analysis also identified problems related to implementation costs; ethical government; workforce adaptability; and real sustainability. They serve as the basis for the discussion and conclusion in the next chapter.</w:t>
      </w:r>
    </w:p>
    <w:p w14:paraId="0B1235D5">
      <w:pPr/>
    </w:p>
    <w:p w14:paraId="1FC94A70">
      <w:pPr/>
    </w:p>
    <w:p w14:paraId="1E456742">
      <w:pPr/>
    </w:p>
    <w:p w14:paraId="55F3B076">
      <w:pPr/>
    </w:p>
    <w:p w14:paraId="3449D731">
      <w:pPr/>
    </w:p>
    <w:p w14:paraId="6A8D3739">
      <w:pPr/>
    </w:p>
    <w:p w14:paraId="1862F890">
      <w:pPr/>
    </w:p>
    <w:p w14:paraId="4BD31B9B">
      <w:pPr/>
    </w:p>
    <w:p w14:paraId="5C6D281C">
      <w:pPr/>
    </w:p>
    <w:p w14:paraId="7693B182">
      <w:pPr/>
    </w:p>
    <w:p w14:paraId="312D4617">
      <w:pPr>
        <w:pStyle w:val="2"/>
      </w:pPr>
      <w:bookmarkStart w:id="120" w:name="_Toc231586808"/>
      <w:r>
        <w:t>Discussion</w:t>
      </w:r>
      <w:bookmarkEnd w:id="120"/>
    </w:p>
    <w:p w14:paraId="30E6BAF2">
      <w:pPr>
        <w:pStyle w:val="3"/>
      </w:pPr>
      <w:bookmarkStart w:id="121" w:name="_Toc231586809"/>
      <w:r>
        <w:t>Introduction</w:t>
      </w:r>
      <w:bookmarkEnd w:id="121"/>
    </w:p>
    <w:p w14:paraId="1E9EA08C">
      <w:pPr/>
      <w:r>
        <w:t>This chapter outlines the basic outcome of the study considering the research objectives, research questions and literature. The findings of the research show that in UK FMCG organisations, training and development helps in the development of human capital. However, this does not happen automatically. It is not the blueprints but the shape in which the people participate positively in training and development.</w:t>
      </w:r>
    </w:p>
    <w:p w14:paraId="4681CB0A">
      <w:pPr>
        <w:pStyle w:val="3"/>
      </w:pPr>
      <w:bookmarkStart w:id="122" w:name="_Toc231586810"/>
      <w:r>
        <w:t>Training and Development as a Driver of Human Capital</w:t>
      </w:r>
      <w:bookmarkEnd w:id="122"/>
    </w:p>
    <w:p w14:paraId="1B5215EC">
      <w:pPr/>
      <w:r>
        <w:t>The first research objective was to examine the contributions of training and development towards human capital development in UK FMCG organisations. According to the revelations, training and development enhance the employee capability by strengthening skills, knowledge, flexibility and organisational learning. According to Becker (1975), Human Capital Theory suggests that investing in employees can improve productivity and efficiency. The findings also confirmed with Rahmoune and Djekidel (2025), stating that training is a strategic investment since it enhances employee flexibility and institutional stability and resilience. Habeeb and Babatunde’s research, likewise, proved that a structured training programme can largely help employees.</w:t>
      </w:r>
    </w:p>
    <w:p w14:paraId="3324D936">
      <w:pPr/>
      <w:r>
        <w:t>Nonetheless, it is also found that training does not automatically produce human capital results. The value of training is determined by its connection to organisational strategy, employee motivation and knowledge-sharing systems. The findings of Al-Tit et al. (2022) are in support of this statement that employees’ development contributes to human capital directly and indirectly through knowledge management. The study established that training is not an individual skill but organisational knowledge capture, sharing and application of the learnings of the employees. This is especially important for fast-moving consumer goods (FMCG) companies, where the need for innovation, speed and operational efficiency to stay competitive has become essential.</w:t>
      </w:r>
    </w:p>
    <w:p w14:paraId="27ADAA6F">
      <w:pPr/>
      <w:r>
        <w:t>The results present difficulties for overly simplistic readings of HCT.  Becker (1975) argues that the training is an investment that increases productivity, but the evidence shows that it depends on the organisation. For instance, big FMCG companies like Unilever, Tesco, Diageo and ABF can invest in structured development programmes, digital upskilling and leadership systems, whereas smaller firms may not have the means. The effectiveness of training was believed to depend on employees’ perceptions, relevance of training and support from organisation (Sung &amp; Choi, 2018).  The study finds that training contributes to human capital development, but only when it has the right design, is relevant and is supported by broader HR systems.</w:t>
      </w:r>
    </w:p>
    <w:p w14:paraId="4C70388B">
      <w:pPr>
        <w:pStyle w:val="3"/>
      </w:pPr>
      <w:bookmarkStart w:id="123" w:name="_Toc231586811"/>
      <w:r>
        <w:t>Digital Transformation and Workforce Capability-Building</w:t>
      </w:r>
      <w:bookmarkEnd w:id="123"/>
    </w:p>
    <w:p w14:paraId="02DEFD4A">
      <w:pPr/>
      <w:r>
        <w:t>The second objective was analysing digital transformation and its impact on training effectiveness and workforce capability-building. Digital transformation has emerged as a significant force in the training and human capital development in UK FMCG organisations, the research showed. According to the analysis, vital practices were observed including, AI-enabled learning, digital HRM systems, upskilling of the workforce and data-driven capability-building. This is in line with Sima et al. (2020), who highlight that the reality of Industry 4.0 calls for continuous reskilling and upskilling, as human capital is now dynamic and adaptable.</w:t>
      </w:r>
    </w:p>
    <w:p w14:paraId="1C8F580E">
      <w:pPr/>
      <w:r>
        <w:t>According to Ekuma (2023), AI can help in personalised training by offering targeted learning based on their skill gap. The findings support this. The examination of Unilever’s AI workforce upskilling and digital capability-building initiatives exhibited this. Tesco also shows how a retail organization can engage in a digital transformation journey by using Ai-powered logistics and customer engagement tools. Your workforce needs to learn to adapt to these technologies. Zhang and Chen (2023) suggest that constant financial monitoring ensures that profits are obtained as expected by the owners.</w:t>
      </w:r>
    </w:p>
    <w:p w14:paraId="4231C337">
      <w:pPr/>
      <w:r>
        <w:t>Nonetheless, the results show risky revelation as well. It is true that training digital transformation could strengthen training efficacy but there could be ethical and practical concerns. Such as digital exclusion, surveillance of employees, data privacy issue and unequal access to training. Ntoutsi et al. (2020) note that AI systems can exhibit unethical behaviour and injustices due to poorly governed algorithms. Also, Kumar and Singh (2025) argue that digital skills gap may produce inequality in digital workplaces. Consequently, the study suggests digital training cannot replace human-centred development. Instead, learning technologies must not come at the cost of fairness, inclusion or employee trust.</w:t>
      </w:r>
    </w:p>
    <w:p w14:paraId="0A1ADC51">
      <w:pPr>
        <w:pStyle w:val="3"/>
      </w:pPr>
      <w:bookmarkStart w:id="124" w:name="_Toc231586812"/>
      <w:r>
        <w:t>Sustainable HRM, Green HRM and Employee Engagement</w:t>
      </w:r>
      <w:bookmarkEnd w:id="124"/>
    </w:p>
    <w:p w14:paraId="19C62A3E">
      <w:pPr/>
      <w:r>
        <w:t>The third aim was to explore the relationship between sustainable and green HRM practices and employee engagement, and profitability.  The results of the study showed that sustainable HRM helps in developing human capital by combining employee wellbeing, green training, workforce engagement and capacity building directed towards sustainability. This evidence is in line with Chams and García-Blandón (2019), who argued that sustainable HRM connects development of human capabilities with broader social and environmental objectives. Likewise, Yong et al. (2020) stated that training and recruitment of green are critical predictors of sustainability performance.</w:t>
      </w:r>
    </w:p>
    <w:p w14:paraId="624F5F05">
      <w:pPr/>
      <w:r>
        <w:t>The results also support Saeed et al. (2019) that Green HRM develops a pro-environmental psychological climate which influences employee behaviour. This research found sustainable HRM to enhance employee motivation, commitment, and environmental awareness at the organisation. This matters because now-a-days, human capital in FMCG organisations is not just technical skills; but also, knowledge of sustainability, ethical awareness and green behaviour. Consequently, training and development creates green human capital as employees are prepared to implement strategies for sustainability.</w:t>
      </w:r>
    </w:p>
    <w:p w14:paraId="13BC939F">
      <w:pPr/>
      <w:r>
        <w:t>The discussion should also acknowledge that sustainable HRM can be symbolic and not anything else when it is not embedded in culture. Some organisations may appear to be tackling sustainability for reputational purposes, but they don’t do it by changing employee practices. This supports Collings and others (2018) as they criticise HRM for portraying employees as valuable resources while still seeking control and efficiency. Consequently, sustaining human resource management calls for the commitment of the leadership, involvement from the employees, and effective action.</w:t>
      </w:r>
    </w:p>
    <w:p w14:paraId="4477FA00">
      <w:pPr>
        <w:pStyle w:val="3"/>
      </w:pPr>
      <w:bookmarkStart w:id="125" w:name="_Toc231586813"/>
      <w:r>
        <w:t>Training, Organisational Competitiveness and Strategic Value</w:t>
      </w:r>
      <w:bookmarkEnd w:id="125"/>
    </w:p>
    <w:p w14:paraId="6FD1D88D">
      <w:pPr/>
      <w:r>
        <w:t>The fourth objective was to critically examine the link between training, employee development and organisational competitiveness in UK FMCG firms. According to the findings, training aids competitiveness by developing useful skills of workforce, enhancing innovativeness, increasing employees’ involvement and facilitating digital and sustainable transformation. The Resource-Based View is supported by this, which posits that valuable, rare, and difficult-to-imitate resources can create sustainable competitive advantage (Barney 2001). Human capital was shown to be strategically valuable in this study because employee skills, digital capabilities and sustainability knowledge are not easily replicable by competitors at short notice.</w:t>
      </w:r>
    </w:p>
    <w:p w14:paraId="606D89C3">
      <w:pPr/>
      <w:r>
        <w:t>The results corroborate the views of Boon et al. (2018), which state that HR systems build and arrange employee capabilities, therefore, human capital becomes strategically valuable. In other words, all is not training.  Leadership, performance management, career development, knowledge management and organisational culture must integrate with it. FMCG companies that combine training with employee wellbeing investment, sustainability systems and an AI capability-building strategy can enhance competitiveness.</w:t>
      </w:r>
    </w:p>
    <w:p w14:paraId="1CB8BAA1">
      <w:pPr/>
      <w:r>
        <w:t>The results also suggest  that effectiveness depends on the quality of implementation . If training is poorly designed, employees are not consulted or do not have comparable access to development opportunities, training is unlikely to be effective. This evidence supports the argument by Boon et al. (2019), where they argue HR practices function as bundles.  The findings indicate that training has a major impact on competitiveness when embedded in a consistent HRM system.</w:t>
      </w:r>
    </w:p>
    <w:p w14:paraId="75DC6E6E">
      <w:pPr>
        <w:pStyle w:val="3"/>
      </w:pPr>
      <w:bookmarkStart w:id="126" w:name="_Toc231586814"/>
      <w:r>
        <w:t>Summary</w:t>
      </w:r>
      <w:bookmarkEnd w:id="126"/>
    </w:p>
    <w:p w14:paraId="13F2B97F">
      <w:pPr/>
      <w:r>
        <w:t>In general, training and development play a key role in enhancing human capital in FMCG companies in the UK. RQ1 has shown that training develops the knowledge, skills, adaptability and organisational learning of employees, but only when effective HRM systems and employee engagement support it.  The second research question is answered by demonstrating the strengthening influence of sustainable HRM and digital transformation on training effectiveness through the creation of new forms of human capital. Nonetheless, you will need to work for these advantages. The dependence for commitments is based on the leadership, governance ethics, employee participation, organizational culture, and access to inclusive development opportunities.</w:t>
      </w:r>
    </w:p>
    <w:p w14:paraId="5C6BD31A">
      <w:pPr>
        <w:pStyle w:val="2"/>
      </w:pPr>
      <w:bookmarkStart w:id="127" w:name="_Toc231586815"/>
      <w:r>
        <w:t>Conclusion and Recommendations</w:t>
      </w:r>
      <w:bookmarkEnd w:id="127"/>
    </w:p>
    <w:p w14:paraId="2F8E805C">
      <w:pPr>
        <w:pStyle w:val="3"/>
      </w:pPr>
      <w:bookmarkStart w:id="128" w:name="_Toc231586816"/>
      <w:r>
        <w:t>Conclusion</w:t>
      </w:r>
      <w:bookmarkEnd w:id="128"/>
    </w:p>
    <w:p w14:paraId="48300E97">
      <w:pPr/>
      <w:r>
        <w:t>This study aims to explore the role of training and development in improving human resource capital in the UK FMCG sector. Moreover, the study evaluates the impact of digital transformation and sustainable HRM on developing employee capability and competitiveness in business. The study revealed that training and development are now not merely administrative HR functions but strategic organisational investment that contribute towards human capital flexibility, innovation capability, sustainability and long-term organisational effectiveness.</w:t>
      </w:r>
    </w:p>
    <w:p w14:paraId="7355B323">
      <w:pPr/>
      <w:r>
        <w:t>The first research aim was assessing the contribution of training and development towards human capital development in UK FMCG organisations. The research affirmed that training enhances workers’ knowledge, competence, adaptability and organizational learning capability. Human Capital Theory (Becker, 1975) states that organisation’s investment in the development of their employees results in increased productivity. The analysis found that employee motivation, organizational commitment and innovation capability are impacted positively by training especially when development systems are aligned and integrated with other HRM practices such as knowledge management, leadership buy-in and performance management. The consistency of the results with those obtained by Sung and Choi (2018) indicates that training effectiveness is influenced by employee. As a result, the study concludes that training significantly contributes towards development of human capital when supported by effective systems and engagement.</w:t>
      </w:r>
    </w:p>
    <w:p w14:paraId="6A5C4CFB">
      <w:pPr/>
      <w:r>
        <w:t xml:space="preserve">The impact of digital transformation on training effectiveness and workforce capability-building was the second objective. The results revealed that AI-enabled learning systems, digital HRM platforms, analytics-based development systems and technology driven organisational learning are increasingly shaping workforce development strategies of FMCG organisations. Many organizations, including Unilever, Tesco, and Diageo, are making significant investments to enhance their AI capabilities and upgrade their workforce. According to Sima et al. (2020) who state that with Industry 4.0, reskilling and development of digital capability becomes continuous. As well, Ekuma (2023) shows that AI enhances personalisation of training and skill-gap identification. Nonetheless, the research also discovered significant issues associated with digital inequality, surveillance of workers, data privacy, and algorithmic bias. Based on the findings of the study, training effectiveness is only improved through digital transformation when there is an ethical and inclusive implementation of technological systems. </w:t>
      </w:r>
    </w:p>
    <w:p w14:paraId="0701F3B6">
      <w:pPr/>
      <w:r>
        <w:t>The investigation on the third objective assessed the contribution of sustainability and green HRM practices to employee engagement and organisational sustainability. An analysis of the findings led to the conclusion that sustainable development of the organisation contributes towards capital development of firms.  According to Chams and García-Blandón (2019), organizations can align human resource development objectives with the sustainable development goals. Yong et al. (2020) identified green training as an essential factor affecting sustainability performance. According to the analysis, the practices related to sustainability-oriented HRM increase the employee engagement, and organisational resilience by enhancing… Yet, evidence also showed they are more symbolic or reputational than transformational in nature.  Consequently, when sustainability principles are embedded in organisational culture and leadership systems, they would be able to deliver better impact.</w:t>
      </w:r>
    </w:p>
    <w:p w14:paraId="23F88B21">
      <w:pPr/>
      <w:r>
        <w:t>The research shows that training and development are improving human capital and competitiveness in UK FMCG organisations. Firms that combine employee development with AI-enabled learning, sustainable HRM practices and strong leadership achieve improved adaptability and sustained competitive advantage in the long-run. Nevertheless, characteristics of the company culture, employees, digital capabilities and incorporation of Strategic HRM may either hinder or enable effective training, making human capital a dynamic resource which requires continuous development.</w:t>
      </w:r>
    </w:p>
    <w:p w14:paraId="10FE29B6">
      <w:pPr>
        <w:pStyle w:val="3"/>
      </w:pPr>
      <w:bookmarkStart w:id="129" w:name="_Toc231586817"/>
      <w:r>
        <w:t>Contributions of the Study</w:t>
      </w:r>
      <w:bookmarkEnd w:id="129"/>
    </w:p>
    <w:p w14:paraId="586FCB08">
      <w:pPr/>
      <w:r>
        <w:t>This research adds to the literature on human capital as well as strategic HRM both in theory and practice. The idea is to unify Human Capital Theory, Resource-Based View, and perspectives of sustainable HRM within a single analytical framework. Training, sustainability and digital transformation are explored in isolation. On the contrary, this research offers a more holistic understanding of how these elements in unison influence workforce capability-building and organisational competitiveness in UK FMCG organisations. The research is also contributing to contemporary discussions around AI-imbued HRM and sustainable workforce development. This study of the transformational impact of digitalisation and sustainability embedded HRM practices on human capital development in current-day business scenario.</w:t>
      </w:r>
    </w:p>
    <w:p w14:paraId="4093D81F">
      <w:pPr/>
      <w:r>
        <w:t>According to the research, the results may help HR managers, organization leaders, and policymakers create better employee development systems to ensure digital transformation and sustainability objectives. A link between the training and holistic learning of an organisation, employee wellbeing and constructive use of digital technology is more important than HR seeing training as a standalone activity.</w:t>
      </w:r>
    </w:p>
    <w:p w14:paraId="02D6E439">
      <w:pPr>
        <w:pStyle w:val="3"/>
      </w:pPr>
      <w:bookmarkStart w:id="130" w:name="_Toc231586818"/>
      <w:r>
        <w:t>Practical Implications and Recommendations</w:t>
      </w:r>
      <w:bookmarkEnd w:id="130"/>
    </w:p>
    <w:p w14:paraId="0250A966">
      <w:pPr/>
      <w:r>
        <w:t>The findings give rise to several practical implications for UK FMCG organisations.</w:t>
      </w:r>
    </w:p>
    <w:p w14:paraId="6B7F6AF8">
      <w:pPr/>
      <w:r>
        <w:t>first, organisations should be ready to invest continuously in employee reskilling and digital capability-building. Custom-made digital education platforms and learning systems that utilise artificial intelligence can enhance the adaptability of the workforce and the responsiveness of the organisation (Strielkowski et al., 2024).</w:t>
      </w:r>
    </w:p>
    <w:p w14:paraId="12379FCA">
      <w:pPr/>
      <w:r>
        <w:t>Additionally, organizations should integrate sustainability principles in their training and human resource management systems. The organizational culture and sustainability performance of the organization can improve through green training programs, leadership development and employee well-being initiatives. (Osmani and Ndoka, 2025).</w:t>
      </w:r>
    </w:p>
    <w:p w14:paraId="7AF9BDF4">
      <w:pPr/>
      <w:r>
        <w:t>AI-driven HR necessitates ethical implementation by the organizations. To prevent a lack of trust in staff members and technological inequality, there is a need for clear governance, data privacy protection, and inclusive access to digital learning opportunities (Bangura, Duma and Mthembu, 2025).</w:t>
      </w:r>
    </w:p>
    <w:p w14:paraId="59F934F9">
      <w:pPr/>
      <w:r>
        <w:t>It is essential that organizations adopt integrated HRM systems where training is aligned with knowledge management, employee engagement, career development and organisational learning. Bolstering the long-term strategic worth of human capital would be this (Obeng-Tuaah, 2025)</w:t>
      </w:r>
    </w:p>
    <w:p w14:paraId="3D92E421">
      <w:pPr/>
      <w:r>
        <w:t>Ultimately, backing from top management is vital for employee development. according to obeng-Tuaah (2025), the effectiveness of training programmes can be maximised when managers and organisational leaders create culture, engagement and development.</w:t>
      </w:r>
    </w:p>
    <w:p w14:paraId="47469423">
      <w:pPr>
        <w:pStyle w:val="3"/>
      </w:pPr>
      <w:bookmarkStart w:id="131" w:name="_Toc231586819"/>
      <w:r>
        <w:t>Limitations of the Study</w:t>
      </w:r>
      <w:bookmarkEnd w:id="131"/>
    </w:p>
    <w:p w14:paraId="12D8ECDB">
      <w:pPr/>
      <w:r>
        <w:t>Although this study contributions has various limitations. To begin, the research used secondary qualitative data only, including journal articles, allegations’ organisational reports and published evidence. As a result, the results depend on the quality, availability and interpretation of sources. Also, since the research was UK-based FMCG organisations, the findings may not apply anywhere else outside this industry in this specific region. Organizational structures, workforce composition and sustainability priorities may vary in different sectors and countries.</w:t>
      </w:r>
    </w:p>
    <w:p w14:paraId="75CAB915">
      <w:pPr/>
      <w:r>
        <w:t>Additionally, companies tend to report positive biases in their organisational reports concerning sustainability and employee development practices. There may still be a bias in reporting although triangulation was used to improve validity. In conclusion, the research adopted qualitative thematic analysis instead of primary empirical study. As a result of this, there is no direct employee perspective or quantification of training.</w:t>
      </w:r>
    </w:p>
    <w:p w14:paraId="7D2B40C1">
      <w:pPr>
        <w:pStyle w:val="3"/>
      </w:pPr>
      <w:bookmarkStart w:id="132" w:name="_Toc231586820"/>
      <w:r>
        <w:t>Future Research</w:t>
      </w:r>
      <w:bookmarkEnd w:id="132"/>
    </w:p>
    <w:p w14:paraId="762BF97E">
      <w:pPr/>
      <w:r>
        <w:t xml:space="preserve">Further research could incorporate primary methods, such as interview and survey or a combination, to explore employee experiences and perceptions about training, sustainability and Digitalised HRM practices. Longitudinal studies may also provide insight into evolving workforce capability development under digital transformation over varying timeframes. </w:t>
      </w:r>
    </w:p>
    <w:p w14:paraId="25240D1C">
      <w:pPr/>
      <w:r>
        <w:t>Future studies may also make comparisons across sectors or international contexts to see how organisational culture, economic conditions and technology readiness affect training effectiveness and sustainable human capital. Also, the ethical implications of AI based Human Resources systems require further research, particularly concerning worker surveillance, digital inequality and algorithmic inequality.</w:t>
      </w:r>
    </w:p>
    <w:p w14:paraId="5E615813">
      <w:pPr/>
    </w:p>
    <w:p w14:paraId="5C9C4FC3">
      <w:pPr/>
    </w:p>
    <w:p w14:paraId="4D327311">
      <w:pPr/>
    </w:p>
    <w:p w14:paraId="736EEDC6">
      <w:pPr/>
    </w:p>
    <w:p w14:paraId="05123EE6">
      <w:pPr/>
    </w:p>
    <w:p w14:paraId="2EEA0214">
      <w:pPr/>
    </w:p>
    <w:p w14:paraId="10F056B3">
      <w:pPr/>
    </w:p>
    <w:p w14:paraId="70727789">
      <w:pPr/>
    </w:p>
    <w:p w14:paraId="7487CF06">
      <w:pPr/>
    </w:p>
    <w:p w14:paraId="2EC70422">
      <w:pPr/>
    </w:p>
    <w:p w14:paraId="4607EEE7">
      <w:pPr/>
    </w:p>
    <w:p w14:paraId="2802AD88">
      <w:pPr/>
    </w:p>
    <w:p w14:paraId="5CDD8F92">
      <w:pPr/>
    </w:p>
    <w:p w14:paraId="49B512F0">
      <w:pPr/>
    </w:p>
    <w:p w14:paraId="37925E37">
      <w:pPr/>
    </w:p>
    <w:p w14:paraId="63D9D242">
      <w:pPr/>
    </w:p>
    <w:p w14:paraId="3675AFA2">
      <w:pPr/>
    </w:p>
    <w:p w14:paraId="2F1D2910">
      <w:pPr/>
    </w:p>
    <w:p w14:paraId="4B90963E">
      <w:pPr/>
    </w:p>
    <w:p w14:paraId="184CE82F">
      <w:pPr/>
    </w:p>
    <w:p w14:paraId="4017299D">
      <w:pPr>
        <w:pStyle w:val="2"/>
      </w:pPr>
      <w:bookmarkStart w:id="133" w:name="_Toc231586821"/>
      <w:bookmarkStart w:id="134" w:name="_Toc229800139"/>
      <w:r>
        <w:t>References</w:t>
      </w:r>
      <w:bookmarkEnd w:id="133"/>
      <w:bookmarkEnd w:id="134"/>
    </w:p>
    <w:p w14:paraId="0C7C030D">
      <w:pPr/>
      <w:r>
        <w:t xml:space="preserve">ABF Corporate (2025). </w:t>
      </w:r>
      <w:r>
        <w:rPr>
          <w:i/>
          <w:iCs/>
        </w:rPr>
        <w:t>Annual Report 2025</w:t>
      </w:r>
      <w:r>
        <w:t>. [online] ABF Corporate. Available at: https://www.abf.co.uk/investors/annual-report-2025 [Accessed 16 May 2026].</w:t>
      </w:r>
    </w:p>
    <w:p w14:paraId="0C8DC13F">
      <w:pPr/>
      <w:r>
        <w:t>Ahmed, R., Anwar, R., Streimikiene, D. and Streimikis, J. (2026). AI</w:t>
      </w:r>
      <w:r>
        <w:rPr>
          <w:rFonts w:ascii="Cambria Math" w:hAnsi="Cambria Math" w:cs="Cambria Math"/>
        </w:rPr>
        <w:t>‐</w:t>
      </w:r>
      <w:r>
        <w:t>Enabled Talent Acquisition and Eco</w:t>
      </w:r>
      <w:r>
        <w:rPr>
          <w:rFonts w:ascii="Cambria Math" w:hAnsi="Cambria Math" w:cs="Cambria Math"/>
        </w:rPr>
        <w:t>‐</w:t>
      </w:r>
      <w:r>
        <w:t xml:space="preserve">Innovation Capabilities as Strategic Drivers of Sustainable Business Performance. </w:t>
      </w:r>
      <w:r>
        <w:rPr>
          <w:i/>
          <w:iCs/>
        </w:rPr>
        <w:t>Business Strategy and the Environment</w:t>
      </w:r>
      <w:r>
        <w:t>. doi:https://doi.org/10.1002/bse.70868.</w:t>
      </w:r>
    </w:p>
    <w:p w14:paraId="353B5837">
      <w:pPr/>
      <w:r>
        <w:t xml:space="preserve">Aldrickzler, R., Saadoon, M.Y., Kawad, R.T. and Chornomordenko, I. (2025). Transforming human capital for the digital age: industry 4.0 and 5.0. </w:t>
      </w:r>
      <w:r>
        <w:rPr>
          <w:i/>
          <w:iCs/>
        </w:rPr>
        <w:t>Encuentros. Revista de Ciencias Humanas, Teoría Social y Pensamiento Crítico.</w:t>
      </w:r>
      <w:r>
        <w:t>, [online] (23 (enero-abril)), pp.438–455. doi:https://doi.org/10.5281/zenodo.14291566.</w:t>
      </w:r>
    </w:p>
    <w:p w14:paraId="40B41703">
      <w:pPr/>
      <w:r>
        <w:t xml:space="preserve">Al-Tit, A.A., Al-Ayed, S., Alhammadi, A., Hunitie, M., Alsarayreh, A. and Albassam, W. (2022). The Impact of Employee Development Practices on Human Capital and Social Capital: The Mediating Contribution of Knowledge Management. </w:t>
      </w:r>
      <w:r>
        <w:rPr>
          <w:i/>
          <w:iCs/>
        </w:rPr>
        <w:t>Journal of Open Innovation: Technology, Market, and Complexity</w:t>
      </w:r>
      <w:r>
        <w:t>, 8(4), p.218.</w:t>
      </w:r>
    </w:p>
    <w:p w14:paraId="57E3B08B">
      <w:pPr/>
      <w:r>
        <w:t xml:space="preserve">Al-Tit, A.A., Al-Ayed, S., Alhammadi, A., Hunitie, M., Alsarayreh, A. and Albassam, W. (2022). The Impact of Employee Development Practices on Human Capital and Social Capital: The Mediating Contribution of Knowledge Management. </w:t>
      </w:r>
      <w:r>
        <w:rPr>
          <w:i/>
          <w:iCs/>
        </w:rPr>
        <w:t>Journal of Open Innovation: Technology, Market, and Complexity</w:t>
      </w:r>
      <w:r>
        <w:t>, 8(4), p.218.</w:t>
      </w:r>
    </w:p>
    <w:p w14:paraId="54F8B842">
      <w:pPr/>
      <w:r>
        <w:t xml:space="preserve">Amid, A. and Ming, P.F. (2020). Managing Human Capital as a Strategic Source of Sustainable Enterprise Development and Competitive Advantage - STM Open Library. </w:t>
      </w:r>
      <w:r>
        <w:rPr>
          <w:i/>
          <w:iCs/>
        </w:rPr>
        <w:t>Article4pub.com</w:t>
      </w:r>
      <w:r>
        <w:t>. [online] doi:http://catalog.article4pub.com/id/eprint/1180/1/A1124095120.pdf.</w:t>
      </w:r>
    </w:p>
    <w:p w14:paraId="64C1AE2A">
      <w:pPr/>
      <w:r>
        <w:t xml:space="preserve">Appelbaum, E., Bailey, T., Berg, P. and Kalleberg, A.L. (2000). </w:t>
      </w:r>
      <w:r>
        <w:rPr>
          <w:i/>
          <w:iCs/>
        </w:rPr>
        <w:t>Manufacturing Advantage: Why High-Performance Work Systems Pay Off</w:t>
      </w:r>
      <w:r>
        <w:t xml:space="preserve">. [online] </w:t>
      </w:r>
      <w:r>
        <w:rPr>
          <w:i/>
          <w:iCs/>
        </w:rPr>
        <w:t>ERIC</w:t>
      </w:r>
      <w:r>
        <w:t>. Cornell University Press, P. Available at: https://eric.ed.gov/?id=ED456338.</w:t>
      </w:r>
    </w:p>
    <w:p w14:paraId="75437A90">
      <w:pPr/>
      <w:r>
        <w:t xml:space="preserve">Aziri, J. (2019). Factors Undermining the Effectiveness Development of Human resources in Organizations. </w:t>
      </w:r>
      <w:r>
        <w:rPr>
          <w:i/>
          <w:iCs/>
        </w:rPr>
        <w:t>TEXILA INTERNATIONAL JOURNAL OF MANAGEMENT</w:t>
      </w:r>
      <w:r>
        <w:t>, 5(2), pp.192–196. doi:https://doi.org/10.21522/tijmg.2015.05.02.art019.</w:t>
      </w:r>
    </w:p>
    <w:p w14:paraId="38C1E970">
      <w:pPr/>
      <w:r>
        <w:t xml:space="preserve">Badampudi, D., Fotrousi, F., Cartaxo, B. and Usman, M. (2022). Reporting Consent, Anonymity and Confidentiality Procedures Adopted in Empirical Studies Using Human Participants. </w:t>
      </w:r>
      <w:r>
        <w:rPr>
          <w:i/>
          <w:iCs/>
        </w:rPr>
        <w:t>e-Informatica Software Engineering Journal</w:t>
      </w:r>
      <w:r>
        <w:t>, 16(1), p.220109. doi:https://doi.org/10.37190/e-Inf220109.</w:t>
      </w:r>
    </w:p>
    <w:p w14:paraId="022542BC">
      <w:pPr/>
      <w:r>
        <w:t xml:space="preserve">Bakker, A. and Demerouti, E. (2007). Journal of Managerial Psychology The Job Demands-Resources model: state of the art Article information. </w:t>
      </w:r>
      <w:r>
        <w:rPr>
          <w:i/>
          <w:iCs/>
        </w:rPr>
        <w:t>Journal of Managerial Psychology</w:t>
      </w:r>
      <w:r>
        <w:t>, [online] 22(3), pp.309–328. Available at: https://peopleful.io/Job-Demands-Resource-Model-research.pdf.</w:t>
      </w:r>
    </w:p>
    <w:p w14:paraId="6A7DDFFD">
      <w:pPr/>
      <w:r>
        <w:t xml:space="preserve">Bangura, S., Duma, P.T. and Mthembu, N.A. (2025). Ethical considerations of implementing Artificial Intelligence in Human Resource Management: a review. </w:t>
      </w:r>
      <w:r>
        <w:rPr>
          <w:i/>
          <w:iCs/>
        </w:rPr>
        <w:t>International Journal of Business Ecosystem &amp; Strategy (2687-2293)</w:t>
      </w:r>
      <w:r>
        <w:t>, 7(5), pp.274–281. doi:https://doi.org/10.36096/ijbes.v7i5.986.</w:t>
      </w:r>
    </w:p>
    <w:p w14:paraId="7A06E7DE">
      <w:pPr/>
      <w:r>
        <w:t xml:space="preserve">Barney, J.B. (2001). Is the Resource-Based ‘View’ a Useful Perspective for Strategic Management Research? Yes. </w:t>
      </w:r>
      <w:r>
        <w:rPr>
          <w:i/>
          <w:iCs/>
        </w:rPr>
        <w:t>The Academy of Management Review</w:t>
      </w:r>
      <w:r>
        <w:t>, [online] 26(1), p.41. doi:https://doi.org/10.2307/259393.</w:t>
      </w:r>
    </w:p>
    <w:p w14:paraId="75FA2343">
      <w:pPr/>
      <w:r>
        <w:t xml:space="preserve">Barney, J.B. (2001). Is the Resource-Based ‘View’ a Useful Perspective for Strategic Management Research? Yes. </w:t>
      </w:r>
      <w:r>
        <w:rPr>
          <w:i/>
          <w:iCs/>
        </w:rPr>
        <w:t>The Academy of Management Review</w:t>
      </w:r>
      <w:r>
        <w:t>, [online] 26(1), p.41. doi:https://doi.org/10.2307/259393.</w:t>
      </w:r>
    </w:p>
    <w:p w14:paraId="1827A5AC">
      <w:pPr/>
      <w:r>
        <w:t xml:space="preserve">Becker, G. (1975). Human Capital A THEORETICAL AND EMPIRICAL ANALYSIS, WITH SPECIAL REFERENCE TO EDUCATION. </w:t>
      </w:r>
      <w:r>
        <w:rPr>
          <w:i/>
          <w:iCs/>
        </w:rPr>
        <w:t>Human Capital a THEORETICAL AND EMPIRICAL ANALYSIS, WITH SPECIAL REFERENCE TO EDUCATION</w:t>
      </w:r>
      <w:r>
        <w:t>, [online] ISBN, pp.0–226. Available at: https://www.nber.org/system/files/chapters/c3730/c3730.pdf.</w:t>
      </w:r>
    </w:p>
    <w:p w14:paraId="440B735A">
      <w:pPr/>
      <w:r>
        <w:t xml:space="preserve">Becker, G.S. (1993). </w:t>
      </w:r>
      <w:r>
        <w:rPr>
          <w:i/>
          <w:iCs/>
        </w:rPr>
        <w:t>Human Capital: A Theoretical and Empirical Analysis with Special Reference to Education, Third Edition</w:t>
      </w:r>
      <w:r>
        <w:t>. [online] www.nber.org. Available at: https://www.nber.org/books-and-chapters/human-capital-theoretical-and-empirical-analysis-special-reference-education-third-edition.</w:t>
      </w:r>
    </w:p>
    <w:p w14:paraId="0655228F">
      <w:pPr/>
      <w:r>
        <w:t xml:space="preserve">Bergdahl, N., Nouri, J. and Fors, U. (2020). Disengagement, engagement and digital skills in technology-enhanced learning. </w:t>
      </w:r>
      <w:r>
        <w:rPr>
          <w:i/>
          <w:iCs/>
        </w:rPr>
        <w:t>Education and Information Technologies</w:t>
      </w:r>
      <w:r>
        <w:t>, 25(1), pp.957–983. doi:https://doi.org/10.1007/s10639-019-09998-w.</w:t>
      </w:r>
    </w:p>
    <w:p w14:paraId="0B1B79C8">
      <w:pPr/>
      <w:r>
        <w:t xml:space="preserve">Boon, C., Eckardt, R., Lepak, D.P. and Boselie, P. (2018). Integrating strategic human capital and strategic human resource management. </w:t>
      </w:r>
      <w:r>
        <w:rPr>
          <w:i/>
          <w:iCs/>
        </w:rPr>
        <w:t>The International Journal of Human Resource Management</w:t>
      </w:r>
      <w:r>
        <w:t>, 29(1), pp.34–67. doi:https://doi.org/10.1080/09585192.2017.1380063.</w:t>
      </w:r>
    </w:p>
    <w:p w14:paraId="381B991E">
      <w:pPr/>
      <w:r>
        <w:t xml:space="preserve">Boon, C., Hartog, D.N.D. and Lepak, D.P. (2019). A Systematic Review of Human Resource Management Systems and Their Measurement. </w:t>
      </w:r>
      <w:r>
        <w:rPr>
          <w:i/>
          <w:iCs/>
        </w:rPr>
        <w:t>Journal of Management</w:t>
      </w:r>
      <w:r>
        <w:t>, 45(6), pp.2498–2537. doi:https://doi.org/10.1177/0149206318818718.</w:t>
      </w:r>
    </w:p>
    <w:p w14:paraId="15CDD4DD">
      <w:pPr/>
      <w:r>
        <w:t xml:space="preserve">Braun, V. and Clarke, V. (2022). Toward Good Practice in Thematic analysis: Avoiding Common Problems and be(com)ing a Knowing Researcher. </w:t>
      </w:r>
      <w:r>
        <w:rPr>
          <w:i/>
          <w:iCs/>
        </w:rPr>
        <w:t>International Journal of Transgender Health</w:t>
      </w:r>
      <w:r>
        <w:t>, [online] 24(1), pp.1–6. doi:https://doi.org/10.1080/26895269.2022.2129597.</w:t>
      </w:r>
    </w:p>
    <w:p w14:paraId="146BE845">
      <w:pPr/>
      <w:r>
        <w:t xml:space="preserve">Budhwar, P., Chowdhury, S., Wood, G., Aguinis, H., Bamber, G.J., Beltran, J.R., Boselie, P., Fang Lee Cooke, Decker, S., DeNisi, A., Prasanta Kumar Dey, Guest, D., Knoblich, A.J., Malik, A., Paauwe, J., Savvas Papagiannidis, Patel, C., Pereira, V., Ren, S. and Rogelberg, S. (2023). Human Resource Management in the Age of Generative Artificial intelligence: Perspectives and Research Directions on ChatGPT. </w:t>
      </w:r>
      <w:r>
        <w:rPr>
          <w:i/>
          <w:iCs/>
        </w:rPr>
        <w:t>Human Resource Management in the Age of Generative Artificial intelligence: Perspectives and Research Directions on ChatGPT</w:t>
      </w:r>
      <w:r>
        <w:t>, 33(3), pp.606–659. doi:https://doi.org/10.1111/1748-8583.12524.</w:t>
      </w:r>
    </w:p>
    <w:p w14:paraId="0ABA6B92">
      <w:pPr/>
      <w:r>
        <w:t xml:space="preserve">Budhwar, P., Chowdhury, S., Wood, G., Aguinis, H., Bamber, G.J., Beltran, J.R., Boselie, P., Fang Lee Cooke, Decker, S., DeNisi, A., Prasanta Kumar Dey, Guest, D., Knoblich, A.J., Malik, A., Paauwe, J., Savvas Papagiannidis, Patel, C., Pereira, V., Ren, S. and Rogelberg, S. (2023). Human Resource Management in the Age of Generative Artificial intelligence: Perspectives and Research Directions on ChatGPT. </w:t>
      </w:r>
      <w:r>
        <w:rPr>
          <w:i/>
          <w:iCs/>
        </w:rPr>
        <w:t>Human Resource Management in the Age of Generative Artificial intelligence: Perspectives and Research Directions on ChatGPT</w:t>
      </w:r>
      <w:r>
        <w:t>, 33(3), pp.606–659. doi:https://doi.org/10.1111/1748-8583.12524.</w:t>
      </w:r>
    </w:p>
    <w:p w14:paraId="2CBD84F9">
      <w:pPr/>
      <w:r>
        <w:t xml:space="preserve">Busetto, L., Wick, W. and Gumbinger, C. (2020). How to Use and Assess Qualitative Research Methods. </w:t>
      </w:r>
      <w:r>
        <w:rPr>
          <w:i/>
          <w:iCs/>
        </w:rPr>
        <w:t>Neurological Research and Practice</w:t>
      </w:r>
      <w:r>
        <w:t>, 2(1), pp.1–10. doi:https://doi.org/10.1186/s42466-020-00059-z.</w:t>
      </w:r>
    </w:p>
    <w:p w14:paraId="7DA3227D">
      <w:pPr/>
      <w:r>
        <w:t xml:space="preserve">Campbell, S., Greenwood, M., Prior, S., Shearer, T., Walkem, K., Young, S., Bywaters, D. and Walker, K. (2020). Purposive Sampling: Complex or Simple? Research Case Examples. </w:t>
      </w:r>
      <w:r>
        <w:rPr>
          <w:i/>
          <w:iCs/>
        </w:rPr>
        <w:t>Journal of Research in Nursing</w:t>
      </w:r>
      <w:r>
        <w:t>, [online] 25(8), pp.652–661. doi:https://doi.org/10.1177/1744987120927206.</w:t>
      </w:r>
    </w:p>
    <w:p w14:paraId="766F1409">
      <w:pPr/>
      <w:r>
        <w:t xml:space="preserve">Cavusgil, S.T. and Deligonul, S.Z. (2024). Dynamic capabilities framework and its transformative contributions. </w:t>
      </w:r>
      <w:r>
        <w:rPr>
          <w:i/>
          <w:iCs/>
        </w:rPr>
        <w:t>Journal of International Business Studies</w:t>
      </w:r>
      <w:r>
        <w:t>, 56(6). doi:https://doi.org/10.1057/s41267-024-00758-8.</w:t>
      </w:r>
    </w:p>
    <w:p w14:paraId="1E609C93">
      <w:pPr/>
      <w:r>
        <w:t xml:space="preserve">Chams, N. and García-Blandón, J. (2019). On the importance of sustainable human resource management for the adoption of sustainable development goals. </w:t>
      </w:r>
      <w:r>
        <w:rPr>
          <w:i/>
          <w:iCs/>
        </w:rPr>
        <w:t>Resources, Conservation and Recycling</w:t>
      </w:r>
      <w:r>
        <w:t>, 141(1), pp.109–122. doi:https://doi.org/10.1016/j.resconrec.2018.10.006.</w:t>
      </w:r>
    </w:p>
    <w:p w14:paraId="7B637E41">
      <w:pPr/>
      <w:r>
        <w:t xml:space="preserve">Cheong, H., Lyons, A., Houghton, R. and Majumdar, A. (2023). Secondary Qualitative Research Methodology Using Online Data within the Context of Social Sciences. </w:t>
      </w:r>
      <w:r>
        <w:rPr>
          <w:i/>
          <w:iCs/>
        </w:rPr>
        <w:t>International Journal of Qualitative Methods</w:t>
      </w:r>
      <w:r>
        <w:t>, 22(1), pp.1–19.</w:t>
      </w:r>
    </w:p>
    <w:p w14:paraId="32EF6F10">
      <w:pPr/>
      <w:r>
        <w:t xml:space="preserve">Collings, D.G., Wood, G.T. and Szamosi, L.T. (2018). Human resource management. </w:t>
      </w:r>
      <w:r>
        <w:rPr>
          <w:i/>
          <w:iCs/>
        </w:rPr>
        <w:t>Human Resource Management</w:t>
      </w:r>
      <w:r>
        <w:t>, pp.1–23. doi:https://doi.org/10.4324/9781315299556-1.</w:t>
      </w:r>
    </w:p>
    <w:p w14:paraId="26847E93">
      <w:pPr/>
      <w:r>
        <w:t xml:space="preserve">Cooke, F.L., Dickmann, M. and Parry, E. (2022). Building sustainable societies through human-centred human resource management: emerging issues and research opportunities. </w:t>
      </w:r>
      <w:r>
        <w:rPr>
          <w:i/>
          <w:iCs/>
        </w:rPr>
        <w:t>The International Journal of Human Resource Management</w:t>
      </w:r>
      <w:r>
        <w:t>, [online] 33(1), pp.1–15. doi:https://doi.org/10.1080/09585192.2021.2021732.</w:t>
      </w:r>
    </w:p>
    <w:p w14:paraId="43F88500">
      <w:pPr/>
      <w:r>
        <w:t xml:space="preserve">Dao, T.H.A., Sisavath, C., Bui, H.T.T., Bui, T.Q. and Le, T.H. (2025). Digital Workforce Training, Employee Motivation, Job Satisfaction, Digital Behavior as Determinants of Employee Performance: Empirical Research From Vietnam. </w:t>
      </w:r>
      <w:r>
        <w:rPr>
          <w:i/>
          <w:iCs/>
        </w:rPr>
        <w:t>Sage Open</w:t>
      </w:r>
      <w:r>
        <w:t>, 15(4). doi:https://doi.org/10.1177/21582440251395698.</w:t>
      </w:r>
    </w:p>
    <w:p w14:paraId="3013224C">
      <w:pPr/>
      <w:r>
        <w:t xml:space="preserve">Davidescu, A.A., Apostu, S.-A., Paul, A. and Casuneanu, I. (2020). Work Flexibility, Job Satisfaction, and Job Performance among Romanian Employees—Implications for Sustainable Human Resource Management. </w:t>
      </w:r>
      <w:r>
        <w:rPr>
          <w:i/>
          <w:iCs/>
        </w:rPr>
        <w:t>Sustainability</w:t>
      </w:r>
      <w:r>
        <w:t>, [online] 12(15), p.6086. doi:https://doi.org/10.3390/su12156086.</w:t>
      </w:r>
    </w:p>
    <w:p w14:paraId="69179A85">
      <w:pPr/>
      <w:r>
        <w:t xml:space="preserve">Day, D.V., Bastardoz, N., Bisbey, T.M., Reyes, D.L. and Salas, E. (2021). Unlocking Human Potential through Leadership Training &amp; Development Initiatives. </w:t>
      </w:r>
      <w:r>
        <w:rPr>
          <w:i/>
          <w:iCs/>
        </w:rPr>
        <w:t>Behavioral Science &amp; Policy</w:t>
      </w:r>
      <w:r>
        <w:t>, 7(1), pp.41–54.</w:t>
      </w:r>
    </w:p>
    <w:p w14:paraId="498FC326">
      <w:pPr/>
      <w:r>
        <w:t xml:space="preserve">DIAGEO (2025). </w:t>
      </w:r>
      <w:r>
        <w:rPr>
          <w:i/>
          <w:iCs/>
        </w:rPr>
        <w:t>DIAGEO Annual Report 2025</w:t>
      </w:r>
      <w:r>
        <w:t>. [online] Available at: https://www.diageo.com/~/media/Files/D/Diageo-V2/Diageo-Corp/investors/results-reports-and-events/annual-reports/2025/annual-report-2025.pdf [Accessed 16 May 2026].</w:t>
      </w:r>
    </w:p>
    <w:p w14:paraId="2B3E52B0">
      <w:pPr/>
      <w:r>
        <w:t xml:space="preserve">Dirani, K.M., Abadi, M., Alizadeh, A., Barhate, B., Garza, R.C., Gunasekara, N., Ibrahim, G. and Majzun, Z. (2020). Leadership competencies and the essential role of human resource development in times of crisis: A response to COVID-19 pandemic. </w:t>
      </w:r>
      <w:r>
        <w:rPr>
          <w:i/>
          <w:iCs/>
        </w:rPr>
        <w:t>Human Resource Development International</w:t>
      </w:r>
      <w:r>
        <w:t>, [online] 23(4), pp.380–394. doi:https://doi.org/10.1080/13678868.2020.1780078.</w:t>
      </w:r>
    </w:p>
    <w:p w14:paraId="10F6E12A">
      <w:pPr/>
      <w:r>
        <w:t xml:space="preserve">Dwyer, J., Karanikas, N. and Sav, A. (2023). Scoping review of peer-reviewed empirical studies on implementing high reliability organisation theory. </w:t>
      </w:r>
      <w:r>
        <w:rPr>
          <w:i/>
          <w:iCs/>
        </w:rPr>
        <w:t>Safety Science</w:t>
      </w:r>
      <w:r>
        <w:t>, 164, pp.106178–106178. doi:https://doi.org/10.1016/j.ssci.2023.106178.</w:t>
      </w:r>
    </w:p>
    <w:p w14:paraId="6A28B6B6">
      <w:pPr/>
      <w:r>
        <w:t xml:space="preserve">Ekuma, K. (2023). Artificial Intelligence and Automation in Human Resource Development: A Systematic Review. </w:t>
      </w:r>
      <w:r>
        <w:rPr>
          <w:i/>
          <w:iCs/>
        </w:rPr>
        <w:t>Human Resource Development Review</w:t>
      </w:r>
      <w:r>
        <w:t>, [online] 23(2). doi:https://doi.org/10.1177/15344843231224009.</w:t>
      </w:r>
    </w:p>
    <w:p w14:paraId="36F655A2">
      <w:pPr/>
      <w:r>
        <w:t xml:space="preserve">El-Ghoul, M., Almassri, M.M., El-Habibi, M.F., Al-Qadi, M.H., Eloun, A.A., Abu-Nasser, B.S. and Abu-Naser, S.S. (2024). </w:t>
      </w:r>
      <w:r>
        <w:rPr>
          <w:i/>
          <w:iCs/>
        </w:rPr>
        <w:t>AI in HRM: Revolutionizing Recruitment, Performance Management, and Employee Engagement</w:t>
      </w:r>
      <w:r>
        <w:t>. [online] Philpapers.org. Available at: https://philpapers.org/rec/ELGAIH.</w:t>
      </w:r>
    </w:p>
    <w:p w14:paraId="234008D0">
      <w:pPr/>
      <w:r>
        <w:t xml:space="preserve">Elkington, J. (1997). Accounting for the Triple Bottom Line. </w:t>
      </w:r>
      <w:r>
        <w:rPr>
          <w:i/>
          <w:iCs/>
        </w:rPr>
        <w:t>Measuring Business Excellence</w:t>
      </w:r>
      <w:r>
        <w:t>, [online] 2(3), pp.1–6. Available at: https://www.johnelkington.com/archive/TBL-elkington-chapter.pdf.</w:t>
      </w:r>
    </w:p>
    <w:p w14:paraId="6A9EC8AF">
      <w:pPr/>
      <w:r>
        <w:t xml:space="preserve">Freeman, R.E. (1984). </w:t>
      </w:r>
      <w:r>
        <w:rPr>
          <w:i/>
          <w:iCs/>
        </w:rPr>
        <w:t>Stakeholder theory</w:t>
      </w:r>
      <w:r>
        <w:t>. [online] Stakeholdertheory.org. Available at: http://stakeholdertheory.org/about/.</w:t>
      </w:r>
    </w:p>
    <w:p w14:paraId="6885D975">
      <w:pPr/>
      <w:r>
        <w:t xml:space="preserve">Gerhart, B. and Feng, J. (2021). The resource-based view of the firm, human resources, and human capital: Progress and prospects. </w:t>
      </w:r>
      <w:r>
        <w:rPr>
          <w:i/>
          <w:iCs/>
        </w:rPr>
        <w:t>Journal of Management</w:t>
      </w:r>
      <w:r>
        <w:t>, 47(7), pp.1796–1819. doi:https://doi.org/10.1177/0149206320978799.</w:t>
      </w:r>
    </w:p>
    <w:p w14:paraId="71F44F51">
      <w:pPr/>
      <w:r>
        <w:t xml:space="preserve">Gok, S. and Goldstone, R.L. (2024). How do students reason about statistical sampling with computer simulations? An integrative review from a grounded cognition perspective. </w:t>
      </w:r>
      <w:r>
        <w:rPr>
          <w:i/>
          <w:iCs/>
        </w:rPr>
        <w:t>Cognitive Research: Principles and Implications</w:t>
      </w:r>
      <w:r>
        <w:t>, 9(1). doi:https://doi.org/10.1186/s41235-024-00561-x.</w:t>
      </w:r>
    </w:p>
    <w:p w14:paraId="4493D342">
      <w:pPr/>
      <w:r>
        <w:t xml:space="preserve">Goldin, C. (2024). Human Capital. </w:t>
      </w:r>
      <w:r>
        <w:rPr>
          <w:i/>
          <w:iCs/>
        </w:rPr>
        <w:t>Springer eBooks</w:t>
      </w:r>
      <w:r>
        <w:t>, pp.353–383. doi:https://doi.org/10.1007/978-3-031-35583-7_23.</w:t>
      </w:r>
    </w:p>
    <w:p w14:paraId="761C5620">
      <w:pPr/>
      <w:r>
        <w:rPr>
          <w:lang w:val="sv-SE"/>
        </w:rPr>
        <w:t xml:space="preserve">Gotsch, M., Gandenberger, C., Serafimov, L. and Miemiec, M. (2022). </w:t>
      </w:r>
      <w:r>
        <w:t xml:space="preserve">Top‐down and bottom‐up strategies for the implementation of corporate social responsibility: A qualitative survey of an international IT services company. </w:t>
      </w:r>
      <w:r>
        <w:rPr>
          <w:i/>
          <w:iCs/>
        </w:rPr>
        <w:t>Corporate Social Responsibility and Environmental Management</w:t>
      </w:r>
      <w:r>
        <w:t>, 30(4). doi:https://doi.org/10.1002/csr.2441.</w:t>
      </w:r>
    </w:p>
    <w:p w14:paraId="382110F2">
      <w:pPr/>
      <w:r>
        <w:t xml:space="preserve">Grant, P.D., Longhurst, J.M. and Thier, M. (2024). Rural Definition Triangulation: Improving the Credibility and Transferability of Rural Education Research in the United States. </w:t>
      </w:r>
      <w:r>
        <w:rPr>
          <w:i/>
          <w:iCs/>
        </w:rPr>
        <w:t>Pennsylvania Libraries: Research &amp; Practice (University of Pittsburgh)</w:t>
      </w:r>
      <w:r>
        <w:t>. doi:https://doi.org/10.26209/jrre4001.</w:t>
      </w:r>
    </w:p>
    <w:p w14:paraId="6793EF8D">
      <w:pPr/>
      <w:r>
        <w:t xml:space="preserve">Habeeb, H. and Babatunde, A. (2023). IMPACT OF TRAINING AND DEVELOPMENT ON THE PERFORMANCE OF EMPLOYEES IN THE WORKPLACE, THE CASE OF UNILEVER PLC. </w:t>
      </w:r>
      <w:r>
        <w:rPr>
          <w:i/>
          <w:iCs/>
        </w:rPr>
        <w:t>INTERNATIONAL JOURNAL OF EMINENT SCHOLARS</w:t>
      </w:r>
      <w:r>
        <w:t>, 9, pp.2659–1057.</w:t>
      </w:r>
    </w:p>
    <w:p w14:paraId="3159D3AF">
      <w:pPr/>
      <w:r>
        <w:t xml:space="preserve">Hamadamin, H.H. and Atan, T. (2019). The Impact of Strategic Human Resource Management Practices on Competitive Advantage Sustainability: The Mediation of Human Capital Development and Employee Commitment. </w:t>
      </w:r>
      <w:r>
        <w:rPr>
          <w:i/>
          <w:iCs/>
        </w:rPr>
        <w:t>Sustainability</w:t>
      </w:r>
      <w:r>
        <w:t>, [online] 11(20), p.5782. doi:https://doi.org/10.3390/su11205782.</w:t>
      </w:r>
    </w:p>
    <w:p w14:paraId="5E1AA3C9">
      <w:pPr/>
      <w:r>
        <w:t xml:space="preserve">Hasan, S.M., Ahmed, W., Waris, I. and Najmi, A. (2025). Understanding the Influence of Organizational Compatibility on Green Supply Chain Management Efforts to Boost Environmental Performance. </w:t>
      </w:r>
      <w:r>
        <w:rPr>
          <w:i/>
          <w:iCs/>
        </w:rPr>
        <w:t>Corporate Social Responsibility and Environmental Management</w:t>
      </w:r>
      <w:r>
        <w:t>. doi:https://doi.org/10.1002/csr.70240.</w:t>
      </w:r>
    </w:p>
    <w:p w14:paraId="3F0A2D3D">
      <w:pPr/>
      <w:r>
        <w:t xml:space="preserve">Huu, P.T. (2023). Impact of employee digital competence on the relationship between digital autonomy and innovative work behavior: A systematic review. </w:t>
      </w:r>
      <w:r>
        <w:rPr>
          <w:i/>
          <w:iCs/>
        </w:rPr>
        <w:t>Artificial Intelligence Review</w:t>
      </w:r>
      <w:r>
        <w:t>, [online] 56. doi:https://doi.org/10.1007/s10462-023-10492-6.</w:t>
      </w:r>
    </w:p>
    <w:p w14:paraId="04764120">
      <w:pPr/>
      <w:r>
        <w:t xml:space="preserve">Irad, S., Kadir, N. and Kadir, A.R. (2025). Strategies for Green Human Resource Development to Enhance Corporate Competitiveness in the Green Economy. </w:t>
      </w:r>
      <w:r>
        <w:rPr>
          <w:i/>
          <w:iCs/>
        </w:rPr>
        <w:t>Advances in Economics, Business and Management Research</w:t>
      </w:r>
      <w:r>
        <w:t>, [online] pp.937–945. doi:https://doi.org/10.2991/978-94-6463-758-8_78.</w:t>
      </w:r>
    </w:p>
    <w:p w14:paraId="47AD126F">
      <w:pPr/>
      <w:r>
        <w:rPr>
          <w:lang w:val="sv-SE"/>
        </w:rPr>
        <w:t xml:space="preserve">Irad, S., Kadir, N. and Kadir, A.R. (2025). </w:t>
      </w:r>
      <w:r>
        <w:t xml:space="preserve">Strategies for Green Human Resource Development to Enhance Corporate Competitiveness in the Green Economy. </w:t>
      </w:r>
      <w:r>
        <w:rPr>
          <w:i/>
          <w:iCs/>
        </w:rPr>
        <w:t>Advances in Economics, Business and Management Research</w:t>
      </w:r>
      <w:r>
        <w:t>, [online] pp.937–945. doi:https://doi.org/10.2991/978-94-6463-758-8_78.</w:t>
      </w:r>
    </w:p>
    <w:p w14:paraId="55A913CD">
      <w:pPr/>
      <w:r>
        <w:t xml:space="preserve">Jia, Q., Guo, Y., Li, R., Li, Y. and Chen, Y. (2018). A Conceptual Artificial Intelligence Application Framework in Human Resource Management. </w:t>
      </w:r>
      <w:r>
        <w:rPr>
          <w:i/>
          <w:iCs/>
        </w:rPr>
        <w:t>ICEB 2018 Proceedings (Guilin, China)</w:t>
      </w:r>
      <w:r>
        <w:t>. [online] Available at: https://aisel.aisnet.org/iceb2018/91/.</w:t>
      </w:r>
    </w:p>
    <w:p w14:paraId="52697364">
      <w:pPr/>
      <w:r>
        <w:t xml:space="preserve">Kellner, A., Cafferkey, K. and Townsend, K. (2019). </w:t>
      </w:r>
      <w:r>
        <w:rPr>
          <w:i/>
          <w:iCs/>
        </w:rPr>
        <w:t>Ability, Motivation and Opportunity theory: a formula for employee performance?</w:t>
      </w:r>
      <w:r>
        <w:t xml:space="preserve"> [online] ideas.repec.org. Available at: https://ideas.repec.org/h/elg/eechap/17759_21.html.</w:t>
      </w:r>
    </w:p>
    <w:p w14:paraId="327CADF4">
      <w:pPr/>
      <w:r>
        <w:t xml:space="preserve">Khan, A.J., Ul Hameed, W., Iqbal, J., Shah, A.A., Tariq, M.A.U.R. and Bashir, F. (2022). Green HRM and employee efficiency: The mediating role of employee motivation in emerging small businesses. </w:t>
      </w:r>
      <w:r>
        <w:rPr>
          <w:i/>
          <w:iCs/>
        </w:rPr>
        <w:t>Frontiers in Environmental Science</w:t>
      </w:r>
      <w:r>
        <w:t>, 10. doi:https://doi.org/10.3389/fenvs.2022.1044629.</w:t>
      </w:r>
    </w:p>
    <w:p w14:paraId="742A2F52">
      <w:pPr/>
      <w:r>
        <w:t xml:space="preserve">Khan, S. (2022). </w:t>
      </w:r>
      <w:r>
        <w:rPr>
          <w:i/>
          <w:iCs/>
        </w:rPr>
        <w:t>Munich Personal RePEc Archive Effects of Green Human Resource Management practices on environmental performance: Evidence from Textile Sector of Emerging Country</w:t>
      </w:r>
      <w:r>
        <w:t>. [online] Available at: https://mpra.ub.uni-muenchen.de/112379/1/MPRA_paper_112379.pdf [Accessed 16 May 2026].</w:t>
      </w:r>
    </w:p>
    <w:p w14:paraId="11665A26">
      <w:pPr/>
      <w:r>
        <w:t xml:space="preserve">Khurshid, F., Veen, M., Thompson, J. and Hegazi, I. (2025). Navigating Thematic Analysis: Practical Strategies Grounded in Abductive Reasoning. </w:t>
      </w:r>
      <w:r>
        <w:rPr>
          <w:i/>
          <w:iCs/>
        </w:rPr>
        <w:t>Teaching and Learning in Medicine</w:t>
      </w:r>
      <w:r>
        <w:t>, pp.1–10. doi:https://doi.org/10.1080/10401334.2025.2475098.</w:t>
      </w:r>
    </w:p>
    <w:p w14:paraId="1E9D12F0">
      <w:pPr/>
      <w:r>
        <w:t xml:space="preserve">Kim, Y.J., Kim, W.G., Choi, H.-M. and Phetvaroon, K. (2019). The effect of green human resource management on hotel employees’ eco-friendly behavior and environmental performance. </w:t>
      </w:r>
      <w:r>
        <w:rPr>
          <w:i/>
          <w:iCs/>
        </w:rPr>
        <w:t>International Journal of Hospitality Management</w:t>
      </w:r>
      <w:r>
        <w:t>, 76(1), pp.83–93. doi:https://doi.org/10.1016/j.ijhm.2018.04.007.</w:t>
      </w:r>
    </w:p>
    <w:p w14:paraId="0AEC3E55">
      <w:pPr/>
      <w:r>
        <w:t xml:space="preserve">Kumar, S. and Singh, D.K. (2025). The Workplace Digital Divide: Addressing Skills Gaps and Employment Inequality. </w:t>
      </w:r>
      <w:r>
        <w:rPr>
          <w:i/>
          <w:iCs/>
        </w:rPr>
        <w:t>Journal of Interdisciplinary and Multidisciplinary Research</w:t>
      </w:r>
      <w:r>
        <w:t>, [online] 11(1), pp.6035–6037. doi:https://doi.org/10.63148/JIMRES2025009.</w:t>
      </w:r>
    </w:p>
    <w:p w14:paraId="241FFEC0">
      <w:pPr/>
      <w:r>
        <w:t xml:space="preserve">Lee, C.-C., Yeh, W.-C., Yu, Z. and Luo, Y.-C. (2023). Knowledge sharing and innovation performance: a case study on the impact of organizational culture, structural capital, human resource management practices, and relational capital of real estate agents. </w:t>
      </w:r>
      <w:r>
        <w:rPr>
          <w:i/>
          <w:iCs/>
        </w:rPr>
        <w:t>Humanities and Social Sciences Communications</w:t>
      </w:r>
      <w:r>
        <w:t>, [online] 10(1), pp.1–16. doi:https://doi.org/10.1057/s41599-023-02185-w.</w:t>
      </w:r>
    </w:p>
    <w:p w14:paraId="7A7CC43E">
      <w:pPr/>
      <w:r>
        <w:t xml:space="preserve">Longoni, A., Luzzini, D. and Guerci, M. (2018). Deploying Environmental Management Across Functions: The Relationship Between Green Human Resource Management and Green Supply Chain Management. </w:t>
      </w:r>
      <w:r>
        <w:rPr>
          <w:i/>
          <w:iCs/>
        </w:rPr>
        <w:t>Journal of Business Ethics</w:t>
      </w:r>
      <w:r>
        <w:t>, [online] 151(4), pp.1081–1095. doi:https://doi.org/10.1007/s10551-016-3228-1.</w:t>
      </w:r>
    </w:p>
    <w:p w14:paraId="1F817D14">
      <w:pPr/>
      <w:r>
        <w:t xml:space="preserve">Mishra, R. (2022). Issue 2 www.jetir.org (ISSN-2349-5162). </w:t>
      </w:r>
      <w:r>
        <w:rPr>
          <w:i/>
          <w:iCs/>
        </w:rPr>
        <w:t>JETIR2202185 Journal of Emerging Technologies and Innovative Research</w:t>
      </w:r>
      <w:r>
        <w:t>, [online] 9. Available at: https://www.jetir.org/papers/JETIR2202185.pdf.</w:t>
      </w:r>
    </w:p>
    <w:p w14:paraId="45A83A2A">
      <w:pPr/>
      <w:r>
        <w:t xml:space="preserve">Misopoulos, F. and Bajiraj, P. (2025). Shared Producer Responsibility for Sustainable Packaging in FMCG: The Convergence of SDGs, ESG Reporting, and Stakeholder Engagement. </w:t>
      </w:r>
      <w:r>
        <w:rPr>
          <w:i/>
          <w:iCs/>
        </w:rPr>
        <w:t>Sustainability</w:t>
      </w:r>
      <w:r>
        <w:t>, [online] 17(14), pp.6654–6654. doi:https://doi.org/10.3390/su17146654.</w:t>
      </w:r>
    </w:p>
    <w:p w14:paraId="61CC2530">
      <w:pPr/>
      <w:r>
        <w:t xml:space="preserve">Missimer, M. and Mesquita, P.L. (2022). Social Sustainability in Business Organizations: a Research Agenda. </w:t>
      </w:r>
      <w:r>
        <w:rPr>
          <w:i/>
          <w:iCs/>
        </w:rPr>
        <w:t>Sustainability</w:t>
      </w:r>
      <w:r>
        <w:t>, 14(5), p.2608. doi:https://doi.org/10.3390/su14052608.</w:t>
      </w:r>
    </w:p>
    <w:p w14:paraId="6FBB8AA9">
      <w:pPr/>
      <w:r>
        <w:t xml:space="preserve">Mohamed, B.H., Ari, I., Al-Sada, M. bin S. and Koç, M. (2021). Strategizing Human Development for a Country in Transition from a Resource-Based to a Knowledge-Based Economy. </w:t>
      </w:r>
      <w:r>
        <w:rPr>
          <w:i/>
          <w:iCs/>
        </w:rPr>
        <w:t>Sustainability</w:t>
      </w:r>
      <w:r>
        <w:t>, 13(24), p.13750. doi:https://doi.org/10.3390/su132413750.</w:t>
      </w:r>
    </w:p>
    <w:p w14:paraId="08C368A3">
      <w:pPr/>
      <w:r>
        <w:t xml:space="preserve">Mohammed, B., Ojo, O.O. and Shah, S. (2024). Impact of Digital Transformation on Conventional Business Models: A Review. </w:t>
      </w:r>
      <w:r>
        <w:rPr>
          <w:i/>
          <w:iCs/>
        </w:rPr>
        <w:t>2024 IEEE International Conference on Technology Management, Operations and Decisions (ICTMOD)</w:t>
      </w:r>
      <w:r>
        <w:t>, [online] pp.1–6. doi:https://doi.org/10.1109/ictmod63116.2024.10878186.</w:t>
      </w:r>
    </w:p>
    <w:p w14:paraId="4B91F6C7">
      <w:pPr/>
      <w:r>
        <w:t xml:space="preserve">Morandini, S., Fraboni, F., De Angelis, M., Puzzo, G., Giusino, D. and Pietrantoni, L. (2023). The Impact of Artificial Intelligence on Workers’ skills: Upskilling and Reskilling in Organisations. </w:t>
      </w:r>
      <w:r>
        <w:rPr>
          <w:i/>
          <w:iCs/>
        </w:rPr>
        <w:t>Informing Science: the International Journal of an Emerging Transdiscipline</w:t>
      </w:r>
      <w:r>
        <w:t>, 26(1), pp.39–68. doi:https://doi.org/10.28945/5078.</w:t>
      </w:r>
    </w:p>
    <w:p w14:paraId="39B507A9">
      <w:pPr/>
      <w:r>
        <w:t xml:space="preserve">Musa, M. and Aldiabat, K. (2024). RECONSIDERING THE USE OF POST-POSITIVIST PARADIGM IN SOCIAL SCIENCES: IS IT POSSIBLE? </w:t>
      </w:r>
      <w:r>
        <w:rPr>
          <w:i/>
          <w:iCs/>
        </w:rPr>
        <w:t>European Journal of Education Studies</w:t>
      </w:r>
      <w:r>
        <w:t>, [online] 11(7). doi:https://doi.org/10.46827/ejes.v11i7.5393.</w:t>
      </w:r>
    </w:p>
    <w:p w14:paraId="70F3B04A">
      <w:pPr/>
      <w:r>
        <w:t xml:space="preserve">Nastase, C., Adomnitei, A. and Apetri, A. (2025). Strategic Human Resource Management in the Digital Era: Technology, Transformation, and Sustainable Advantage. </w:t>
      </w:r>
      <w:r>
        <w:rPr>
          <w:i/>
          <w:iCs/>
        </w:rPr>
        <w:t>Merits</w:t>
      </w:r>
      <w:r>
        <w:t>, [online] 5(4), pp.23–23. doi:https://doi.org/10.3390/merits5040023.</w:t>
      </w:r>
    </w:p>
    <w:p w14:paraId="4FBEF52D">
      <w:pPr/>
      <w:r>
        <w:t xml:space="preserve">Noble, H. and Smith, J. (2025). Ensuring validity and reliability in qualitative research. </w:t>
      </w:r>
      <w:r>
        <w:rPr>
          <w:i/>
          <w:iCs/>
        </w:rPr>
        <w:t>Evidence Based Nursing</w:t>
      </w:r>
      <w:r>
        <w:t>, [online] 0(0), p.ebnurs-2024-104232. doi:https://doi.org/10.1136/ebnurs-2024-104232.</w:t>
      </w:r>
    </w:p>
    <w:p w14:paraId="6BD0A792">
      <w:pPr/>
      <w:r>
        <w:t xml:space="preserve">Ntoutsi, E., Fafalios, P., Gadiraju, U., Iosifidis, V., Nejdl, W., Vidal, M., Ruggieri, S., Turini, F., Papadopoulos, S., Krasanakis, E., Kompatsiaris, I., Kinder‐Kurlanda, K., Wagner, C., Karimi, F., Fernandez, M., Alani, H., Berendt, B., Kruegel, T., Heinze, C. and Broelemann, K. (2020). Bias in Data‐driven Artificial Intelligence systems—An Introductory Survey. </w:t>
      </w:r>
      <w:r>
        <w:rPr>
          <w:i/>
          <w:iCs/>
        </w:rPr>
        <w:t>WIREs Data Mining and Knowledge Discovery</w:t>
      </w:r>
      <w:r>
        <w:t>, [online] 10(3), pp.1–14. doi:https://doi.org/10.1002/widm.1356.</w:t>
      </w:r>
    </w:p>
    <w:p w14:paraId="3EB97F47">
      <w:pPr/>
      <w:r>
        <w:t xml:space="preserve">Nwabekee, S., Abdul-Azeez, O.Y., Ebele, E. and Ignatius, T. (2024). Innovative sustainability initiatives in the FMCG industry: A review of challenges and successes. </w:t>
      </w:r>
      <w:r>
        <w:rPr>
          <w:i/>
          <w:iCs/>
        </w:rPr>
        <w:t>International Journal of Applied Research in Social Sciences</w:t>
      </w:r>
      <w:r>
        <w:t>, [online] 6(9), pp.1990–2017. doi:https://doi.org/10.51594/ijarss.v6i9.1539.</w:t>
      </w:r>
    </w:p>
    <w:p w14:paraId="6D54AEB7">
      <w:pPr/>
      <w:r>
        <w:t xml:space="preserve">O’Higgins, B. and Fatorachian, H. (2025). Consumer trust in artificial intelligence in the UK and Ireland’s personal care and cosmetics sector. </w:t>
      </w:r>
      <w:r>
        <w:rPr>
          <w:i/>
          <w:iCs/>
        </w:rPr>
        <w:t>Cogent Business &amp; Management</w:t>
      </w:r>
      <w:r>
        <w:t>, 12(1). doi:https://doi.org/10.1080/23311975.2025.2469765.</w:t>
      </w:r>
    </w:p>
    <w:p w14:paraId="64BFA035">
      <w:pPr/>
      <w:r>
        <w:t xml:space="preserve">Obeng-Tuaah, M. (2025). Employees Training and Development to Enhance Organisational Performance: A Systematic Review: Employees Training and Development to Enhance Organisational Performance. </w:t>
      </w:r>
      <w:r>
        <w:rPr>
          <w:i/>
          <w:iCs/>
        </w:rPr>
        <w:t>International Journal of Multidisciplinary Studies and Innovative Research</w:t>
      </w:r>
      <w:r>
        <w:t>, [online] 13(1), pp.1–15. doi:https://doi.org/10.53075/Ijmsirq/09873656757567.</w:t>
      </w:r>
    </w:p>
    <w:p w14:paraId="267209AA">
      <w:pPr/>
      <w:r>
        <w:t xml:space="preserve">Ojakorotu, R. (2025). HRM Practices Promoting Sustainable Development in UK International Business Operations. </w:t>
      </w:r>
      <w:r>
        <w:rPr>
          <w:i/>
          <w:iCs/>
        </w:rPr>
        <w:t>ResearchGate</w:t>
      </w:r>
      <w:r>
        <w:t>. [online] doi:https://doi.org/10.5281/zenodo.17078087.</w:t>
      </w:r>
    </w:p>
    <w:p w14:paraId="7FE9949F">
      <w:pPr/>
      <w:r>
        <w:t xml:space="preserve">Orsini, L.S., Berger, M., Crown, W., Daniel, G., Eichler, H.-G., Goettsch, W., Graff, J., Guerino, J., Jonsson, P., Lederer, N.M., Monz, B., Mullins, C.D., Schneeweiss, S., Brunt, D.V., Wang, S.V. and Willke, R.J. (2020). Improving Transparency to Build Trust in Real-World Secondary Data Studies for Hypothesis Testing-Why, What, and How: Recommendations and a Road Map from the Real-World Evidence Transparency Initiative. </w:t>
      </w:r>
      <w:r>
        <w:rPr>
          <w:i/>
          <w:iCs/>
        </w:rPr>
        <w:t>Value in Health: The Journal of the International Society for Pharmacoeconomics and Outcomes Research</w:t>
      </w:r>
      <w:r>
        <w:t>, [online] 23(9), pp.1128–1136. doi:https://doi.org/10.1016/j.jval.2020.04.002.</w:t>
      </w:r>
    </w:p>
    <w:p w14:paraId="3EF79E1C">
      <w:pPr/>
      <w:r>
        <w:t xml:space="preserve">Osmani, A. and Ndoka, E. (2025). From Sustainable Leadership to Well-Being: A Systematic Literature Review on the Function of Collaborative Learning in Organizations. </w:t>
      </w:r>
      <w:r>
        <w:rPr>
          <w:i/>
          <w:iCs/>
        </w:rPr>
        <w:t>Sustainability</w:t>
      </w:r>
      <w:r>
        <w:t>, [online] 17(22), p.10345. doi:https://doi.org/10.3390/su172210345.</w:t>
      </w:r>
    </w:p>
    <w:p w14:paraId="3C7965E0">
      <w:pPr/>
      <w:r>
        <w:t xml:space="preserve">Othman, S.A. and Mahmood, N.H.N. (2019). Linking employee engagement towards individual work performance through human resource management practice: From high potential employee’s perspectives. </w:t>
      </w:r>
      <w:r>
        <w:rPr>
          <w:i/>
          <w:iCs/>
        </w:rPr>
        <w:t>Management Science Letters</w:t>
      </w:r>
      <w:r>
        <w:t>, 9(7), pp.1083–1092. doi:https://doi.org/10.5267/j.msl.2019.3.016.</w:t>
      </w:r>
    </w:p>
    <w:p w14:paraId="184603B7">
      <w:pPr/>
      <w:r>
        <w:t xml:space="preserve">Paparini, S., Papoutsi, C., Murdoch, J., Green, J., Petticrew, M., Greenhalgh, T. and Shaw, S.E. (2021). Evaluating Complex Interventions in context: systematic, meta-narrative Review of Case Study Approaches. </w:t>
      </w:r>
      <w:r>
        <w:rPr>
          <w:i/>
          <w:iCs/>
        </w:rPr>
        <w:t>BMC Medical Research Methodology</w:t>
      </w:r>
      <w:r>
        <w:t>, 21(1), pp.1–22. doi:https://doi.org/10.1186/s12874-021-01418-3.</w:t>
      </w:r>
    </w:p>
    <w:p w14:paraId="510945F1">
      <w:pPr/>
      <w:r>
        <w:t xml:space="preserve">Pervin, N. and Mokhtar, M. (2022). The interpretivist research paradigm: a subjective notion of a social context. </w:t>
      </w:r>
      <w:r>
        <w:rPr>
          <w:i/>
          <w:iCs/>
        </w:rPr>
        <w:t>International Journal of Academic Research in Progressive Education and Development</w:t>
      </w:r>
      <w:r>
        <w:t>, 11(2), pp.419–428. doi:https://doi.org/10.6007/IJARPED/v11-i2/12938.</w:t>
      </w:r>
    </w:p>
    <w:p w14:paraId="6BCD0CCF">
      <w:pPr/>
      <w:r>
        <w:t>Popescu, C. (2020). Analyzing the Impact of Green Marketing Strategies on the Financial and Non-Financial Performance of Organizations. pp.186–218. doi:https://doi.org/10.4018/978-1-5225-9558-8.ch008.</w:t>
      </w:r>
    </w:p>
    <w:p w14:paraId="34714E5F">
      <w:pPr/>
      <w:r>
        <w:t xml:space="preserve">Rafi’i, M.R., Hanif, S.A.M. and Bin Daud, F. (2025). Exploring the link between healthcare organizational culture and provider work satisfaction: a systematic review. </w:t>
      </w:r>
      <w:r>
        <w:rPr>
          <w:i/>
          <w:iCs/>
        </w:rPr>
        <w:t>BMC Health Services Research</w:t>
      </w:r>
      <w:r>
        <w:t>, 25(1). doi:https://doi.org/10.1186/s12913-025-12973-6.</w:t>
      </w:r>
    </w:p>
    <w:p w14:paraId="79D85F03">
      <w:pPr/>
      <w:r>
        <w:t xml:space="preserve">Rahman, Md.M. and Akhter, B. (2021). The impact of investment in human capital on bank performance: evidence from Bangladesh. </w:t>
      </w:r>
      <w:r>
        <w:rPr>
          <w:i/>
          <w:iCs/>
        </w:rPr>
        <w:t>Future Business Journal</w:t>
      </w:r>
      <w:r>
        <w:t>, [online] 7(1). doi:https://doi.org/10.1186/s43093-021-00105-5.</w:t>
      </w:r>
    </w:p>
    <w:p w14:paraId="7CC1E162">
      <w:pPr/>
      <w:r>
        <w:t xml:space="preserve">Rahmoune, A. and Djekidel, E. (2025). The Role of Training in Enhancing Human Capital: A Scientific Approach to Its Modern Perceptions in the Organizational Environment. </w:t>
      </w:r>
      <w:r>
        <w:rPr>
          <w:rFonts w:ascii="Tahoma" w:hAnsi="Tahoma" w:cs="Tahoma"/>
          <w:i/>
          <w:iCs/>
        </w:rPr>
        <w:t>مجلة</w:t>
      </w:r>
      <w:r>
        <w:rPr>
          <w:i/>
          <w:iCs/>
        </w:rPr>
        <w:t xml:space="preserve"> </w:t>
      </w:r>
      <w:r>
        <w:rPr>
          <w:rFonts w:ascii="Tahoma" w:hAnsi="Tahoma" w:cs="Tahoma"/>
          <w:i/>
          <w:iCs/>
        </w:rPr>
        <w:t>الواحات</w:t>
      </w:r>
      <w:r>
        <w:rPr>
          <w:i/>
          <w:iCs/>
        </w:rPr>
        <w:t xml:space="preserve"> </w:t>
      </w:r>
      <w:r>
        <w:rPr>
          <w:rFonts w:ascii="Tahoma" w:hAnsi="Tahoma" w:cs="Tahoma"/>
          <w:i/>
          <w:iCs/>
        </w:rPr>
        <w:t>للبحوث</w:t>
      </w:r>
      <w:r>
        <w:rPr>
          <w:i/>
          <w:iCs/>
        </w:rPr>
        <w:t xml:space="preserve"> </w:t>
      </w:r>
      <w:r>
        <w:rPr>
          <w:rFonts w:ascii="Tahoma" w:hAnsi="Tahoma" w:cs="Tahoma"/>
          <w:i/>
          <w:iCs/>
        </w:rPr>
        <w:t>و</w:t>
      </w:r>
      <w:r>
        <w:rPr>
          <w:i/>
          <w:iCs/>
        </w:rPr>
        <w:t xml:space="preserve"> </w:t>
      </w:r>
      <w:r>
        <w:rPr>
          <w:rFonts w:ascii="Tahoma" w:hAnsi="Tahoma" w:cs="Tahoma"/>
          <w:i/>
          <w:iCs/>
        </w:rPr>
        <w:t>الدراسات</w:t>
      </w:r>
      <w:r>
        <w:t>, [online] 18(2), pp.737–751. Available at: https://asjp.cerist.dz/en/article/279450 [Accessed 2 Apr. 2026].</w:t>
      </w:r>
    </w:p>
    <w:p w14:paraId="34F07100">
      <w:pPr/>
      <w:r>
        <w:t xml:space="preserve">Rezaei, F., Khalilzadeh, M. and Soleimani, P. (2021). Factors Affecting Knowledge Management and Its Effect on Organizational Performance: Mediating the Role of Human Capital. </w:t>
      </w:r>
      <w:r>
        <w:rPr>
          <w:i/>
          <w:iCs/>
        </w:rPr>
        <w:t>Advances in Human-Computer Interaction</w:t>
      </w:r>
      <w:r>
        <w:t>, 2021(1), pp.1–16. doi:https://doi.org/10.1155/2021/8857572.</w:t>
      </w:r>
    </w:p>
    <w:p w14:paraId="072BE558">
      <w:pPr/>
      <w:r>
        <w:t xml:space="preserve">Saeed, B.B., Afsar, B., Hafeez, S., Khan, I., Tahir, M. and Afridi, M.A. (2019). Promoting employee’s proenvironmental behavior through green human resource management practices. </w:t>
      </w:r>
      <w:r>
        <w:rPr>
          <w:i/>
          <w:iCs/>
        </w:rPr>
        <w:t>Corporate Social Responsibility and Environmental Management</w:t>
      </w:r>
      <w:r>
        <w:t>, 26(2), pp.424–438.</w:t>
      </w:r>
    </w:p>
    <w:p w14:paraId="3A0A1A5D">
      <w:pPr/>
      <w:r>
        <w:t xml:space="preserve">Sima, V., Gheorghe, I.G., Subić, J. and Nancu, D. (2020). Influences of the industry 4.0 revolution on the human capital development and consumer behavior: A systematic review. </w:t>
      </w:r>
      <w:r>
        <w:rPr>
          <w:i/>
          <w:iCs/>
        </w:rPr>
        <w:t>Sustainability</w:t>
      </w:r>
      <w:r>
        <w:t>, 12(10), p.4035.</w:t>
      </w:r>
    </w:p>
    <w:p w14:paraId="30A240DF">
      <w:pPr/>
      <w:r>
        <w:t xml:space="preserve">Sklavos, G., Theodossiou, G., Papanikolaou, Z., Karelakis, C. and Ragazou, K. (2024). Environmental, Social, and Governance-Based Artificial Intelligence Governance: Digitalizing Firms’ Leadership and Human Resources Management. </w:t>
      </w:r>
      <w:r>
        <w:rPr>
          <w:i/>
          <w:iCs/>
        </w:rPr>
        <w:t>Sustainability</w:t>
      </w:r>
      <w:r>
        <w:t>, [online] 16(16), pp.7154–7154. doi:https://doi.org/10.3390/su16167154.</w:t>
      </w:r>
    </w:p>
    <w:p w14:paraId="5B9F71BE">
      <w:pPr/>
      <w:r>
        <w:t xml:space="preserve">Strielkowski, W., Grebennikova, V., Lisovskiy, A., Rakhimova, G. and Vasileva, T. (2024). AI-driven adaptive learning for sustainable educational transformation. </w:t>
      </w:r>
      <w:r>
        <w:rPr>
          <w:i/>
          <w:iCs/>
        </w:rPr>
        <w:t>Sustainable Development</w:t>
      </w:r>
      <w:r>
        <w:t>, 33(2). doi:https://doi.org/10.1002/sd.3221.</w:t>
      </w:r>
    </w:p>
    <w:p w14:paraId="0EDB71D9">
      <w:pPr/>
      <w:r>
        <w:t xml:space="preserve">Sung, S.Y. and Choi, J.N. (2018). Effects of training and development on employee outcomes and firm innovative performance: Moderating roles of voluntary participation and evaluation. </w:t>
      </w:r>
      <w:r>
        <w:rPr>
          <w:i/>
          <w:iCs/>
        </w:rPr>
        <w:t>Human Resource Management</w:t>
      </w:r>
      <w:r>
        <w:t>, 57(6), pp.1339–1353. doi:https://doi.org/10.1002/hrm.21909.</w:t>
      </w:r>
    </w:p>
    <w:p w14:paraId="13AB53EC">
      <w:pPr/>
      <w:r>
        <w:t xml:space="preserve">Susanto, A. (2023). The Role of Green Human Resources Management (GHRM) on Job Satisfaction and Green Work Engagement (GWE): an Empirical Study on Manufacturing Industries. </w:t>
      </w:r>
      <w:r>
        <w:rPr>
          <w:i/>
          <w:iCs/>
        </w:rPr>
        <w:t>JOURNAL OF ECONOMICS, FINANCE AND MANAGEMENT STUDIES</w:t>
      </w:r>
      <w:r>
        <w:t>, 06(03). doi:https://doi.org/10.47191/jefms/v6-i3-11.</w:t>
      </w:r>
    </w:p>
    <w:p w14:paraId="2EBF4027">
      <w:pPr/>
      <w:r>
        <w:t xml:space="preserve">Syahputra, H., Eddy, P., Santoso, P.H., Fitri Yani and Putra, R. (2023). Exploring Employee Performance Through Qualitative Methods: Insights and Implications. </w:t>
      </w:r>
      <w:r>
        <w:rPr>
          <w:i/>
          <w:iCs/>
        </w:rPr>
        <w:t>International Conference on Business Management and Accounting</w:t>
      </w:r>
      <w:r>
        <w:t>, [online] 2(1), pp.312–316. doi:https://doi.org/10.35145/icobima.v2i1.4379.</w:t>
      </w:r>
    </w:p>
    <w:p w14:paraId="7A0CF394">
      <w:pPr/>
      <w:r>
        <w:t xml:space="preserve">Tang, G., Chen, Y., Jiang, Y., Paillé, P. and Jia, J. (2018). Green human resource management practices: scale development and validity. </w:t>
      </w:r>
      <w:r>
        <w:rPr>
          <w:i/>
          <w:iCs/>
        </w:rPr>
        <w:t>Asia Pacific Journal of Human Resources</w:t>
      </w:r>
      <w:r>
        <w:t>, 56(1), pp.31–55. doi:https://doi.org/10.1111/1744-7941.12147.</w:t>
      </w:r>
    </w:p>
    <w:p w14:paraId="5DE965AE">
      <w:pPr/>
      <w:r>
        <w:t xml:space="preserve">Tesco Plc (2025). </w:t>
      </w:r>
      <w:r>
        <w:rPr>
          <w:i/>
          <w:iCs/>
        </w:rPr>
        <w:t>Tesco PLC Annual Report and Financial Statements</w:t>
      </w:r>
      <w:r>
        <w:t>. [online] Available at: https://www.tescoplc.com/media/ky0bfwpo/tesco_ar25_interactive.pdf.</w:t>
      </w:r>
    </w:p>
    <w:p w14:paraId="5DEEBA39">
      <w:pPr/>
      <w:r>
        <w:rPr>
          <w:lang w:val="sv-SE"/>
        </w:rPr>
        <w:t xml:space="preserve">Tio Fabian, N., Kirani, A., Dewi, P., Gracia, R., Loei, J., Muyandi, M. and Kalfin (2024). </w:t>
      </w:r>
      <w:r>
        <w:t xml:space="preserve">The Effect of Training and Career Development on Company Performance: A Systematic Literature Review. </w:t>
      </w:r>
      <w:r>
        <w:rPr>
          <w:i/>
          <w:iCs/>
        </w:rPr>
        <w:t>International Journal of Humanities, Law, and Politics</w:t>
      </w:r>
      <w:r>
        <w:t>, [online] 2(1), pp.19–25. Available at: https://pdfs.semanticscholar.org/d6cb/7940037abd2a67c5e8c21961b7f81469d36f.pdf.</w:t>
      </w:r>
    </w:p>
    <w:p w14:paraId="2A6AF9C5">
      <w:pPr/>
      <w:r>
        <w:t xml:space="preserve">Unilever (2025). </w:t>
      </w:r>
      <w:r>
        <w:rPr>
          <w:i/>
          <w:iCs/>
        </w:rPr>
        <w:t>Disclaimer The Annual Report and Accounts 2025 was filed with the National Storage Mechanism and the Dutch Authority for the Financial Markets in European Single Electronic Format, including a human-readable XHTML version of the Annual Report and Accounts 2025 (the ESEF Format). The Annual Report and Accounts 2025 in ESEF Format is also available on Unilever’s website at www.unilever.com. Only the Annual Report and Accounts 2025 in ESEF Format is the official version for purposes of the ES…</w:t>
      </w:r>
      <w:r>
        <w:t>. [online] Available at: https://www.unilever.com/files/unilever-annual-report-and-accounts-2025.pdf [Accessed 16 May 2026].</w:t>
      </w:r>
    </w:p>
    <w:p w14:paraId="64FCC4F8">
      <w:pPr/>
      <w:r>
        <w:t xml:space="preserve">Wang, X., Sarip, A., Mahmood, S. and Tao, S. (2026). The role of responsible HRM in enhancing employee well-being. </w:t>
      </w:r>
      <w:r>
        <w:rPr>
          <w:i/>
          <w:iCs/>
        </w:rPr>
        <w:t>Journal on Innovation and Sustainability RISUS</w:t>
      </w:r>
      <w:r>
        <w:t>, [online] 16(4), pp.51–73. doi:https://doi.org/10.23925/2179-3565.2025v16i4p51-73.</w:t>
      </w:r>
    </w:p>
    <w:p w14:paraId="501D4618">
      <w:pPr/>
      <w:r>
        <w:t xml:space="preserve">Xia, C., Qamruzzaman, Md. and Adow, A.H. (2022). An Asymmetric Nexus: Remittance-Led Human Capital Development in the Top 10 Remittance-Receiving Countries: Are FDI and Gross Capital Formation Critical for a Road to Sustainability? </w:t>
      </w:r>
      <w:r>
        <w:rPr>
          <w:i/>
          <w:iCs/>
        </w:rPr>
        <w:t>Sustainability</w:t>
      </w:r>
      <w:r>
        <w:t>, 14(6), p.3703. doi:https://doi.org/10.3390/su14063703.</w:t>
      </w:r>
    </w:p>
    <w:p w14:paraId="0E16E50F">
      <w:pPr/>
      <w:r>
        <w:t xml:space="preserve">Xu, X. (2021). Mechanism and Test of the Impact of Lack of Human Capital on Ecological Development in Innovation Sector. </w:t>
      </w:r>
      <w:r>
        <w:rPr>
          <w:i/>
          <w:iCs/>
        </w:rPr>
        <w:t>Mathematical Problems in Engineering</w:t>
      </w:r>
      <w:r>
        <w:t>, 2021, pp.1–8. doi:https://doi.org/10.1155/2021/6665251.</w:t>
      </w:r>
    </w:p>
    <w:p w14:paraId="1F5E17DD">
      <w:pPr/>
      <w:r>
        <w:t xml:space="preserve">Yong, J.Y., Yusliza, M., Ramayah, T., Chiappetta Jabbour, C.J., Sehnem, S. and Mani, V. (2020). Pathways towards sustainability in manufacturing organizations: Empirical evidence on the role of green human resource management. </w:t>
      </w:r>
      <w:r>
        <w:rPr>
          <w:i/>
          <w:iCs/>
        </w:rPr>
        <w:t>Business Strategy and the Environment</w:t>
      </w:r>
      <w:r>
        <w:t>, 29(1), pp.212–228. doi:https://doi.org/10.1002/bse.2359.</w:t>
      </w:r>
    </w:p>
    <w:p w14:paraId="77C64196">
      <w:pPr/>
      <w:r>
        <w:t xml:space="preserve">Yong, J.Y., Yusliza, M-Y., Ramayah, T. and Fawehinmi, O. (2019). Nexus between green intellectual capital and green human resource management. </w:t>
      </w:r>
      <w:r>
        <w:rPr>
          <w:i/>
          <w:iCs/>
        </w:rPr>
        <w:t>Journal of Cleaner Production</w:t>
      </w:r>
      <w:r>
        <w:t>, 215, pp.364–374. doi:https://doi.org/10.1016/j.jclepro.2018.12.306.</w:t>
      </w:r>
    </w:p>
    <w:p w14:paraId="0BCF2290">
      <w:pPr/>
      <w:r>
        <w:t xml:space="preserve">Yuwono, M.A. and Rachmawati, D. (2023). Combined Methods. Can This Solve The Differences Between Deductive and Inductive Methods in Qualitative Research? </w:t>
      </w:r>
      <w:r>
        <w:rPr>
          <w:i/>
          <w:iCs/>
        </w:rPr>
        <w:t>Moroccan Journal of Quantitative and Qualitative Research</w:t>
      </w:r>
      <w:r>
        <w:t>, 5(3). doi:https://doi.org/10.48379/IMIST.PRSM/mjqr-v5i3.45541.</w:t>
      </w:r>
    </w:p>
    <w:p w14:paraId="246DA696">
      <w:pPr/>
      <w:r>
        <w:t xml:space="preserve">Zhang, J. and Chen, Z. (2023). Exploring Human Resource Management Digital Transformation in the Digital Age. </w:t>
      </w:r>
      <w:r>
        <w:rPr>
          <w:i/>
          <w:iCs/>
        </w:rPr>
        <w:t>Journal of the Knowledge Economy</w:t>
      </w:r>
      <w:r>
        <w:t>, [online] 15(1). Available at: https://link.springer.com/article/10.1007/s13132-023-01214-y.</w:t>
      </w:r>
    </w:p>
    <w:p w14:paraId="1D9C8BC8">
      <w:pPr/>
      <w:r>
        <w:t xml:space="preserve">Zhang, J. and Chen, Z. (2023). Exploring Human Resource Management Digital Transformation in the Digital Age. </w:t>
      </w:r>
      <w:r>
        <w:rPr>
          <w:i/>
          <w:iCs/>
        </w:rPr>
        <w:t>Journal of the Knowledge Economy</w:t>
      </w:r>
      <w:r>
        <w:t>, [online] 15(1). Available at: https://link.springer.com/article/10.1007/s13132-023-01214-y.</w:t>
      </w:r>
    </w:p>
    <w:p w14:paraId="19AB2F7B">
      <w:pPr/>
      <w:r>
        <w:t xml:space="preserve">Zhu, X., Chen, B. and DeLiema, D. (2026). Advancing collaborative discourse through knowledge synthesis. </w:t>
      </w:r>
      <w:r>
        <w:rPr>
          <w:i/>
          <w:iCs/>
        </w:rPr>
        <w:t>International Journal of Computer-Supported Collaborative Learning</w:t>
      </w:r>
      <w:r>
        <w:t>. doi:https://doi.org/10.1007/s11412-025-09463-6.</w:t>
      </w:r>
    </w:p>
    <w:p w14:paraId="57494185">
      <w:pPr/>
      <w:r>
        <w:t xml:space="preserve">Zihan, W., Makhbul, Z.K.M. and Alam, S.S. (2024). Green Human Resource Management in Practice: Assessing the Impact of Readiness and Corporate Social Responsibility on Organizational Change. </w:t>
      </w:r>
      <w:r>
        <w:rPr>
          <w:i/>
          <w:iCs/>
        </w:rPr>
        <w:t>Sustainability</w:t>
      </w:r>
      <w:r>
        <w:t>, [online] 16(3), p.1153. doi:https://doi.org/10.3390/su16031153.</w:t>
      </w:r>
    </w:p>
    <w:p w14:paraId="60A08668">
      <w:pPr/>
    </w:p>
    <w:p w14:paraId="6D38D46F">
      <w:pPr>
        <w:pStyle w:val="2"/>
      </w:pPr>
      <w:bookmarkStart w:id="135" w:name="_Toc231586822"/>
      <w:bookmarkStart w:id="136" w:name="_Toc229800140"/>
      <w:r>
        <w:t>Appendix</w:t>
      </w:r>
      <w:bookmarkEnd w:id="135"/>
      <w:bookmarkEnd w:id="136"/>
    </w:p>
    <w:p w14:paraId="77592A91">
      <w:pPr>
        <w:pStyle w:val="3"/>
      </w:pPr>
      <w:bookmarkStart w:id="137" w:name="_Toc231586823"/>
      <w:r>
        <w:t>Ethic Form</w:t>
      </w:r>
      <w:bookmarkEnd w:id="137"/>
    </w:p>
    <w:p w14:paraId="5F4676A5">
      <w:pPr/>
      <w:r>
        <w:rPr>
          <w:lang w:val="en-US"/>
        </w:rPr>
        <w:drawing>
          <wp:inline distT="0" distB="0" distL="0" distR="0">
            <wp:extent cx="5943600" cy="2731770"/>
            <wp:effectExtent l="0" t="0" r="0" b="0"/>
            <wp:docPr id="1551297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297006" name="Picture 1"/>
                    <pic:cNvPicPr>
                      <a:picLocks noChangeAspect="1"/>
                    </pic:cNvPicPr>
                  </pic:nvPicPr>
                  <pic:blipFill>
                    <a:blip r:embed="rId11"/>
                    <a:stretch>
                      <a:fillRect/>
                    </a:stretch>
                  </pic:blipFill>
                  <pic:spPr>
                    <a:xfrm>
                      <a:off x="0" y="0"/>
                      <a:ext cx="5943600" cy="2731770"/>
                    </a:xfrm>
                    <a:prstGeom prst="rect">
                      <a:avLst/>
                    </a:prstGeom>
                  </pic:spPr>
                </pic:pic>
              </a:graphicData>
            </a:graphic>
          </wp:inline>
        </w:drawing>
      </w:r>
    </w:p>
    <w:p w14:paraId="7B72D444">
      <w:pPr/>
      <w:r>
        <w:rPr>
          <w:lang w:val="en-US"/>
        </w:rPr>
        <w:drawing>
          <wp:inline distT="0" distB="0" distL="0" distR="0">
            <wp:extent cx="5943600" cy="2748280"/>
            <wp:effectExtent l="0" t="0" r="0" b="0"/>
            <wp:docPr id="1040056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056133" name="Picture 1"/>
                    <pic:cNvPicPr>
                      <a:picLocks noChangeAspect="1"/>
                    </pic:cNvPicPr>
                  </pic:nvPicPr>
                  <pic:blipFill>
                    <a:blip r:embed="rId12"/>
                    <a:stretch>
                      <a:fillRect/>
                    </a:stretch>
                  </pic:blipFill>
                  <pic:spPr>
                    <a:xfrm>
                      <a:off x="0" y="0"/>
                      <a:ext cx="5943600" cy="2748280"/>
                    </a:xfrm>
                    <a:prstGeom prst="rect">
                      <a:avLst/>
                    </a:prstGeom>
                  </pic:spPr>
                </pic:pic>
              </a:graphicData>
            </a:graphic>
          </wp:inline>
        </w:drawing>
      </w:r>
    </w:p>
    <w:p w14:paraId="22DB3AC0">
      <w:pPr/>
      <w:r>
        <w:rPr>
          <w:lang w:val="en-US"/>
        </w:rPr>
        <w:drawing>
          <wp:inline distT="0" distB="0" distL="0" distR="0">
            <wp:extent cx="5943600" cy="2745740"/>
            <wp:effectExtent l="0" t="0" r="0" b="0"/>
            <wp:docPr id="1337025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025583" name="Picture 1"/>
                    <pic:cNvPicPr>
                      <a:picLocks noChangeAspect="1"/>
                    </pic:cNvPicPr>
                  </pic:nvPicPr>
                  <pic:blipFill>
                    <a:blip r:embed="rId13"/>
                    <a:stretch>
                      <a:fillRect/>
                    </a:stretch>
                  </pic:blipFill>
                  <pic:spPr>
                    <a:xfrm>
                      <a:off x="0" y="0"/>
                      <a:ext cx="5943600" cy="2745740"/>
                    </a:xfrm>
                    <a:prstGeom prst="rect">
                      <a:avLst/>
                    </a:prstGeom>
                  </pic:spPr>
                </pic:pic>
              </a:graphicData>
            </a:graphic>
          </wp:inline>
        </w:drawing>
      </w:r>
    </w:p>
    <w:p w14:paraId="1D0D64D5">
      <w:pPr>
        <w:pStyle w:val="3"/>
      </w:pPr>
      <w:bookmarkStart w:id="138" w:name="_Toc231586824"/>
      <w:r>
        <w:t>Literature Summary Table</w:t>
      </w:r>
      <w:bookmarkEnd w:id="138"/>
    </w:p>
    <w:tbl>
      <w:tblPr>
        <w:tblStyle w:val="52"/>
        <w:tblW w:w="9350" w:type="dxa"/>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fixed"/>
        <w:tblCellMar>
          <w:top w:w="0" w:type="dxa"/>
          <w:left w:w="108" w:type="dxa"/>
          <w:bottom w:w="0" w:type="dxa"/>
          <w:right w:w="108" w:type="dxa"/>
        </w:tblCellMar>
      </w:tblPr>
      <w:tblGrid>
        <w:gridCol w:w="1476"/>
        <w:gridCol w:w="2204"/>
        <w:gridCol w:w="1599"/>
        <w:gridCol w:w="2200"/>
        <w:gridCol w:w="1871"/>
      </w:tblGrid>
      <w:tr w14:paraId="3912D895">
        <w:tblPrEx>
          <w:tblLayout w:type="fixed"/>
        </w:tblPrEx>
        <w:trPr>
          <w:trHeight w:val="290" w:hRule="atLeast"/>
        </w:trPr>
        <w:tc>
          <w:tcPr>
            <w:tcW w:w="1476" w:type="dxa"/>
          </w:tcPr>
          <w:p w14:paraId="786C9E64">
            <w:pPr>
              <w:spacing w:after="0" w:line="240" w:lineRule="auto"/>
              <w:rPr>
                <w:b/>
                <w:bCs/>
                <w:lang w:eastAsia="en-GB"/>
              </w:rPr>
            </w:pPr>
            <w:r>
              <w:rPr>
                <w:b/>
                <w:bCs/>
                <w:lang w:eastAsia="en-GB"/>
              </w:rPr>
              <w:t>Author(s) &amp; Year</w:t>
            </w:r>
          </w:p>
        </w:tc>
        <w:tc>
          <w:tcPr>
            <w:tcW w:w="2204" w:type="dxa"/>
          </w:tcPr>
          <w:p w14:paraId="7A056586">
            <w:pPr>
              <w:spacing w:after="0" w:line="240" w:lineRule="auto"/>
              <w:rPr>
                <w:b/>
                <w:bCs/>
                <w:lang w:eastAsia="en-GB"/>
              </w:rPr>
            </w:pPr>
            <w:r>
              <w:rPr>
                <w:b/>
                <w:bCs/>
                <w:lang w:eastAsia="en-GB"/>
              </w:rPr>
              <w:t>Focus of Study</w:t>
            </w:r>
          </w:p>
        </w:tc>
        <w:tc>
          <w:tcPr>
            <w:tcW w:w="1599" w:type="dxa"/>
          </w:tcPr>
          <w:p w14:paraId="3C14C7FB">
            <w:pPr>
              <w:spacing w:after="0" w:line="240" w:lineRule="auto"/>
              <w:rPr>
                <w:b/>
                <w:bCs/>
                <w:lang w:eastAsia="en-GB"/>
              </w:rPr>
            </w:pPr>
            <w:r>
              <w:rPr>
                <w:b/>
                <w:bCs/>
                <w:lang w:eastAsia="en-GB"/>
              </w:rPr>
              <w:t>Methodology</w:t>
            </w:r>
          </w:p>
        </w:tc>
        <w:tc>
          <w:tcPr>
            <w:tcW w:w="2200" w:type="dxa"/>
          </w:tcPr>
          <w:p w14:paraId="0448BD3B">
            <w:pPr>
              <w:spacing w:after="0" w:line="240" w:lineRule="auto"/>
              <w:rPr>
                <w:b/>
                <w:bCs/>
                <w:lang w:eastAsia="en-GB"/>
              </w:rPr>
            </w:pPr>
            <w:r>
              <w:rPr>
                <w:b/>
                <w:bCs/>
                <w:lang w:eastAsia="en-GB"/>
              </w:rPr>
              <w:t>Key Findings</w:t>
            </w:r>
          </w:p>
        </w:tc>
        <w:tc>
          <w:tcPr>
            <w:tcW w:w="1871" w:type="dxa"/>
          </w:tcPr>
          <w:p w14:paraId="75903A20">
            <w:pPr>
              <w:spacing w:after="0" w:line="240" w:lineRule="auto"/>
              <w:rPr>
                <w:b/>
                <w:bCs/>
                <w:lang w:eastAsia="en-GB"/>
              </w:rPr>
            </w:pPr>
            <w:r>
              <w:rPr>
                <w:b/>
                <w:bCs/>
                <w:lang w:eastAsia="en-GB"/>
              </w:rPr>
              <w:t>Relevance to Study</w:t>
            </w:r>
          </w:p>
        </w:tc>
      </w:tr>
      <w:tr w14:paraId="62CA69C8">
        <w:tblPrEx>
          <w:tblLayout w:type="fixed"/>
        </w:tblPrEx>
        <w:trPr>
          <w:trHeight w:val="290" w:hRule="atLeast"/>
        </w:trPr>
        <w:tc>
          <w:tcPr>
            <w:tcW w:w="1476" w:type="dxa"/>
            <w:shd w:val="clear" w:color="auto" w:fill="F1F1F1" w:themeFill="background1" w:themeFillShade="F2"/>
          </w:tcPr>
          <w:p w14:paraId="230BA8D1">
            <w:pPr>
              <w:spacing w:after="0" w:line="240" w:lineRule="auto"/>
              <w:rPr>
                <w:b/>
                <w:bCs/>
                <w:lang w:eastAsia="en-GB"/>
              </w:rPr>
            </w:pPr>
            <w:r>
              <w:rPr>
                <w:b/>
                <w:bCs/>
                <w:lang w:eastAsia="en-GB"/>
              </w:rPr>
              <w:t>Al-Tit et al. (2022)</w:t>
            </w:r>
          </w:p>
        </w:tc>
        <w:tc>
          <w:tcPr>
            <w:tcW w:w="2204" w:type="dxa"/>
            <w:shd w:val="clear" w:color="auto" w:fill="F1F1F1" w:themeFill="background1" w:themeFillShade="F2"/>
          </w:tcPr>
          <w:p w14:paraId="115827DB">
            <w:pPr>
              <w:spacing w:after="0" w:line="240" w:lineRule="auto"/>
              <w:jc w:val="left"/>
              <w:rPr>
                <w:lang w:eastAsia="en-GB"/>
              </w:rPr>
            </w:pPr>
            <w:r>
              <w:rPr>
                <w:lang w:eastAsia="en-GB"/>
              </w:rPr>
              <w:t>Employee development, knowledge management, human &amp; social capital</w:t>
            </w:r>
          </w:p>
        </w:tc>
        <w:tc>
          <w:tcPr>
            <w:tcW w:w="1599" w:type="dxa"/>
            <w:shd w:val="clear" w:color="auto" w:fill="F1F1F1" w:themeFill="background1" w:themeFillShade="F2"/>
          </w:tcPr>
          <w:p w14:paraId="7DFDAC6F">
            <w:pPr>
              <w:spacing w:after="0" w:line="240" w:lineRule="auto"/>
              <w:jc w:val="left"/>
              <w:rPr>
                <w:lang w:eastAsia="en-GB"/>
              </w:rPr>
            </w:pPr>
            <w:r>
              <w:rPr>
                <w:lang w:eastAsia="en-GB"/>
              </w:rPr>
              <w:t>Quantitative (SEM)</w:t>
            </w:r>
          </w:p>
        </w:tc>
        <w:tc>
          <w:tcPr>
            <w:tcW w:w="2200" w:type="dxa"/>
            <w:shd w:val="clear" w:color="auto" w:fill="F1F1F1" w:themeFill="background1" w:themeFillShade="F2"/>
          </w:tcPr>
          <w:p w14:paraId="07CD2127">
            <w:pPr>
              <w:spacing w:after="0" w:line="240" w:lineRule="auto"/>
              <w:jc w:val="left"/>
              <w:rPr>
                <w:lang w:eastAsia="en-GB"/>
              </w:rPr>
            </w:pPr>
            <w:r>
              <w:rPr>
                <w:lang w:eastAsia="en-GB"/>
              </w:rPr>
              <w:t>Training improves human capital directly and via knowledge management</w:t>
            </w:r>
          </w:p>
        </w:tc>
        <w:tc>
          <w:tcPr>
            <w:tcW w:w="1871" w:type="dxa"/>
            <w:shd w:val="clear" w:color="auto" w:fill="F1F1F1" w:themeFill="background1" w:themeFillShade="F2"/>
          </w:tcPr>
          <w:p w14:paraId="637D8E56">
            <w:pPr>
              <w:spacing w:after="0" w:line="240" w:lineRule="auto"/>
              <w:jc w:val="left"/>
              <w:rPr>
                <w:lang w:eastAsia="en-GB"/>
              </w:rPr>
            </w:pPr>
            <w:r>
              <w:rPr>
                <w:lang w:eastAsia="en-GB"/>
              </w:rPr>
              <w:t>Shows mechanism linking training → human capital</w:t>
            </w:r>
          </w:p>
        </w:tc>
      </w:tr>
      <w:tr w14:paraId="488EA42C">
        <w:tblPrEx>
          <w:tblLayout w:type="fixed"/>
        </w:tblPrEx>
        <w:trPr>
          <w:trHeight w:val="290" w:hRule="atLeast"/>
        </w:trPr>
        <w:tc>
          <w:tcPr>
            <w:tcW w:w="1476" w:type="dxa"/>
          </w:tcPr>
          <w:p w14:paraId="0A49171E">
            <w:pPr>
              <w:spacing w:after="0" w:line="240" w:lineRule="auto"/>
              <w:rPr>
                <w:b/>
                <w:bCs/>
                <w:lang w:eastAsia="en-GB"/>
              </w:rPr>
            </w:pPr>
            <w:r>
              <w:rPr>
                <w:b/>
                <w:bCs/>
                <w:lang w:eastAsia="en-GB"/>
              </w:rPr>
              <w:t>Aldrickzler et al. (2025)</w:t>
            </w:r>
          </w:p>
        </w:tc>
        <w:tc>
          <w:tcPr>
            <w:tcW w:w="2204" w:type="dxa"/>
          </w:tcPr>
          <w:p w14:paraId="31089E3C">
            <w:pPr>
              <w:spacing w:after="0" w:line="240" w:lineRule="auto"/>
              <w:jc w:val="left"/>
              <w:rPr>
                <w:lang w:eastAsia="en-GB"/>
              </w:rPr>
            </w:pPr>
            <w:r>
              <w:rPr>
                <w:lang w:eastAsia="en-GB"/>
              </w:rPr>
              <w:t>Human capital development &amp; productivity</w:t>
            </w:r>
          </w:p>
        </w:tc>
        <w:tc>
          <w:tcPr>
            <w:tcW w:w="1599" w:type="dxa"/>
          </w:tcPr>
          <w:p w14:paraId="32AB3073">
            <w:pPr>
              <w:spacing w:after="0" w:line="240" w:lineRule="auto"/>
              <w:jc w:val="left"/>
              <w:rPr>
                <w:lang w:eastAsia="en-GB"/>
              </w:rPr>
            </w:pPr>
            <w:r>
              <w:rPr>
                <w:lang w:eastAsia="en-GB"/>
              </w:rPr>
              <w:t>Quantitative</w:t>
            </w:r>
          </w:p>
        </w:tc>
        <w:tc>
          <w:tcPr>
            <w:tcW w:w="2200" w:type="dxa"/>
          </w:tcPr>
          <w:p w14:paraId="6C6E7EA5">
            <w:pPr>
              <w:spacing w:after="0" w:line="240" w:lineRule="auto"/>
              <w:jc w:val="left"/>
              <w:rPr>
                <w:lang w:eastAsia="en-GB"/>
              </w:rPr>
            </w:pPr>
            <w:r>
              <w:rPr>
                <w:lang w:eastAsia="en-GB"/>
              </w:rPr>
              <w:t>Training enhances skills, efficiency, and performance</w:t>
            </w:r>
          </w:p>
        </w:tc>
        <w:tc>
          <w:tcPr>
            <w:tcW w:w="1871" w:type="dxa"/>
          </w:tcPr>
          <w:p w14:paraId="65FD7C18">
            <w:pPr>
              <w:spacing w:after="0" w:line="240" w:lineRule="auto"/>
              <w:jc w:val="left"/>
              <w:rPr>
                <w:lang w:eastAsia="en-GB"/>
              </w:rPr>
            </w:pPr>
            <w:r>
              <w:rPr>
                <w:lang w:eastAsia="en-GB"/>
              </w:rPr>
              <w:t>Supports training–productivity relationship</w:t>
            </w:r>
          </w:p>
        </w:tc>
      </w:tr>
      <w:tr w14:paraId="741A3587">
        <w:tblPrEx>
          <w:tblLayout w:type="fixed"/>
        </w:tblPrEx>
        <w:trPr>
          <w:trHeight w:val="290" w:hRule="atLeast"/>
        </w:trPr>
        <w:tc>
          <w:tcPr>
            <w:tcW w:w="1476" w:type="dxa"/>
            <w:shd w:val="clear" w:color="auto" w:fill="F1F1F1" w:themeFill="background1" w:themeFillShade="F2"/>
          </w:tcPr>
          <w:p w14:paraId="233D04B4">
            <w:pPr>
              <w:spacing w:after="0" w:line="240" w:lineRule="auto"/>
              <w:rPr>
                <w:b/>
                <w:bCs/>
                <w:lang w:eastAsia="en-GB"/>
              </w:rPr>
            </w:pPr>
            <w:r>
              <w:rPr>
                <w:b/>
                <w:bCs/>
                <w:lang w:eastAsia="en-GB"/>
              </w:rPr>
              <w:t>Rahmoune and Djekidel (2025)</w:t>
            </w:r>
          </w:p>
        </w:tc>
        <w:tc>
          <w:tcPr>
            <w:tcW w:w="2204" w:type="dxa"/>
            <w:shd w:val="clear" w:color="auto" w:fill="F1F1F1" w:themeFill="background1" w:themeFillShade="F2"/>
          </w:tcPr>
          <w:p w14:paraId="76EA2343">
            <w:pPr>
              <w:spacing w:after="0" w:line="240" w:lineRule="auto"/>
              <w:jc w:val="left"/>
              <w:rPr>
                <w:lang w:eastAsia="en-GB"/>
              </w:rPr>
            </w:pPr>
            <w:r>
              <w:rPr>
                <w:lang w:eastAsia="en-GB"/>
              </w:rPr>
              <w:t>Role of training in HRD</w:t>
            </w:r>
          </w:p>
        </w:tc>
        <w:tc>
          <w:tcPr>
            <w:tcW w:w="1599" w:type="dxa"/>
            <w:shd w:val="clear" w:color="auto" w:fill="F1F1F1" w:themeFill="background1" w:themeFillShade="F2"/>
          </w:tcPr>
          <w:p w14:paraId="0F57B22F">
            <w:pPr>
              <w:spacing w:after="0" w:line="240" w:lineRule="auto"/>
              <w:jc w:val="left"/>
              <w:rPr>
                <w:lang w:eastAsia="en-GB"/>
              </w:rPr>
            </w:pPr>
            <w:r>
              <w:rPr>
                <w:lang w:eastAsia="en-GB"/>
              </w:rPr>
              <w:t>Conceptual</w:t>
            </w:r>
          </w:p>
        </w:tc>
        <w:tc>
          <w:tcPr>
            <w:tcW w:w="2200" w:type="dxa"/>
            <w:shd w:val="clear" w:color="auto" w:fill="F1F1F1" w:themeFill="background1" w:themeFillShade="F2"/>
          </w:tcPr>
          <w:p w14:paraId="325B7DD5">
            <w:pPr>
              <w:spacing w:after="0" w:line="240" w:lineRule="auto"/>
              <w:jc w:val="left"/>
              <w:rPr>
                <w:lang w:eastAsia="en-GB"/>
              </w:rPr>
            </w:pPr>
            <w:r>
              <w:rPr>
                <w:lang w:eastAsia="en-GB"/>
              </w:rPr>
              <w:t>Training is strategic for capability building and adaptability</w:t>
            </w:r>
          </w:p>
        </w:tc>
        <w:tc>
          <w:tcPr>
            <w:tcW w:w="1871" w:type="dxa"/>
            <w:shd w:val="clear" w:color="auto" w:fill="F1F1F1" w:themeFill="background1" w:themeFillShade="F2"/>
          </w:tcPr>
          <w:p w14:paraId="7AF7162A">
            <w:pPr>
              <w:spacing w:after="0" w:line="240" w:lineRule="auto"/>
              <w:jc w:val="left"/>
              <w:rPr>
                <w:lang w:eastAsia="en-GB"/>
              </w:rPr>
            </w:pPr>
            <w:r>
              <w:rPr>
                <w:lang w:eastAsia="en-GB"/>
              </w:rPr>
              <w:t>Reinforces training as strategic investment</w:t>
            </w:r>
          </w:p>
        </w:tc>
      </w:tr>
      <w:tr w14:paraId="7BD985F5">
        <w:tblPrEx>
          <w:tblLayout w:type="fixed"/>
        </w:tblPrEx>
        <w:trPr>
          <w:trHeight w:val="290" w:hRule="atLeast"/>
        </w:trPr>
        <w:tc>
          <w:tcPr>
            <w:tcW w:w="1476" w:type="dxa"/>
          </w:tcPr>
          <w:p w14:paraId="2C846804">
            <w:pPr>
              <w:spacing w:after="0" w:line="240" w:lineRule="auto"/>
              <w:rPr>
                <w:b/>
                <w:bCs/>
                <w:lang w:eastAsia="en-GB"/>
              </w:rPr>
            </w:pPr>
            <w:r>
              <w:rPr>
                <w:b/>
                <w:bCs/>
                <w:lang w:eastAsia="en-GB"/>
              </w:rPr>
              <w:t>Sung and Choi (2018)</w:t>
            </w:r>
          </w:p>
        </w:tc>
        <w:tc>
          <w:tcPr>
            <w:tcW w:w="2204" w:type="dxa"/>
          </w:tcPr>
          <w:p w14:paraId="6E97318D">
            <w:pPr>
              <w:spacing w:after="0" w:line="240" w:lineRule="auto"/>
              <w:jc w:val="left"/>
              <w:rPr>
                <w:lang w:eastAsia="en-GB"/>
              </w:rPr>
            </w:pPr>
            <w:r>
              <w:rPr>
                <w:lang w:eastAsia="en-GB"/>
              </w:rPr>
              <w:t>T&amp;D and innovation</w:t>
            </w:r>
          </w:p>
        </w:tc>
        <w:tc>
          <w:tcPr>
            <w:tcW w:w="1599" w:type="dxa"/>
          </w:tcPr>
          <w:p w14:paraId="3954CEBB">
            <w:pPr>
              <w:spacing w:after="0" w:line="240" w:lineRule="auto"/>
              <w:jc w:val="left"/>
              <w:rPr>
                <w:lang w:eastAsia="en-GB"/>
              </w:rPr>
            </w:pPr>
            <w:r>
              <w:rPr>
                <w:lang w:eastAsia="en-GB"/>
              </w:rPr>
              <w:t>Quantitative</w:t>
            </w:r>
          </w:p>
        </w:tc>
        <w:tc>
          <w:tcPr>
            <w:tcW w:w="2200" w:type="dxa"/>
          </w:tcPr>
          <w:p w14:paraId="058BB3FA">
            <w:pPr>
              <w:spacing w:after="0" w:line="240" w:lineRule="auto"/>
              <w:jc w:val="left"/>
              <w:rPr>
                <w:lang w:eastAsia="en-GB"/>
              </w:rPr>
            </w:pPr>
            <w:r>
              <w:rPr>
                <w:lang w:eastAsia="en-GB"/>
              </w:rPr>
              <w:t>Training improves competence &amp; commitment → innovation</w:t>
            </w:r>
          </w:p>
        </w:tc>
        <w:tc>
          <w:tcPr>
            <w:tcW w:w="1871" w:type="dxa"/>
          </w:tcPr>
          <w:p w14:paraId="5B8441B4">
            <w:pPr>
              <w:spacing w:after="0" w:line="240" w:lineRule="auto"/>
              <w:jc w:val="left"/>
              <w:rPr>
                <w:lang w:eastAsia="en-GB"/>
              </w:rPr>
            </w:pPr>
            <w:r>
              <w:rPr>
                <w:lang w:eastAsia="en-GB"/>
              </w:rPr>
              <w:t>Highlights indirect impact of training</w:t>
            </w:r>
          </w:p>
        </w:tc>
      </w:tr>
      <w:tr w14:paraId="2F679ACD">
        <w:tblPrEx>
          <w:tblLayout w:type="fixed"/>
        </w:tblPrEx>
        <w:trPr>
          <w:trHeight w:val="290" w:hRule="atLeast"/>
        </w:trPr>
        <w:tc>
          <w:tcPr>
            <w:tcW w:w="1476" w:type="dxa"/>
            <w:shd w:val="clear" w:color="auto" w:fill="F1F1F1" w:themeFill="background1" w:themeFillShade="F2"/>
          </w:tcPr>
          <w:p w14:paraId="62F4F399">
            <w:pPr>
              <w:spacing w:after="0" w:line="240" w:lineRule="auto"/>
              <w:rPr>
                <w:b/>
                <w:bCs/>
                <w:lang w:eastAsia="en-GB"/>
              </w:rPr>
            </w:pPr>
            <w:r>
              <w:rPr>
                <w:b/>
                <w:bCs/>
                <w:lang w:eastAsia="en-GB"/>
              </w:rPr>
              <w:t>Saeed et al. (2019)</w:t>
            </w:r>
          </w:p>
        </w:tc>
        <w:tc>
          <w:tcPr>
            <w:tcW w:w="2204" w:type="dxa"/>
            <w:shd w:val="clear" w:color="auto" w:fill="F1F1F1" w:themeFill="background1" w:themeFillShade="F2"/>
          </w:tcPr>
          <w:p w14:paraId="6A322E7D">
            <w:pPr>
              <w:spacing w:after="0" w:line="240" w:lineRule="auto"/>
              <w:jc w:val="left"/>
              <w:rPr>
                <w:lang w:eastAsia="en-GB"/>
              </w:rPr>
            </w:pPr>
            <w:r>
              <w:rPr>
                <w:lang w:eastAsia="en-GB"/>
              </w:rPr>
              <w:t>Green HRM &amp; behaviour</w:t>
            </w:r>
          </w:p>
        </w:tc>
        <w:tc>
          <w:tcPr>
            <w:tcW w:w="1599" w:type="dxa"/>
            <w:shd w:val="clear" w:color="auto" w:fill="F1F1F1" w:themeFill="background1" w:themeFillShade="F2"/>
          </w:tcPr>
          <w:p w14:paraId="222E5F8F">
            <w:pPr>
              <w:spacing w:after="0" w:line="240" w:lineRule="auto"/>
              <w:jc w:val="left"/>
              <w:rPr>
                <w:lang w:eastAsia="en-GB"/>
              </w:rPr>
            </w:pPr>
            <w:r>
              <w:rPr>
                <w:lang w:eastAsia="en-GB"/>
              </w:rPr>
              <w:t>Quantitative</w:t>
            </w:r>
          </w:p>
        </w:tc>
        <w:tc>
          <w:tcPr>
            <w:tcW w:w="2200" w:type="dxa"/>
            <w:shd w:val="clear" w:color="auto" w:fill="F1F1F1" w:themeFill="background1" w:themeFillShade="F2"/>
          </w:tcPr>
          <w:p w14:paraId="6814A4DF">
            <w:pPr>
              <w:spacing w:after="0" w:line="240" w:lineRule="auto"/>
              <w:jc w:val="left"/>
              <w:rPr>
                <w:lang w:eastAsia="en-GB"/>
              </w:rPr>
            </w:pPr>
            <w:r>
              <w:rPr>
                <w:lang w:eastAsia="en-GB"/>
              </w:rPr>
              <w:t>Green training strongly influences pro-environmental behaviour</w:t>
            </w:r>
          </w:p>
        </w:tc>
        <w:tc>
          <w:tcPr>
            <w:tcW w:w="1871" w:type="dxa"/>
            <w:shd w:val="clear" w:color="auto" w:fill="F1F1F1" w:themeFill="background1" w:themeFillShade="F2"/>
          </w:tcPr>
          <w:p w14:paraId="7B05FA7E">
            <w:pPr>
              <w:spacing w:after="0" w:line="240" w:lineRule="auto"/>
              <w:jc w:val="left"/>
              <w:rPr>
                <w:lang w:eastAsia="en-GB"/>
              </w:rPr>
            </w:pPr>
            <w:r>
              <w:rPr>
                <w:lang w:eastAsia="en-GB"/>
              </w:rPr>
              <w:t>Extends training into sustainability context</w:t>
            </w:r>
          </w:p>
        </w:tc>
      </w:tr>
      <w:tr w14:paraId="053ACAAC">
        <w:tblPrEx>
          <w:tblLayout w:type="fixed"/>
        </w:tblPrEx>
        <w:trPr>
          <w:trHeight w:val="290" w:hRule="atLeast"/>
        </w:trPr>
        <w:tc>
          <w:tcPr>
            <w:tcW w:w="1476" w:type="dxa"/>
          </w:tcPr>
          <w:p w14:paraId="34AA7B06">
            <w:pPr>
              <w:spacing w:after="0" w:line="240" w:lineRule="auto"/>
              <w:rPr>
                <w:b/>
                <w:bCs/>
                <w:lang w:eastAsia="en-GB"/>
              </w:rPr>
            </w:pPr>
            <w:r>
              <w:rPr>
                <w:b/>
                <w:bCs/>
                <w:lang w:eastAsia="en-GB"/>
              </w:rPr>
              <w:t>Ekuma (2023)</w:t>
            </w:r>
          </w:p>
        </w:tc>
        <w:tc>
          <w:tcPr>
            <w:tcW w:w="2204" w:type="dxa"/>
          </w:tcPr>
          <w:p w14:paraId="0B3E52C6">
            <w:pPr>
              <w:spacing w:after="0" w:line="240" w:lineRule="auto"/>
              <w:jc w:val="left"/>
              <w:rPr>
                <w:lang w:eastAsia="en-GB"/>
              </w:rPr>
            </w:pPr>
            <w:r>
              <w:rPr>
                <w:lang w:eastAsia="en-GB"/>
              </w:rPr>
              <w:t>AI in HRD</w:t>
            </w:r>
          </w:p>
        </w:tc>
        <w:tc>
          <w:tcPr>
            <w:tcW w:w="1599" w:type="dxa"/>
          </w:tcPr>
          <w:p w14:paraId="70FA353E">
            <w:pPr>
              <w:spacing w:after="0" w:line="240" w:lineRule="auto"/>
              <w:jc w:val="left"/>
              <w:rPr>
                <w:lang w:eastAsia="en-GB"/>
              </w:rPr>
            </w:pPr>
            <w:r>
              <w:rPr>
                <w:lang w:eastAsia="en-GB"/>
              </w:rPr>
              <w:t>Systematic review</w:t>
            </w:r>
          </w:p>
        </w:tc>
        <w:tc>
          <w:tcPr>
            <w:tcW w:w="2200" w:type="dxa"/>
          </w:tcPr>
          <w:p w14:paraId="49D97805">
            <w:pPr>
              <w:spacing w:after="0" w:line="240" w:lineRule="auto"/>
              <w:jc w:val="left"/>
              <w:rPr>
                <w:lang w:eastAsia="en-GB"/>
              </w:rPr>
            </w:pPr>
            <w:r>
              <w:rPr>
                <w:lang w:eastAsia="en-GB"/>
              </w:rPr>
              <w:t>AI enables personalised training and data-driven HRD</w:t>
            </w:r>
          </w:p>
        </w:tc>
        <w:tc>
          <w:tcPr>
            <w:tcW w:w="1871" w:type="dxa"/>
          </w:tcPr>
          <w:p w14:paraId="36DE3241">
            <w:pPr>
              <w:spacing w:after="0" w:line="240" w:lineRule="auto"/>
              <w:jc w:val="left"/>
              <w:rPr>
                <w:lang w:eastAsia="en-GB"/>
              </w:rPr>
            </w:pPr>
            <w:r>
              <w:rPr>
                <w:lang w:eastAsia="en-GB"/>
              </w:rPr>
              <w:t>Shows digital transformation of training</w:t>
            </w:r>
          </w:p>
        </w:tc>
      </w:tr>
      <w:tr w14:paraId="7FFA7F92">
        <w:tblPrEx>
          <w:tblLayout w:type="fixed"/>
        </w:tblPrEx>
        <w:trPr>
          <w:trHeight w:val="290" w:hRule="atLeast"/>
        </w:trPr>
        <w:tc>
          <w:tcPr>
            <w:tcW w:w="1476" w:type="dxa"/>
            <w:shd w:val="clear" w:color="auto" w:fill="F1F1F1" w:themeFill="background1" w:themeFillShade="F2"/>
          </w:tcPr>
          <w:p w14:paraId="3B7DE0E8">
            <w:pPr>
              <w:spacing w:after="0" w:line="240" w:lineRule="auto"/>
              <w:rPr>
                <w:b/>
                <w:bCs/>
                <w:lang w:eastAsia="en-GB"/>
              </w:rPr>
            </w:pPr>
            <w:r>
              <w:rPr>
                <w:b/>
                <w:bCs/>
                <w:lang w:eastAsia="en-GB"/>
              </w:rPr>
              <w:t>Jia et al. (2018)</w:t>
            </w:r>
          </w:p>
        </w:tc>
        <w:tc>
          <w:tcPr>
            <w:tcW w:w="2204" w:type="dxa"/>
            <w:shd w:val="clear" w:color="auto" w:fill="F1F1F1" w:themeFill="background1" w:themeFillShade="F2"/>
          </w:tcPr>
          <w:p w14:paraId="6729F580">
            <w:pPr>
              <w:spacing w:after="0" w:line="240" w:lineRule="auto"/>
              <w:jc w:val="left"/>
              <w:rPr>
                <w:lang w:eastAsia="en-GB"/>
              </w:rPr>
            </w:pPr>
            <w:r>
              <w:rPr>
                <w:lang w:eastAsia="en-GB"/>
              </w:rPr>
              <w:t>AI framework in HRM</w:t>
            </w:r>
          </w:p>
        </w:tc>
        <w:tc>
          <w:tcPr>
            <w:tcW w:w="1599" w:type="dxa"/>
            <w:shd w:val="clear" w:color="auto" w:fill="F1F1F1" w:themeFill="background1" w:themeFillShade="F2"/>
          </w:tcPr>
          <w:p w14:paraId="4FBC2BCE">
            <w:pPr>
              <w:spacing w:after="0" w:line="240" w:lineRule="auto"/>
              <w:jc w:val="left"/>
              <w:rPr>
                <w:lang w:eastAsia="en-GB"/>
              </w:rPr>
            </w:pPr>
            <w:r>
              <w:rPr>
                <w:lang w:eastAsia="en-GB"/>
              </w:rPr>
              <w:t>Conceptual</w:t>
            </w:r>
          </w:p>
        </w:tc>
        <w:tc>
          <w:tcPr>
            <w:tcW w:w="2200" w:type="dxa"/>
            <w:shd w:val="clear" w:color="auto" w:fill="F1F1F1" w:themeFill="background1" w:themeFillShade="F2"/>
          </w:tcPr>
          <w:p w14:paraId="00E964CB">
            <w:pPr>
              <w:spacing w:after="0" w:line="240" w:lineRule="auto"/>
              <w:jc w:val="left"/>
              <w:rPr>
                <w:lang w:eastAsia="en-GB"/>
              </w:rPr>
            </w:pPr>
            <w:r>
              <w:rPr>
                <w:lang w:eastAsia="en-GB"/>
              </w:rPr>
              <w:t>AI enhances recruitment, training, and performance systems</w:t>
            </w:r>
          </w:p>
        </w:tc>
        <w:tc>
          <w:tcPr>
            <w:tcW w:w="1871" w:type="dxa"/>
            <w:shd w:val="clear" w:color="auto" w:fill="F1F1F1" w:themeFill="background1" w:themeFillShade="F2"/>
          </w:tcPr>
          <w:p w14:paraId="14CC62E4">
            <w:pPr>
              <w:spacing w:after="0" w:line="240" w:lineRule="auto"/>
              <w:jc w:val="left"/>
              <w:rPr>
                <w:lang w:eastAsia="en-GB"/>
              </w:rPr>
            </w:pPr>
            <w:r>
              <w:rPr>
                <w:lang w:eastAsia="en-GB"/>
              </w:rPr>
              <w:t>Supports technology-driven HR practices</w:t>
            </w:r>
          </w:p>
        </w:tc>
      </w:tr>
      <w:tr w14:paraId="6BAD5809">
        <w:tblPrEx>
          <w:tblLayout w:type="fixed"/>
        </w:tblPrEx>
        <w:trPr>
          <w:trHeight w:val="290" w:hRule="atLeast"/>
        </w:trPr>
        <w:tc>
          <w:tcPr>
            <w:tcW w:w="1476" w:type="dxa"/>
          </w:tcPr>
          <w:p w14:paraId="47FCF8F7">
            <w:pPr>
              <w:spacing w:after="0" w:line="240" w:lineRule="auto"/>
              <w:rPr>
                <w:b/>
                <w:bCs/>
                <w:lang w:eastAsia="en-GB"/>
              </w:rPr>
            </w:pPr>
            <w:r>
              <w:rPr>
                <w:b/>
                <w:bCs/>
                <w:lang w:eastAsia="en-GB"/>
              </w:rPr>
              <w:t>Zhang and Chen (2023)</w:t>
            </w:r>
          </w:p>
        </w:tc>
        <w:tc>
          <w:tcPr>
            <w:tcW w:w="2204" w:type="dxa"/>
          </w:tcPr>
          <w:p w14:paraId="4EE7F3C5">
            <w:pPr>
              <w:spacing w:after="0" w:line="240" w:lineRule="auto"/>
              <w:jc w:val="left"/>
              <w:rPr>
                <w:lang w:eastAsia="en-GB"/>
              </w:rPr>
            </w:pPr>
            <w:r>
              <w:rPr>
                <w:lang w:eastAsia="en-GB"/>
              </w:rPr>
              <w:t>Digital HRM transformation</w:t>
            </w:r>
          </w:p>
        </w:tc>
        <w:tc>
          <w:tcPr>
            <w:tcW w:w="1599" w:type="dxa"/>
          </w:tcPr>
          <w:p w14:paraId="337FB6D1">
            <w:pPr>
              <w:spacing w:after="0" w:line="240" w:lineRule="auto"/>
              <w:jc w:val="left"/>
              <w:rPr>
                <w:lang w:eastAsia="en-GB"/>
              </w:rPr>
            </w:pPr>
            <w:r>
              <w:rPr>
                <w:lang w:eastAsia="en-GB"/>
              </w:rPr>
              <w:t>Conceptual</w:t>
            </w:r>
          </w:p>
        </w:tc>
        <w:tc>
          <w:tcPr>
            <w:tcW w:w="2200" w:type="dxa"/>
          </w:tcPr>
          <w:p w14:paraId="45953921">
            <w:pPr>
              <w:spacing w:after="0" w:line="240" w:lineRule="auto"/>
              <w:jc w:val="left"/>
              <w:rPr>
                <w:lang w:eastAsia="en-GB"/>
              </w:rPr>
            </w:pPr>
            <w:r>
              <w:rPr>
                <w:lang w:eastAsia="en-GB"/>
              </w:rPr>
              <w:t>Digital tools improve HR efficiency and training delivery</w:t>
            </w:r>
          </w:p>
        </w:tc>
        <w:tc>
          <w:tcPr>
            <w:tcW w:w="1871" w:type="dxa"/>
          </w:tcPr>
          <w:p w14:paraId="08BD9297">
            <w:pPr>
              <w:spacing w:after="0" w:line="240" w:lineRule="auto"/>
              <w:jc w:val="left"/>
              <w:rPr>
                <w:lang w:eastAsia="en-GB"/>
              </w:rPr>
            </w:pPr>
            <w:r>
              <w:rPr>
                <w:lang w:eastAsia="en-GB"/>
              </w:rPr>
              <w:t>Links digitalisation with HR development</w:t>
            </w:r>
          </w:p>
        </w:tc>
      </w:tr>
      <w:tr w14:paraId="784E4082">
        <w:tblPrEx>
          <w:tblLayout w:type="fixed"/>
        </w:tblPrEx>
        <w:trPr>
          <w:trHeight w:val="290" w:hRule="atLeast"/>
        </w:trPr>
        <w:tc>
          <w:tcPr>
            <w:tcW w:w="1476" w:type="dxa"/>
            <w:shd w:val="clear" w:color="auto" w:fill="F1F1F1" w:themeFill="background1" w:themeFillShade="F2"/>
          </w:tcPr>
          <w:p w14:paraId="74173F69">
            <w:pPr>
              <w:spacing w:after="0" w:line="240" w:lineRule="auto"/>
              <w:rPr>
                <w:b/>
                <w:bCs/>
                <w:lang w:eastAsia="en-GB"/>
              </w:rPr>
            </w:pPr>
            <w:r>
              <w:rPr>
                <w:b/>
                <w:bCs/>
                <w:lang w:eastAsia="en-GB"/>
              </w:rPr>
              <w:t>Sima et al. (2020)</w:t>
            </w:r>
          </w:p>
        </w:tc>
        <w:tc>
          <w:tcPr>
            <w:tcW w:w="2204" w:type="dxa"/>
            <w:shd w:val="clear" w:color="auto" w:fill="F1F1F1" w:themeFill="background1" w:themeFillShade="F2"/>
          </w:tcPr>
          <w:p w14:paraId="3AE89FF2">
            <w:pPr>
              <w:spacing w:after="0" w:line="240" w:lineRule="auto"/>
              <w:jc w:val="left"/>
              <w:rPr>
                <w:lang w:eastAsia="en-GB"/>
              </w:rPr>
            </w:pPr>
            <w:r>
              <w:rPr>
                <w:lang w:eastAsia="en-GB"/>
              </w:rPr>
              <w:t>Industry 4.0 &amp; human capital</w:t>
            </w:r>
          </w:p>
        </w:tc>
        <w:tc>
          <w:tcPr>
            <w:tcW w:w="1599" w:type="dxa"/>
            <w:shd w:val="clear" w:color="auto" w:fill="F1F1F1" w:themeFill="background1" w:themeFillShade="F2"/>
          </w:tcPr>
          <w:p w14:paraId="094CEA0C">
            <w:pPr>
              <w:spacing w:after="0" w:line="240" w:lineRule="auto"/>
              <w:jc w:val="left"/>
              <w:rPr>
                <w:lang w:eastAsia="en-GB"/>
              </w:rPr>
            </w:pPr>
            <w:r>
              <w:rPr>
                <w:lang w:eastAsia="en-GB"/>
              </w:rPr>
              <w:t>Systematic review</w:t>
            </w:r>
          </w:p>
        </w:tc>
        <w:tc>
          <w:tcPr>
            <w:tcW w:w="2200" w:type="dxa"/>
            <w:shd w:val="clear" w:color="auto" w:fill="F1F1F1" w:themeFill="background1" w:themeFillShade="F2"/>
          </w:tcPr>
          <w:p w14:paraId="66BB8DBF">
            <w:pPr>
              <w:spacing w:after="0" w:line="240" w:lineRule="auto"/>
              <w:jc w:val="left"/>
              <w:rPr>
                <w:lang w:eastAsia="en-GB"/>
              </w:rPr>
            </w:pPr>
            <w:r>
              <w:rPr>
                <w:lang w:eastAsia="en-GB"/>
              </w:rPr>
              <w:t>Requires continuous upskilling and digital competencies</w:t>
            </w:r>
          </w:p>
        </w:tc>
        <w:tc>
          <w:tcPr>
            <w:tcW w:w="1871" w:type="dxa"/>
            <w:shd w:val="clear" w:color="auto" w:fill="F1F1F1" w:themeFill="background1" w:themeFillShade="F2"/>
          </w:tcPr>
          <w:p w14:paraId="4439CBDA">
            <w:pPr>
              <w:spacing w:after="0" w:line="240" w:lineRule="auto"/>
              <w:jc w:val="left"/>
              <w:rPr>
                <w:lang w:eastAsia="en-GB"/>
              </w:rPr>
            </w:pPr>
            <w:r>
              <w:rPr>
                <w:lang w:eastAsia="en-GB"/>
              </w:rPr>
              <w:t>Highlights evolving skill demands</w:t>
            </w:r>
          </w:p>
        </w:tc>
      </w:tr>
      <w:tr w14:paraId="7889DD6F">
        <w:tblPrEx>
          <w:tblLayout w:type="fixed"/>
        </w:tblPrEx>
        <w:trPr>
          <w:trHeight w:val="290" w:hRule="atLeast"/>
        </w:trPr>
        <w:tc>
          <w:tcPr>
            <w:tcW w:w="1476" w:type="dxa"/>
          </w:tcPr>
          <w:p w14:paraId="6D0DC504">
            <w:pPr>
              <w:spacing w:after="0" w:line="240" w:lineRule="auto"/>
              <w:rPr>
                <w:b/>
                <w:bCs/>
                <w:lang w:eastAsia="en-GB"/>
              </w:rPr>
            </w:pPr>
            <w:r>
              <w:rPr>
                <w:b/>
                <w:bCs/>
                <w:lang w:eastAsia="en-GB"/>
              </w:rPr>
              <w:t>Davidescu et al. (2020)</w:t>
            </w:r>
          </w:p>
        </w:tc>
        <w:tc>
          <w:tcPr>
            <w:tcW w:w="2204" w:type="dxa"/>
          </w:tcPr>
          <w:p w14:paraId="444C2C27">
            <w:pPr>
              <w:spacing w:after="0" w:line="240" w:lineRule="auto"/>
              <w:jc w:val="left"/>
              <w:rPr>
                <w:lang w:eastAsia="en-GB"/>
              </w:rPr>
            </w:pPr>
            <w:r>
              <w:rPr>
                <w:lang w:eastAsia="en-GB"/>
              </w:rPr>
              <w:t>Flexibility, satisfaction, performance</w:t>
            </w:r>
          </w:p>
        </w:tc>
        <w:tc>
          <w:tcPr>
            <w:tcW w:w="1599" w:type="dxa"/>
          </w:tcPr>
          <w:p w14:paraId="3946BE31">
            <w:pPr>
              <w:spacing w:after="0" w:line="240" w:lineRule="auto"/>
              <w:jc w:val="left"/>
              <w:rPr>
                <w:lang w:eastAsia="en-GB"/>
              </w:rPr>
            </w:pPr>
            <w:r>
              <w:rPr>
                <w:lang w:eastAsia="en-GB"/>
              </w:rPr>
              <w:t>Quantitative</w:t>
            </w:r>
          </w:p>
        </w:tc>
        <w:tc>
          <w:tcPr>
            <w:tcW w:w="2200" w:type="dxa"/>
          </w:tcPr>
          <w:p w14:paraId="69FB3876">
            <w:pPr>
              <w:spacing w:after="0" w:line="240" w:lineRule="auto"/>
              <w:jc w:val="left"/>
              <w:rPr>
                <w:lang w:eastAsia="en-GB"/>
              </w:rPr>
            </w:pPr>
            <w:r>
              <w:rPr>
                <w:lang w:eastAsia="en-GB"/>
              </w:rPr>
              <w:t>Training + flexibility improve job satisfaction</w:t>
            </w:r>
          </w:p>
        </w:tc>
        <w:tc>
          <w:tcPr>
            <w:tcW w:w="1871" w:type="dxa"/>
          </w:tcPr>
          <w:p w14:paraId="65B1FED3">
            <w:pPr>
              <w:spacing w:after="0" w:line="240" w:lineRule="auto"/>
              <w:jc w:val="left"/>
              <w:rPr>
                <w:lang w:eastAsia="en-GB"/>
              </w:rPr>
            </w:pPr>
            <w:r>
              <w:rPr>
                <w:lang w:eastAsia="en-GB"/>
              </w:rPr>
              <w:t>Connects HR practices with outcomes</w:t>
            </w:r>
          </w:p>
        </w:tc>
      </w:tr>
      <w:tr w14:paraId="529DD9B6">
        <w:tblPrEx>
          <w:tblLayout w:type="fixed"/>
        </w:tblPrEx>
        <w:trPr>
          <w:trHeight w:val="290" w:hRule="atLeast"/>
        </w:trPr>
        <w:tc>
          <w:tcPr>
            <w:tcW w:w="1476" w:type="dxa"/>
            <w:shd w:val="clear" w:color="auto" w:fill="F1F1F1" w:themeFill="background1" w:themeFillShade="F2"/>
          </w:tcPr>
          <w:p w14:paraId="5C00E408">
            <w:pPr>
              <w:spacing w:after="0" w:line="240" w:lineRule="auto"/>
              <w:rPr>
                <w:b/>
                <w:bCs/>
                <w:lang w:eastAsia="en-GB"/>
              </w:rPr>
            </w:pPr>
            <w:r>
              <w:rPr>
                <w:b/>
                <w:bCs/>
                <w:lang w:eastAsia="en-GB"/>
              </w:rPr>
              <w:t>Yong et al. (2020)</w:t>
            </w:r>
          </w:p>
        </w:tc>
        <w:tc>
          <w:tcPr>
            <w:tcW w:w="2204" w:type="dxa"/>
            <w:shd w:val="clear" w:color="auto" w:fill="F1F1F1" w:themeFill="background1" w:themeFillShade="F2"/>
          </w:tcPr>
          <w:p w14:paraId="2938F8B9">
            <w:pPr>
              <w:spacing w:after="0" w:line="240" w:lineRule="auto"/>
              <w:jc w:val="left"/>
              <w:rPr>
                <w:lang w:eastAsia="en-GB"/>
              </w:rPr>
            </w:pPr>
            <w:r>
              <w:rPr>
                <w:lang w:eastAsia="en-GB"/>
              </w:rPr>
              <w:t>Green HRM &amp; sustainability</w:t>
            </w:r>
          </w:p>
        </w:tc>
        <w:tc>
          <w:tcPr>
            <w:tcW w:w="1599" w:type="dxa"/>
            <w:shd w:val="clear" w:color="auto" w:fill="F1F1F1" w:themeFill="background1" w:themeFillShade="F2"/>
          </w:tcPr>
          <w:p w14:paraId="09AAA7AE">
            <w:pPr>
              <w:spacing w:after="0" w:line="240" w:lineRule="auto"/>
              <w:jc w:val="left"/>
              <w:rPr>
                <w:lang w:eastAsia="en-GB"/>
              </w:rPr>
            </w:pPr>
            <w:r>
              <w:rPr>
                <w:lang w:eastAsia="en-GB"/>
              </w:rPr>
              <w:t>Quantitative</w:t>
            </w:r>
          </w:p>
        </w:tc>
        <w:tc>
          <w:tcPr>
            <w:tcW w:w="2200" w:type="dxa"/>
            <w:shd w:val="clear" w:color="auto" w:fill="F1F1F1" w:themeFill="background1" w:themeFillShade="F2"/>
          </w:tcPr>
          <w:p w14:paraId="72EF62D9">
            <w:pPr>
              <w:spacing w:after="0" w:line="240" w:lineRule="auto"/>
              <w:jc w:val="left"/>
              <w:rPr>
                <w:lang w:eastAsia="en-GB"/>
              </w:rPr>
            </w:pPr>
            <w:r>
              <w:rPr>
                <w:lang w:eastAsia="en-GB"/>
              </w:rPr>
              <w:t>Green training and recruitment drive sustainability</w:t>
            </w:r>
          </w:p>
        </w:tc>
        <w:tc>
          <w:tcPr>
            <w:tcW w:w="1871" w:type="dxa"/>
            <w:shd w:val="clear" w:color="auto" w:fill="F1F1F1" w:themeFill="background1" w:themeFillShade="F2"/>
          </w:tcPr>
          <w:p w14:paraId="64B01837">
            <w:pPr>
              <w:spacing w:after="0" w:line="240" w:lineRule="auto"/>
              <w:jc w:val="left"/>
              <w:rPr>
                <w:lang w:eastAsia="en-GB"/>
              </w:rPr>
            </w:pPr>
            <w:r>
              <w:rPr>
                <w:lang w:eastAsia="en-GB"/>
              </w:rPr>
              <w:t>Shows HR’s role in sustainable performance</w:t>
            </w:r>
          </w:p>
        </w:tc>
      </w:tr>
      <w:tr w14:paraId="3CE40824">
        <w:tblPrEx>
          <w:tblLayout w:type="fixed"/>
        </w:tblPrEx>
        <w:trPr>
          <w:trHeight w:val="290" w:hRule="atLeast"/>
        </w:trPr>
        <w:tc>
          <w:tcPr>
            <w:tcW w:w="1476" w:type="dxa"/>
          </w:tcPr>
          <w:p w14:paraId="0CB5EBE5">
            <w:pPr>
              <w:spacing w:after="0" w:line="240" w:lineRule="auto"/>
              <w:rPr>
                <w:b/>
                <w:bCs/>
                <w:lang w:eastAsia="en-GB"/>
              </w:rPr>
            </w:pPr>
            <w:r>
              <w:rPr>
                <w:b/>
                <w:bCs/>
                <w:lang w:eastAsia="en-GB"/>
              </w:rPr>
              <w:t>Yong et al. (2019)</w:t>
            </w:r>
          </w:p>
        </w:tc>
        <w:tc>
          <w:tcPr>
            <w:tcW w:w="2204" w:type="dxa"/>
          </w:tcPr>
          <w:p w14:paraId="3A275C53">
            <w:pPr>
              <w:spacing w:after="0" w:line="240" w:lineRule="auto"/>
              <w:jc w:val="left"/>
              <w:rPr>
                <w:lang w:eastAsia="en-GB"/>
              </w:rPr>
            </w:pPr>
            <w:r>
              <w:rPr>
                <w:lang w:eastAsia="en-GB"/>
              </w:rPr>
              <w:t>Green intellectual capital</w:t>
            </w:r>
          </w:p>
        </w:tc>
        <w:tc>
          <w:tcPr>
            <w:tcW w:w="1599" w:type="dxa"/>
          </w:tcPr>
          <w:p w14:paraId="130DB578">
            <w:pPr>
              <w:spacing w:after="0" w:line="240" w:lineRule="auto"/>
              <w:jc w:val="left"/>
              <w:rPr>
                <w:lang w:eastAsia="en-GB"/>
              </w:rPr>
            </w:pPr>
            <w:r>
              <w:rPr>
                <w:lang w:eastAsia="en-GB"/>
              </w:rPr>
              <w:t>Quantitative</w:t>
            </w:r>
          </w:p>
        </w:tc>
        <w:tc>
          <w:tcPr>
            <w:tcW w:w="2200" w:type="dxa"/>
          </w:tcPr>
          <w:p w14:paraId="0FF783DB">
            <w:pPr>
              <w:spacing w:after="0" w:line="240" w:lineRule="auto"/>
              <w:jc w:val="left"/>
              <w:rPr>
                <w:lang w:eastAsia="en-GB"/>
              </w:rPr>
            </w:pPr>
            <w:r>
              <w:rPr>
                <w:lang w:eastAsia="en-GB"/>
              </w:rPr>
              <w:t>Human capital is key driver of green HRM</w:t>
            </w:r>
          </w:p>
        </w:tc>
        <w:tc>
          <w:tcPr>
            <w:tcW w:w="1871" w:type="dxa"/>
          </w:tcPr>
          <w:p w14:paraId="258A1212">
            <w:pPr>
              <w:spacing w:after="0" w:line="240" w:lineRule="auto"/>
              <w:jc w:val="left"/>
              <w:rPr>
                <w:lang w:eastAsia="en-GB"/>
              </w:rPr>
            </w:pPr>
            <w:r>
              <w:rPr>
                <w:lang w:eastAsia="en-GB"/>
              </w:rPr>
              <w:t>Reinforces importance of skills &amp; knowledge</w:t>
            </w:r>
          </w:p>
        </w:tc>
      </w:tr>
      <w:tr w14:paraId="03466A60">
        <w:tblPrEx>
          <w:tblLayout w:type="fixed"/>
        </w:tblPrEx>
        <w:trPr>
          <w:trHeight w:val="290" w:hRule="atLeast"/>
        </w:trPr>
        <w:tc>
          <w:tcPr>
            <w:tcW w:w="1476" w:type="dxa"/>
            <w:shd w:val="clear" w:color="auto" w:fill="F1F1F1" w:themeFill="background1" w:themeFillShade="F2"/>
          </w:tcPr>
          <w:p w14:paraId="1319317C">
            <w:pPr>
              <w:spacing w:after="0" w:line="240" w:lineRule="auto"/>
              <w:rPr>
                <w:b/>
                <w:bCs/>
                <w:lang w:eastAsia="en-GB"/>
              </w:rPr>
            </w:pPr>
            <w:r>
              <w:rPr>
                <w:b/>
                <w:bCs/>
                <w:lang w:eastAsia="en-GB"/>
              </w:rPr>
              <w:t>Boon et al. (2018)</w:t>
            </w:r>
          </w:p>
        </w:tc>
        <w:tc>
          <w:tcPr>
            <w:tcW w:w="2204" w:type="dxa"/>
            <w:shd w:val="clear" w:color="auto" w:fill="F1F1F1" w:themeFill="background1" w:themeFillShade="F2"/>
          </w:tcPr>
          <w:p w14:paraId="488C24CF">
            <w:pPr>
              <w:spacing w:after="0" w:line="240" w:lineRule="auto"/>
              <w:jc w:val="left"/>
              <w:rPr>
                <w:lang w:eastAsia="en-GB"/>
              </w:rPr>
            </w:pPr>
            <w:r>
              <w:rPr>
                <w:lang w:eastAsia="en-GB"/>
              </w:rPr>
              <w:t>SHC &amp; strategic HRM integration</w:t>
            </w:r>
          </w:p>
        </w:tc>
        <w:tc>
          <w:tcPr>
            <w:tcW w:w="1599" w:type="dxa"/>
            <w:shd w:val="clear" w:color="auto" w:fill="F1F1F1" w:themeFill="background1" w:themeFillShade="F2"/>
          </w:tcPr>
          <w:p w14:paraId="436CECF8">
            <w:pPr>
              <w:spacing w:after="0" w:line="240" w:lineRule="auto"/>
              <w:jc w:val="left"/>
              <w:rPr>
                <w:lang w:eastAsia="en-GB"/>
              </w:rPr>
            </w:pPr>
            <w:r>
              <w:rPr>
                <w:lang w:eastAsia="en-GB"/>
              </w:rPr>
              <w:t>Conceptual</w:t>
            </w:r>
          </w:p>
        </w:tc>
        <w:tc>
          <w:tcPr>
            <w:tcW w:w="2200" w:type="dxa"/>
            <w:shd w:val="clear" w:color="auto" w:fill="F1F1F1" w:themeFill="background1" w:themeFillShade="F2"/>
          </w:tcPr>
          <w:p w14:paraId="44CBC2C8">
            <w:pPr>
              <w:spacing w:after="0" w:line="240" w:lineRule="auto"/>
              <w:jc w:val="left"/>
              <w:rPr>
                <w:lang w:eastAsia="en-GB"/>
              </w:rPr>
            </w:pPr>
            <w:r>
              <w:rPr>
                <w:lang w:eastAsia="en-GB"/>
              </w:rPr>
              <w:t>HR systems shape valuable human capital</w:t>
            </w:r>
          </w:p>
        </w:tc>
        <w:tc>
          <w:tcPr>
            <w:tcW w:w="1871" w:type="dxa"/>
            <w:shd w:val="clear" w:color="auto" w:fill="F1F1F1" w:themeFill="background1" w:themeFillShade="F2"/>
          </w:tcPr>
          <w:p w14:paraId="57FC4095">
            <w:pPr>
              <w:spacing w:after="0" w:line="240" w:lineRule="auto"/>
              <w:jc w:val="left"/>
              <w:rPr>
                <w:lang w:eastAsia="en-GB"/>
              </w:rPr>
            </w:pPr>
            <w:r>
              <w:rPr>
                <w:lang w:eastAsia="en-GB"/>
              </w:rPr>
              <w:t>Provides theoretical foundation</w:t>
            </w:r>
          </w:p>
        </w:tc>
      </w:tr>
      <w:tr w14:paraId="59856C4C">
        <w:tblPrEx>
          <w:tblLayout w:type="fixed"/>
        </w:tblPrEx>
        <w:trPr>
          <w:trHeight w:val="290" w:hRule="atLeast"/>
        </w:trPr>
        <w:tc>
          <w:tcPr>
            <w:tcW w:w="1476" w:type="dxa"/>
          </w:tcPr>
          <w:p w14:paraId="3F6B9AF9">
            <w:pPr>
              <w:spacing w:after="0" w:line="240" w:lineRule="auto"/>
              <w:rPr>
                <w:b/>
                <w:bCs/>
                <w:lang w:eastAsia="en-GB"/>
              </w:rPr>
            </w:pPr>
            <w:r>
              <w:rPr>
                <w:b/>
                <w:bCs/>
                <w:lang w:eastAsia="en-GB"/>
              </w:rPr>
              <w:t>Goldin (2024)</w:t>
            </w:r>
          </w:p>
        </w:tc>
        <w:tc>
          <w:tcPr>
            <w:tcW w:w="2204" w:type="dxa"/>
          </w:tcPr>
          <w:p w14:paraId="1E2521D8">
            <w:pPr>
              <w:spacing w:after="0" w:line="240" w:lineRule="auto"/>
              <w:jc w:val="left"/>
              <w:rPr>
                <w:lang w:eastAsia="en-GB"/>
              </w:rPr>
            </w:pPr>
            <w:r>
              <w:rPr>
                <w:lang w:eastAsia="en-GB"/>
              </w:rPr>
              <w:t>Human capital theory</w:t>
            </w:r>
          </w:p>
        </w:tc>
        <w:tc>
          <w:tcPr>
            <w:tcW w:w="1599" w:type="dxa"/>
          </w:tcPr>
          <w:p w14:paraId="11902EB8">
            <w:pPr>
              <w:spacing w:after="0" w:line="240" w:lineRule="auto"/>
              <w:jc w:val="left"/>
              <w:rPr>
                <w:lang w:eastAsia="en-GB"/>
              </w:rPr>
            </w:pPr>
            <w:r>
              <w:rPr>
                <w:lang w:eastAsia="en-GB"/>
              </w:rPr>
              <w:t>Conceptual</w:t>
            </w:r>
          </w:p>
        </w:tc>
        <w:tc>
          <w:tcPr>
            <w:tcW w:w="2200" w:type="dxa"/>
          </w:tcPr>
          <w:p w14:paraId="635CF4C0">
            <w:pPr>
              <w:spacing w:after="0" w:line="240" w:lineRule="auto"/>
              <w:jc w:val="left"/>
              <w:rPr>
                <w:lang w:eastAsia="en-GB"/>
              </w:rPr>
            </w:pPr>
            <w:r>
              <w:rPr>
                <w:lang w:eastAsia="en-GB"/>
              </w:rPr>
              <w:t>Skills, knowledge, and education drive performance</w:t>
            </w:r>
          </w:p>
        </w:tc>
        <w:tc>
          <w:tcPr>
            <w:tcW w:w="1871" w:type="dxa"/>
          </w:tcPr>
          <w:p w14:paraId="00265487">
            <w:pPr>
              <w:spacing w:after="0" w:line="240" w:lineRule="auto"/>
              <w:jc w:val="left"/>
              <w:rPr>
                <w:lang w:eastAsia="en-GB"/>
              </w:rPr>
            </w:pPr>
            <w:r>
              <w:rPr>
                <w:lang w:eastAsia="en-GB"/>
              </w:rPr>
              <w:t>Core theoretical base</w:t>
            </w:r>
          </w:p>
        </w:tc>
      </w:tr>
      <w:tr w14:paraId="57C68B8F">
        <w:tblPrEx>
          <w:tblLayout w:type="fixed"/>
        </w:tblPrEx>
        <w:trPr>
          <w:trHeight w:val="290" w:hRule="atLeast"/>
        </w:trPr>
        <w:tc>
          <w:tcPr>
            <w:tcW w:w="1476" w:type="dxa"/>
            <w:shd w:val="clear" w:color="auto" w:fill="F1F1F1" w:themeFill="background1" w:themeFillShade="F2"/>
          </w:tcPr>
          <w:p w14:paraId="6E9894B9">
            <w:pPr>
              <w:spacing w:after="0" w:line="240" w:lineRule="auto"/>
              <w:rPr>
                <w:b/>
                <w:bCs/>
                <w:lang w:eastAsia="en-GB"/>
              </w:rPr>
            </w:pPr>
            <w:r>
              <w:rPr>
                <w:b/>
                <w:bCs/>
                <w:lang w:eastAsia="en-GB"/>
              </w:rPr>
              <w:t>Dirani et al. (2020)</w:t>
            </w:r>
          </w:p>
        </w:tc>
        <w:tc>
          <w:tcPr>
            <w:tcW w:w="2204" w:type="dxa"/>
            <w:shd w:val="clear" w:color="auto" w:fill="F1F1F1" w:themeFill="background1" w:themeFillShade="F2"/>
          </w:tcPr>
          <w:p w14:paraId="6E8E61C2">
            <w:pPr>
              <w:spacing w:after="0" w:line="240" w:lineRule="auto"/>
              <w:jc w:val="left"/>
              <w:rPr>
                <w:lang w:eastAsia="en-GB"/>
              </w:rPr>
            </w:pPr>
            <w:r>
              <w:rPr>
                <w:lang w:eastAsia="en-GB"/>
              </w:rPr>
              <w:t>HRD in crisis</w:t>
            </w:r>
          </w:p>
        </w:tc>
        <w:tc>
          <w:tcPr>
            <w:tcW w:w="1599" w:type="dxa"/>
            <w:shd w:val="clear" w:color="auto" w:fill="F1F1F1" w:themeFill="background1" w:themeFillShade="F2"/>
          </w:tcPr>
          <w:p w14:paraId="674946AF">
            <w:pPr>
              <w:spacing w:after="0" w:line="240" w:lineRule="auto"/>
              <w:jc w:val="left"/>
              <w:rPr>
                <w:lang w:eastAsia="en-GB"/>
              </w:rPr>
            </w:pPr>
            <w:r>
              <w:rPr>
                <w:lang w:eastAsia="en-GB"/>
              </w:rPr>
              <w:t>Conceptual</w:t>
            </w:r>
          </w:p>
        </w:tc>
        <w:tc>
          <w:tcPr>
            <w:tcW w:w="2200" w:type="dxa"/>
            <w:shd w:val="clear" w:color="auto" w:fill="F1F1F1" w:themeFill="background1" w:themeFillShade="F2"/>
          </w:tcPr>
          <w:p w14:paraId="0129A77B">
            <w:pPr>
              <w:spacing w:after="0" w:line="240" w:lineRule="auto"/>
              <w:jc w:val="left"/>
              <w:rPr>
                <w:lang w:eastAsia="en-GB"/>
              </w:rPr>
            </w:pPr>
            <w:r>
              <w:rPr>
                <w:lang w:eastAsia="en-GB"/>
              </w:rPr>
              <w:t>HRD supports resilience, adaptability, leadership</w:t>
            </w:r>
          </w:p>
        </w:tc>
        <w:tc>
          <w:tcPr>
            <w:tcW w:w="1871" w:type="dxa"/>
            <w:shd w:val="clear" w:color="auto" w:fill="F1F1F1" w:themeFill="background1" w:themeFillShade="F2"/>
          </w:tcPr>
          <w:p w14:paraId="360ACF7C">
            <w:pPr>
              <w:spacing w:after="0" w:line="240" w:lineRule="auto"/>
              <w:jc w:val="left"/>
              <w:rPr>
                <w:lang w:eastAsia="en-GB"/>
              </w:rPr>
            </w:pPr>
            <w:r>
              <w:rPr>
                <w:lang w:eastAsia="en-GB"/>
              </w:rPr>
              <w:t>Expands HRD role beyond training</w:t>
            </w:r>
          </w:p>
        </w:tc>
      </w:tr>
      <w:tr w14:paraId="1FA69626">
        <w:tblPrEx>
          <w:tblLayout w:type="fixed"/>
        </w:tblPrEx>
        <w:trPr>
          <w:trHeight w:val="290" w:hRule="atLeast"/>
        </w:trPr>
        <w:tc>
          <w:tcPr>
            <w:tcW w:w="1476" w:type="dxa"/>
          </w:tcPr>
          <w:p w14:paraId="76E4C523">
            <w:pPr>
              <w:spacing w:after="0" w:line="240" w:lineRule="auto"/>
              <w:rPr>
                <w:b/>
                <w:bCs/>
                <w:lang w:eastAsia="en-GB"/>
              </w:rPr>
            </w:pPr>
            <w:r>
              <w:rPr>
                <w:b/>
                <w:bCs/>
                <w:lang w:eastAsia="en-GB"/>
              </w:rPr>
              <w:t>Tang et al. (2018)</w:t>
            </w:r>
          </w:p>
        </w:tc>
        <w:tc>
          <w:tcPr>
            <w:tcW w:w="2204" w:type="dxa"/>
          </w:tcPr>
          <w:p w14:paraId="416BC7E6">
            <w:pPr>
              <w:spacing w:after="0" w:line="240" w:lineRule="auto"/>
              <w:jc w:val="left"/>
              <w:rPr>
                <w:lang w:eastAsia="en-GB"/>
              </w:rPr>
            </w:pPr>
            <w:r>
              <w:rPr>
                <w:lang w:eastAsia="en-GB"/>
              </w:rPr>
              <w:t>Green HRM framework</w:t>
            </w:r>
          </w:p>
        </w:tc>
        <w:tc>
          <w:tcPr>
            <w:tcW w:w="1599" w:type="dxa"/>
          </w:tcPr>
          <w:p w14:paraId="5EE0A9E1">
            <w:pPr>
              <w:spacing w:after="0" w:line="240" w:lineRule="auto"/>
              <w:jc w:val="left"/>
              <w:rPr>
                <w:lang w:eastAsia="en-GB"/>
              </w:rPr>
            </w:pPr>
            <w:r>
              <w:rPr>
                <w:lang w:eastAsia="en-GB"/>
              </w:rPr>
              <w:t>Empirical</w:t>
            </w:r>
          </w:p>
        </w:tc>
        <w:tc>
          <w:tcPr>
            <w:tcW w:w="2200" w:type="dxa"/>
          </w:tcPr>
          <w:p w14:paraId="6BE20915">
            <w:pPr>
              <w:spacing w:after="0" w:line="240" w:lineRule="auto"/>
              <w:jc w:val="left"/>
              <w:rPr>
                <w:lang w:eastAsia="en-GB"/>
              </w:rPr>
            </w:pPr>
            <w:r>
              <w:rPr>
                <w:lang w:eastAsia="en-GB"/>
              </w:rPr>
              <w:t>Training is key dimension of GHRM</w:t>
            </w:r>
          </w:p>
        </w:tc>
        <w:tc>
          <w:tcPr>
            <w:tcW w:w="1871" w:type="dxa"/>
          </w:tcPr>
          <w:p w14:paraId="59835D7E">
            <w:pPr>
              <w:spacing w:after="0" w:line="240" w:lineRule="auto"/>
              <w:jc w:val="left"/>
              <w:rPr>
                <w:lang w:eastAsia="en-GB"/>
              </w:rPr>
            </w:pPr>
            <w:r>
              <w:rPr>
                <w:lang w:eastAsia="en-GB"/>
              </w:rPr>
              <w:t>Supports multidimensional HR approach</w:t>
            </w:r>
          </w:p>
        </w:tc>
      </w:tr>
      <w:tr w14:paraId="6DEB0380">
        <w:tblPrEx>
          <w:tblLayout w:type="fixed"/>
        </w:tblPrEx>
        <w:trPr>
          <w:trHeight w:val="290" w:hRule="atLeast"/>
        </w:trPr>
        <w:tc>
          <w:tcPr>
            <w:tcW w:w="1476" w:type="dxa"/>
            <w:shd w:val="clear" w:color="auto" w:fill="F1F1F1" w:themeFill="background1" w:themeFillShade="F2"/>
          </w:tcPr>
          <w:p w14:paraId="54DAEE72">
            <w:pPr>
              <w:spacing w:after="0" w:line="240" w:lineRule="auto"/>
              <w:rPr>
                <w:b/>
                <w:bCs/>
                <w:lang w:eastAsia="en-GB"/>
              </w:rPr>
            </w:pPr>
            <w:r>
              <w:rPr>
                <w:b/>
                <w:bCs/>
                <w:lang w:eastAsia="en-GB"/>
              </w:rPr>
              <w:t>Chams and García-Blandón (2019)</w:t>
            </w:r>
          </w:p>
        </w:tc>
        <w:tc>
          <w:tcPr>
            <w:tcW w:w="2204" w:type="dxa"/>
            <w:shd w:val="clear" w:color="auto" w:fill="F1F1F1" w:themeFill="background1" w:themeFillShade="F2"/>
          </w:tcPr>
          <w:p w14:paraId="6DFA5F8E">
            <w:pPr>
              <w:spacing w:after="0" w:line="240" w:lineRule="auto"/>
              <w:jc w:val="left"/>
              <w:rPr>
                <w:lang w:eastAsia="en-GB"/>
              </w:rPr>
            </w:pPr>
            <w:r>
              <w:rPr>
                <w:lang w:eastAsia="en-GB"/>
              </w:rPr>
              <w:t>SHRM &amp; SDGs</w:t>
            </w:r>
          </w:p>
        </w:tc>
        <w:tc>
          <w:tcPr>
            <w:tcW w:w="1599" w:type="dxa"/>
            <w:shd w:val="clear" w:color="auto" w:fill="F1F1F1" w:themeFill="background1" w:themeFillShade="F2"/>
          </w:tcPr>
          <w:p w14:paraId="3930CA1D">
            <w:pPr>
              <w:spacing w:after="0" w:line="240" w:lineRule="auto"/>
              <w:jc w:val="left"/>
              <w:rPr>
                <w:lang w:eastAsia="en-GB"/>
              </w:rPr>
            </w:pPr>
            <w:r>
              <w:rPr>
                <w:lang w:eastAsia="en-GB"/>
              </w:rPr>
              <w:t>Conceptual</w:t>
            </w:r>
          </w:p>
        </w:tc>
        <w:tc>
          <w:tcPr>
            <w:tcW w:w="2200" w:type="dxa"/>
            <w:shd w:val="clear" w:color="auto" w:fill="F1F1F1" w:themeFill="background1" w:themeFillShade="F2"/>
          </w:tcPr>
          <w:p w14:paraId="1FC69A5F">
            <w:pPr>
              <w:spacing w:after="0" w:line="240" w:lineRule="auto"/>
              <w:jc w:val="left"/>
              <w:rPr>
                <w:lang w:eastAsia="en-GB"/>
              </w:rPr>
            </w:pPr>
            <w:r>
              <w:rPr>
                <w:lang w:eastAsia="en-GB"/>
              </w:rPr>
              <w:t>HRM supports sustainability through skills &amp; values</w:t>
            </w:r>
          </w:p>
        </w:tc>
        <w:tc>
          <w:tcPr>
            <w:tcW w:w="1871" w:type="dxa"/>
            <w:shd w:val="clear" w:color="auto" w:fill="F1F1F1" w:themeFill="background1" w:themeFillShade="F2"/>
          </w:tcPr>
          <w:p w14:paraId="211CEE34">
            <w:pPr>
              <w:spacing w:after="0" w:line="240" w:lineRule="auto"/>
              <w:jc w:val="left"/>
              <w:rPr>
                <w:lang w:eastAsia="en-GB"/>
              </w:rPr>
            </w:pPr>
            <w:r>
              <w:rPr>
                <w:lang w:eastAsia="en-GB"/>
              </w:rPr>
              <w:t>Links HR to global sustainability</w:t>
            </w:r>
          </w:p>
        </w:tc>
      </w:tr>
      <w:tr w14:paraId="4CD8F492">
        <w:tblPrEx>
          <w:tblLayout w:type="fixed"/>
        </w:tblPrEx>
        <w:trPr>
          <w:trHeight w:val="290" w:hRule="atLeast"/>
        </w:trPr>
        <w:tc>
          <w:tcPr>
            <w:tcW w:w="1476" w:type="dxa"/>
          </w:tcPr>
          <w:p w14:paraId="6BF231B2">
            <w:pPr>
              <w:spacing w:after="0" w:line="240" w:lineRule="auto"/>
              <w:rPr>
                <w:b/>
                <w:bCs/>
                <w:lang w:eastAsia="en-GB"/>
              </w:rPr>
            </w:pPr>
            <w:r>
              <w:rPr>
                <w:b/>
                <w:bCs/>
                <w:lang w:eastAsia="en-GB"/>
              </w:rPr>
              <w:t>Budhwar et al. (2023)</w:t>
            </w:r>
          </w:p>
        </w:tc>
        <w:tc>
          <w:tcPr>
            <w:tcW w:w="2204" w:type="dxa"/>
          </w:tcPr>
          <w:p w14:paraId="45695E98">
            <w:pPr>
              <w:spacing w:after="0" w:line="240" w:lineRule="auto"/>
              <w:jc w:val="left"/>
              <w:rPr>
                <w:lang w:eastAsia="en-GB"/>
              </w:rPr>
            </w:pPr>
            <w:r>
              <w:rPr>
                <w:lang w:eastAsia="en-GB"/>
              </w:rPr>
              <w:t>AI &amp; HRM future</w:t>
            </w:r>
          </w:p>
        </w:tc>
        <w:tc>
          <w:tcPr>
            <w:tcW w:w="1599" w:type="dxa"/>
          </w:tcPr>
          <w:p w14:paraId="765EBA78">
            <w:pPr>
              <w:spacing w:after="0" w:line="240" w:lineRule="auto"/>
              <w:jc w:val="left"/>
              <w:rPr>
                <w:lang w:eastAsia="en-GB"/>
              </w:rPr>
            </w:pPr>
            <w:r>
              <w:rPr>
                <w:lang w:eastAsia="en-GB"/>
              </w:rPr>
              <w:t>Review</w:t>
            </w:r>
          </w:p>
        </w:tc>
        <w:tc>
          <w:tcPr>
            <w:tcW w:w="2200" w:type="dxa"/>
          </w:tcPr>
          <w:p w14:paraId="2B2471D9">
            <w:pPr>
              <w:spacing w:after="0" w:line="240" w:lineRule="auto"/>
              <w:jc w:val="left"/>
              <w:rPr>
                <w:lang w:eastAsia="en-GB"/>
              </w:rPr>
            </w:pPr>
            <w:r>
              <w:rPr>
                <w:lang w:eastAsia="en-GB"/>
              </w:rPr>
              <w:t>AI reshapes HR roles and decision-making</w:t>
            </w:r>
          </w:p>
        </w:tc>
        <w:tc>
          <w:tcPr>
            <w:tcW w:w="1871" w:type="dxa"/>
          </w:tcPr>
          <w:p w14:paraId="30306D2C">
            <w:pPr>
              <w:spacing w:after="0" w:line="240" w:lineRule="auto"/>
              <w:jc w:val="left"/>
              <w:rPr>
                <w:lang w:eastAsia="en-GB"/>
              </w:rPr>
            </w:pPr>
            <w:r>
              <w:rPr>
                <w:lang w:eastAsia="en-GB"/>
              </w:rPr>
              <w:t>Shows future direction of HR</w:t>
            </w:r>
          </w:p>
        </w:tc>
      </w:tr>
      <w:tr w14:paraId="7E5C98F9">
        <w:tblPrEx>
          <w:tblLayout w:type="fixed"/>
        </w:tblPrEx>
        <w:trPr>
          <w:trHeight w:val="290" w:hRule="atLeast"/>
        </w:trPr>
        <w:tc>
          <w:tcPr>
            <w:tcW w:w="1476" w:type="dxa"/>
            <w:shd w:val="clear" w:color="auto" w:fill="F1F1F1" w:themeFill="background1" w:themeFillShade="F2"/>
          </w:tcPr>
          <w:p w14:paraId="3A2B58BC">
            <w:pPr>
              <w:spacing w:after="0" w:line="240" w:lineRule="auto"/>
              <w:rPr>
                <w:b/>
                <w:bCs/>
                <w:lang w:eastAsia="en-GB"/>
              </w:rPr>
            </w:pPr>
            <w:r>
              <w:rPr>
                <w:b/>
                <w:bCs/>
                <w:lang w:eastAsia="en-GB"/>
              </w:rPr>
              <w:t>Boon et al. (2019)</w:t>
            </w:r>
          </w:p>
        </w:tc>
        <w:tc>
          <w:tcPr>
            <w:tcW w:w="2204" w:type="dxa"/>
            <w:shd w:val="clear" w:color="auto" w:fill="F1F1F1" w:themeFill="background1" w:themeFillShade="F2"/>
          </w:tcPr>
          <w:p w14:paraId="2BF7FA04">
            <w:pPr>
              <w:spacing w:after="0" w:line="240" w:lineRule="auto"/>
              <w:jc w:val="left"/>
              <w:rPr>
                <w:lang w:eastAsia="en-GB"/>
              </w:rPr>
            </w:pPr>
            <w:r>
              <w:rPr>
                <w:lang w:eastAsia="en-GB"/>
              </w:rPr>
              <w:t>HR systems review</w:t>
            </w:r>
          </w:p>
        </w:tc>
        <w:tc>
          <w:tcPr>
            <w:tcW w:w="1599" w:type="dxa"/>
            <w:shd w:val="clear" w:color="auto" w:fill="F1F1F1" w:themeFill="background1" w:themeFillShade="F2"/>
          </w:tcPr>
          <w:p w14:paraId="633F3D7F">
            <w:pPr>
              <w:spacing w:after="0" w:line="240" w:lineRule="auto"/>
              <w:jc w:val="left"/>
              <w:rPr>
                <w:lang w:eastAsia="en-GB"/>
              </w:rPr>
            </w:pPr>
            <w:r>
              <w:rPr>
                <w:lang w:eastAsia="en-GB"/>
              </w:rPr>
              <w:t>Systematic review</w:t>
            </w:r>
          </w:p>
        </w:tc>
        <w:tc>
          <w:tcPr>
            <w:tcW w:w="2200" w:type="dxa"/>
            <w:shd w:val="clear" w:color="auto" w:fill="F1F1F1" w:themeFill="background1" w:themeFillShade="F2"/>
          </w:tcPr>
          <w:p w14:paraId="0C272D5F">
            <w:pPr>
              <w:spacing w:after="0" w:line="240" w:lineRule="auto"/>
              <w:jc w:val="left"/>
              <w:rPr>
                <w:lang w:eastAsia="en-GB"/>
              </w:rPr>
            </w:pPr>
            <w:r>
              <w:rPr>
                <w:lang w:eastAsia="en-GB"/>
              </w:rPr>
              <w:t>HR practices work as bundles, not individually</w:t>
            </w:r>
          </w:p>
        </w:tc>
        <w:tc>
          <w:tcPr>
            <w:tcW w:w="1871" w:type="dxa"/>
            <w:shd w:val="clear" w:color="auto" w:fill="F1F1F1" w:themeFill="background1" w:themeFillShade="F2"/>
          </w:tcPr>
          <w:p w14:paraId="56044F21">
            <w:pPr>
              <w:spacing w:after="0" w:line="240" w:lineRule="auto"/>
              <w:jc w:val="left"/>
              <w:rPr>
                <w:lang w:eastAsia="en-GB"/>
              </w:rPr>
            </w:pPr>
            <w:r>
              <w:rPr>
                <w:lang w:eastAsia="en-GB"/>
              </w:rPr>
              <w:t>Supports integrated HR approach</w:t>
            </w:r>
          </w:p>
        </w:tc>
      </w:tr>
      <w:tr w14:paraId="2C834C02">
        <w:tblPrEx>
          <w:tblLayout w:type="fixed"/>
        </w:tblPrEx>
        <w:trPr>
          <w:trHeight w:val="290" w:hRule="atLeast"/>
        </w:trPr>
        <w:tc>
          <w:tcPr>
            <w:tcW w:w="1476" w:type="dxa"/>
          </w:tcPr>
          <w:p w14:paraId="41658F8E">
            <w:pPr>
              <w:spacing w:after="0" w:line="240" w:lineRule="auto"/>
              <w:rPr>
                <w:b/>
                <w:bCs/>
                <w:lang w:eastAsia="en-GB"/>
              </w:rPr>
            </w:pPr>
            <w:r>
              <w:rPr>
                <w:b/>
                <w:bCs/>
                <w:lang w:eastAsia="en-GB"/>
              </w:rPr>
              <w:t>Kim et al. (2019)</w:t>
            </w:r>
          </w:p>
        </w:tc>
        <w:tc>
          <w:tcPr>
            <w:tcW w:w="2204" w:type="dxa"/>
          </w:tcPr>
          <w:p w14:paraId="7041013E">
            <w:pPr>
              <w:spacing w:after="0" w:line="240" w:lineRule="auto"/>
              <w:jc w:val="left"/>
              <w:rPr>
                <w:lang w:eastAsia="en-GB"/>
              </w:rPr>
            </w:pPr>
            <w:r>
              <w:rPr>
                <w:lang w:eastAsia="en-GB"/>
              </w:rPr>
              <w:t>GHRM &amp; environmental performance</w:t>
            </w:r>
          </w:p>
        </w:tc>
        <w:tc>
          <w:tcPr>
            <w:tcW w:w="1599" w:type="dxa"/>
          </w:tcPr>
          <w:p w14:paraId="08D98C61">
            <w:pPr>
              <w:spacing w:after="0" w:line="240" w:lineRule="auto"/>
              <w:jc w:val="left"/>
              <w:rPr>
                <w:lang w:eastAsia="en-GB"/>
              </w:rPr>
            </w:pPr>
            <w:r>
              <w:rPr>
                <w:lang w:eastAsia="en-GB"/>
              </w:rPr>
              <w:t>Quantitative</w:t>
            </w:r>
          </w:p>
        </w:tc>
        <w:tc>
          <w:tcPr>
            <w:tcW w:w="2200" w:type="dxa"/>
          </w:tcPr>
          <w:p w14:paraId="1CEB2B99">
            <w:pPr>
              <w:spacing w:after="0" w:line="240" w:lineRule="auto"/>
              <w:jc w:val="left"/>
              <w:rPr>
                <w:lang w:eastAsia="en-GB"/>
              </w:rPr>
            </w:pPr>
            <w:r>
              <w:rPr>
                <w:lang w:eastAsia="en-GB"/>
              </w:rPr>
              <w:t>Training influences eco-behaviour via commitment</w:t>
            </w:r>
          </w:p>
        </w:tc>
        <w:tc>
          <w:tcPr>
            <w:tcW w:w="1871" w:type="dxa"/>
          </w:tcPr>
          <w:p w14:paraId="04F45591">
            <w:pPr>
              <w:spacing w:after="0" w:line="240" w:lineRule="auto"/>
              <w:jc w:val="left"/>
              <w:rPr>
                <w:lang w:eastAsia="en-GB"/>
              </w:rPr>
            </w:pPr>
            <w:r>
              <w:rPr>
                <w:lang w:eastAsia="en-GB"/>
              </w:rPr>
              <w:t>Highlights behavioural outcomes</w:t>
            </w:r>
          </w:p>
        </w:tc>
      </w:tr>
      <w:tr w14:paraId="135DC05A">
        <w:tblPrEx>
          <w:tblLayout w:type="fixed"/>
        </w:tblPrEx>
        <w:trPr>
          <w:trHeight w:val="290" w:hRule="atLeast"/>
        </w:trPr>
        <w:tc>
          <w:tcPr>
            <w:tcW w:w="1476" w:type="dxa"/>
            <w:shd w:val="clear" w:color="auto" w:fill="F1F1F1" w:themeFill="background1" w:themeFillShade="F2"/>
          </w:tcPr>
          <w:p w14:paraId="4407A246">
            <w:pPr>
              <w:spacing w:after="0" w:line="240" w:lineRule="auto"/>
              <w:rPr>
                <w:b/>
                <w:bCs/>
                <w:lang w:eastAsia="en-GB"/>
              </w:rPr>
            </w:pPr>
            <w:r>
              <w:rPr>
                <w:b/>
                <w:bCs/>
                <w:lang w:eastAsia="en-GB"/>
              </w:rPr>
              <w:t>Longoni et al. (2018)</w:t>
            </w:r>
          </w:p>
        </w:tc>
        <w:tc>
          <w:tcPr>
            <w:tcW w:w="2204" w:type="dxa"/>
            <w:shd w:val="clear" w:color="auto" w:fill="F1F1F1" w:themeFill="background1" w:themeFillShade="F2"/>
          </w:tcPr>
          <w:p w14:paraId="73E91E16">
            <w:pPr>
              <w:spacing w:after="0" w:line="240" w:lineRule="auto"/>
              <w:jc w:val="left"/>
              <w:rPr>
                <w:lang w:eastAsia="en-GB"/>
              </w:rPr>
            </w:pPr>
            <w:r>
              <w:rPr>
                <w:lang w:eastAsia="en-GB"/>
              </w:rPr>
              <w:t>GHRM &amp; supply chain</w:t>
            </w:r>
          </w:p>
        </w:tc>
        <w:tc>
          <w:tcPr>
            <w:tcW w:w="1599" w:type="dxa"/>
            <w:shd w:val="clear" w:color="auto" w:fill="F1F1F1" w:themeFill="background1" w:themeFillShade="F2"/>
          </w:tcPr>
          <w:p w14:paraId="513416D8">
            <w:pPr>
              <w:spacing w:after="0" w:line="240" w:lineRule="auto"/>
              <w:jc w:val="left"/>
              <w:rPr>
                <w:lang w:eastAsia="en-GB"/>
              </w:rPr>
            </w:pPr>
            <w:r>
              <w:rPr>
                <w:lang w:eastAsia="en-GB"/>
              </w:rPr>
              <w:t>Quantitative</w:t>
            </w:r>
          </w:p>
        </w:tc>
        <w:tc>
          <w:tcPr>
            <w:tcW w:w="2200" w:type="dxa"/>
            <w:shd w:val="clear" w:color="auto" w:fill="F1F1F1" w:themeFill="background1" w:themeFillShade="F2"/>
          </w:tcPr>
          <w:p w14:paraId="565D4930">
            <w:pPr>
              <w:spacing w:after="0" w:line="240" w:lineRule="auto"/>
              <w:jc w:val="left"/>
              <w:rPr>
                <w:lang w:eastAsia="en-GB"/>
              </w:rPr>
            </w:pPr>
            <w:r>
              <w:rPr>
                <w:lang w:eastAsia="en-GB"/>
              </w:rPr>
              <w:t>HR enables sustainability through operational integration</w:t>
            </w:r>
          </w:p>
        </w:tc>
        <w:tc>
          <w:tcPr>
            <w:tcW w:w="1871" w:type="dxa"/>
            <w:shd w:val="clear" w:color="auto" w:fill="F1F1F1" w:themeFill="background1" w:themeFillShade="F2"/>
          </w:tcPr>
          <w:p w14:paraId="53CDA5C8">
            <w:pPr>
              <w:spacing w:after="0" w:line="240" w:lineRule="auto"/>
              <w:jc w:val="left"/>
              <w:rPr>
                <w:lang w:eastAsia="en-GB"/>
              </w:rPr>
            </w:pPr>
            <w:r>
              <w:rPr>
                <w:lang w:eastAsia="en-GB"/>
              </w:rPr>
              <w:t>Shows cross-functional impact</w:t>
            </w:r>
          </w:p>
        </w:tc>
      </w:tr>
      <w:tr w14:paraId="55D81373">
        <w:tblPrEx>
          <w:tblLayout w:type="fixed"/>
        </w:tblPrEx>
        <w:trPr>
          <w:trHeight w:val="290" w:hRule="atLeast"/>
        </w:trPr>
        <w:tc>
          <w:tcPr>
            <w:tcW w:w="1476" w:type="dxa"/>
          </w:tcPr>
          <w:p w14:paraId="0EA8F63E">
            <w:pPr>
              <w:spacing w:after="0" w:line="240" w:lineRule="auto"/>
              <w:rPr>
                <w:b/>
                <w:bCs/>
                <w:lang w:eastAsia="en-GB"/>
              </w:rPr>
            </w:pPr>
            <w:r>
              <w:rPr>
                <w:b/>
                <w:bCs/>
                <w:lang w:eastAsia="en-GB"/>
              </w:rPr>
              <w:t>Cooke et al. (2022)</w:t>
            </w:r>
          </w:p>
        </w:tc>
        <w:tc>
          <w:tcPr>
            <w:tcW w:w="2204" w:type="dxa"/>
          </w:tcPr>
          <w:p w14:paraId="02FB6F2F">
            <w:pPr>
              <w:spacing w:after="0" w:line="240" w:lineRule="auto"/>
              <w:jc w:val="left"/>
              <w:rPr>
                <w:lang w:eastAsia="en-GB"/>
              </w:rPr>
            </w:pPr>
            <w:r>
              <w:rPr>
                <w:lang w:eastAsia="en-GB"/>
              </w:rPr>
              <w:t>Human-centred HRM</w:t>
            </w:r>
          </w:p>
        </w:tc>
        <w:tc>
          <w:tcPr>
            <w:tcW w:w="1599" w:type="dxa"/>
          </w:tcPr>
          <w:p w14:paraId="02E51C92">
            <w:pPr>
              <w:spacing w:after="0" w:line="240" w:lineRule="auto"/>
              <w:jc w:val="left"/>
              <w:rPr>
                <w:lang w:eastAsia="en-GB"/>
              </w:rPr>
            </w:pPr>
            <w:r>
              <w:rPr>
                <w:lang w:eastAsia="en-GB"/>
              </w:rPr>
              <w:t>Conceptual</w:t>
            </w:r>
          </w:p>
        </w:tc>
        <w:tc>
          <w:tcPr>
            <w:tcW w:w="2200" w:type="dxa"/>
          </w:tcPr>
          <w:p w14:paraId="2A85ACE3">
            <w:pPr>
              <w:spacing w:after="0" w:line="240" w:lineRule="auto"/>
              <w:jc w:val="left"/>
              <w:rPr>
                <w:lang w:eastAsia="en-GB"/>
              </w:rPr>
            </w:pPr>
            <w:r>
              <w:rPr>
                <w:lang w:eastAsia="en-GB"/>
              </w:rPr>
              <w:t>HR should focus on wellbeing and sustainability</w:t>
            </w:r>
          </w:p>
        </w:tc>
        <w:tc>
          <w:tcPr>
            <w:tcW w:w="1871" w:type="dxa"/>
          </w:tcPr>
          <w:p w14:paraId="65465281">
            <w:pPr>
              <w:spacing w:after="0" w:line="240" w:lineRule="auto"/>
              <w:jc w:val="left"/>
              <w:rPr>
                <w:lang w:eastAsia="en-GB"/>
              </w:rPr>
            </w:pPr>
            <w:r>
              <w:rPr>
                <w:lang w:eastAsia="en-GB"/>
              </w:rPr>
              <w:t>Adds ethical perspective</w:t>
            </w:r>
          </w:p>
        </w:tc>
      </w:tr>
      <w:tr w14:paraId="517088F7">
        <w:tblPrEx>
          <w:tblLayout w:type="fixed"/>
        </w:tblPrEx>
        <w:trPr>
          <w:trHeight w:val="290" w:hRule="atLeast"/>
        </w:trPr>
        <w:tc>
          <w:tcPr>
            <w:tcW w:w="1476" w:type="dxa"/>
            <w:shd w:val="clear" w:color="auto" w:fill="F1F1F1" w:themeFill="background1" w:themeFillShade="F2"/>
          </w:tcPr>
          <w:p w14:paraId="5D6F14E4">
            <w:pPr>
              <w:spacing w:after="0" w:line="240" w:lineRule="auto"/>
              <w:rPr>
                <w:b/>
                <w:bCs/>
                <w:lang w:eastAsia="en-GB"/>
              </w:rPr>
            </w:pPr>
            <w:r>
              <w:rPr>
                <w:b/>
                <w:bCs/>
                <w:lang w:eastAsia="en-GB"/>
              </w:rPr>
              <w:t>Collings et al. (2018)</w:t>
            </w:r>
          </w:p>
        </w:tc>
        <w:tc>
          <w:tcPr>
            <w:tcW w:w="2204" w:type="dxa"/>
            <w:shd w:val="clear" w:color="auto" w:fill="F1F1F1" w:themeFill="background1" w:themeFillShade="F2"/>
          </w:tcPr>
          <w:p w14:paraId="0981612C">
            <w:pPr>
              <w:spacing w:after="0" w:line="240" w:lineRule="auto"/>
              <w:jc w:val="left"/>
              <w:rPr>
                <w:lang w:eastAsia="en-GB"/>
              </w:rPr>
            </w:pPr>
            <w:r>
              <w:rPr>
                <w:lang w:eastAsia="en-GB"/>
              </w:rPr>
              <w:t>HRM theory critique</w:t>
            </w:r>
          </w:p>
        </w:tc>
        <w:tc>
          <w:tcPr>
            <w:tcW w:w="1599" w:type="dxa"/>
            <w:shd w:val="clear" w:color="auto" w:fill="F1F1F1" w:themeFill="background1" w:themeFillShade="F2"/>
          </w:tcPr>
          <w:p w14:paraId="43798F81">
            <w:pPr>
              <w:spacing w:after="0" w:line="240" w:lineRule="auto"/>
              <w:jc w:val="left"/>
              <w:rPr>
                <w:lang w:eastAsia="en-GB"/>
              </w:rPr>
            </w:pPr>
            <w:r>
              <w:rPr>
                <w:lang w:eastAsia="en-GB"/>
              </w:rPr>
              <w:t>Conceptual</w:t>
            </w:r>
          </w:p>
        </w:tc>
        <w:tc>
          <w:tcPr>
            <w:tcW w:w="2200" w:type="dxa"/>
            <w:shd w:val="clear" w:color="auto" w:fill="F1F1F1" w:themeFill="background1" w:themeFillShade="F2"/>
          </w:tcPr>
          <w:p w14:paraId="29831C62">
            <w:pPr>
              <w:spacing w:after="0" w:line="240" w:lineRule="auto"/>
              <w:jc w:val="left"/>
              <w:rPr>
                <w:lang w:eastAsia="en-GB"/>
              </w:rPr>
            </w:pPr>
            <w:r>
              <w:rPr>
                <w:lang w:eastAsia="en-GB"/>
              </w:rPr>
              <w:t>HRM is complex and context-dependent</w:t>
            </w:r>
          </w:p>
        </w:tc>
        <w:tc>
          <w:tcPr>
            <w:tcW w:w="1871" w:type="dxa"/>
            <w:shd w:val="clear" w:color="auto" w:fill="F1F1F1" w:themeFill="background1" w:themeFillShade="F2"/>
          </w:tcPr>
          <w:p w14:paraId="25E4B13F">
            <w:pPr>
              <w:spacing w:after="0" w:line="240" w:lineRule="auto"/>
              <w:jc w:val="left"/>
              <w:rPr>
                <w:lang w:eastAsia="en-GB"/>
              </w:rPr>
            </w:pPr>
            <w:r>
              <w:rPr>
                <w:lang w:eastAsia="en-GB"/>
              </w:rPr>
              <w:t>Provides critical understanding</w:t>
            </w:r>
          </w:p>
        </w:tc>
      </w:tr>
      <w:tr w14:paraId="6FC31AFB">
        <w:tblPrEx>
          <w:tblLayout w:type="fixed"/>
        </w:tblPrEx>
        <w:trPr>
          <w:trHeight w:val="290" w:hRule="atLeast"/>
        </w:trPr>
        <w:tc>
          <w:tcPr>
            <w:tcW w:w="1476" w:type="dxa"/>
          </w:tcPr>
          <w:p w14:paraId="654345B8">
            <w:pPr>
              <w:spacing w:after="0" w:line="240" w:lineRule="auto"/>
              <w:rPr>
                <w:b/>
                <w:bCs/>
                <w:lang w:eastAsia="en-GB"/>
              </w:rPr>
            </w:pPr>
            <w:r>
              <w:rPr>
                <w:b/>
                <w:bCs/>
                <w:lang w:eastAsia="en-GB"/>
              </w:rPr>
              <w:t>Habeeb and Babatunde (2023)</w:t>
            </w:r>
          </w:p>
        </w:tc>
        <w:tc>
          <w:tcPr>
            <w:tcW w:w="2204" w:type="dxa"/>
          </w:tcPr>
          <w:p w14:paraId="60D68373">
            <w:pPr>
              <w:spacing w:after="0" w:line="240" w:lineRule="auto"/>
              <w:jc w:val="left"/>
              <w:rPr>
                <w:lang w:eastAsia="en-GB"/>
              </w:rPr>
            </w:pPr>
            <w:r>
              <w:rPr>
                <w:lang w:eastAsia="en-GB"/>
              </w:rPr>
              <w:t>Training at Unilever</w:t>
            </w:r>
          </w:p>
        </w:tc>
        <w:tc>
          <w:tcPr>
            <w:tcW w:w="1599" w:type="dxa"/>
          </w:tcPr>
          <w:p w14:paraId="207DCA4A">
            <w:pPr>
              <w:spacing w:after="0" w:line="240" w:lineRule="auto"/>
              <w:jc w:val="left"/>
              <w:rPr>
                <w:lang w:eastAsia="en-GB"/>
              </w:rPr>
            </w:pPr>
            <w:r>
              <w:rPr>
                <w:lang w:eastAsia="en-GB"/>
              </w:rPr>
              <w:t>Case study</w:t>
            </w:r>
          </w:p>
        </w:tc>
        <w:tc>
          <w:tcPr>
            <w:tcW w:w="2200" w:type="dxa"/>
          </w:tcPr>
          <w:p w14:paraId="14C647DC">
            <w:pPr>
              <w:spacing w:after="0" w:line="240" w:lineRule="auto"/>
              <w:jc w:val="left"/>
              <w:rPr>
                <w:lang w:eastAsia="en-GB"/>
              </w:rPr>
            </w:pPr>
            <w:r>
              <w:rPr>
                <w:lang w:eastAsia="en-GB"/>
              </w:rPr>
              <w:t>Training improves employee performance significantly</w:t>
            </w:r>
          </w:p>
        </w:tc>
        <w:tc>
          <w:tcPr>
            <w:tcW w:w="1871" w:type="dxa"/>
          </w:tcPr>
          <w:p w14:paraId="15BF87A2">
            <w:pPr>
              <w:spacing w:after="0" w:line="240" w:lineRule="auto"/>
              <w:jc w:val="left"/>
              <w:rPr>
                <w:lang w:eastAsia="en-GB"/>
              </w:rPr>
            </w:pPr>
            <w:r>
              <w:rPr>
                <w:lang w:eastAsia="en-GB"/>
              </w:rPr>
              <w:t>Directly relevant case evidence</w:t>
            </w:r>
          </w:p>
        </w:tc>
      </w:tr>
      <w:tr w14:paraId="37E77167">
        <w:tblPrEx>
          <w:tblLayout w:type="fixed"/>
        </w:tblPrEx>
        <w:trPr>
          <w:trHeight w:val="290" w:hRule="atLeast"/>
        </w:trPr>
        <w:tc>
          <w:tcPr>
            <w:tcW w:w="1476" w:type="dxa"/>
            <w:shd w:val="clear" w:color="auto" w:fill="F1F1F1" w:themeFill="background1" w:themeFillShade="F2"/>
          </w:tcPr>
          <w:p w14:paraId="2AEEF3D0">
            <w:pPr>
              <w:spacing w:after="0" w:line="240" w:lineRule="auto"/>
              <w:rPr>
                <w:b/>
                <w:bCs/>
                <w:lang w:eastAsia="en-GB"/>
              </w:rPr>
            </w:pPr>
            <w:r>
              <w:rPr>
                <w:b/>
                <w:bCs/>
                <w:lang w:eastAsia="en-GB"/>
              </w:rPr>
              <w:t>Fabian et al. (2024)</w:t>
            </w:r>
          </w:p>
        </w:tc>
        <w:tc>
          <w:tcPr>
            <w:tcW w:w="2204" w:type="dxa"/>
            <w:shd w:val="clear" w:color="auto" w:fill="F1F1F1" w:themeFill="background1" w:themeFillShade="F2"/>
          </w:tcPr>
          <w:p w14:paraId="2C0C4A4E">
            <w:pPr>
              <w:spacing w:after="0" w:line="240" w:lineRule="auto"/>
              <w:jc w:val="left"/>
              <w:rPr>
                <w:lang w:eastAsia="en-GB"/>
              </w:rPr>
            </w:pPr>
            <w:r>
              <w:rPr>
                <w:lang w:eastAsia="en-GB"/>
              </w:rPr>
              <w:t>Training &amp; company performance</w:t>
            </w:r>
          </w:p>
        </w:tc>
        <w:tc>
          <w:tcPr>
            <w:tcW w:w="1599" w:type="dxa"/>
            <w:shd w:val="clear" w:color="auto" w:fill="F1F1F1" w:themeFill="background1" w:themeFillShade="F2"/>
          </w:tcPr>
          <w:p w14:paraId="6E8B60B5">
            <w:pPr>
              <w:spacing w:after="0" w:line="240" w:lineRule="auto"/>
              <w:jc w:val="left"/>
              <w:rPr>
                <w:lang w:eastAsia="en-GB"/>
              </w:rPr>
            </w:pPr>
            <w:r>
              <w:rPr>
                <w:lang w:eastAsia="en-GB"/>
              </w:rPr>
              <w:t>Review</w:t>
            </w:r>
          </w:p>
        </w:tc>
        <w:tc>
          <w:tcPr>
            <w:tcW w:w="2200" w:type="dxa"/>
            <w:shd w:val="clear" w:color="auto" w:fill="F1F1F1" w:themeFill="background1" w:themeFillShade="F2"/>
          </w:tcPr>
          <w:p w14:paraId="7409FFCE">
            <w:pPr>
              <w:spacing w:after="0" w:line="240" w:lineRule="auto"/>
              <w:jc w:val="left"/>
              <w:rPr>
                <w:lang w:eastAsia="en-GB"/>
              </w:rPr>
            </w:pPr>
            <w:r>
              <w:rPr>
                <w:lang w:eastAsia="en-GB"/>
              </w:rPr>
              <w:t>Training + career development improve firm performance</w:t>
            </w:r>
          </w:p>
        </w:tc>
        <w:tc>
          <w:tcPr>
            <w:tcW w:w="1871" w:type="dxa"/>
            <w:shd w:val="clear" w:color="auto" w:fill="F1F1F1" w:themeFill="background1" w:themeFillShade="F2"/>
          </w:tcPr>
          <w:p w14:paraId="3EA76C02">
            <w:pPr>
              <w:spacing w:after="0" w:line="240" w:lineRule="auto"/>
              <w:jc w:val="left"/>
              <w:rPr>
                <w:lang w:eastAsia="en-GB"/>
              </w:rPr>
            </w:pPr>
            <w:r>
              <w:rPr>
                <w:lang w:eastAsia="en-GB"/>
              </w:rPr>
              <w:t>Supports performance linkage</w:t>
            </w:r>
          </w:p>
        </w:tc>
      </w:tr>
      <w:tr w14:paraId="14E316FE">
        <w:tblPrEx>
          <w:tblLayout w:type="fixed"/>
        </w:tblPrEx>
        <w:trPr>
          <w:trHeight w:val="290" w:hRule="atLeast"/>
        </w:trPr>
        <w:tc>
          <w:tcPr>
            <w:tcW w:w="1476" w:type="dxa"/>
          </w:tcPr>
          <w:p w14:paraId="44F64CBE">
            <w:pPr>
              <w:spacing w:after="0" w:line="240" w:lineRule="auto"/>
              <w:rPr>
                <w:b/>
                <w:bCs/>
                <w:lang w:eastAsia="en-GB"/>
              </w:rPr>
            </w:pPr>
            <w:r>
              <w:rPr>
                <w:b/>
                <w:bCs/>
                <w:lang w:eastAsia="en-GB"/>
              </w:rPr>
              <w:t>Irad et al. (2025)</w:t>
            </w:r>
          </w:p>
        </w:tc>
        <w:tc>
          <w:tcPr>
            <w:tcW w:w="2204" w:type="dxa"/>
          </w:tcPr>
          <w:p w14:paraId="37EAE413">
            <w:pPr>
              <w:spacing w:after="0" w:line="240" w:lineRule="auto"/>
              <w:jc w:val="left"/>
              <w:rPr>
                <w:lang w:eastAsia="en-GB"/>
              </w:rPr>
            </w:pPr>
            <w:r>
              <w:rPr>
                <w:lang w:eastAsia="en-GB"/>
              </w:rPr>
              <w:t>Green HRD &amp; competitiveness</w:t>
            </w:r>
          </w:p>
        </w:tc>
        <w:tc>
          <w:tcPr>
            <w:tcW w:w="1599" w:type="dxa"/>
          </w:tcPr>
          <w:p w14:paraId="493C7894">
            <w:pPr>
              <w:spacing w:after="0" w:line="240" w:lineRule="auto"/>
              <w:jc w:val="left"/>
              <w:rPr>
                <w:lang w:eastAsia="en-GB"/>
              </w:rPr>
            </w:pPr>
            <w:r>
              <w:rPr>
                <w:lang w:eastAsia="en-GB"/>
              </w:rPr>
              <w:t>Conceptual</w:t>
            </w:r>
          </w:p>
        </w:tc>
        <w:tc>
          <w:tcPr>
            <w:tcW w:w="2200" w:type="dxa"/>
          </w:tcPr>
          <w:p w14:paraId="2FEAB124">
            <w:pPr>
              <w:spacing w:after="0" w:line="240" w:lineRule="auto"/>
              <w:jc w:val="left"/>
              <w:rPr>
                <w:lang w:eastAsia="en-GB"/>
              </w:rPr>
            </w:pPr>
            <w:r>
              <w:rPr>
                <w:lang w:eastAsia="en-GB"/>
              </w:rPr>
              <w:t>Sustainability training drives innovation and advantage</w:t>
            </w:r>
          </w:p>
        </w:tc>
        <w:tc>
          <w:tcPr>
            <w:tcW w:w="1871" w:type="dxa"/>
          </w:tcPr>
          <w:p w14:paraId="599A70B8">
            <w:pPr>
              <w:spacing w:after="0" w:line="240" w:lineRule="auto"/>
              <w:jc w:val="left"/>
              <w:rPr>
                <w:lang w:eastAsia="en-GB"/>
              </w:rPr>
            </w:pPr>
            <w:r>
              <w:rPr>
                <w:lang w:eastAsia="en-GB"/>
              </w:rPr>
              <w:t>Links HRD with competitiveness</w:t>
            </w:r>
          </w:p>
        </w:tc>
      </w:tr>
      <w:tr w14:paraId="0E10F9C0">
        <w:tblPrEx>
          <w:tblLayout w:type="fixed"/>
        </w:tblPrEx>
        <w:trPr>
          <w:trHeight w:val="290" w:hRule="atLeast"/>
        </w:trPr>
        <w:tc>
          <w:tcPr>
            <w:tcW w:w="1476" w:type="dxa"/>
            <w:shd w:val="clear" w:color="auto" w:fill="F1F1F1" w:themeFill="background1" w:themeFillShade="F2"/>
          </w:tcPr>
          <w:p w14:paraId="66F5C113">
            <w:pPr>
              <w:spacing w:after="0" w:line="240" w:lineRule="auto"/>
              <w:rPr>
                <w:b/>
                <w:bCs/>
                <w:lang w:eastAsia="en-GB"/>
              </w:rPr>
            </w:pPr>
            <w:r>
              <w:rPr>
                <w:b/>
                <w:bCs/>
                <w:lang w:eastAsia="en-GB"/>
              </w:rPr>
              <w:t>Nastase et al. (2025)</w:t>
            </w:r>
          </w:p>
        </w:tc>
        <w:tc>
          <w:tcPr>
            <w:tcW w:w="2204" w:type="dxa"/>
            <w:shd w:val="clear" w:color="auto" w:fill="F1F1F1" w:themeFill="background1" w:themeFillShade="F2"/>
          </w:tcPr>
          <w:p w14:paraId="7CFCD595">
            <w:pPr>
              <w:spacing w:after="0" w:line="240" w:lineRule="auto"/>
              <w:jc w:val="left"/>
              <w:rPr>
                <w:lang w:eastAsia="en-GB"/>
              </w:rPr>
            </w:pPr>
            <w:r>
              <w:rPr>
                <w:lang w:eastAsia="en-GB"/>
              </w:rPr>
              <w:t>SHRM in digital era</w:t>
            </w:r>
          </w:p>
        </w:tc>
        <w:tc>
          <w:tcPr>
            <w:tcW w:w="1599" w:type="dxa"/>
            <w:shd w:val="clear" w:color="auto" w:fill="F1F1F1" w:themeFill="background1" w:themeFillShade="F2"/>
          </w:tcPr>
          <w:p w14:paraId="0A9AB39D">
            <w:pPr>
              <w:spacing w:after="0" w:line="240" w:lineRule="auto"/>
              <w:jc w:val="left"/>
              <w:rPr>
                <w:lang w:eastAsia="en-GB"/>
              </w:rPr>
            </w:pPr>
            <w:r>
              <w:rPr>
                <w:lang w:eastAsia="en-GB"/>
              </w:rPr>
              <w:t>Conceptual</w:t>
            </w:r>
          </w:p>
        </w:tc>
        <w:tc>
          <w:tcPr>
            <w:tcW w:w="2200" w:type="dxa"/>
            <w:shd w:val="clear" w:color="auto" w:fill="F1F1F1" w:themeFill="background1" w:themeFillShade="F2"/>
          </w:tcPr>
          <w:p w14:paraId="6BE93286">
            <w:pPr>
              <w:spacing w:after="0" w:line="240" w:lineRule="auto"/>
              <w:jc w:val="left"/>
              <w:rPr>
                <w:lang w:eastAsia="en-GB"/>
              </w:rPr>
            </w:pPr>
            <w:r>
              <w:rPr>
                <w:lang w:eastAsia="en-GB"/>
              </w:rPr>
              <w:t>Digital HR aligns human capital with strategy</w:t>
            </w:r>
          </w:p>
        </w:tc>
        <w:tc>
          <w:tcPr>
            <w:tcW w:w="1871" w:type="dxa"/>
            <w:shd w:val="clear" w:color="auto" w:fill="F1F1F1" w:themeFill="background1" w:themeFillShade="F2"/>
          </w:tcPr>
          <w:p w14:paraId="6C442A20">
            <w:pPr>
              <w:spacing w:after="0" w:line="240" w:lineRule="auto"/>
              <w:jc w:val="left"/>
              <w:rPr>
                <w:lang w:eastAsia="en-GB"/>
              </w:rPr>
            </w:pPr>
            <w:r>
              <w:rPr>
                <w:lang w:eastAsia="en-GB"/>
              </w:rPr>
              <w:t>Supports strategic HR role</w:t>
            </w:r>
          </w:p>
        </w:tc>
      </w:tr>
      <w:tr w14:paraId="62D12559">
        <w:tblPrEx>
          <w:tblLayout w:type="fixed"/>
        </w:tblPrEx>
        <w:trPr>
          <w:trHeight w:val="290" w:hRule="atLeast"/>
        </w:trPr>
        <w:tc>
          <w:tcPr>
            <w:tcW w:w="1476" w:type="dxa"/>
          </w:tcPr>
          <w:p w14:paraId="3C49F26C">
            <w:pPr>
              <w:spacing w:after="0" w:line="240" w:lineRule="auto"/>
              <w:rPr>
                <w:b/>
                <w:bCs/>
                <w:lang w:eastAsia="en-GB"/>
              </w:rPr>
            </w:pPr>
            <w:r>
              <w:rPr>
                <w:b/>
                <w:bCs/>
                <w:lang w:eastAsia="en-GB"/>
              </w:rPr>
              <w:t>Sklavos et al. (2024)</w:t>
            </w:r>
          </w:p>
        </w:tc>
        <w:tc>
          <w:tcPr>
            <w:tcW w:w="2204" w:type="dxa"/>
          </w:tcPr>
          <w:p w14:paraId="7BE5F17F">
            <w:pPr>
              <w:spacing w:after="0" w:line="240" w:lineRule="auto"/>
              <w:jc w:val="left"/>
              <w:rPr>
                <w:lang w:eastAsia="en-GB"/>
              </w:rPr>
            </w:pPr>
            <w:r>
              <w:rPr>
                <w:lang w:eastAsia="en-GB"/>
              </w:rPr>
              <w:t>AI + ESG governance</w:t>
            </w:r>
          </w:p>
        </w:tc>
        <w:tc>
          <w:tcPr>
            <w:tcW w:w="1599" w:type="dxa"/>
          </w:tcPr>
          <w:p w14:paraId="3F6E944A">
            <w:pPr>
              <w:spacing w:after="0" w:line="240" w:lineRule="auto"/>
              <w:jc w:val="left"/>
              <w:rPr>
                <w:lang w:eastAsia="en-GB"/>
              </w:rPr>
            </w:pPr>
            <w:r>
              <w:rPr>
                <w:lang w:eastAsia="en-GB"/>
              </w:rPr>
              <w:t>Conceptual</w:t>
            </w:r>
          </w:p>
        </w:tc>
        <w:tc>
          <w:tcPr>
            <w:tcW w:w="2200" w:type="dxa"/>
          </w:tcPr>
          <w:p w14:paraId="103BBE2B">
            <w:pPr>
              <w:spacing w:after="0" w:line="240" w:lineRule="auto"/>
              <w:jc w:val="left"/>
              <w:rPr>
                <w:lang w:eastAsia="en-GB"/>
              </w:rPr>
            </w:pPr>
            <w:r>
              <w:rPr>
                <w:lang w:eastAsia="en-GB"/>
              </w:rPr>
              <w:t>AI enhances sustainability decision-making</w:t>
            </w:r>
          </w:p>
        </w:tc>
        <w:tc>
          <w:tcPr>
            <w:tcW w:w="1871" w:type="dxa"/>
          </w:tcPr>
          <w:p w14:paraId="5EFB1E95">
            <w:pPr>
              <w:spacing w:after="0" w:line="240" w:lineRule="auto"/>
              <w:jc w:val="left"/>
              <w:rPr>
                <w:lang w:eastAsia="en-GB"/>
              </w:rPr>
            </w:pPr>
            <w:r>
              <w:rPr>
                <w:lang w:eastAsia="en-GB"/>
              </w:rPr>
              <w:t>Connects HR, AI, and ESG</w:t>
            </w:r>
          </w:p>
        </w:tc>
      </w:tr>
      <w:tr w14:paraId="3D1D9F4D">
        <w:tblPrEx>
          <w:tblLayout w:type="fixed"/>
        </w:tblPrEx>
        <w:trPr>
          <w:trHeight w:val="290" w:hRule="atLeast"/>
        </w:trPr>
        <w:tc>
          <w:tcPr>
            <w:tcW w:w="1476" w:type="dxa"/>
            <w:shd w:val="clear" w:color="auto" w:fill="F1F1F1" w:themeFill="background1" w:themeFillShade="F2"/>
          </w:tcPr>
          <w:p w14:paraId="0C92C4C4">
            <w:pPr>
              <w:spacing w:after="0" w:line="240" w:lineRule="auto"/>
              <w:rPr>
                <w:b/>
                <w:bCs/>
                <w:lang w:eastAsia="en-GB"/>
              </w:rPr>
            </w:pPr>
            <w:r>
              <w:rPr>
                <w:b/>
                <w:bCs/>
                <w:lang w:eastAsia="en-GB"/>
              </w:rPr>
              <w:t>El-Ghoul et al. (2024)</w:t>
            </w:r>
          </w:p>
        </w:tc>
        <w:tc>
          <w:tcPr>
            <w:tcW w:w="2204" w:type="dxa"/>
            <w:shd w:val="clear" w:color="auto" w:fill="F1F1F1" w:themeFill="background1" w:themeFillShade="F2"/>
          </w:tcPr>
          <w:p w14:paraId="75934939">
            <w:pPr>
              <w:spacing w:after="0" w:line="240" w:lineRule="auto"/>
              <w:jc w:val="left"/>
              <w:rPr>
                <w:lang w:eastAsia="en-GB"/>
              </w:rPr>
            </w:pPr>
            <w:r>
              <w:rPr>
                <w:lang w:eastAsia="en-GB"/>
              </w:rPr>
              <w:t>AI in HRM functions</w:t>
            </w:r>
          </w:p>
        </w:tc>
        <w:tc>
          <w:tcPr>
            <w:tcW w:w="1599" w:type="dxa"/>
            <w:shd w:val="clear" w:color="auto" w:fill="F1F1F1" w:themeFill="background1" w:themeFillShade="F2"/>
          </w:tcPr>
          <w:p w14:paraId="2E6D0E7D">
            <w:pPr>
              <w:spacing w:after="0" w:line="240" w:lineRule="auto"/>
              <w:jc w:val="left"/>
              <w:rPr>
                <w:lang w:eastAsia="en-GB"/>
              </w:rPr>
            </w:pPr>
            <w:r>
              <w:rPr>
                <w:lang w:eastAsia="en-GB"/>
              </w:rPr>
              <w:t>Review</w:t>
            </w:r>
          </w:p>
        </w:tc>
        <w:tc>
          <w:tcPr>
            <w:tcW w:w="2200" w:type="dxa"/>
            <w:shd w:val="clear" w:color="auto" w:fill="F1F1F1" w:themeFill="background1" w:themeFillShade="F2"/>
          </w:tcPr>
          <w:p w14:paraId="28D191C6">
            <w:pPr>
              <w:spacing w:after="0" w:line="240" w:lineRule="auto"/>
              <w:jc w:val="left"/>
              <w:rPr>
                <w:lang w:eastAsia="en-GB"/>
              </w:rPr>
            </w:pPr>
            <w:r>
              <w:rPr>
                <w:lang w:eastAsia="en-GB"/>
              </w:rPr>
              <w:t>AI improves recruitment, performance, engagement</w:t>
            </w:r>
          </w:p>
        </w:tc>
        <w:tc>
          <w:tcPr>
            <w:tcW w:w="1871" w:type="dxa"/>
            <w:shd w:val="clear" w:color="auto" w:fill="F1F1F1" w:themeFill="background1" w:themeFillShade="F2"/>
          </w:tcPr>
          <w:p w14:paraId="0AD233E5">
            <w:pPr>
              <w:spacing w:after="0" w:line="240" w:lineRule="auto"/>
              <w:jc w:val="left"/>
              <w:rPr>
                <w:lang w:eastAsia="en-GB"/>
              </w:rPr>
            </w:pPr>
            <w:r>
              <w:rPr>
                <w:lang w:eastAsia="en-GB"/>
              </w:rPr>
              <w:t>Shows operational HR transformation</w:t>
            </w:r>
          </w:p>
        </w:tc>
      </w:tr>
      <w:tr w14:paraId="70444469">
        <w:tblPrEx>
          <w:tblLayout w:type="fixed"/>
        </w:tblPrEx>
        <w:trPr>
          <w:trHeight w:val="290" w:hRule="atLeast"/>
        </w:trPr>
        <w:tc>
          <w:tcPr>
            <w:tcW w:w="1476" w:type="dxa"/>
          </w:tcPr>
          <w:p w14:paraId="34750EE9">
            <w:pPr>
              <w:spacing w:after="0" w:line="240" w:lineRule="auto"/>
              <w:rPr>
                <w:b/>
                <w:bCs/>
                <w:lang w:eastAsia="en-GB"/>
              </w:rPr>
            </w:pPr>
            <w:r>
              <w:rPr>
                <w:b/>
                <w:bCs/>
                <w:lang w:eastAsia="en-GB"/>
              </w:rPr>
              <w:t>Al-Tit et al. (2022)</w:t>
            </w:r>
          </w:p>
        </w:tc>
        <w:tc>
          <w:tcPr>
            <w:tcW w:w="2204" w:type="dxa"/>
          </w:tcPr>
          <w:p w14:paraId="09C9D47E">
            <w:pPr>
              <w:spacing w:after="0" w:line="240" w:lineRule="auto"/>
              <w:jc w:val="left"/>
              <w:rPr>
                <w:lang w:eastAsia="en-GB"/>
              </w:rPr>
            </w:pPr>
            <w:r>
              <w:rPr>
                <w:lang w:eastAsia="en-GB"/>
              </w:rPr>
              <w:t>Employee development, human &amp; social capital, knowledge management</w:t>
            </w:r>
          </w:p>
        </w:tc>
        <w:tc>
          <w:tcPr>
            <w:tcW w:w="1599" w:type="dxa"/>
          </w:tcPr>
          <w:p w14:paraId="1EE9A311">
            <w:pPr>
              <w:spacing w:after="0" w:line="240" w:lineRule="auto"/>
              <w:jc w:val="left"/>
              <w:rPr>
                <w:lang w:eastAsia="en-GB"/>
              </w:rPr>
            </w:pPr>
            <w:r>
              <w:rPr>
                <w:lang w:eastAsia="en-GB"/>
              </w:rPr>
              <w:t>Quantitative (SEM)</w:t>
            </w:r>
          </w:p>
        </w:tc>
        <w:tc>
          <w:tcPr>
            <w:tcW w:w="2200" w:type="dxa"/>
          </w:tcPr>
          <w:p w14:paraId="04218CFC">
            <w:pPr>
              <w:spacing w:after="0" w:line="240" w:lineRule="auto"/>
              <w:jc w:val="left"/>
              <w:rPr>
                <w:lang w:eastAsia="en-GB"/>
              </w:rPr>
            </w:pPr>
            <w:r>
              <w:rPr>
                <w:lang w:eastAsia="en-GB"/>
              </w:rPr>
              <w:t>Training improves human capital directly and via knowledge management</w:t>
            </w:r>
          </w:p>
        </w:tc>
        <w:tc>
          <w:tcPr>
            <w:tcW w:w="1871" w:type="dxa"/>
          </w:tcPr>
          <w:p w14:paraId="162A4FCE">
            <w:pPr>
              <w:spacing w:after="0" w:line="240" w:lineRule="auto"/>
              <w:jc w:val="left"/>
              <w:rPr>
                <w:lang w:eastAsia="en-GB"/>
              </w:rPr>
            </w:pPr>
            <w:r>
              <w:rPr>
                <w:lang w:eastAsia="en-GB"/>
              </w:rPr>
              <w:t>Shows mechanism linking training → human capital</w:t>
            </w:r>
          </w:p>
        </w:tc>
      </w:tr>
      <w:tr w14:paraId="02344DBA">
        <w:tblPrEx>
          <w:tblLayout w:type="fixed"/>
        </w:tblPrEx>
        <w:trPr>
          <w:trHeight w:val="290" w:hRule="atLeast"/>
        </w:trPr>
        <w:tc>
          <w:tcPr>
            <w:tcW w:w="1476" w:type="dxa"/>
            <w:shd w:val="clear" w:color="auto" w:fill="F1F1F1" w:themeFill="background1" w:themeFillShade="F2"/>
          </w:tcPr>
          <w:p w14:paraId="0601614A">
            <w:pPr>
              <w:spacing w:after="0" w:line="240" w:lineRule="auto"/>
              <w:rPr>
                <w:b/>
                <w:bCs/>
                <w:lang w:eastAsia="en-GB"/>
              </w:rPr>
            </w:pPr>
            <w:r>
              <w:rPr>
                <w:b/>
                <w:bCs/>
                <w:lang w:eastAsia="en-GB"/>
              </w:rPr>
              <w:t>Amid &amp; Ming (2020)</w:t>
            </w:r>
          </w:p>
        </w:tc>
        <w:tc>
          <w:tcPr>
            <w:tcW w:w="2204" w:type="dxa"/>
            <w:shd w:val="clear" w:color="auto" w:fill="F1F1F1" w:themeFill="background1" w:themeFillShade="F2"/>
          </w:tcPr>
          <w:p w14:paraId="7DFE1225">
            <w:pPr>
              <w:spacing w:after="0" w:line="240" w:lineRule="auto"/>
              <w:jc w:val="left"/>
              <w:rPr>
                <w:lang w:eastAsia="en-GB"/>
              </w:rPr>
            </w:pPr>
            <w:r>
              <w:rPr>
                <w:lang w:eastAsia="en-GB"/>
              </w:rPr>
              <w:t>Human capital as strategic resource</w:t>
            </w:r>
          </w:p>
        </w:tc>
        <w:tc>
          <w:tcPr>
            <w:tcW w:w="1599" w:type="dxa"/>
            <w:shd w:val="clear" w:color="auto" w:fill="F1F1F1" w:themeFill="background1" w:themeFillShade="F2"/>
          </w:tcPr>
          <w:p w14:paraId="170B1379">
            <w:pPr>
              <w:spacing w:after="0" w:line="240" w:lineRule="auto"/>
              <w:jc w:val="left"/>
              <w:rPr>
                <w:lang w:eastAsia="en-GB"/>
              </w:rPr>
            </w:pPr>
            <w:r>
              <w:rPr>
                <w:lang w:eastAsia="en-GB"/>
              </w:rPr>
              <w:t>Conceptual</w:t>
            </w:r>
          </w:p>
        </w:tc>
        <w:tc>
          <w:tcPr>
            <w:tcW w:w="2200" w:type="dxa"/>
            <w:shd w:val="clear" w:color="auto" w:fill="F1F1F1" w:themeFill="background1" w:themeFillShade="F2"/>
          </w:tcPr>
          <w:p w14:paraId="1EF6D084">
            <w:pPr>
              <w:spacing w:after="0" w:line="240" w:lineRule="auto"/>
              <w:jc w:val="left"/>
              <w:rPr>
                <w:lang w:eastAsia="en-GB"/>
              </w:rPr>
            </w:pPr>
            <w:r>
              <w:rPr>
                <w:lang w:eastAsia="en-GB"/>
              </w:rPr>
              <w:t>Human capital drives sustainable competitive advantage</w:t>
            </w:r>
          </w:p>
        </w:tc>
        <w:tc>
          <w:tcPr>
            <w:tcW w:w="1871" w:type="dxa"/>
            <w:shd w:val="clear" w:color="auto" w:fill="F1F1F1" w:themeFill="background1" w:themeFillShade="F2"/>
          </w:tcPr>
          <w:p w14:paraId="7DAA1D55">
            <w:pPr>
              <w:spacing w:after="0" w:line="240" w:lineRule="auto"/>
              <w:jc w:val="left"/>
              <w:rPr>
                <w:lang w:eastAsia="en-GB"/>
              </w:rPr>
            </w:pPr>
            <w:r>
              <w:rPr>
                <w:lang w:eastAsia="en-GB"/>
              </w:rPr>
              <w:t>Supports strategic importance of human capital</w:t>
            </w:r>
          </w:p>
        </w:tc>
      </w:tr>
      <w:tr w14:paraId="47F6F135">
        <w:tblPrEx>
          <w:tblLayout w:type="fixed"/>
        </w:tblPrEx>
        <w:trPr>
          <w:trHeight w:val="290" w:hRule="atLeast"/>
        </w:trPr>
        <w:tc>
          <w:tcPr>
            <w:tcW w:w="1476" w:type="dxa"/>
          </w:tcPr>
          <w:p w14:paraId="2B969830">
            <w:pPr>
              <w:spacing w:after="0" w:line="240" w:lineRule="auto"/>
              <w:rPr>
                <w:b/>
                <w:bCs/>
                <w:lang w:eastAsia="en-GB"/>
              </w:rPr>
            </w:pPr>
            <w:r>
              <w:rPr>
                <w:b/>
                <w:bCs/>
                <w:lang w:eastAsia="en-GB"/>
              </w:rPr>
              <w:t>Aziri (2019)</w:t>
            </w:r>
          </w:p>
        </w:tc>
        <w:tc>
          <w:tcPr>
            <w:tcW w:w="2204" w:type="dxa"/>
          </w:tcPr>
          <w:p w14:paraId="4B592515">
            <w:pPr>
              <w:spacing w:after="0" w:line="240" w:lineRule="auto"/>
              <w:jc w:val="left"/>
              <w:rPr>
                <w:lang w:eastAsia="en-GB"/>
              </w:rPr>
            </w:pPr>
            <w:r>
              <w:rPr>
                <w:lang w:eastAsia="en-GB"/>
              </w:rPr>
              <w:t>Challenges in HR development</w:t>
            </w:r>
          </w:p>
        </w:tc>
        <w:tc>
          <w:tcPr>
            <w:tcW w:w="1599" w:type="dxa"/>
          </w:tcPr>
          <w:p w14:paraId="35F07796">
            <w:pPr>
              <w:spacing w:after="0" w:line="240" w:lineRule="auto"/>
              <w:jc w:val="left"/>
              <w:rPr>
                <w:lang w:eastAsia="en-GB"/>
              </w:rPr>
            </w:pPr>
            <w:r>
              <w:rPr>
                <w:lang w:eastAsia="en-GB"/>
              </w:rPr>
              <w:t>Conceptual</w:t>
            </w:r>
          </w:p>
        </w:tc>
        <w:tc>
          <w:tcPr>
            <w:tcW w:w="2200" w:type="dxa"/>
          </w:tcPr>
          <w:p w14:paraId="652890FA">
            <w:pPr>
              <w:spacing w:after="0" w:line="240" w:lineRule="auto"/>
              <w:jc w:val="left"/>
              <w:rPr>
                <w:lang w:eastAsia="en-GB"/>
              </w:rPr>
            </w:pPr>
            <w:r>
              <w:rPr>
                <w:lang w:eastAsia="en-GB"/>
              </w:rPr>
              <w:t>Ineffective HR practices reduce development outcomes</w:t>
            </w:r>
          </w:p>
        </w:tc>
        <w:tc>
          <w:tcPr>
            <w:tcW w:w="1871" w:type="dxa"/>
          </w:tcPr>
          <w:p w14:paraId="604EBEB4">
            <w:pPr>
              <w:spacing w:after="0" w:line="240" w:lineRule="auto"/>
              <w:jc w:val="left"/>
              <w:rPr>
                <w:lang w:eastAsia="en-GB"/>
              </w:rPr>
            </w:pPr>
            <w:r>
              <w:rPr>
                <w:lang w:eastAsia="en-GB"/>
              </w:rPr>
              <w:t>Highlights limitations of training effectiveness</w:t>
            </w:r>
          </w:p>
        </w:tc>
      </w:tr>
      <w:tr w14:paraId="7D05606E">
        <w:tblPrEx>
          <w:tblLayout w:type="fixed"/>
        </w:tblPrEx>
        <w:trPr>
          <w:trHeight w:val="290" w:hRule="atLeast"/>
        </w:trPr>
        <w:tc>
          <w:tcPr>
            <w:tcW w:w="1476" w:type="dxa"/>
            <w:shd w:val="clear" w:color="auto" w:fill="F1F1F1" w:themeFill="background1" w:themeFillShade="F2"/>
          </w:tcPr>
          <w:p w14:paraId="679054B8">
            <w:pPr>
              <w:spacing w:after="0" w:line="240" w:lineRule="auto"/>
              <w:rPr>
                <w:b/>
                <w:bCs/>
                <w:lang w:eastAsia="en-GB"/>
              </w:rPr>
            </w:pPr>
            <w:r>
              <w:rPr>
                <w:b/>
                <w:bCs/>
                <w:lang w:eastAsia="en-GB"/>
              </w:rPr>
              <w:t>Bergdahl et al. (2020)</w:t>
            </w:r>
          </w:p>
        </w:tc>
        <w:tc>
          <w:tcPr>
            <w:tcW w:w="2204" w:type="dxa"/>
            <w:shd w:val="clear" w:color="auto" w:fill="F1F1F1" w:themeFill="background1" w:themeFillShade="F2"/>
          </w:tcPr>
          <w:p w14:paraId="270F0836">
            <w:pPr>
              <w:spacing w:after="0" w:line="240" w:lineRule="auto"/>
              <w:jc w:val="left"/>
              <w:rPr>
                <w:lang w:eastAsia="en-GB"/>
              </w:rPr>
            </w:pPr>
            <w:r>
              <w:rPr>
                <w:lang w:eastAsia="en-GB"/>
              </w:rPr>
              <w:t>Digital skills and engagement in learning</w:t>
            </w:r>
          </w:p>
        </w:tc>
        <w:tc>
          <w:tcPr>
            <w:tcW w:w="1599" w:type="dxa"/>
            <w:shd w:val="clear" w:color="auto" w:fill="F1F1F1" w:themeFill="background1" w:themeFillShade="F2"/>
          </w:tcPr>
          <w:p w14:paraId="06BAD2A4">
            <w:pPr>
              <w:spacing w:after="0" w:line="240" w:lineRule="auto"/>
              <w:jc w:val="left"/>
              <w:rPr>
                <w:lang w:eastAsia="en-GB"/>
              </w:rPr>
            </w:pPr>
            <w:r>
              <w:rPr>
                <w:lang w:eastAsia="en-GB"/>
              </w:rPr>
              <w:t>Quantitative</w:t>
            </w:r>
          </w:p>
        </w:tc>
        <w:tc>
          <w:tcPr>
            <w:tcW w:w="2200" w:type="dxa"/>
            <w:shd w:val="clear" w:color="auto" w:fill="F1F1F1" w:themeFill="background1" w:themeFillShade="F2"/>
          </w:tcPr>
          <w:p w14:paraId="482F9AF2">
            <w:pPr>
              <w:spacing w:after="0" w:line="240" w:lineRule="auto"/>
              <w:jc w:val="left"/>
              <w:rPr>
                <w:lang w:eastAsia="en-GB"/>
              </w:rPr>
            </w:pPr>
            <w:r>
              <w:rPr>
                <w:lang w:eastAsia="en-GB"/>
              </w:rPr>
              <w:t>Digital learning affects engagement and skill development</w:t>
            </w:r>
          </w:p>
        </w:tc>
        <w:tc>
          <w:tcPr>
            <w:tcW w:w="1871" w:type="dxa"/>
            <w:shd w:val="clear" w:color="auto" w:fill="F1F1F1" w:themeFill="background1" w:themeFillShade="F2"/>
          </w:tcPr>
          <w:p w14:paraId="655806AF">
            <w:pPr>
              <w:spacing w:after="0" w:line="240" w:lineRule="auto"/>
              <w:jc w:val="left"/>
              <w:rPr>
                <w:lang w:eastAsia="en-GB"/>
              </w:rPr>
            </w:pPr>
            <w:r>
              <w:rPr>
                <w:lang w:eastAsia="en-GB"/>
              </w:rPr>
              <w:t>Supports role of digital training</w:t>
            </w:r>
          </w:p>
        </w:tc>
      </w:tr>
      <w:tr w14:paraId="261D4B8B">
        <w:tblPrEx>
          <w:tblLayout w:type="fixed"/>
        </w:tblPrEx>
        <w:trPr>
          <w:trHeight w:val="290" w:hRule="atLeast"/>
        </w:trPr>
        <w:tc>
          <w:tcPr>
            <w:tcW w:w="1476" w:type="dxa"/>
          </w:tcPr>
          <w:p w14:paraId="52515BA3">
            <w:pPr>
              <w:spacing w:after="0" w:line="240" w:lineRule="auto"/>
              <w:rPr>
                <w:b/>
                <w:bCs/>
                <w:lang w:eastAsia="en-GB"/>
              </w:rPr>
            </w:pPr>
            <w:r>
              <w:rPr>
                <w:b/>
                <w:bCs/>
                <w:lang w:eastAsia="en-GB"/>
              </w:rPr>
              <w:t>Dao et al. (2025)</w:t>
            </w:r>
          </w:p>
        </w:tc>
        <w:tc>
          <w:tcPr>
            <w:tcW w:w="2204" w:type="dxa"/>
          </w:tcPr>
          <w:p w14:paraId="163569D6">
            <w:pPr>
              <w:spacing w:after="0" w:line="240" w:lineRule="auto"/>
              <w:jc w:val="left"/>
              <w:rPr>
                <w:lang w:eastAsia="en-GB"/>
              </w:rPr>
            </w:pPr>
            <w:r>
              <w:rPr>
                <w:lang w:eastAsia="en-GB"/>
              </w:rPr>
              <w:t>Digital workforce training and performance</w:t>
            </w:r>
          </w:p>
        </w:tc>
        <w:tc>
          <w:tcPr>
            <w:tcW w:w="1599" w:type="dxa"/>
          </w:tcPr>
          <w:p w14:paraId="1A2A069E">
            <w:pPr>
              <w:spacing w:after="0" w:line="240" w:lineRule="auto"/>
              <w:jc w:val="left"/>
              <w:rPr>
                <w:lang w:eastAsia="en-GB"/>
              </w:rPr>
            </w:pPr>
            <w:r>
              <w:rPr>
                <w:lang w:eastAsia="en-GB"/>
              </w:rPr>
              <w:t>Quantitative</w:t>
            </w:r>
          </w:p>
        </w:tc>
        <w:tc>
          <w:tcPr>
            <w:tcW w:w="2200" w:type="dxa"/>
          </w:tcPr>
          <w:p w14:paraId="594CA700">
            <w:pPr>
              <w:spacing w:after="0" w:line="240" w:lineRule="auto"/>
              <w:jc w:val="left"/>
              <w:rPr>
                <w:lang w:eastAsia="en-GB"/>
              </w:rPr>
            </w:pPr>
            <w:r>
              <w:rPr>
                <w:lang w:eastAsia="en-GB"/>
              </w:rPr>
              <w:t>Training, motivation, and digital behaviour improve performance</w:t>
            </w:r>
          </w:p>
        </w:tc>
        <w:tc>
          <w:tcPr>
            <w:tcW w:w="1871" w:type="dxa"/>
          </w:tcPr>
          <w:p w14:paraId="6CAF8F67">
            <w:pPr>
              <w:spacing w:after="0" w:line="240" w:lineRule="auto"/>
              <w:jc w:val="left"/>
              <w:rPr>
                <w:lang w:eastAsia="en-GB"/>
              </w:rPr>
            </w:pPr>
            <w:r>
              <w:rPr>
                <w:lang w:eastAsia="en-GB"/>
              </w:rPr>
              <w:t>Links digital T&amp;D with employee outcomes</w:t>
            </w:r>
          </w:p>
        </w:tc>
      </w:tr>
      <w:tr w14:paraId="572356FF">
        <w:tblPrEx>
          <w:tblLayout w:type="fixed"/>
        </w:tblPrEx>
        <w:trPr>
          <w:trHeight w:val="290" w:hRule="atLeast"/>
        </w:trPr>
        <w:tc>
          <w:tcPr>
            <w:tcW w:w="1476" w:type="dxa"/>
            <w:shd w:val="clear" w:color="auto" w:fill="F1F1F1" w:themeFill="background1" w:themeFillShade="F2"/>
          </w:tcPr>
          <w:p w14:paraId="4CE7E757">
            <w:pPr>
              <w:spacing w:after="0" w:line="240" w:lineRule="auto"/>
              <w:rPr>
                <w:b/>
                <w:bCs/>
                <w:lang w:eastAsia="en-GB"/>
              </w:rPr>
            </w:pPr>
            <w:r>
              <w:rPr>
                <w:b/>
                <w:bCs/>
                <w:lang w:eastAsia="en-GB"/>
              </w:rPr>
              <w:t>Gerhart &amp; Feng (2021)</w:t>
            </w:r>
          </w:p>
        </w:tc>
        <w:tc>
          <w:tcPr>
            <w:tcW w:w="2204" w:type="dxa"/>
            <w:shd w:val="clear" w:color="auto" w:fill="F1F1F1" w:themeFill="background1" w:themeFillShade="F2"/>
          </w:tcPr>
          <w:p w14:paraId="77A2D842">
            <w:pPr>
              <w:spacing w:after="0" w:line="240" w:lineRule="auto"/>
              <w:jc w:val="left"/>
              <w:rPr>
                <w:lang w:eastAsia="en-GB"/>
              </w:rPr>
            </w:pPr>
            <w:r>
              <w:rPr>
                <w:lang w:eastAsia="en-GB"/>
              </w:rPr>
              <w:t>RBV and human capital</w:t>
            </w:r>
          </w:p>
        </w:tc>
        <w:tc>
          <w:tcPr>
            <w:tcW w:w="1599" w:type="dxa"/>
            <w:shd w:val="clear" w:color="auto" w:fill="F1F1F1" w:themeFill="background1" w:themeFillShade="F2"/>
          </w:tcPr>
          <w:p w14:paraId="3D4F4C25">
            <w:pPr>
              <w:spacing w:after="0" w:line="240" w:lineRule="auto"/>
              <w:jc w:val="left"/>
              <w:rPr>
                <w:lang w:eastAsia="en-GB"/>
              </w:rPr>
            </w:pPr>
            <w:r>
              <w:rPr>
                <w:lang w:eastAsia="en-GB"/>
              </w:rPr>
              <w:t>Conceptual</w:t>
            </w:r>
          </w:p>
        </w:tc>
        <w:tc>
          <w:tcPr>
            <w:tcW w:w="2200" w:type="dxa"/>
            <w:shd w:val="clear" w:color="auto" w:fill="F1F1F1" w:themeFill="background1" w:themeFillShade="F2"/>
          </w:tcPr>
          <w:p w14:paraId="2628FE23">
            <w:pPr>
              <w:spacing w:after="0" w:line="240" w:lineRule="auto"/>
              <w:jc w:val="left"/>
              <w:rPr>
                <w:lang w:eastAsia="en-GB"/>
              </w:rPr>
            </w:pPr>
            <w:r>
              <w:rPr>
                <w:lang w:eastAsia="en-GB"/>
              </w:rPr>
              <w:t>Human capital is central to firm performance and competitive advantage</w:t>
            </w:r>
          </w:p>
        </w:tc>
        <w:tc>
          <w:tcPr>
            <w:tcW w:w="1871" w:type="dxa"/>
            <w:shd w:val="clear" w:color="auto" w:fill="F1F1F1" w:themeFill="background1" w:themeFillShade="F2"/>
          </w:tcPr>
          <w:p w14:paraId="0DAA3E43">
            <w:pPr>
              <w:spacing w:after="0" w:line="240" w:lineRule="auto"/>
              <w:jc w:val="left"/>
              <w:rPr>
                <w:lang w:eastAsia="en-GB"/>
              </w:rPr>
            </w:pPr>
            <w:r>
              <w:rPr>
                <w:lang w:eastAsia="en-GB"/>
              </w:rPr>
              <w:t>Strengthens theoretical foundation (RBV)</w:t>
            </w:r>
          </w:p>
        </w:tc>
      </w:tr>
      <w:tr w14:paraId="70249BA1">
        <w:tblPrEx>
          <w:tblLayout w:type="fixed"/>
        </w:tblPrEx>
        <w:trPr>
          <w:trHeight w:val="290" w:hRule="atLeast"/>
        </w:trPr>
        <w:tc>
          <w:tcPr>
            <w:tcW w:w="1476" w:type="dxa"/>
          </w:tcPr>
          <w:p w14:paraId="01CD597F">
            <w:pPr>
              <w:spacing w:after="0" w:line="240" w:lineRule="auto"/>
              <w:rPr>
                <w:b/>
                <w:bCs/>
                <w:lang w:eastAsia="en-GB"/>
              </w:rPr>
            </w:pPr>
            <w:r>
              <w:rPr>
                <w:b/>
                <w:bCs/>
                <w:lang w:eastAsia="en-GB"/>
              </w:rPr>
              <w:t>Gotsch et al. (2022)</w:t>
            </w:r>
          </w:p>
        </w:tc>
        <w:tc>
          <w:tcPr>
            <w:tcW w:w="2204" w:type="dxa"/>
          </w:tcPr>
          <w:p w14:paraId="3DEEFCFB">
            <w:pPr>
              <w:spacing w:after="0" w:line="240" w:lineRule="auto"/>
              <w:jc w:val="left"/>
              <w:rPr>
                <w:lang w:eastAsia="en-GB"/>
              </w:rPr>
            </w:pPr>
            <w:r>
              <w:rPr>
                <w:lang w:eastAsia="en-GB"/>
              </w:rPr>
              <w:t>CSR implementation strategies</w:t>
            </w:r>
          </w:p>
        </w:tc>
        <w:tc>
          <w:tcPr>
            <w:tcW w:w="1599" w:type="dxa"/>
          </w:tcPr>
          <w:p w14:paraId="146C0A98">
            <w:pPr>
              <w:spacing w:after="0" w:line="240" w:lineRule="auto"/>
              <w:jc w:val="left"/>
              <w:rPr>
                <w:lang w:eastAsia="en-GB"/>
              </w:rPr>
            </w:pPr>
            <w:r>
              <w:rPr>
                <w:lang w:eastAsia="en-GB"/>
              </w:rPr>
              <w:t>Qualitative</w:t>
            </w:r>
          </w:p>
        </w:tc>
        <w:tc>
          <w:tcPr>
            <w:tcW w:w="2200" w:type="dxa"/>
          </w:tcPr>
          <w:p w14:paraId="0FDF38CC">
            <w:pPr>
              <w:spacing w:after="0" w:line="240" w:lineRule="auto"/>
              <w:jc w:val="left"/>
              <w:rPr>
                <w:lang w:eastAsia="en-GB"/>
              </w:rPr>
            </w:pPr>
            <w:r>
              <w:rPr>
                <w:lang w:eastAsia="en-GB"/>
              </w:rPr>
              <w:t>Top-down and bottom-up approaches influence organisational outcomes</w:t>
            </w:r>
          </w:p>
        </w:tc>
        <w:tc>
          <w:tcPr>
            <w:tcW w:w="1871" w:type="dxa"/>
          </w:tcPr>
          <w:p w14:paraId="019299D8">
            <w:pPr>
              <w:spacing w:after="0" w:line="240" w:lineRule="auto"/>
              <w:jc w:val="left"/>
              <w:rPr>
                <w:lang w:eastAsia="en-GB"/>
              </w:rPr>
            </w:pPr>
            <w:r>
              <w:rPr>
                <w:lang w:eastAsia="en-GB"/>
              </w:rPr>
              <w:t>Links HR practices with sustainability</w:t>
            </w:r>
          </w:p>
        </w:tc>
      </w:tr>
      <w:tr w14:paraId="64EB04BF">
        <w:tblPrEx>
          <w:tblLayout w:type="fixed"/>
        </w:tblPrEx>
        <w:trPr>
          <w:trHeight w:val="290" w:hRule="atLeast"/>
        </w:trPr>
        <w:tc>
          <w:tcPr>
            <w:tcW w:w="1476" w:type="dxa"/>
            <w:shd w:val="clear" w:color="auto" w:fill="F1F1F1" w:themeFill="background1" w:themeFillShade="F2"/>
          </w:tcPr>
          <w:p w14:paraId="4773571D">
            <w:pPr>
              <w:spacing w:after="0" w:line="240" w:lineRule="auto"/>
              <w:rPr>
                <w:b/>
                <w:bCs/>
                <w:lang w:eastAsia="en-GB"/>
              </w:rPr>
            </w:pPr>
            <w:r>
              <w:rPr>
                <w:b/>
                <w:bCs/>
                <w:lang w:eastAsia="en-GB"/>
              </w:rPr>
              <w:t>Hamadamin &amp; Atan (2019)</w:t>
            </w:r>
          </w:p>
        </w:tc>
        <w:tc>
          <w:tcPr>
            <w:tcW w:w="2204" w:type="dxa"/>
            <w:shd w:val="clear" w:color="auto" w:fill="F1F1F1" w:themeFill="background1" w:themeFillShade="F2"/>
          </w:tcPr>
          <w:p w14:paraId="2EE1E102">
            <w:pPr>
              <w:spacing w:after="0" w:line="240" w:lineRule="auto"/>
              <w:jc w:val="left"/>
              <w:rPr>
                <w:lang w:eastAsia="en-GB"/>
              </w:rPr>
            </w:pPr>
            <w:r>
              <w:rPr>
                <w:lang w:eastAsia="en-GB"/>
              </w:rPr>
              <w:t>SHRM and competitive advantage</w:t>
            </w:r>
          </w:p>
        </w:tc>
        <w:tc>
          <w:tcPr>
            <w:tcW w:w="1599" w:type="dxa"/>
            <w:shd w:val="clear" w:color="auto" w:fill="F1F1F1" w:themeFill="background1" w:themeFillShade="F2"/>
          </w:tcPr>
          <w:p w14:paraId="2A81CBAA">
            <w:pPr>
              <w:spacing w:after="0" w:line="240" w:lineRule="auto"/>
              <w:jc w:val="left"/>
              <w:rPr>
                <w:lang w:eastAsia="en-GB"/>
              </w:rPr>
            </w:pPr>
            <w:r>
              <w:rPr>
                <w:lang w:eastAsia="en-GB"/>
              </w:rPr>
              <w:t>Quantitative</w:t>
            </w:r>
          </w:p>
        </w:tc>
        <w:tc>
          <w:tcPr>
            <w:tcW w:w="2200" w:type="dxa"/>
            <w:shd w:val="clear" w:color="auto" w:fill="F1F1F1" w:themeFill="background1" w:themeFillShade="F2"/>
          </w:tcPr>
          <w:p w14:paraId="506F0C9A">
            <w:pPr>
              <w:spacing w:after="0" w:line="240" w:lineRule="auto"/>
              <w:jc w:val="left"/>
              <w:rPr>
                <w:lang w:eastAsia="en-GB"/>
              </w:rPr>
            </w:pPr>
            <w:r>
              <w:rPr>
                <w:lang w:eastAsia="en-GB"/>
              </w:rPr>
              <w:t>HR practices improve performance via human capital and commitment</w:t>
            </w:r>
          </w:p>
        </w:tc>
        <w:tc>
          <w:tcPr>
            <w:tcW w:w="1871" w:type="dxa"/>
            <w:shd w:val="clear" w:color="auto" w:fill="F1F1F1" w:themeFill="background1" w:themeFillShade="F2"/>
          </w:tcPr>
          <w:p w14:paraId="4F435399">
            <w:pPr>
              <w:spacing w:after="0" w:line="240" w:lineRule="auto"/>
              <w:jc w:val="left"/>
              <w:rPr>
                <w:lang w:eastAsia="en-GB"/>
              </w:rPr>
            </w:pPr>
            <w:r>
              <w:rPr>
                <w:lang w:eastAsia="en-GB"/>
              </w:rPr>
              <w:t>Supports HRM–human capital link</w:t>
            </w:r>
          </w:p>
        </w:tc>
      </w:tr>
      <w:tr w14:paraId="1CBFBED3">
        <w:tblPrEx>
          <w:tblLayout w:type="fixed"/>
        </w:tblPrEx>
        <w:trPr>
          <w:trHeight w:val="290" w:hRule="atLeast"/>
        </w:trPr>
        <w:tc>
          <w:tcPr>
            <w:tcW w:w="1476" w:type="dxa"/>
          </w:tcPr>
          <w:p w14:paraId="2722105E">
            <w:pPr>
              <w:spacing w:after="0" w:line="240" w:lineRule="auto"/>
              <w:rPr>
                <w:b/>
                <w:bCs/>
                <w:lang w:eastAsia="en-GB"/>
              </w:rPr>
            </w:pPr>
            <w:r>
              <w:rPr>
                <w:b/>
                <w:bCs/>
                <w:lang w:eastAsia="en-GB"/>
              </w:rPr>
              <w:t>Kumar &amp; Singh (2025)</w:t>
            </w:r>
          </w:p>
        </w:tc>
        <w:tc>
          <w:tcPr>
            <w:tcW w:w="2204" w:type="dxa"/>
          </w:tcPr>
          <w:p w14:paraId="60DABF16">
            <w:pPr>
              <w:spacing w:after="0" w:line="240" w:lineRule="auto"/>
              <w:jc w:val="left"/>
              <w:rPr>
                <w:lang w:eastAsia="en-GB"/>
              </w:rPr>
            </w:pPr>
            <w:r>
              <w:rPr>
                <w:lang w:eastAsia="en-GB"/>
              </w:rPr>
              <w:t>Digital divide and skills gaps</w:t>
            </w:r>
          </w:p>
        </w:tc>
        <w:tc>
          <w:tcPr>
            <w:tcW w:w="1599" w:type="dxa"/>
          </w:tcPr>
          <w:p w14:paraId="42E1A022">
            <w:pPr>
              <w:spacing w:after="0" w:line="240" w:lineRule="auto"/>
              <w:jc w:val="left"/>
              <w:rPr>
                <w:lang w:eastAsia="en-GB"/>
              </w:rPr>
            </w:pPr>
            <w:r>
              <w:rPr>
                <w:lang w:eastAsia="en-GB"/>
              </w:rPr>
              <w:t>Conceptual</w:t>
            </w:r>
          </w:p>
        </w:tc>
        <w:tc>
          <w:tcPr>
            <w:tcW w:w="2200" w:type="dxa"/>
          </w:tcPr>
          <w:p w14:paraId="64C91CD4">
            <w:pPr>
              <w:spacing w:after="0" w:line="240" w:lineRule="auto"/>
              <w:jc w:val="left"/>
              <w:rPr>
                <w:lang w:eastAsia="en-GB"/>
              </w:rPr>
            </w:pPr>
            <w:r>
              <w:rPr>
                <w:lang w:eastAsia="en-GB"/>
              </w:rPr>
              <w:t>Skill gaps create inequality in digital workplaces</w:t>
            </w:r>
          </w:p>
        </w:tc>
        <w:tc>
          <w:tcPr>
            <w:tcW w:w="1871" w:type="dxa"/>
          </w:tcPr>
          <w:p w14:paraId="1263E11D">
            <w:pPr>
              <w:spacing w:after="0" w:line="240" w:lineRule="auto"/>
              <w:jc w:val="left"/>
              <w:rPr>
                <w:lang w:eastAsia="en-GB"/>
              </w:rPr>
            </w:pPr>
            <w:r>
              <w:rPr>
                <w:lang w:eastAsia="en-GB"/>
              </w:rPr>
              <w:t>Highlights challenges in digital training</w:t>
            </w:r>
          </w:p>
        </w:tc>
      </w:tr>
      <w:tr w14:paraId="6A206ADB">
        <w:tblPrEx>
          <w:tblLayout w:type="fixed"/>
        </w:tblPrEx>
        <w:trPr>
          <w:trHeight w:val="290" w:hRule="atLeast"/>
        </w:trPr>
        <w:tc>
          <w:tcPr>
            <w:tcW w:w="1476" w:type="dxa"/>
            <w:shd w:val="clear" w:color="auto" w:fill="F1F1F1" w:themeFill="background1" w:themeFillShade="F2"/>
          </w:tcPr>
          <w:p w14:paraId="03085B5B">
            <w:pPr>
              <w:spacing w:after="0" w:line="240" w:lineRule="auto"/>
              <w:rPr>
                <w:b/>
                <w:bCs/>
                <w:lang w:eastAsia="en-GB"/>
              </w:rPr>
            </w:pPr>
            <w:r>
              <w:rPr>
                <w:b/>
                <w:bCs/>
                <w:lang w:eastAsia="en-GB"/>
              </w:rPr>
              <w:t>Lee et al. (2023)</w:t>
            </w:r>
          </w:p>
        </w:tc>
        <w:tc>
          <w:tcPr>
            <w:tcW w:w="2204" w:type="dxa"/>
            <w:shd w:val="clear" w:color="auto" w:fill="F1F1F1" w:themeFill="background1" w:themeFillShade="F2"/>
          </w:tcPr>
          <w:p w14:paraId="72A55619">
            <w:pPr>
              <w:spacing w:after="0" w:line="240" w:lineRule="auto"/>
              <w:jc w:val="left"/>
              <w:rPr>
                <w:lang w:eastAsia="en-GB"/>
              </w:rPr>
            </w:pPr>
            <w:r>
              <w:rPr>
                <w:lang w:eastAsia="en-GB"/>
              </w:rPr>
              <w:t>Knowledge sharing and innovation</w:t>
            </w:r>
          </w:p>
        </w:tc>
        <w:tc>
          <w:tcPr>
            <w:tcW w:w="1599" w:type="dxa"/>
            <w:shd w:val="clear" w:color="auto" w:fill="F1F1F1" w:themeFill="background1" w:themeFillShade="F2"/>
          </w:tcPr>
          <w:p w14:paraId="4BE4E516">
            <w:pPr>
              <w:spacing w:after="0" w:line="240" w:lineRule="auto"/>
              <w:jc w:val="left"/>
              <w:rPr>
                <w:lang w:eastAsia="en-GB"/>
              </w:rPr>
            </w:pPr>
            <w:r>
              <w:rPr>
                <w:lang w:eastAsia="en-GB"/>
              </w:rPr>
              <w:t>Quantitative</w:t>
            </w:r>
          </w:p>
        </w:tc>
        <w:tc>
          <w:tcPr>
            <w:tcW w:w="2200" w:type="dxa"/>
            <w:shd w:val="clear" w:color="auto" w:fill="F1F1F1" w:themeFill="background1" w:themeFillShade="F2"/>
          </w:tcPr>
          <w:p w14:paraId="27354C0B">
            <w:pPr>
              <w:spacing w:after="0" w:line="240" w:lineRule="auto"/>
              <w:jc w:val="left"/>
              <w:rPr>
                <w:lang w:eastAsia="en-GB"/>
              </w:rPr>
            </w:pPr>
            <w:r>
              <w:rPr>
                <w:lang w:eastAsia="en-GB"/>
              </w:rPr>
              <w:t>Knowledge sharing improves innovation performance</w:t>
            </w:r>
          </w:p>
        </w:tc>
        <w:tc>
          <w:tcPr>
            <w:tcW w:w="1871" w:type="dxa"/>
            <w:shd w:val="clear" w:color="auto" w:fill="F1F1F1" w:themeFill="background1" w:themeFillShade="F2"/>
          </w:tcPr>
          <w:p w14:paraId="42B30DAD">
            <w:pPr>
              <w:spacing w:after="0" w:line="240" w:lineRule="auto"/>
              <w:jc w:val="left"/>
              <w:rPr>
                <w:lang w:eastAsia="en-GB"/>
              </w:rPr>
            </w:pPr>
            <w:r>
              <w:rPr>
                <w:lang w:eastAsia="en-GB"/>
              </w:rPr>
              <w:t>Supports knowledge management role</w:t>
            </w:r>
          </w:p>
        </w:tc>
      </w:tr>
      <w:tr w14:paraId="61F225C5">
        <w:tblPrEx>
          <w:tblLayout w:type="fixed"/>
        </w:tblPrEx>
        <w:trPr>
          <w:trHeight w:val="290" w:hRule="atLeast"/>
        </w:trPr>
        <w:tc>
          <w:tcPr>
            <w:tcW w:w="1476" w:type="dxa"/>
          </w:tcPr>
          <w:p w14:paraId="78B0388F">
            <w:pPr>
              <w:spacing w:after="0" w:line="240" w:lineRule="auto"/>
              <w:rPr>
                <w:b/>
                <w:bCs/>
                <w:lang w:eastAsia="en-GB"/>
              </w:rPr>
            </w:pPr>
            <w:r>
              <w:rPr>
                <w:b/>
                <w:bCs/>
                <w:lang w:eastAsia="en-GB"/>
              </w:rPr>
              <w:t>Mohamed et al. (2021)</w:t>
            </w:r>
          </w:p>
        </w:tc>
        <w:tc>
          <w:tcPr>
            <w:tcW w:w="2204" w:type="dxa"/>
          </w:tcPr>
          <w:p w14:paraId="1B76C076">
            <w:pPr>
              <w:spacing w:after="0" w:line="240" w:lineRule="auto"/>
              <w:jc w:val="left"/>
              <w:rPr>
                <w:lang w:eastAsia="en-GB"/>
              </w:rPr>
            </w:pPr>
            <w:r>
              <w:rPr>
                <w:lang w:eastAsia="en-GB"/>
              </w:rPr>
              <w:t>Human capital in knowledge economy</w:t>
            </w:r>
          </w:p>
        </w:tc>
        <w:tc>
          <w:tcPr>
            <w:tcW w:w="1599" w:type="dxa"/>
          </w:tcPr>
          <w:p w14:paraId="35C221BF">
            <w:pPr>
              <w:spacing w:after="0" w:line="240" w:lineRule="auto"/>
              <w:jc w:val="left"/>
              <w:rPr>
                <w:lang w:eastAsia="en-GB"/>
              </w:rPr>
            </w:pPr>
            <w:r>
              <w:rPr>
                <w:lang w:eastAsia="en-GB"/>
              </w:rPr>
              <w:t>Conceptual</w:t>
            </w:r>
          </w:p>
        </w:tc>
        <w:tc>
          <w:tcPr>
            <w:tcW w:w="2200" w:type="dxa"/>
          </w:tcPr>
          <w:p w14:paraId="73955CAC">
            <w:pPr>
              <w:spacing w:after="0" w:line="240" w:lineRule="auto"/>
              <w:jc w:val="left"/>
              <w:rPr>
                <w:lang w:eastAsia="en-GB"/>
              </w:rPr>
            </w:pPr>
            <w:r>
              <w:rPr>
                <w:lang w:eastAsia="en-GB"/>
              </w:rPr>
              <w:t>Human capital is key for economic and organisational transition</w:t>
            </w:r>
          </w:p>
        </w:tc>
        <w:tc>
          <w:tcPr>
            <w:tcW w:w="1871" w:type="dxa"/>
          </w:tcPr>
          <w:p w14:paraId="44112CD8">
            <w:pPr>
              <w:spacing w:after="0" w:line="240" w:lineRule="auto"/>
              <w:jc w:val="left"/>
              <w:rPr>
                <w:lang w:eastAsia="en-GB"/>
              </w:rPr>
            </w:pPr>
            <w:r>
              <w:rPr>
                <w:lang w:eastAsia="en-GB"/>
              </w:rPr>
              <w:t>Reinforces strategic importance</w:t>
            </w:r>
          </w:p>
        </w:tc>
      </w:tr>
      <w:tr w14:paraId="624BB5FE">
        <w:tblPrEx>
          <w:tblLayout w:type="fixed"/>
        </w:tblPrEx>
        <w:trPr>
          <w:trHeight w:val="290" w:hRule="atLeast"/>
        </w:trPr>
        <w:tc>
          <w:tcPr>
            <w:tcW w:w="1476" w:type="dxa"/>
            <w:shd w:val="clear" w:color="auto" w:fill="F1F1F1" w:themeFill="background1" w:themeFillShade="F2"/>
          </w:tcPr>
          <w:p w14:paraId="219FE576">
            <w:pPr>
              <w:spacing w:after="0" w:line="240" w:lineRule="auto"/>
              <w:rPr>
                <w:b/>
                <w:bCs/>
                <w:lang w:eastAsia="en-GB"/>
              </w:rPr>
            </w:pPr>
            <w:r>
              <w:rPr>
                <w:b/>
                <w:bCs/>
                <w:lang w:eastAsia="en-GB"/>
              </w:rPr>
              <w:t>Morandini et al. (2023)</w:t>
            </w:r>
          </w:p>
        </w:tc>
        <w:tc>
          <w:tcPr>
            <w:tcW w:w="2204" w:type="dxa"/>
            <w:shd w:val="clear" w:color="auto" w:fill="F1F1F1" w:themeFill="background1" w:themeFillShade="F2"/>
          </w:tcPr>
          <w:p w14:paraId="0E32B31E">
            <w:pPr>
              <w:spacing w:after="0" w:line="240" w:lineRule="auto"/>
              <w:jc w:val="left"/>
              <w:rPr>
                <w:lang w:eastAsia="en-GB"/>
              </w:rPr>
            </w:pPr>
            <w:r>
              <w:rPr>
                <w:lang w:eastAsia="en-GB"/>
              </w:rPr>
              <w:t>AI and employee skills</w:t>
            </w:r>
          </w:p>
        </w:tc>
        <w:tc>
          <w:tcPr>
            <w:tcW w:w="1599" w:type="dxa"/>
            <w:shd w:val="clear" w:color="auto" w:fill="F1F1F1" w:themeFill="background1" w:themeFillShade="F2"/>
          </w:tcPr>
          <w:p w14:paraId="4A0E31CE">
            <w:pPr>
              <w:spacing w:after="0" w:line="240" w:lineRule="auto"/>
              <w:jc w:val="left"/>
              <w:rPr>
                <w:lang w:eastAsia="en-GB"/>
              </w:rPr>
            </w:pPr>
            <w:r>
              <w:rPr>
                <w:lang w:eastAsia="en-GB"/>
              </w:rPr>
              <w:t>Review</w:t>
            </w:r>
          </w:p>
        </w:tc>
        <w:tc>
          <w:tcPr>
            <w:tcW w:w="2200" w:type="dxa"/>
            <w:shd w:val="clear" w:color="auto" w:fill="F1F1F1" w:themeFill="background1" w:themeFillShade="F2"/>
          </w:tcPr>
          <w:p w14:paraId="1D99969C">
            <w:pPr>
              <w:spacing w:after="0" w:line="240" w:lineRule="auto"/>
              <w:jc w:val="left"/>
              <w:rPr>
                <w:lang w:eastAsia="en-GB"/>
              </w:rPr>
            </w:pPr>
            <w:r>
              <w:rPr>
                <w:lang w:eastAsia="en-GB"/>
              </w:rPr>
              <w:t>AI drives reskilling and upskilling needs</w:t>
            </w:r>
          </w:p>
        </w:tc>
        <w:tc>
          <w:tcPr>
            <w:tcW w:w="1871" w:type="dxa"/>
            <w:shd w:val="clear" w:color="auto" w:fill="F1F1F1" w:themeFill="background1" w:themeFillShade="F2"/>
          </w:tcPr>
          <w:p w14:paraId="2833B24B">
            <w:pPr>
              <w:spacing w:after="0" w:line="240" w:lineRule="auto"/>
              <w:jc w:val="left"/>
              <w:rPr>
                <w:lang w:eastAsia="en-GB"/>
              </w:rPr>
            </w:pPr>
            <w:r>
              <w:rPr>
                <w:lang w:eastAsia="en-GB"/>
              </w:rPr>
              <w:t>Supports digital transformation in HR</w:t>
            </w:r>
          </w:p>
        </w:tc>
      </w:tr>
      <w:tr w14:paraId="0289AC8A">
        <w:tblPrEx>
          <w:tblLayout w:type="fixed"/>
        </w:tblPrEx>
        <w:trPr>
          <w:trHeight w:val="290" w:hRule="atLeast"/>
        </w:trPr>
        <w:tc>
          <w:tcPr>
            <w:tcW w:w="1476" w:type="dxa"/>
          </w:tcPr>
          <w:p w14:paraId="0D91CDCF">
            <w:pPr>
              <w:spacing w:after="0" w:line="240" w:lineRule="auto"/>
              <w:rPr>
                <w:b/>
                <w:bCs/>
                <w:lang w:eastAsia="en-GB"/>
              </w:rPr>
            </w:pPr>
            <w:r>
              <w:rPr>
                <w:b/>
                <w:bCs/>
                <w:lang w:eastAsia="en-GB"/>
              </w:rPr>
              <w:t>Ntoutsi et al. (2020)</w:t>
            </w:r>
          </w:p>
        </w:tc>
        <w:tc>
          <w:tcPr>
            <w:tcW w:w="2204" w:type="dxa"/>
          </w:tcPr>
          <w:p w14:paraId="2D912D55">
            <w:pPr>
              <w:spacing w:after="0" w:line="240" w:lineRule="auto"/>
              <w:jc w:val="left"/>
              <w:rPr>
                <w:lang w:eastAsia="en-GB"/>
              </w:rPr>
            </w:pPr>
            <w:r>
              <w:rPr>
                <w:lang w:eastAsia="en-GB"/>
              </w:rPr>
              <w:t>Bias in AI systems</w:t>
            </w:r>
          </w:p>
        </w:tc>
        <w:tc>
          <w:tcPr>
            <w:tcW w:w="1599" w:type="dxa"/>
          </w:tcPr>
          <w:p w14:paraId="3584D305">
            <w:pPr>
              <w:spacing w:after="0" w:line="240" w:lineRule="auto"/>
              <w:jc w:val="left"/>
              <w:rPr>
                <w:lang w:eastAsia="en-GB"/>
              </w:rPr>
            </w:pPr>
            <w:r>
              <w:rPr>
                <w:lang w:eastAsia="en-GB"/>
              </w:rPr>
              <w:t>Review</w:t>
            </w:r>
          </w:p>
        </w:tc>
        <w:tc>
          <w:tcPr>
            <w:tcW w:w="2200" w:type="dxa"/>
          </w:tcPr>
          <w:p w14:paraId="43A0490C">
            <w:pPr>
              <w:spacing w:after="0" w:line="240" w:lineRule="auto"/>
              <w:jc w:val="left"/>
              <w:rPr>
                <w:lang w:eastAsia="en-GB"/>
              </w:rPr>
            </w:pPr>
            <w:r>
              <w:rPr>
                <w:lang w:eastAsia="en-GB"/>
              </w:rPr>
              <w:t>AI systems may create bias and ethical risks</w:t>
            </w:r>
          </w:p>
        </w:tc>
        <w:tc>
          <w:tcPr>
            <w:tcW w:w="1871" w:type="dxa"/>
          </w:tcPr>
          <w:p w14:paraId="771F3037">
            <w:pPr>
              <w:spacing w:after="0" w:line="240" w:lineRule="auto"/>
              <w:jc w:val="left"/>
              <w:rPr>
                <w:lang w:eastAsia="en-GB"/>
              </w:rPr>
            </w:pPr>
            <w:r>
              <w:rPr>
                <w:lang w:eastAsia="en-GB"/>
              </w:rPr>
              <w:t>Highlights risks in digital HRM</w:t>
            </w:r>
          </w:p>
        </w:tc>
      </w:tr>
      <w:tr w14:paraId="67A478CB">
        <w:tblPrEx>
          <w:tblLayout w:type="fixed"/>
        </w:tblPrEx>
        <w:trPr>
          <w:trHeight w:val="290" w:hRule="atLeast"/>
        </w:trPr>
        <w:tc>
          <w:tcPr>
            <w:tcW w:w="1476" w:type="dxa"/>
            <w:shd w:val="clear" w:color="auto" w:fill="F1F1F1" w:themeFill="background1" w:themeFillShade="F2"/>
          </w:tcPr>
          <w:p w14:paraId="76ACD5AA">
            <w:pPr>
              <w:spacing w:after="0" w:line="240" w:lineRule="auto"/>
              <w:rPr>
                <w:b/>
                <w:bCs/>
                <w:lang w:eastAsia="en-GB"/>
              </w:rPr>
            </w:pPr>
            <w:r>
              <w:rPr>
                <w:b/>
                <w:bCs/>
                <w:lang w:eastAsia="en-GB"/>
              </w:rPr>
              <w:t>Othman &amp; Mahmood (2019)</w:t>
            </w:r>
          </w:p>
        </w:tc>
        <w:tc>
          <w:tcPr>
            <w:tcW w:w="2204" w:type="dxa"/>
            <w:shd w:val="clear" w:color="auto" w:fill="F1F1F1" w:themeFill="background1" w:themeFillShade="F2"/>
          </w:tcPr>
          <w:p w14:paraId="5F8DC90E">
            <w:pPr>
              <w:spacing w:after="0" w:line="240" w:lineRule="auto"/>
              <w:jc w:val="left"/>
              <w:rPr>
                <w:lang w:eastAsia="en-GB"/>
              </w:rPr>
            </w:pPr>
            <w:r>
              <w:rPr>
                <w:lang w:eastAsia="en-GB"/>
              </w:rPr>
              <w:t>Employee engagement and performance</w:t>
            </w:r>
          </w:p>
        </w:tc>
        <w:tc>
          <w:tcPr>
            <w:tcW w:w="1599" w:type="dxa"/>
            <w:shd w:val="clear" w:color="auto" w:fill="F1F1F1" w:themeFill="background1" w:themeFillShade="F2"/>
          </w:tcPr>
          <w:p w14:paraId="5D66F706">
            <w:pPr>
              <w:spacing w:after="0" w:line="240" w:lineRule="auto"/>
              <w:jc w:val="left"/>
              <w:rPr>
                <w:lang w:eastAsia="en-GB"/>
              </w:rPr>
            </w:pPr>
            <w:r>
              <w:rPr>
                <w:lang w:eastAsia="en-GB"/>
              </w:rPr>
              <w:t>Quantitative</w:t>
            </w:r>
          </w:p>
        </w:tc>
        <w:tc>
          <w:tcPr>
            <w:tcW w:w="2200" w:type="dxa"/>
            <w:shd w:val="clear" w:color="auto" w:fill="F1F1F1" w:themeFill="background1" w:themeFillShade="F2"/>
          </w:tcPr>
          <w:p w14:paraId="521F9252">
            <w:pPr>
              <w:spacing w:after="0" w:line="240" w:lineRule="auto"/>
              <w:jc w:val="left"/>
              <w:rPr>
                <w:lang w:eastAsia="en-GB"/>
              </w:rPr>
            </w:pPr>
            <w:r>
              <w:rPr>
                <w:lang w:eastAsia="en-GB"/>
              </w:rPr>
              <w:t>HR practices enhance engagement and performance</w:t>
            </w:r>
          </w:p>
        </w:tc>
        <w:tc>
          <w:tcPr>
            <w:tcW w:w="1871" w:type="dxa"/>
            <w:shd w:val="clear" w:color="auto" w:fill="F1F1F1" w:themeFill="background1" w:themeFillShade="F2"/>
          </w:tcPr>
          <w:p w14:paraId="203D3845">
            <w:pPr>
              <w:spacing w:after="0" w:line="240" w:lineRule="auto"/>
              <w:jc w:val="left"/>
              <w:rPr>
                <w:lang w:eastAsia="en-GB"/>
              </w:rPr>
            </w:pPr>
            <w:r>
              <w:rPr>
                <w:lang w:eastAsia="en-GB"/>
              </w:rPr>
              <w:t>Supports behavioural outcomes of training</w:t>
            </w:r>
          </w:p>
        </w:tc>
      </w:tr>
      <w:tr w14:paraId="1C3B85B2">
        <w:tblPrEx>
          <w:tblLayout w:type="fixed"/>
        </w:tblPrEx>
        <w:trPr>
          <w:trHeight w:val="290" w:hRule="atLeast"/>
        </w:trPr>
        <w:tc>
          <w:tcPr>
            <w:tcW w:w="1476" w:type="dxa"/>
          </w:tcPr>
          <w:p w14:paraId="2BBAF9C2">
            <w:pPr>
              <w:spacing w:after="0" w:line="240" w:lineRule="auto"/>
              <w:rPr>
                <w:b/>
                <w:bCs/>
                <w:lang w:eastAsia="en-GB"/>
              </w:rPr>
            </w:pPr>
            <w:r>
              <w:rPr>
                <w:b/>
                <w:bCs/>
                <w:lang w:eastAsia="en-GB"/>
              </w:rPr>
              <w:t>Rahman &amp; Akhter (2021)</w:t>
            </w:r>
          </w:p>
        </w:tc>
        <w:tc>
          <w:tcPr>
            <w:tcW w:w="2204" w:type="dxa"/>
          </w:tcPr>
          <w:p w14:paraId="3F0C648A">
            <w:pPr>
              <w:spacing w:after="0" w:line="240" w:lineRule="auto"/>
              <w:jc w:val="left"/>
              <w:rPr>
                <w:lang w:eastAsia="en-GB"/>
              </w:rPr>
            </w:pPr>
            <w:r>
              <w:rPr>
                <w:lang w:eastAsia="en-GB"/>
              </w:rPr>
              <w:t>Investment in human capital</w:t>
            </w:r>
          </w:p>
        </w:tc>
        <w:tc>
          <w:tcPr>
            <w:tcW w:w="1599" w:type="dxa"/>
          </w:tcPr>
          <w:p w14:paraId="5979CC89">
            <w:pPr>
              <w:spacing w:after="0" w:line="240" w:lineRule="auto"/>
              <w:jc w:val="left"/>
              <w:rPr>
                <w:lang w:eastAsia="en-GB"/>
              </w:rPr>
            </w:pPr>
            <w:r>
              <w:rPr>
                <w:lang w:eastAsia="en-GB"/>
              </w:rPr>
              <w:t>Quantitative</w:t>
            </w:r>
          </w:p>
        </w:tc>
        <w:tc>
          <w:tcPr>
            <w:tcW w:w="2200" w:type="dxa"/>
          </w:tcPr>
          <w:p w14:paraId="30A88BC5">
            <w:pPr>
              <w:spacing w:after="0" w:line="240" w:lineRule="auto"/>
              <w:jc w:val="left"/>
              <w:rPr>
                <w:lang w:eastAsia="en-GB"/>
              </w:rPr>
            </w:pPr>
            <w:r>
              <w:rPr>
                <w:lang w:eastAsia="en-GB"/>
              </w:rPr>
              <w:t>Investment in human capital improves performance</w:t>
            </w:r>
          </w:p>
        </w:tc>
        <w:tc>
          <w:tcPr>
            <w:tcW w:w="1871" w:type="dxa"/>
          </w:tcPr>
          <w:p w14:paraId="4D06E2E7">
            <w:pPr>
              <w:spacing w:after="0" w:line="240" w:lineRule="auto"/>
              <w:jc w:val="left"/>
              <w:rPr>
                <w:lang w:eastAsia="en-GB"/>
              </w:rPr>
            </w:pPr>
            <w:r>
              <w:rPr>
                <w:lang w:eastAsia="en-GB"/>
              </w:rPr>
              <w:t>Supports Human Capital Theory</w:t>
            </w:r>
          </w:p>
        </w:tc>
      </w:tr>
      <w:tr w14:paraId="3DCF0B53">
        <w:tblPrEx>
          <w:tblLayout w:type="fixed"/>
        </w:tblPrEx>
        <w:trPr>
          <w:trHeight w:val="290" w:hRule="atLeast"/>
        </w:trPr>
        <w:tc>
          <w:tcPr>
            <w:tcW w:w="1476" w:type="dxa"/>
            <w:shd w:val="clear" w:color="auto" w:fill="F1F1F1" w:themeFill="background1" w:themeFillShade="F2"/>
          </w:tcPr>
          <w:p w14:paraId="3284C5F9">
            <w:pPr>
              <w:spacing w:after="0" w:line="240" w:lineRule="auto"/>
              <w:rPr>
                <w:b/>
                <w:bCs/>
                <w:lang w:eastAsia="en-GB"/>
              </w:rPr>
            </w:pPr>
            <w:r>
              <w:rPr>
                <w:b/>
                <w:bCs/>
                <w:lang w:eastAsia="en-GB"/>
              </w:rPr>
              <w:t>Rezaei et al. (2021)</w:t>
            </w:r>
          </w:p>
        </w:tc>
        <w:tc>
          <w:tcPr>
            <w:tcW w:w="2204" w:type="dxa"/>
            <w:shd w:val="clear" w:color="auto" w:fill="F1F1F1" w:themeFill="background1" w:themeFillShade="F2"/>
          </w:tcPr>
          <w:p w14:paraId="2AAB9FCD">
            <w:pPr>
              <w:spacing w:after="0" w:line="240" w:lineRule="auto"/>
              <w:jc w:val="left"/>
              <w:rPr>
                <w:lang w:eastAsia="en-GB"/>
              </w:rPr>
            </w:pPr>
            <w:r>
              <w:rPr>
                <w:lang w:eastAsia="en-GB"/>
              </w:rPr>
              <w:t>Knowledge management and performance</w:t>
            </w:r>
          </w:p>
        </w:tc>
        <w:tc>
          <w:tcPr>
            <w:tcW w:w="1599" w:type="dxa"/>
            <w:shd w:val="clear" w:color="auto" w:fill="F1F1F1" w:themeFill="background1" w:themeFillShade="F2"/>
          </w:tcPr>
          <w:p w14:paraId="151E33BF">
            <w:pPr>
              <w:spacing w:after="0" w:line="240" w:lineRule="auto"/>
              <w:jc w:val="left"/>
              <w:rPr>
                <w:lang w:eastAsia="en-GB"/>
              </w:rPr>
            </w:pPr>
            <w:r>
              <w:rPr>
                <w:lang w:eastAsia="en-GB"/>
              </w:rPr>
              <w:t>Quantitative</w:t>
            </w:r>
          </w:p>
        </w:tc>
        <w:tc>
          <w:tcPr>
            <w:tcW w:w="2200" w:type="dxa"/>
            <w:shd w:val="clear" w:color="auto" w:fill="F1F1F1" w:themeFill="background1" w:themeFillShade="F2"/>
          </w:tcPr>
          <w:p w14:paraId="42B3E9AC">
            <w:pPr>
              <w:spacing w:after="0" w:line="240" w:lineRule="auto"/>
              <w:jc w:val="left"/>
              <w:rPr>
                <w:lang w:eastAsia="en-GB"/>
              </w:rPr>
            </w:pPr>
            <w:r>
              <w:rPr>
                <w:lang w:eastAsia="en-GB"/>
              </w:rPr>
              <w:t>Knowledge management improves performance via human capital</w:t>
            </w:r>
          </w:p>
        </w:tc>
        <w:tc>
          <w:tcPr>
            <w:tcW w:w="1871" w:type="dxa"/>
            <w:shd w:val="clear" w:color="auto" w:fill="F1F1F1" w:themeFill="background1" w:themeFillShade="F2"/>
          </w:tcPr>
          <w:p w14:paraId="0B1849AC">
            <w:pPr>
              <w:spacing w:after="0" w:line="240" w:lineRule="auto"/>
              <w:jc w:val="left"/>
              <w:rPr>
                <w:lang w:eastAsia="en-GB"/>
              </w:rPr>
            </w:pPr>
            <w:r>
              <w:rPr>
                <w:lang w:eastAsia="en-GB"/>
              </w:rPr>
              <w:t>Strengthens mediation argument</w:t>
            </w:r>
          </w:p>
        </w:tc>
      </w:tr>
      <w:tr w14:paraId="365FA7C1">
        <w:tblPrEx>
          <w:tblLayout w:type="fixed"/>
        </w:tblPrEx>
        <w:trPr>
          <w:trHeight w:val="290" w:hRule="atLeast"/>
        </w:trPr>
        <w:tc>
          <w:tcPr>
            <w:tcW w:w="1476" w:type="dxa"/>
          </w:tcPr>
          <w:p w14:paraId="4AF23FB3">
            <w:pPr>
              <w:spacing w:after="0" w:line="240" w:lineRule="auto"/>
              <w:rPr>
                <w:b/>
                <w:bCs/>
                <w:lang w:eastAsia="en-GB"/>
              </w:rPr>
            </w:pPr>
            <w:r>
              <w:rPr>
                <w:b/>
                <w:bCs/>
                <w:lang w:eastAsia="en-GB"/>
              </w:rPr>
              <w:t>Xu (2021)</w:t>
            </w:r>
          </w:p>
        </w:tc>
        <w:tc>
          <w:tcPr>
            <w:tcW w:w="2204" w:type="dxa"/>
          </w:tcPr>
          <w:p w14:paraId="4A8299FB">
            <w:pPr>
              <w:spacing w:after="0" w:line="240" w:lineRule="auto"/>
              <w:jc w:val="left"/>
              <w:rPr>
                <w:lang w:eastAsia="en-GB"/>
              </w:rPr>
            </w:pPr>
            <w:r>
              <w:rPr>
                <w:lang w:eastAsia="en-GB"/>
              </w:rPr>
              <w:t>Human capital and ecological development</w:t>
            </w:r>
          </w:p>
        </w:tc>
        <w:tc>
          <w:tcPr>
            <w:tcW w:w="1599" w:type="dxa"/>
          </w:tcPr>
          <w:p w14:paraId="0F5A17DD">
            <w:pPr>
              <w:spacing w:after="0" w:line="240" w:lineRule="auto"/>
              <w:jc w:val="left"/>
              <w:rPr>
                <w:lang w:eastAsia="en-GB"/>
              </w:rPr>
            </w:pPr>
            <w:r>
              <w:rPr>
                <w:lang w:eastAsia="en-GB"/>
              </w:rPr>
              <w:t>Quantitative</w:t>
            </w:r>
          </w:p>
        </w:tc>
        <w:tc>
          <w:tcPr>
            <w:tcW w:w="2200" w:type="dxa"/>
          </w:tcPr>
          <w:p w14:paraId="0E523F6C">
            <w:pPr>
              <w:spacing w:after="0" w:line="240" w:lineRule="auto"/>
              <w:jc w:val="left"/>
              <w:rPr>
                <w:lang w:eastAsia="en-GB"/>
              </w:rPr>
            </w:pPr>
            <w:r>
              <w:rPr>
                <w:lang w:eastAsia="en-GB"/>
              </w:rPr>
              <w:t>Lack of human capital negatively affects innovation and sustainability</w:t>
            </w:r>
          </w:p>
        </w:tc>
        <w:tc>
          <w:tcPr>
            <w:tcW w:w="1871" w:type="dxa"/>
          </w:tcPr>
          <w:p w14:paraId="0457C650">
            <w:pPr>
              <w:spacing w:after="0" w:line="240" w:lineRule="auto"/>
              <w:jc w:val="left"/>
              <w:rPr>
                <w:lang w:eastAsia="en-GB"/>
              </w:rPr>
            </w:pPr>
            <w:r>
              <w:rPr>
                <w:lang w:eastAsia="en-GB"/>
              </w:rPr>
              <w:t>Links human capital with sustainability</w:t>
            </w:r>
          </w:p>
        </w:tc>
      </w:tr>
      <w:tr w14:paraId="24A3F6B9">
        <w:tblPrEx>
          <w:tblLayout w:type="fixed"/>
        </w:tblPrEx>
        <w:trPr>
          <w:trHeight w:val="290" w:hRule="atLeast"/>
        </w:trPr>
        <w:tc>
          <w:tcPr>
            <w:tcW w:w="1476" w:type="dxa"/>
            <w:shd w:val="clear" w:color="auto" w:fill="F1F1F1" w:themeFill="background1" w:themeFillShade="F2"/>
          </w:tcPr>
          <w:p w14:paraId="0EB375E7">
            <w:pPr>
              <w:spacing w:after="0" w:line="240" w:lineRule="auto"/>
              <w:rPr>
                <w:b/>
                <w:bCs/>
                <w:lang w:eastAsia="en-GB"/>
              </w:rPr>
            </w:pPr>
            <w:r>
              <w:rPr>
                <w:b/>
                <w:bCs/>
                <w:lang w:eastAsia="en-GB"/>
              </w:rPr>
              <w:t>Zhang &amp; Chen (2023)</w:t>
            </w:r>
          </w:p>
        </w:tc>
        <w:tc>
          <w:tcPr>
            <w:tcW w:w="2204" w:type="dxa"/>
            <w:shd w:val="clear" w:color="auto" w:fill="F1F1F1" w:themeFill="background1" w:themeFillShade="F2"/>
          </w:tcPr>
          <w:p w14:paraId="15BEC9C8">
            <w:pPr>
              <w:spacing w:after="0" w:line="240" w:lineRule="auto"/>
              <w:jc w:val="left"/>
              <w:rPr>
                <w:lang w:eastAsia="en-GB"/>
              </w:rPr>
            </w:pPr>
            <w:r>
              <w:rPr>
                <w:lang w:eastAsia="en-GB"/>
              </w:rPr>
              <w:t>Digital HRM transformation</w:t>
            </w:r>
          </w:p>
        </w:tc>
        <w:tc>
          <w:tcPr>
            <w:tcW w:w="1599" w:type="dxa"/>
            <w:shd w:val="clear" w:color="auto" w:fill="F1F1F1" w:themeFill="background1" w:themeFillShade="F2"/>
          </w:tcPr>
          <w:p w14:paraId="534FAD3C">
            <w:pPr>
              <w:spacing w:after="0" w:line="240" w:lineRule="auto"/>
              <w:jc w:val="left"/>
              <w:rPr>
                <w:lang w:eastAsia="en-GB"/>
              </w:rPr>
            </w:pPr>
            <w:r>
              <w:rPr>
                <w:lang w:eastAsia="en-GB"/>
              </w:rPr>
              <w:t>Conceptual</w:t>
            </w:r>
          </w:p>
        </w:tc>
        <w:tc>
          <w:tcPr>
            <w:tcW w:w="2200" w:type="dxa"/>
            <w:shd w:val="clear" w:color="auto" w:fill="F1F1F1" w:themeFill="background1" w:themeFillShade="F2"/>
          </w:tcPr>
          <w:p w14:paraId="32B5BDC0">
            <w:pPr>
              <w:spacing w:after="0" w:line="240" w:lineRule="auto"/>
              <w:jc w:val="left"/>
              <w:rPr>
                <w:lang w:eastAsia="en-GB"/>
              </w:rPr>
            </w:pPr>
            <w:r>
              <w:rPr>
                <w:lang w:eastAsia="en-GB"/>
              </w:rPr>
              <w:t>Digital tools improve HR efficiency and training delivery</w:t>
            </w:r>
          </w:p>
        </w:tc>
        <w:tc>
          <w:tcPr>
            <w:tcW w:w="1871" w:type="dxa"/>
            <w:shd w:val="clear" w:color="auto" w:fill="F1F1F1" w:themeFill="background1" w:themeFillShade="F2"/>
          </w:tcPr>
          <w:p w14:paraId="013D3842">
            <w:pPr>
              <w:spacing w:after="0" w:line="240" w:lineRule="auto"/>
              <w:jc w:val="left"/>
              <w:rPr>
                <w:lang w:eastAsia="en-GB"/>
              </w:rPr>
            </w:pPr>
            <w:r>
              <w:rPr>
                <w:lang w:eastAsia="en-GB"/>
              </w:rPr>
              <w:t>Supports digitalisation of HR</w:t>
            </w:r>
          </w:p>
        </w:tc>
      </w:tr>
      <w:tr w14:paraId="244F7499">
        <w:tblPrEx>
          <w:tblLayout w:type="fixed"/>
        </w:tblPrEx>
        <w:trPr>
          <w:trHeight w:val="290" w:hRule="atLeast"/>
        </w:trPr>
        <w:tc>
          <w:tcPr>
            <w:tcW w:w="1476" w:type="dxa"/>
          </w:tcPr>
          <w:p w14:paraId="413CDA45">
            <w:pPr>
              <w:spacing w:after="0" w:line="240" w:lineRule="auto"/>
              <w:rPr>
                <w:b/>
                <w:bCs/>
                <w:lang w:eastAsia="en-GB"/>
              </w:rPr>
            </w:pPr>
            <w:r>
              <w:rPr>
                <w:b/>
                <w:bCs/>
                <w:lang w:eastAsia="en-GB"/>
              </w:rPr>
              <w:t>Zihan et al. (2024)</w:t>
            </w:r>
          </w:p>
        </w:tc>
        <w:tc>
          <w:tcPr>
            <w:tcW w:w="2204" w:type="dxa"/>
          </w:tcPr>
          <w:p w14:paraId="568E5DD9">
            <w:pPr>
              <w:spacing w:after="0" w:line="240" w:lineRule="auto"/>
              <w:jc w:val="left"/>
              <w:rPr>
                <w:lang w:eastAsia="en-GB"/>
              </w:rPr>
            </w:pPr>
            <w:r>
              <w:rPr>
                <w:lang w:eastAsia="en-GB"/>
              </w:rPr>
              <w:t>Green HRM and organisational change</w:t>
            </w:r>
          </w:p>
        </w:tc>
        <w:tc>
          <w:tcPr>
            <w:tcW w:w="1599" w:type="dxa"/>
          </w:tcPr>
          <w:p w14:paraId="2EB328A6">
            <w:pPr>
              <w:spacing w:after="0" w:line="240" w:lineRule="auto"/>
              <w:jc w:val="left"/>
              <w:rPr>
                <w:lang w:eastAsia="en-GB"/>
              </w:rPr>
            </w:pPr>
            <w:r>
              <w:rPr>
                <w:lang w:eastAsia="en-GB"/>
              </w:rPr>
              <w:t>Quantitative</w:t>
            </w:r>
          </w:p>
        </w:tc>
        <w:tc>
          <w:tcPr>
            <w:tcW w:w="2200" w:type="dxa"/>
          </w:tcPr>
          <w:p w14:paraId="2A2B217A">
            <w:pPr>
              <w:spacing w:after="0" w:line="240" w:lineRule="auto"/>
              <w:jc w:val="left"/>
              <w:rPr>
                <w:lang w:eastAsia="en-GB"/>
              </w:rPr>
            </w:pPr>
            <w:r>
              <w:rPr>
                <w:lang w:eastAsia="en-GB"/>
              </w:rPr>
              <w:t>Green HRM supports sustainability and organisational transformation</w:t>
            </w:r>
          </w:p>
        </w:tc>
        <w:tc>
          <w:tcPr>
            <w:tcW w:w="1871" w:type="dxa"/>
          </w:tcPr>
          <w:p w14:paraId="53B00F80">
            <w:pPr>
              <w:spacing w:after="0" w:line="240" w:lineRule="auto"/>
              <w:jc w:val="left"/>
              <w:rPr>
                <w:lang w:eastAsia="en-GB"/>
              </w:rPr>
            </w:pPr>
            <w:r>
              <w:rPr>
                <w:lang w:eastAsia="en-GB"/>
              </w:rPr>
              <w:t>Links HR practices with sustainability</w:t>
            </w:r>
          </w:p>
        </w:tc>
      </w:tr>
      <w:tr w14:paraId="4B41099F">
        <w:tblPrEx>
          <w:tblLayout w:type="fixed"/>
        </w:tblPrEx>
        <w:trPr>
          <w:trHeight w:val="290" w:hRule="atLeast"/>
        </w:trPr>
        <w:tc>
          <w:tcPr>
            <w:tcW w:w="1476" w:type="dxa"/>
            <w:shd w:val="clear" w:color="auto" w:fill="F1F1F1" w:themeFill="background1" w:themeFillShade="F2"/>
          </w:tcPr>
          <w:p w14:paraId="1738D5EB">
            <w:pPr>
              <w:spacing w:after="0" w:line="240" w:lineRule="auto"/>
              <w:rPr>
                <w:b/>
                <w:bCs/>
                <w:lang w:eastAsia="en-GB"/>
              </w:rPr>
            </w:pPr>
          </w:p>
        </w:tc>
        <w:tc>
          <w:tcPr>
            <w:tcW w:w="2204" w:type="dxa"/>
            <w:shd w:val="clear" w:color="auto" w:fill="F1F1F1" w:themeFill="background1" w:themeFillShade="F2"/>
          </w:tcPr>
          <w:p w14:paraId="7A736505">
            <w:pPr>
              <w:spacing w:after="0" w:line="240" w:lineRule="auto"/>
              <w:jc w:val="left"/>
              <w:rPr>
                <w:lang w:eastAsia="en-GB"/>
              </w:rPr>
            </w:pPr>
          </w:p>
        </w:tc>
        <w:tc>
          <w:tcPr>
            <w:tcW w:w="1599" w:type="dxa"/>
            <w:shd w:val="clear" w:color="auto" w:fill="F1F1F1" w:themeFill="background1" w:themeFillShade="F2"/>
          </w:tcPr>
          <w:p w14:paraId="37F76A0D">
            <w:pPr>
              <w:spacing w:after="0" w:line="240" w:lineRule="auto"/>
              <w:jc w:val="left"/>
              <w:rPr>
                <w:lang w:eastAsia="en-GB"/>
              </w:rPr>
            </w:pPr>
          </w:p>
        </w:tc>
        <w:tc>
          <w:tcPr>
            <w:tcW w:w="2200" w:type="dxa"/>
            <w:shd w:val="clear" w:color="auto" w:fill="F1F1F1" w:themeFill="background1" w:themeFillShade="F2"/>
          </w:tcPr>
          <w:p w14:paraId="29AC4AAB">
            <w:pPr>
              <w:spacing w:after="0" w:line="240" w:lineRule="auto"/>
              <w:jc w:val="left"/>
              <w:rPr>
                <w:lang w:eastAsia="en-GB"/>
              </w:rPr>
            </w:pPr>
          </w:p>
        </w:tc>
        <w:tc>
          <w:tcPr>
            <w:tcW w:w="1871" w:type="dxa"/>
            <w:shd w:val="clear" w:color="auto" w:fill="F1F1F1" w:themeFill="background1" w:themeFillShade="F2"/>
          </w:tcPr>
          <w:p w14:paraId="51B942B5">
            <w:pPr>
              <w:spacing w:after="0" w:line="240" w:lineRule="auto"/>
              <w:jc w:val="left"/>
              <w:rPr>
                <w:lang w:eastAsia="en-GB"/>
              </w:rPr>
            </w:pPr>
          </w:p>
        </w:tc>
      </w:tr>
    </w:tbl>
    <w:p w14:paraId="4B8CECFE">
      <w:pPr/>
    </w:p>
    <w:p w14:paraId="383A97D7">
      <w:pPr>
        <w:pStyle w:val="3"/>
      </w:pPr>
      <w:bookmarkStart w:id="139" w:name="_Toc229800142"/>
      <w:bookmarkStart w:id="140" w:name="_Toc231586825"/>
      <w:r>
        <w:t>Data Extraction and Thematic Coding Summary</w:t>
      </w:r>
      <w:bookmarkEnd w:id="139"/>
      <w:bookmarkEnd w:id="140"/>
    </w:p>
    <w:tbl>
      <w:tblPr>
        <w:tblStyle w:val="3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557"/>
        <w:gridCol w:w="1517"/>
        <w:gridCol w:w="2168"/>
        <w:gridCol w:w="2171"/>
        <w:gridCol w:w="1937"/>
      </w:tblGrid>
      <w:tr w14:paraId="7581200F">
        <w:tblPrEx>
          <w:tblLayout w:type="fixed"/>
        </w:tblPrEx>
        <w:tc>
          <w:tcPr>
            <w:tcW w:w="1557" w:type="dxa"/>
          </w:tcPr>
          <w:p w14:paraId="3ADFF423">
            <w:pPr>
              <w:spacing w:after="160"/>
              <w:rPr>
                <w:b/>
                <w:bCs/>
              </w:rPr>
            </w:pPr>
            <w:r>
              <w:rPr>
                <w:b/>
                <w:bCs/>
              </w:rPr>
              <w:t>Source</w:t>
            </w:r>
          </w:p>
        </w:tc>
        <w:tc>
          <w:tcPr>
            <w:tcW w:w="1517" w:type="dxa"/>
          </w:tcPr>
          <w:p w14:paraId="3CA5C52C">
            <w:pPr>
              <w:spacing w:after="160"/>
              <w:rPr>
                <w:b/>
                <w:bCs/>
              </w:rPr>
            </w:pPr>
            <w:r>
              <w:rPr>
                <w:b/>
                <w:bCs/>
              </w:rPr>
              <w:t>Data Type</w:t>
            </w:r>
          </w:p>
        </w:tc>
        <w:tc>
          <w:tcPr>
            <w:tcW w:w="2168" w:type="dxa"/>
          </w:tcPr>
          <w:p w14:paraId="3E89F663">
            <w:pPr>
              <w:spacing w:after="160"/>
              <w:rPr>
                <w:b/>
                <w:bCs/>
              </w:rPr>
            </w:pPr>
            <w:r>
              <w:rPr>
                <w:b/>
                <w:bCs/>
              </w:rPr>
              <w:t>Key Extracted Data</w:t>
            </w:r>
          </w:p>
        </w:tc>
        <w:tc>
          <w:tcPr>
            <w:tcW w:w="2171" w:type="dxa"/>
          </w:tcPr>
          <w:p w14:paraId="4DBDFFCB">
            <w:pPr>
              <w:spacing w:after="160"/>
              <w:rPr>
                <w:b/>
                <w:bCs/>
              </w:rPr>
            </w:pPr>
            <w:r>
              <w:rPr>
                <w:b/>
                <w:bCs/>
              </w:rPr>
              <w:t>Initial Codes</w:t>
            </w:r>
          </w:p>
        </w:tc>
        <w:tc>
          <w:tcPr>
            <w:tcW w:w="1937" w:type="dxa"/>
          </w:tcPr>
          <w:p w14:paraId="0D0AE1B2">
            <w:pPr>
              <w:spacing w:after="160"/>
              <w:rPr>
                <w:b/>
                <w:bCs/>
              </w:rPr>
            </w:pPr>
            <w:r>
              <w:rPr>
                <w:b/>
                <w:bCs/>
              </w:rPr>
              <w:t>Developed Theme</w:t>
            </w:r>
          </w:p>
        </w:tc>
      </w:tr>
      <w:tr w14:paraId="2AE68E5C">
        <w:tblPrEx>
          <w:tblLayout w:type="fixed"/>
        </w:tblPrEx>
        <w:tc>
          <w:tcPr>
            <w:tcW w:w="1557" w:type="dxa"/>
          </w:tcPr>
          <w:p w14:paraId="75B7DAB4">
            <w:pPr>
              <w:spacing w:after="160"/>
            </w:pPr>
            <w:r>
              <w:t>O’Higgins and Fatorachian (2025)</w:t>
            </w:r>
          </w:p>
        </w:tc>
        <w:tc>
          <w:tcPr>
            <w:tcW w:w="1517" w:type="dxa"/>
          </w:tcPr>
          <w:p w14:paraId="294E23F4">
            <w:pPr>
              <w:spacing w:after="160"/>
            </w:pPr>
            <w:r>
              <w:t>Journal Article</w:t>
            </w:r>
          </w:p>
        </w:tc>
        <w:tc>
          <w:tcPr>
            <w:tcW w:w="2168" w:type="dxa"/>
          </w:tcPr>
          <w:p w14:paraId="35C60528">
            <w:pPr>
              <w:spacing w:after="160"/>
            </w:pPr>
            <w:r>
              <w:t>AI reshapes customer interaction, ethical governance, AI transparency, privacy concerns</w:t>
            </w:r>
          </w:p>
        </w:tc>
        <w:tc>
          <w:tcPr>
            <w:tcW w:w="2171" w:type="dxa"/>
          </w:tcPr>
          <w:p w14:paraId="08C0AE3F">
            <w:pPr>
              <w:spacing w:after="160"/>
            </w:pPr>
            <w:r>
              <w:t>AI-enabled interaction, ethical transparency, responsible data management</w:t>
            </w:r>
          </w:p>
        </w:tc>
        <w:tc>
          <w:tcPr>
            <w:tcW w:w="1937" w:type="dxa"/>
          </w:tcPr>
          <w:p w14:paraId="62E94AC7">
            <w:pPr>
              <w:spacing w:after="160"/>
            </w:pPr>
            <w:r>
              <w:t>Digital Transformation and Organisational Innovation</w:t>
            </w:r>
          </w:p>
        </w:tc>
      </w:tr>
      <w:tr w14:paraId="10BACA09">
        <w:tblPrEx>
          <w:tblLayout w:type="fixed"/>
        </w:tblPrEx>
        <w:tc>
          <w:tcPr>
            <w:tcW w:w="1557" w:type="dxa"/>
          </w:tcPr>
          <w:p w14:paraId="69F01FA2">
            <w:pPr>
              <w:spacing w:after="160"/>
            </w:pPr>
            <w:r>
              <w:t>Wang et al. (2026)</w:t>
            </w:r>
          </w:p>
        </w:tc>
        <w:tc>
          <w:tcPr>
            <w:tcW w:w="1517" w:type="dxa"/>
          </w:tcPr>
          <w:p w14:paraId="3BFA7D3E">
            <w:pPr>
              <w:spacing w:after="160"/>
            </w:pPr>
            <w:r>
              <w:t>Systematic Review</w:t>
            </w:r>
          </w:p>
        </w:tc>
        <w:tc>
          <w:tcPr>
            <w:tcW w:w="2168" w:type="dxa"/>
          </w:tcPr>
          <w:p w14:paraId="13A382E0">
            <w:pPr>
              <w:spacing w:after="160"/>
            </w:pPr>
            <w:r>
              <w:t>Responsible HRM improves employee wellbeing, organisational commitment, leadership support</w:t>
            </w:r>
          </w:p>
        </w:tc>
        <w:tc>
          <w:tcPr>
            <w:tcW w:w="2171" w:type="dxa"/>
          </w:tcPr>
          <w:p w14:paraId="02E08C91">
            <w:pPr>
              <w:spacing w:after="160"/>
            </w:pPr>
            <w:r>
              <w:t>Employee wellbeing, organisational support, leadership commitment</w:t>
            </w:r>
          </w:p>
        </w:tc>
        <w:tc>
          <w:tcPr>
            <w:tcW w:w="1937" w:type="dxa"/>
          </w:tcPr>
          <w:p w14:paraId="7B7D4B32">
            <w:pPr>
              <w:spacing w:after="160"/>
            </w:pPr>
            <w:r>
              <w:t>Sustainable HRM and Employee Wellbeing</w:t>
            </w:r>
          </w:p>
        </w:tc>
      </w:tr>
      <w:tr w14:paraId="2D7D3FCA">
        <w:tblPrEx>
          <w:tblLayout w:type="fixed"/>
        </w:tblPrEx>
        <w:tc>
          <w:tcPr>
            <w:tcW w:w="1557" w:type="dxa"/>
          </w:tcPr>
          <w:p w14:paraId="68E5720A">
            <w:pPr>
              <w:spacing w:after="160"/>
            </w:pPr>
            <w:r>
              <w:t>Popescu (2020)</w:t>
            </w:r>
          </w:p>
        </w:tc>
        <w:tc>
          <w:tcPr>
            <w:tcW w:w="1517" w:type="dxa"/>
          </w:tcPr>
          <w:p w14:paraId="4554E15E">
            <w:pPr>
              <w:spacing w:after="160"/>
            </w:pPr>
            <w:r>
              <w:t>Book Chapter</w:t>
            </w:r>
          </w:p>
        </w:tc>
        <w:tc>
          <w:tcPr>
            <w:tcW w:w="2168" w:type="dxa"/>
          </w:tcPr>
          <w:p w14:paraId="6456B707">
            <w:pPr>
              <w:spacing w:after="160"/>
            </w:pPr>
            <w:r>
              <w:t>Green marketing improves sustainability, consumer trust, competitive advantage</w:t>
            </w:r>
          </w:p>
        </w:tc>
        <w:tc>
          <w:tcPr>
            <w:tcW w:w="2171" w:type="dxa"/>
          </w:tcPr>
          <w:p w14:paraId="6DB86640">
            <w:pPr>
              <w:spacing w:after="160"/>
            </w:pPr>
            <w:r>
              <w:t>Green consumer behaviour, sustainable competitiveness, greenwashing</w:t>
            </w:r>
          </w:p>
        </w:tc>
        <w:tc>
          <w:tcPr>
            <w:tcW w:w="1937" w:type="dxa"/>
          </w:tcPr>
          <w:p w14:paraId="563795DE">
            <w:pPr>
              <w:spacing w:after="160"/>
            </w:pPr>
            <w:r>
              <w:t>Green Marketing and Business Sustainability</w:t>
            </w:r>
          </w:p>
        </w:tc>
      </w:tr>
      <w:tr w14:paraId="64E7CC12">
        <w:tblPrEx>
          <w:tblLayout w:type="fixed"/>
        </w:tblPrEx>
        <w:tc>
          <w:tcPr>
            <w:tcW w:w="1557" w:type="dxa"/>
          </w:tcPr>
          <w:p w14:paraId="3904EF91">
            <w:pPr>
              <w:spacing w:after="160"/>
            </w:pPr>
            <w:r>
              <w:t>Hasan et al. (2025)</w:t>
            </w:r>
          </w:p>
        </w:tc>
        <w:tc>
          <w:tcPr>
            <w:tcW w:w="1517" w:type="dxa"/>
          </w:tcPr>
          <w:p w14:paraId="0D675696">
            <w:pPr>
              <w:spacing w:after="160"/>
            </w:pPr>
            <w:r>
              <w:t>Journal Article</w:t>
            </w:r>
          </w:p>
        </w:tc>
        <w:tc>
          <w:tcPr>
            <w:tcW w:w="2168" w:type="dxa"/>
          </w:tcPr>
          <w:p w14:paraId="507161DA">
            <w:pPr>
              <w:spacing w:after="160"/>
            </w:pPr>
            <w:r>
              <w:t>Green Supply Chain Management improves sustainability and productivity</w:t>
            </w:r>
          </w:p>
        </w:tc>
        <w:tc>
          <w:tcPr>
            <w:tcW w:w="2171" w:type="dxa"/>
          </w:tcPr>
          <w:p w14:paraId="28C3CC3A">
            <w:pPr>
              <w:spacing w:after="160"/>
            </w:pPr>
            <w:r>
              <w:t>Green supply chain integration, sustainability culture, eco-design</w:t>
            </w:r>
          </w:p>
        </w:tc>
        <w:tc>
          <w:tcPr>
            <w:tcW w:w="1937" w:type="dxa"/>
          </w:tcPr>
          <w:p w14:paraId="7A7E935A">
            <w:pPr>
              <w:spacing w:after="160"/>
            </w:pPr>
            <w:r>
              <w:t>Green Supply Chain Management and Sustainability</w:t>
            </w:r>
          </w:p>
        </w:tc>
      </w:tr>
      <w:tr w14:paraId="02C67B3E">
        <w:tblPrEx>
          <w:tblLayout w:type="fixed"/>
        </w:tblPrEx>
        <w:tc>
          <w:tcPr>
            <w:tcW w:w="1557" w:type="dxa"/>
          </w:tcPr>
          <w:p w14:paraId="2B8CA96E">
            <w:pPr>
              <w:spacing w:after="160"/>
            </w:pPr>
            <w:r>
              <w:t>Ojakorotu (2025)</w:t>
            </w:r>
          </w:p>
        </w:tc>
        <w:tc>
          <w:tcPr>
            <w:tcW w:w="1517" w:type="dxa"/>
          </w:tcPr>
          <w:p w14:paraId="4E4CA119">
            <w:pPr>
              <w:spacing w:after="160"/>
            </w:pPr>
            <w:r>
              <w:t>Research Study</w:t>
            </w:r>
          </w:p>
        </w:tc>
        <w:tc>
          <w:tcPr>
            <w:tcW w:w="2168" w:type="dxa"/>
          </w:tcPr>
          <w:p w14:paraId="6CCD2880">
            <w:pPr>
              <w:spacing w:after="160"/>
            </w:pPr>
            <w:r>
              <w:t>Sustainable HRM, green recruitment, sustainability training, employee engagement</w:t>
            </w:r>
          </w:p>
        </w:tc>
        <w:tc>
          <w:tcPr>
            <w:tcW w:w="2171" w:type="dxa"/>
          </w:tcPr>
          <w:p w14:paraId="1597B056">
            <w:pPr>
              <w:spacing w:after="160"/>
            </w:pPr>
            <w:r>
              <w:t>Sustainable recruitment, sustainability-focused training, leadership support</w:t>
            </w:r>
          </w:p>
        </w:tc>
        <w:tc>
          <w:tcPr>
            <w:tcW w:w="1937" w:type="dxa"/>
          </w:tcPr>
          <w:p w14:paraId="77549434">
            <w:pPr>
              <w:spacing w:after="160"/>
            </w:pPr>
            <w:r>
              <w:t>Sustainable HRM and Organisational Sustainability</w:t>
            </w:r>
          </w:p>
        </w:tc>
      </w:tr>
      <w:tr w14:paraId="59C84CB8">
        <w:tblPrEx>
          <w:tblLayout w:type="fixed"/>
        </w:tblPrEx>
        <w:tc>
          <w:tcPr>
            <w:tcW w:w="1557" w:type="dxa"/>
          </w:tcPr>
          <w:p w14:paraId="13729FD1">
            <w:pPr>
              <w:spacing w:after="160"/>
            </w:pPr>
            <w:r>
              <w:t>Khan et al. (2022)</w:t>
            </w:r>
          </w:p>
        </w:tc>
        <w:tc>
          <w:tcPr>
            <w:tcW w:w="1517" w:type="dxa"/>
          </w:tcPr>
          <w:p w14:paraId="2F69C170">
            <w:pPr>
              <w:spacing w:after="160"/>
            </w:pPr>
            <w:r>
              <w:t>Quantitative Study</w:t>
            </w:r>
          </w:p>
        </w:tc>
        <w:tc>
          <w:tcPr>
            <w:tcW w:w="2168" w:type="dxa"/>
          </w:tcPr>
          <w:p w14:paraId="072EAC20">
            <w:pPr>
              <w:spacing w:after="160"/>
            </w:pPr>
            <w:r>
              <w:t>Green HRM improves employee efficiency, teamwork, and motivation</w:t>
            </w:r>
          </w:p>
        </w:tc>
        <w:tc>
          <w:tcPr>
            <w:tcW w:w="2171" w:type="dxa"/>
          </w:tcPr>
          <w:p w14:paraId="248DF136">
            <w:pPr>
              <w:spacing w:after="160"/>
            </w:pPr>
            <w:r>
              <w:t>Sustainability-focused training, employee motivation, teamwork</w:t>
            </w:r>
          </w:p>
        </w:tc>
        <w:tc>
          <w:tcPr>
            <w:tcW w:w="1937" w:type="dxa"/>
          </w:tcPr>
          <w:p w14:paraId="746B772F">
            <w:pPr>
              <w:spacing w:after="160"/>
            </w:pPr>
            <w:r>
              <w:t>Sustainable HRM and Employee Development</w:t>
            </w:r>
          </w:p>
        </w:tc>
      </w:tr>
      <w:tr w14:paraId="61BD655E">
        <w:tblPrEx>
          <w:tblLayout w:type="fixed"/>
        </w:tblPrEx>
        <w:tc>
          <w:tcPr>
            <w:tcW w:w="1557" w:type="dxa"/>
          </w:tcPr>
          <w:p w14:paraId="7434186A">
            <w:pPr>
              <w:spacing w:after="160"/>
            </w:pPr>
            <w:r>
              <w:t>Susanto (2023)</w:t>
            </w:r>
          </w:p>
        </w:tc>
        <w:tc>
          <w:tcPr>
            <w:tcW w:w="1517" w:type="dxa"/>
          </w:tcPr>
          <w:p w14:paraId="0D999817">
            <w:pPr>
              <w:spacing w:after="160"/>
            </w:pPr>
            <w:r>
              <w:t>Quantitative Study</w:t>
            </w:r>
          </w:p>
        </w:tc>
        <w:tc>
          <w:tcPr>
            <w:tcW w:w="2168" w:type="dxa"/>
          </w:tcPr>
          <w:p w14:paraId="586C6E50">
            <w:pPr>
              <w:spacing w:after="160"/>
            </w:pPr>
            <w:r>
              <w:t>GHRM improves job satisfaction and green work engagement</w:t>
            </w:r>
          </w:p>
        </w:tc>
        <w:tc>
          <w:tcPr>
            <w:tcW w:w="2171" w:type="dxa"/>
          </w:tcPr>
          <w:p w14:paraId="52D0E999">
            <w:pPr>
              <w:spacing w:after="160"/>
            </w:pPr>
            <w:r>
              <w:t>Employee motivation, green engagement, workforce retention</w:t>
            </w:r>
          </w:p>
        </w:tc>
        <w:tc>
          <w:tcPr>
            <w:tcW w:w="1937" w:type="dxa"/>
          </w:tcPr>
          <w:p w14:paraId="339E7A0F">
            <w:pPr>
              <w:spacing w:after="160"/>
            </w:pPr>
            <w:r>
              <w:t>Employee Satisfaction and Organisational Commitment</w:t>
            </w:r>
          </w:p>
        </w:tc>
      </w:tr>
      <w:tr w14:paraId="58895645">
        <w:tblPrEx>
          <w:tblLayout w:type="fixed"/>
        </w:tblPrEx>
        <w:tc>
          <w:tcPr>
            <w:tcW w:w="1557" w:type="dxa"/>
          </w:tcPr>
          <w:p w14:paraId="39E6B1C6">
            <w:pPr>
              <w:spacing w:after="160"/>
            </w:pPr>
            <w:r>
              <w:t>Irad et al. (2025)</w:t>
            </w:r>
          </w:p>
        </w:tc>
        <w:tc>
          <w:tcPr>
            <w:tcW w:w="1517" w:type="dxa"/>
          </w:tcPr>
          <w:p w14:paraId="623EBE9C">
            <w:pPr>
              <w:spacing w:after="160"/>
            </w:pPr>
            <w:r>
              <w:t>Qualitative Study</w:t>
            </w:r>
          </w:p>
        </w:tc>
        <w:tc>
          <w:tcPr>
            <w:tcW w:w="2168" w:type="dxa"/>
          </w:tcPr>
          <w:p w14:paraId="1C236408">
            <w:pPr>
              <w:spacing w:after="160"/>
            </w:pPr>
            <w:r>
              <w:t>Green HR development strengthens competitiveness and innovation</w:t>
            </w:r>
          </w:p>
        </w:tc>
        <w:tc>
          <w:tcPr>
            <w:tcW w:w="2171" w:type="dxa"/>
          </w:tcPr>
          <w:p w14:paraId="14C135F7">
            <w:pPr>
              <w:spacing w:after="160"/>
            </w:pPr>
            <w:r>
              <w:t>Sustainability capability-building, employee participation, green teams</w:t>
            </w:r>
          </w:p>
        </w:tc>
        <w:tc>
          <w:tcPr>
            <w:tcW w:w="1937" w:type="dxa"/>
          </w:tcPr>
          <w:p w14:paraId="533FFAE7">
            <w:pPr>
              <w:spacing w:after="160"/>
            </w:pPr>
            <w:r>
              <w:t>Innovation and Sustainable Competitive Advantage</w:t>
            </w:r>
          </w:p>
        </w:tc>
      </w:tr>
      <w:tr w14:paraId="7FC29FDF">
        <w:tblPrEx>
          <w:tblLayout w:type="fixed"/>
        </w:tblPrEx>
        <w:tc>
          <w:tcPr>
            <w:tcW w:w="1557" w:type="dxa"/>
          </w:tcPr>
          <w:p w14:paraId="27BF738E">
            <w:pPr>
              <w:spacing w:after="160"/>
            </w:pPr>
            <w:r>
              <w:t>Unilever Annual Report (2025)</w:t>
            </w:r>
          </w:p>
        </w:tc>
        <w:tc>
          <w:tcPr>
            <w:tcW w:w="1517" w:type="dxa"/>
          </w:tcPr>
          <w:p w14:paraId="76C0C3EF">
            <w:pPr>
              <w:spacing w:after="160"/>
            </w:pPr>
            <w:r>
              <w:t>Annual Report</w:t>
            </w:r>
          </w:p>
        </w:tc>
        <w:tc>
          <w:tcPr>
            <w:tcW w:w="2168" w:type="dxa"/>
          </w:tcPr>
          <w:p w14:paraId="5C298E40">
            <w:pPr>
              <w:spacing w:after="160"/>
            </w:pPr>
            <w:r>
              <w:t>AI transformation, workforce upskilling, talent accelerator programmes</w:t>
            </w:r>
          </w:p>
        </w:tc>
        <w:tc>
          <w:tcPr>
            <w:tcW w:w="2171" w:type="dxa"/>
          </w:tcPr>
          <w:p w14:paraId="414312C7">
            <w:pPr>
              <w:spacing w:after="160"/>
            </w:pPr>
            <w:r>
              <w:t>AI capability-building, digital HRM, organisational learning</w:t>
            </w:r>
          </w:p>
        </w:tc>
        <w:tc>
          <w:tcPr>
            <w:tcW w:w="1937" w:type="dxa"/>
          </w:tcPr>
          <w:p w14:paraId="45343ADA">
            <w:pPr>
              <w:spacing w:after="160"/>
            </w:pPr>
            <w:r>
              <w:t>Digital Transformation and AI Integration</w:t>
            </w:r>
          </w:p>
        </w:tc>
      </w:tr>
      <w:tr w14:paraId="21F09186">
        <w:tblPrEx>
          <w:tblLayout w:type="fixed"/>
        </w:tblPrEx>
        <w:tc>
          <w:tcPr>
            <w:tcW w:w="1557" w:type="dxa"/>
          </w:tcPr>
          <w:p w14:paraId="687C36AE">
            <w:pPr>
              <w:spacing w:after="160"/>
            </w:pPr>
            <w:r>
              <w:t>Tesco PLC Annual Report (2025)</w:t>
            </w:r>
          </w:p>
        </w:tc>
        <w:tc>
          <w:tcPr>
            <w:tcW w:w="1517" w:type="dxa"/>
          </w:tcPr>
          <w:p w14:paraId="004A970B">
            <w:pPr>
              <w:spacing w:after="160"/>
            </w:pPr>
            <w:r>
              <w:t>Annual Report</w:t>
            </w:r>
          </w:p>
        </w:tc>
        <w:tc>
          <w:tcPr>
            <w:tcW w:w="2168" w:type="dxa"/>
          </w:tcPr>
          <w:p w14:paraId="48912EB4">
            <w:pPr>
              <w:spacing w:after="160"/>
            </w:pPr>
            <w:r>
              <w:t>AI-powered customer engagement, logistics optimisation, sustainability investment</w:t>
            </w:r>
          </w:p>
        </w:tc>
        <w:tc>
          <w:tcPr>
            <w:tcW w:w="2171" w:type="dxa"/>
          </w:tcPr>
          <w:p w14:paraId="04B98198">
            <w:pPr>
              <w:spacing w:after="160"/>
            </w:pPr>
            <w:r>
              <w:t>AI logistics, workforce investment, carbon neutrality</w:t>
            </w:r>
          </w:p>
        </w:tc>
        <w:tc>
          <w:tcPr>
            <w:tcW w:w="1937" w:type="dxa"/>
          </w:tcPr>
          <w:p w14:paraId="5BAD49AE">
            <w:pPr>
              <w:spacing w:after="160"/>
            </w:pPr>
            <w:r>
              <w:t>Digital Innovation and Operational Efficiency</w:t>
            </w:r>
          </w:p>
        </w:tc>
      </w:tr>
      <w:tr w14:paraId="63C4FC89">
        <w:tblPrEx>
          <w:tblLayout w:type="fixed"/>
        </w:tblPrEx>
        <w:tc>
          <w:tcPr>
            <w:tcW w:w="1557" w:type="dxa"/>
          </w:tcPr>
          <w:p w14:paraId="250B7814">
            <w:pPr>
              <w:spacing w:after="160"/>
            </w:pPr>
            <w:r>
              <w:t>DIAGEO Annual Report (2025)</w:t>
            </w:r>
          </w:p>
        </w:tc>
        <w:tc>
          <w:tcPr>
            <w:tcW w:w="1517" w:type="dxa"/>
          </w:tcPr>
          <w:p w14:paraId="440A6C29">
            <w:pPr>
              <w:spacing w:after="160"/>
            </w:pPr>
            <w:r>
              <w:t>Annual Report</w:t>
            </w:r>
          </w:p>
        </w:tc>
        <w:tc>
          <w:tcPr>
            <w:tcW w:w="2168" w:type="dxa"/>
          </w:tcPr>
          <w:p w14:paraId="5EE43304">
            <w:pPr>
              <w:spacing w:after="160"/>
            </w:pPr>
            <w:r>
              <w:t>AI production systems, operational efficiency, sustainability initiatives</w:t>
            </w:r>
          </w:p>
        </w:tc>
        <w:tc>
          <w:tcPr>
            <w:tcW w:w="2171" w:type="dxa"/>
          </w:tcPr>
          <w:p w14:paraId="7385FD49">
            <w:pPr>
              <w:spacing w:after="160"/>
            </w:pPr>
            <w:r>
              <w:t>AI-driven production, water efficiency, employee engagement</w:t>
            </w:r>
          </w:p>
        </w:tc>
        <w:tc>
          <w:tcPr>
            <w:tcW w:w="1937" w:type="dxa"/>
          </w:tcPr>
          <w:p w14:paraId="7652DBBE">
            <w:pPr>
              <w:spacing w:after="160"/>
            </w:pPr>
            <w:r>
              <w:t>Sustainability and Environmental Responsibility</w:t>
            </w:r>
          </w:p>
        </w:tc>
      </w:tr>
      <w:tr w14:paraId="46A320B8">
        <w:tblPrEx>
          <w:tblLayout w:type="fixed"/>
        </w:tblPrEx>
        <w:tc>
          <w:tcPr>
            <w:tcW w:w="1557" w:type="dxa"/>
          </w:tcPr>
          <w:p w14:paraId="1718FEFF">
            <w:pPr>
              <w:spacing w:after="160"/>
            </w:pPr>
            <w:r>
              <w:t>ABF Corporate Annual Report (2025)</w:t>
            </w:r>
          </w:p>
        </w:tc>
        <w:tc>
          <w:tcPr>
            <w:tcW w:w="1517" w:type="dxa"/>
          </w:tcPr>
          <w:p w14:paraId="34FB2D57">
            <w:pPr>
              <w:spacing w:after="160"/>
            </w:pPr>
            <w:r>
              <w:t>Annual Report</w:t>
            </w:r>
          </w:p>
        </w:tc>
        <w:tc>
          <w:tcPr>
            <w:tcW w:w="2168" w:type="dxa"/>
          </w:tcPr>
          <w:p w14:paraId="23073EFF">
            <w:pPr>
              <w:spacing w:after="160"/>
            </w:pPr>
            <w:r>
              <w:t>Warehouse automation, waste recycling, talent development</w:t>
            </w:r>
          </w:p>
        </w:tc>
        <w:tc>
          <w:tcPr>
            <w:tcW w:w="2171" w:type="dxa"/>
          </w:tcPr>
          <w:p w14:paraId="68086EB0">
            <w:pPr>
              <w:spacing w:after="160"/>
            </w:pPr>
            <w:r>
              <w:t>Operational innovation, sustainability investment, workforce development</w:t>
            </w:r>
          </w:p>
        </w:tc>
        <w:tc>
          <w:tcPr>
            <w:tcW w:w="1937" w:type="dxa"/>
          </w:tcPr>
          <w:p w14:paraId="268B3CAB">
            <w:pPr>
              <w:spacing w:after="160"/>
            </w:pPr>
            <w:r>
              <w:t>Sustainability and Long-Term Organisational Growth</w:t>
            </w:r>
          </w:p>
        </w:tc>
      </w:tr>
      <w:tr w14:paraId="2821B081">
        <w:tblPrEx>
          <w:tblLayout w:type="fixed"/>
        </w:tblPrEx>
        <w:tc>
          <w:tcPr>
            <w:tcW w:w="1557" w:type="dxa"/>
          </w:tcPr>
          <w:p w14:paraId="7B2B2050">
            <w:pPr>
              <w:spacing w:after="160"/>
            </w:pPr>
            <w:r>
              <w:t>Mishra (2022)</w:t>
            </w:r>
          </w:p>
        </w:tc>
        <w:tc>
          <w:tcPr>
            <w:tcW w:w="1517" w:type="dxa"/>
          </w:tcPr>
          <w:p w14:paraId="4083855D">
            <w:pPr>
              <w:spacing w:after="160"/>
            </w:pPr>
            <w:r>
              <w:t>Quantitative Study</w:t>
            </w:r>
          </w:p>
        </w:tc>
        <w:tc>
          <w:tcPr>
            <w:tcW w:w="2168" w:type="dxa"/>
          </w:tcPr>
          <w:p w14:paraId="10A014A2">
            <w:pPr>
              <w:spacing w:after="160"/>
            </w:pPr>
            <w:r>
              <w:t>Green HRM improves work-life balance and employee engagement</w:t>
            </w:r>
          </w:p>
        </w:tc>
        <w:tc>
          <w:tcPr>
            <w:tcW w:w="2171" w:type="dxa"/>
          </w:tcPr>
          <w:p w14:paraId="68444824">
            <w:pPr>
              <w:spacing w:after="160"/>
            </w:pPr>
            <w:r>
              <w:t>Employee wellbeing, flexible work, sustainable behaviour</w:t>
            </w:r>
          </w:p>
        </w:tc>
        <w:tc>
          <w:tcPr>
            <w:tcW w:w="1937" w:type="dxa"/>
          </w:tcPr>
          <w:p w14:paraId="1E907D40">
            <w:pPr>
              <w:spacing w:after="160"/>
            </w:pPr>
            <w:r>
              <w:t>Employee Wellbeing and Work-Life Balance</w:t>
            </w:r>
          </w:p>
        </w:tc>
      </w:tr>
      <w:tr w14:paraId="5290D8A8">
        <w:tblPrEx>
          <w:tblLayout w:type="fixed"/>
        </w:tblPrEx>
        <w:tc>
          <w:tcPr>
            <w:tcW w:w="1557" w:type="dxa"/>
          </w:tcPr>
          <w:p w14:paraId="2F7D1DCE">
            <w:pPr>
              <w:spacing w:after="160"/>
            </w:pPr>
            <w:r>
              <w:t>Khan (2022)</w:t>
            </w:r>
          </w:p>
        </w:tc>
        <w:tc>
          <w:tcPr>
            <w:tcW w:w="1517" w:type="dxa"/>
          </w:tcPr>
          <w:p w14:paraId="6DED329D">
            <w:pPr>
              <w:spacing w:after="160"/>
            </w:pPr>
            <w:r>
              <w:t>Quantitative Study</w:t>
            </w:r>
          </w:p>
        </w:tc>
        <w:tc>
          <w:tcPr>
            <w:tcW w:w="2168" w:type="dxa"/>
          </w:tcPr>
          <w:p w14:paraId="3FBB9584">
            <w:pPr>
              <w:spacing w:after="160"/>
            </w:pPr>
            <w:r>
              <w:t>Green training and empowerment improve environmental performance</w:t>
            </w:r>
          </w:p>
        </w:tc>
        <w:tc>
          <w:tcPr>
            <w:tcW w:w="2171" w:type="dxa"/>
          </w:tcPr>
          <w:p w14:paraId="1A63B2C3">
            <w:pPr>
              <w:spacing w:after="160"/>
            </w:pPr>
            <w:r>
              <w:t>Green training, employee empowerment, sustainability incentives</w:t>
            </w:r>
          </w:p>
        </w:tc>
        <w:tc>
          <w:tcPr>
            <w:tcW w:w="1937" w:type="dxa"/>
          </w:tcPr>
          <w:p w14:paraId="7DCD9317">
            <w:pPr>
              <w:spacing w:after="160"/>
            </w:pPr>
            <w:r>
              <w:t>Green Training and Employee Development</w:t>
            </w:r>
          </w:p>
        </w:tc>
      </w:tr>
    </w:tbl>
    <w:p w14:paraId="19D49640">
      <w:pPr>
        <w:pStyle w:val="3"/>
      </w:pPr>
      <w:bookmarkStart w:id="141" w:name="_Toc231586826"/>
      <w:bookmarkStart w:id="142" w:name="_Toc229800143"/>
      <w:r>
        <w:t>Final Cross-Source Themes Identified Through Braun and Clarke Thematic Analysis</w:t>
      </w:r>
      <w:bookmarkEnd w:id="141"/>
      <w:bookmarkEnd w:id="142"/>
    </w:p>
    <w:tbl>
      <w:tblPr>
        <w:tblStyle w:val="3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124"/>
        <w:gridCol w:w="2950"/>
        <w:gridCol w:w="3276"/>
      </w:tblGrid>
      <w:tr w14:paraId="7D4216E1">
        <w:tblPrEx>
          <w:tblLayout w:type="fixed"/>
        </w:tblPrEx>
        <w:tc>
          <w:tcPr>
            <w:tcW w:w="3124" w:type="dxa"/>
          </w:tcPr>
          <w:p w14:paraId="0B94DA56">
            <w:pPr>
              <w:spacing w:after="160"/>
              <w:rPr>
                <w:b/>
                <w:bCs/>
              </w:rPr>
            </w:pPr>
            <w:r>
              <w:rPr>
                <w:b/>
                <w:bCs/>
              </w:rPr>
              <w:t>Final Theme</w:t>
            </w:r>
          </w:p>
        </w:tc>
        <w:tc>
          <w:tcPr>
            <w:tcW w:w="2950" w:type="dxa"/>
          </w:tcPr>
          <w:p w14:paraId="6888DAD9">
            <w:pPr>
              <w:spacing w:after="160"/>
              <w:rPr>
                <w:b/>
                <w:bCs/>
              </w:rPr>
            </w:pPr>
            <w:r>
              <w:rPr>
                <w:b/>
                <w:bCs/>
              </w:rPr>
              <w:t>Supporting Sources</w:t>
            </w:r>
          </w:p>
        </w:tc>
        <w:tc>
          <w:tcPr>
            <w:tcW w:w="3276" w:type="dxa"/>
          </w:tcPr>
          <w:p w14:paraId="6540AD37">
            <w:pPr>
              <w:spacing w:after="160"/>
              <w:rPr>
                <w:b/>
                <w:bCs/>
              </w:rPr>
            </w:pPr>
            <w:r>
              <w:rPr>
                <w:b/>
                <w:bCs/>
              </w:rPr>
              <w:t>Key Focus</w:t>
            </w:r>
          </w:p>
        </w:tc>
      </w:tr>
      <w:tr w14:paraId="22097B52">
        <w:tblPrEx>
          <w:tblLayout w:type="fixed"/>
        </w:tblPrEx>
        <w:tc>
          <w:tcPr>
            <w:tcW w:w="3124" w:type="dxa"/>
          </w:tcPr>
          <w:p w14:paraId="6B74B843">
            <w:pPr>
              <w:spacing w:after="160"/>
            </w:pPr>
            <w:r>
              <w:t>Sustainable HRM and Employee Development</w:t>
            </w:r>
          </w:p>
        </w:tc>
        <w:tc>
          <w:tcPr>
            <w:tcW w:w="2950" w:type="dxa"/>
          </w:tcPr>
          <w:p w14:paraId="77CDCC5C">
            <w:pPr>
              <w:spacing w:after="160"/>
            </w:pPr>
            <w:r>
              <w:rPr>
                <w:lang w:val="sv-SE"/>
              </w:rPr>
              <w:t xml:space="preserve">Wang et al. (2026), Ojakorotu (2025), Khan et al. </w:t>
            </w:r>
            <w:r>
              <w:t>(2022), Unilever, Tesco</w:t>
            </w:r>
          </w:p>
        </w:tc>
        <w:tc>
          <w:tcPr>
            <w:tcW w:w="3276" w:type="dxa"/>
          </w:tcPr>
          <w:p w14:paraId="2D25E686">
            <w:pPr>
              <w:spacing w:after="160"/>
            </w:pPr>
            <w:r>
              <w:t>Training, employee wellbeing, workforce adaptability</w:t>
            </w:r>
          </w:p>
        </w:tc>
      </w:tr>
      <w:tr w14:paraId="1C3F0461">
        <w:tblPrEx>
          <w:tblLayout w:type="fixed"/>
        </w:tblPrEx>
        <w:tc>
          <w:tcPr>
            <w:tcW w:w="3124" w:type="dxa"/>
          </w:tcPr>
          <w:p w14:paraId="60CCCE0E">
            <w:pPr>
              <w:spacing w:after="160"/>
            </w:pPr>
            <w:r>
              <w:t>Digital Transformation and Organisational Competitiveness</w:t>
            </w:r>
          </w:p>
        </w:tc>
        <w:tc>
          <w:tcPr>
            <w:tcW w:w="2950" w:type="dxa"/>
          </w:tcPr>
          <w:p w14:paraId="2C09E40D">
            <w:pPr>
              <w:spacing w:after="160"/>
            </w:pPr>
            <w:r>
              <w:t>O’Higgins and Fatorachian (2025), Unilever, Tesco, Diageo</w:t>
            </w:r>
          </w:p>
        </w:tc>
        <w:tc>
          <w:tcPr>
            <w:tcW w:w="3276" w:type="dxa"/>
          </w:tcPr>
          <w:p w14:paraId="127E8EF5">
            <w:pPr>
              <w:spacing w:after="160"/>
            </w:pPr>
            <w:r>
              <w:t>AI systems, digital HRM, innovation, operational efficiency</w:t>
            </w:r>
          </w:p>
        </w:tc>
      </w:tr>
      <w:tr w14:paraId="3680EF4E">
        <w:tblPrEx>
          <w:tblLayout w:type="fixed"/>
        </w:tblPrEx>
        <w:tc>
          <w:tcPr>
            <w:tcW w:w="3124" w:type="dxa"/>
          </w:tcPr>
          <w:p w14:paraId="3897B9A2">
            <w:pPr>
              <w:spacing w:after="160"/>
            </w:pPr>
            <w:r>
              <w:t>Employee Engagement, Organisational Culture and Leadership</w:t>
            </w:r>
          </w:p>
        </w:tc>
        <w:tc>
          <w:tcPr>
            <w:tcW w:w="2950" w:type="dxa"/>
          </w:tcPr>
          <w:p w14:paraId="2FB93EC4">
            <w:pPr>
              <w:spacing w:after="160"/>
            </w:pPr>
            <w:r>
              <w:t>Wang et al. (2026), Mishra (2022), Diageo, Tesco, Unilever</w:t>
            </w:r>
          </w:p>
        </w:tc>
        <w:tc>
          <w:tcPr>
            <w:tcW w:w="3276" w:type="dxa"/>
          </w:tcPr>
          <w:p w14:paraId="70A9A08B">
            <w:pPr>
              <w:spacing w:after="160"/>
            </w:pPr>
            <w:r>
              <w:t>Leadership support, employee satisfaction, organisational culture</w:t>
            </w:r>
          </w:p>
        </w:tc>
      </w:tr>
      <w:tr w14:paraId="5FFFD778">
        <w:tblPrEx>
          <w:tblLayout w:type="fixed"/>
        </w:tblPrEx>
        <w:tc>
          <w:tcPr>
            <w:tcW w:w="3124" w:type="dxa"/>
          </w:tcPr>
          <w:p w14:paraId="0B695217">
            <w:pPr>
              <w:spacing w:after="160"/>
            </w:pPr>
            <w:r>
              <w:t>Sustainability, Green Practices and Organisational Performance</w:t>
            </w:r>
          </w:p>
        </w:tc>
        <w:tc>
          <w:tcPr>
            <w:tcW w:w="2950" w:type="dxa"/>
          </w:tcPr>
          <w:p w14:paraId="627EEC28">
            <w:pPr>
              <w:spacing w:after="160"/>
            </w:pPr>
            <w:r>
              <w:t>Hasan et al. (2025), Popescu (2020), Khan (2022), ABF, Tesco, Diageo</w:t>
            </w:r>
          </w:p>
        </w:tc>
        <w:tc>
          <w:tcPr>
            <w:tcW w:w="3276" w:type="dxa"/>
          </w:tcPr>
          <w:p w14:paraId="3A36B663">
            <w:pPr>
              <w:spacing w:after="160"/>
            </w:pPr>
            <w:r>
              <w:t>Green HRM, sustainability, environmental performance, competitive advantage</w:t>
            </w:r>
          </w:p>
        </w:tc>
      </w:tr>
    </w:tbl>
    <w:p w14:paraId="4D0CEB20">
      <w:pPr/>
    </w:p>
    <w:p w14:paraId="55F1AD3A">
      <w:pPr>
        <w:pStyle w:val="3"/>
      </w:pPr>
      <w:bookmarkStart w:id="143" w:name="_Toc231586827"/>
      <w:r>
        <w:t>Thematic Coding</w:t>
      </w:r>
      <w:bookmarkEnd w:id="143"/>
    </w:p>
    <w:p w14:paraId="25A209C7">
      <w:pPr/>
      <w:r>
        <w:rPr>
          <w:lang w:val="en-US"/>
        </w:rPr>
        <w:drawing>
          <wp:inline distT="0" distB="0" distL="0" distR="0">
            <wp:extent cx="5943600" cy="2381250"/>
            <wp:effectExtent l="0" t="0" r="0" b="0"/>
            <wp:docPr id="1831820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820266" name="Picture 1"/>
                    <pic:cNvPicPr>
                      <a:picLocks noChangeAspect="1"/>
                    </pic:cNvPicPr>
                  </pic:nvPicPr>
                  <pic:blipFill>
                    <a:blip r:embed="rId14"/>
                    <a:stretch>
                      <a:fillRect/>
                    </a:stretch>
                  </pic:blipFill>
                  <pic:spPr>
                    <a:xfrm>
                      <a:off x="0" y="0"/>
                      <a:ext cx="5943600" cy="2381250"/>
                    </a:xfrm>
                    <a:prstGeom prst="rect">
                      <a:avLst/>
                    </a:prstGeom>
                  </pic:spPr>
                </pic:pic>
              </a:graphicData>
            </a:graphic>
          </wp:inline>
        </w:drawing>
      </w:r>
    </w:p>
    <w:p w14:paraId="2CB7ED3E">
      <w:pPr/>
      <w:r>
        <w:rPr>
          <w:lang w:val="en-US"/>
        </w:rPr>
        <w:drawing>
          <wp:inline distT="0" distB="0" distL="0" distR="0">
            <wp:extent cx="5943600" cy="2388870"/>
            <wp:effectExtent l="0" t="0" r="0" b="0"/>
            <wp:docPr id="671522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522202" name="Picture 1"/>
                    <pic:cNvPicPr>
                      <a:picLocks noChangeAspect="1"/>
                    </pic:cNvPicPr>
                  </pic:nvPicPr>
                  <pic:blipFill>
                    <a:blip r:embed="rId15"/>
                    <a:stretch>
                      <a:fillRect/>
                    </a:stretch>
                  </pic:blipFill>
                  <pic:spPr>
                    <a:xfrm>
                      <a:off x="0" y="0"/>
                      <a:ext cx="5943600" cy="2388870"/>
                    </a:xfrm>
                    <a:prstGeom prst="rect">
                      <a:avLst/>
                    </a:prstGeom>
                  </pic:spPr>
                </pic:pic>
              </a:graphicData>
            </a:graphic>
          </wp:inline>
        </w:drawing>
      </w:r>
    </w:p>
    <w:p w14:paraId="73E8F0EB">
      <w:pPr/>
      <w:r>
        <w:rPr>
          <w:lang w:val="en-US"/>
        </w:rPr>
        <w:drawing>
          <wp:inline distT="0" distB="0" distL="0" distR="0">
            <wp:extent cx="5943600" cy="2473960"/>
            <wp:effectExtent l="0" t="0" r="0" b="2540"/>
            <wp:docPr id="289113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113924" name="Picture 1"/>
                    <pic:cNvPicPr>
                      <a:picLocks noChangeAspect="1"/>
                    </pic:cNvPicPr>
                  </pic:nvPicPr>
                  <pic:blipFill>
                    <a:blip r:embed="rId16"/>
                    <a:stretch>
                      <a:fillRect/>
                    </a:stretch>
                  </pic:blipFill>
                  <pic:spPr>
                    <a:xfrm>
                      <a:off x="0" y="0"/>
                      <a:ext cx="5943600" cy="2473960"/>
                    </a:xfrm>
                    <a:prstGeom prst="rect">
                      <a:avLst/>
                    </a:prstGeom>
                  </pic:spPr>
                </pic:pic>
              </a:graphicData>
            </a:graphic>
          </wp:inline>
        </w:drawing>
      </w:r>
    </w:p>
    <w:p w14:paraId="25897FB7">
      <w:pPr/>
      <w:r>
        <w:rPr>
          <w:lang w:val="en-US"/>
        </w:rPr>
        <w:drawing>
          <wp:inline distT="0" distB="0" distL="0" distR="0">
            <wp:extent cx="5943600" cy="2458085"/>
            <wp:effectExtent l="0" t="0" r="0" b="0"/>
            <wp:docPr id="1107476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476651" name="Picture 1"/>
                    <pic:cNvPicPr>
                      <a:picLocks noChangeAspect="1"/>
                    </pic:cNvPicPr>
                  </pic:nvPicPr>
                  <pic:blipFill>
                    <a:blip r:embed="rId17"/>
                    <a:stretch>
                      <a:fillRect/>
                    </a:stretch>
                  </pic:blipFill>
                  <pic:spPr>
                    <a:xfrm>
                      <a:off x="0" y="0"/>
                      <a:ext cx="5943600" cy="2458085"/>
                    </a:xfrm>
                    <a:prstGeom prst="rect">
                      <a:avLst/>
                    </a:prstGeom>
                  </pic:spPr>
                </pic:pic>
              </a:graphicData>
            </a:graphic>
          </wp:inline>
        </w:drawing>
      </w:r>
    </w:p>
    <w:p w14:paraId="1FA9BF33">
      <w:pPr/>
      <w:r>
        <w:rPr>
          <w:lang w:val="en-US"/>
        </w:rPr>
        <w:drawing>
          <wp:inline distT="0" distB="0" distL="0" distR="0">
            <wp:extent cx="5943600" cy="2419350"/>
            <wp:effectExtent l="0" t="0" r="0" b="0"/>
            <wp:docPr id="1217606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606109" name="Picture 1"/>
                    <pic:cNvPicPr>
                      <a:picLocks noChangeAspect="1"/>
                    </pic:cNvPicPr>
                  </pic:nvPicPr>
                  <pic:blipFill>
                    <a:blip r:embed="rId18"/>
                    <a:stretch>
                      <a:fillRect/>
                    </a:stretch>
                  </pic:blipFill>
                  <pic:spPr>
                    <a:xfrm>
                      <a:off x="0" y="0"/>
                      <a:ext cx="5943600" cy="2419350"/>
                    </a:xfrm>
                    <a:prstGeom prst="rect">
                      <a:avLst/>
                    </a:prstGeom>
                  </pic:spPr>
                </pic:pic>
              </a:graphicData>
            </a:graphic>
          </wp:inline>
        </w:drawing>
      </w:r>
    </w:p>
    <w:p w14:paraId="16A1232A">
      <w:pPr/>
      <w:r>
        <w:rPr>
          <w:lang w:val="en-US"/>
        </w:rPr>
        <w:drawing>
          <wp:inline distT="0" distB="0" distL="0" distR="0">
            <wp:extent cx="5943600" cy="2416175"/>
            <wp:effectExtent l="0" t="0" r="0" b="3175"/>
            <wp:docPr id="54998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98151" name="Picture 1"/>
                    <pic:cNvPicPr>
                      <a:picLocks noChangeAspect="1"/>
                    </pic:cNvPicPr>
                  </pic:nvPicPr>
                  <pic:blipFill>
                    <a:blip r:embed="rId19"/>
                    <a:stretch>
                      <a:fillRect/>
                    </a:stretch>
                  </pic:blipFill>
                  <pic:spPr>
                    <a:xfrm>
                      <a:off x="0" y="0"/>
                      <a:ext cx="5943600" cy="2416175"/>
                    </a:xfrm>
                    <a:prstGeom prst="rect">
                      <a:avLst/>
                    </a:prstGeom>
                  </pic:spPr>
                </pic:pic>
              </a:graphicData>
            </a:graphic>
          </wp:inline>
        </w:drawing>
      </w:r>
    </w:p>
    <w:p w14:paraId="457E72B2">
      <w:pPr/>
      <w:r>
        <w:rPr>
          <w:lang w:val="en-US"/>
        </w:rPr>
        <w:drawing>
          <wp:inline distT="0" distB="0" distL="0" distR="0">
            <wp:extent cx="5943600" cy="2446655"/>
            <wp:effectExtent l="0" t="0" r="0" b="0"/>
            <wp:docPr id="730660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660848" name="Picture 1"/>
                    <pic:cNvPicPr>
                      <a:picLocks noChangeAspect="1"/>
                    </pic:cNvPicPr>
                  </pic:nvPicPr>
                  <pic:blipFill>
                    <a:blip r:embed="rId20"/>
                    <a:stretch>
                      <a:fillRect/>
                    </a:stretch>
                  </pic:blipFill>
                  <pic:spPr>
                    <a:xfrm>
                      <a:off x="0" y="0"/>
                      <a:ext cx="5943600" cy="2446655"/>
                    </a:xfrm>
                    <a:prstGeom prst="rect">
                      <a:avLst/>
                    </a:prstGeom>
                  </pic:spPr>
                </pic:pic>
              </a:graphicData>
            </a:graphic>
          </wp:inline>
        </w:drawing>
      </w:r>
    </w:p>
    <w:p w14:paraId="7840F6D5">
      <w:pPr/>
      <w:r>
        <w:rPr>
          <w:lang w:val="en-US"/>
        </w:rPr>
        <w:drawing>
          <wp:inline distT="0" distB="0" distL="0" distR="0">
            <wp:extent cx="5943600" cy="2422525"/>
            <wp:effectExtent l="0" t="0" r="0" b="0"/>
            <wp:docPr id="159027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27791" name="Picture 1"/>
                    <pic:cNvPicPr>
                      <a:picLocks noChangeAspect="1"/>
                    </pic:cNvPicPr>
                  </pic:nvPicPr>
                  <pic:blipFill>
                    <a:blip r:embed="rId21"/>
                    <a:stretch>
                      <a:fillRect/>
                    </a:stretch>
                  </pic:blipFill>
                  <pic:spPr>
                    <a:xfrm>
                      <a:off x="0" y="0"/>
                      <a:ext cx="5943600" cy="2422525"/>
                    </a:xfrm>
                    <a:prstGeom prst="rect">
                      <a:avLst/>
                    </a:prstGeom>
                  </pic:spPr>
                </pic:pic>
              </a:graphicData>
            </a:graphic>
          </wp:inline>
        </w:drawing>
      </w:r>
    </w:p>
    <w:p w14:paraId="226A8446">
      <w:pPr/>
      <w:r>
        <w:rPr>
          <w:lang w:val="en-US"/>
        </w:rPr>
        <w:drawing>
          <wp:inline distT="0" distB="0" distL="0" distR="0">
            <wp:extent cx="5943600" cy="2411730"/>
            <wp:effectExtent l="0" t="0" r="0" b="7620"/>
            <wp:docPr id="838870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870069" name="Picture 1"/>
                    <pic:cNvPicPr>
                      <a:picLocks noChangeAspect="1"/>
                    </pic:cNvPicPr>
                  </pic:nvPicPr>
                  <pic:blipFill>
                    <a:blip r:embed="rId22"/>
                    <a:stretch>
                      <a:fillRect/>
                    </a:stretch>
                  </pic:blipFill>
                  <pic:spPr>
                    <a:xfrm>
                      <a:off x="0" y="0"/>
                      <a:ext cx="5943600" cy="2411730"/>
                    </a:xfrm>
                    <a:prstGeom prst="rect">
                      <a:avLst/>
                    </a:prstGeom>
                  </pic:spPr>
                </pic:pic>
              </a:graphicData>
            </a:graphic>
          </wp:inline>
        </w:drawing>
      </w:r>
    </w:p>
    <w:p w14:paraId="7CB9B199">
      <w:pPr/>
      <w:r>
        <w:rPr>
          <w:lang w:val="en-US"/>
        </w:rPr>
        <w:drawing>
          <wp:inline distT="0" distB="0" distL="0" distR="0">
            <wp:extent cx="5943600" cy="2452370"/>
            <wp:effectExtent l="0" t="0" r="0" b="5080"/>
            <wp:docPr id="465082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082006" name="Picture 1"/>
                    <pic:cNvPicPr>
                      <a:picLocks noChangeAspect="1"/>
                    </pic:cNvPicPr>
                  </pic:nvPicPr>
                  <pic:blipFill>
                    <a:blip r:embed="rId23"/>
                    <a:stretch>
                      <a:fillRect/>
                    </a:stretch>
                  </pic:blipFill>
                  <pic:spPr>
                    <a:xfrm>
                      <a:off x="0" y="0"/>
                      <a:ext cx="5943600" cy="2452370"/>
                    </a:xfrm>
                    <a:prstGeom prst="rect">
                      <a:avLst/>
                    </a:prstGeom>
                  </pic:spPr>
                </pic:pic>
              </a:graphicData>
            </a:graphic>
          </wp:inline>
        </w:drawing>
      </w:r>
    </w:p>
    <w:p w14:paraId="1065F515">
      <w:pPr/>
      <w:r>
        <w:rPr>
          <w:lang w:val="en-US"/>
        </w:rPr>
        <w:drawing>
          <wp:inline distT="0" distB="0" distL="0" distR="0">
            <wp:extent cx="5943600" cy="2409190"/>
            <wp:effectExtent l="0" t="0" r="0" b="0"/>
            <wp:docPr id="1388453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453230" name="Picture 1"/>
                    <pic:cNvPicPr>
                      <a:picLocks noChangeAspect="1"/>
                    </pic:cNvPicPr>
                  </pic:nvPicPr>
                  <pic:blipFill>
                    <a:blip r:embed="rId24"/>
                    <a:stretch>
                      <a:fillRect/>
                    </a:stretch>
                  </pic:blipFill>
                  <pic:spPr>
                    <a:xfrm>
                      <a:off x="0" y="0"/>
                      <a:ext cx="5943600" cy="2409190"/>
                    </a:xfrm>
                    <a:prstGeom prst="rect">
                      <a:avLst/>
                    </a:prstGeom>
                  </pic:spPr>
                </pic:pic>
              </a:graphicData>
            </a:graphic>
          </wp:inline>
        </w:drawing>
      </w:r>
    </w:p>
    <w:sectPr>
      <w:pgSz w:w="12240" w:h="15840"/>
      <w:pgMar w:top="1440" w:right="1440" w:bottom="1440" w:left="1440" w:header="720" w:footer="720" w:gutter="0"/>
      <w:pgNumType w:start="1"/>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00"/>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Symbol">
    <w:panose1 w:val="05050102010706020507"/>
    <w:charset w:val="02"/>
    <w:family w:val="roman"/>
    <w:pitch w:val="default"/>
    <w:sig w:usb0="00000000" w:usb1="00000000" w:usb2="00000000" w:usb3="00000000" w:csb0="80000000" w:csb1="00000000"/>
  </w:font>
  <w:font w:name="Aptos">
    <w:altName w:val="Arial"/>
    <w:panose1 w:val="00000000000000000000"/>
    <w:charset w:val="00"/>
    <w:family w:val="swiss"/>
    <w:pitch w:val="default"/>
    <w:sig w:usb0="00000000" w:usb1="00000000" w:usb2="00000000" w:usb3="00000000" w:csb0="0000019F" w:csb1="00000000"/>
  </w:font>
  <w:font w:name="Aptos Display">
    <w:altName w:val="Arial"/>
    <w:panose1 w:val="00000000000000000000"/>
    <w:charset w:val="00"/>
    <w:family w:val="swiss"/>
    <w:pitch w:val="default"/>
    <w:sig w:usb0="00000000" w:usb1="00000000" w:usb2="00000000" w:usb3="00000000" w:csb0="0000019F" w:csb1="00000000"/>
  </w:font>
  <w:font w:name="Cambria Math">
    <w:panose1 w:val="02040503050406030204"/>
    <w:charset w:val="00"/>
    <w:family w:val="roman"/>
    <w:pitch w:val="default"/>
    <w:sig w:usb0="00000000" w:usb1="00000000" w:usb2="02000000" w:usb3="00000000" w:csb0="0000019F" w:csb1="00000000"/>
  </w:font>
  <w:font w:name="Tahoma">
    <w:panose1 w:val="020B0604030504040204"/>
    <w:charset w:val="00"/>
    <w:family w:val="swiss"/>
    <w:pitch w:val="default"/>
    <w:sig w:usb0="00000000" w:usb1="00000000"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42608974"/>
    </w:sdtPr>
    <w:sdtContent>
      <w:p w14:paraId="49E8EB6E">
        <w:pPr>
          <w:pStyle w:val="12"/>
          <w:jc w:val="center"/>
        </w:pPr>
        <w:r>
          <w:fldChar w:fldCharType="begin"/>
        </w:r>
        <w:r>
          <w:instrText xml:space="preserve"> PAGE   \* MERGEFORMAT </w:instrText>
        </w:r>
        <w:r>
          <w:fldChar w:fldCharType="separate"/>
        </w:r>
        <w:r>
          <w:t>67</w:t>
        </w:r>
        <w:r>
          <w:fldChar w:fldCharType="end"/>
        </w:r>
      </w:p>
    </w:sdtContent>
  </w:sdt>
  <w:p w14:paraId="1D4FB13F">
    <w:pPr>
      <w:pStyle w:val="12"/>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C58489E"/>
    <w:multiLevelType w:val="multilevel"/>
    <w:tmpl w:val="3C58489E"/>
    <w:lvl w:ilvl="0" w:tentative="0">
      <w:start w:val="1"/>
      <w:numFmt w:val="decimal"/>
      <w:pStyle w:val="2"/>
      <w:lvlText w:val="%1"/>
      <w:lvlJc w:val="left"/>
      <w:pPr>
        <w:ind w:left="432" w:hanging="432"/>
      </w:pPr>
    </w:lvl>
    <w:lvl w:ilvl="1" w:tentative="0">
      <w:start w:val="1"/>
      <w:numFmt w:val="decimal"/>
      <w:pStyle w:val="3"/>
      <w:lvlText w:val="%1.%2"/>
      <w:lvlJc w:val="left"/>
      <w:pPr>
        <w:ind w:left="576" w:hanging="576"/>
      </w:pPr>
    </w:lvl>
    <w:lvl w:ilvl="2" w:tentative="0">
      <w:start w:val="1"/>
      <w:numFmt w:val="decimal"/>
      <w:pStyle w:val="4"/>
      <w:lvlText w:val="%1.%2.%3"/>
      <w:lvlJc w:val="left"/>
      <w:pPr>
        <w:ind w:left="720" w:hanging="720"/>
      </w:pPr>
    </w:lvl>
    <w:lvl w:ilvl="3" w:tentative="0">
      <w:start w:val="1"/>
      <w:numFmt w:val="decimal"/>
      <w:pStyle w:val="5"/>
      <w:lvlText w:val="%1.%2.%3.%4"/>
      <w:lvlJc w:val="left"/>
      <w:pPr>
        <w:ind w:left="864" w:hanging="864"/>
      </w:pPr>
    </w:lvl>
    <w:lvl w:ilvl="4" w:tentative="0">
      <w:start w:val="1"/>
      <w:numFmt w:val="decimal"/>
      <w:pStyle w:val="6"/>
      <w:lvlText w:val="%1.%2.%3.%4.%5"/>
      <w:lvlJc w:val="left"/>
      <w:pPr>
        <w:ind w:left="1008" w:hanging="1008"/>
      </w:pPr>
    </w:lvl>
    <w:lvl w:ilvl="5" w:tentative="0">
      <w:start w:val="1"/>
      <w:numFmt w:val="decimal"/>
      <w:pStyle w:val="7"/>
      <w:lvlText w:val="%1.%2.%3.%4.%5.%6"/>
      <w:lvlJc w:val="left"/>
      <w:pPr>
        <w:ind w:left="1152" w:hanging="1152"/>
      </w:pPr>
    </w:lvl>
    <w:lvl w:ilvl="6" w:tentative="0">
      <w:start w:val="1"/>
      <w:numFmt w:val="decimal"/>
      <w:pStyle w:val="8"/>
      <w:lvlText w:val="%1.%2.%3.%4.%5.%6.%7"/>
      <w:lvlJc w:val="left"/>
      <w:pPr>
        <w:ind w:left="1296" w:hanging="1296"/>
      </w:pPr>
    </w:lvl>
    <w:lvl w:ilvl="7" w:tentative="0">
      <w:start w:val="1"/>
      <w:numFmt w:val="decimal"/>
      <w:pStyle w:val="9"/>
      <w:lvlText w:val="%1.%2.%3.%4.%5.%6.%7.%8"/>
      <w:lvlJc w:val="left"/>
      <w:pPr>
        <w:ind w:left="1440" w:hanging="1440"/>
      </w:pPr>
    </w:lvl>
    <w:lvl w:ilvl="8" w:tentative="0">
      <w:start w:val="1"/>
      <w:numFmt w:val="decimal"/>
      <w:pStyle w:val="10"/>
      <w:lvlText w:val="%1.%2.%3.%4.%5.%6.%7.%8.%9"/>
      <w:lvlJc w:val="left"/>
      <w:pPr>
        <w:ind w:left="1584" w:hanging="1584"/>
      </w:pPr>
    </w:lvl>
  </w:abstractNum>
  <w:abstractNum w:abstractNumId="1">
    <w:nsid w:val="46B0012D"/>
    <w:multiLevelType w:val="multilevel"/>
    <w:tmpl w:val="46B0012D"/>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5FB74169"/>
    <w:multiLevelType w:val="multilevel"/>
    <w:tmpl w:val="5FB74169"/>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655B1F56"/>
    <w:multiLevelType w:val="multilevel"/>
    <w:tmpl w:val="655B1F56"/>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semiHidden="0" w:name="toc 4"/>
    <w:lsdException w:uiPriority="39" w:semiHidden="0" w:name="toc 5"/>
    <w:lsdException w:uiPriority="39" w:semiHidden="0" w:name="toc 6"/>
    <w:lsdException w:uiPriority="39" w:semiHidden="0" w:name="toc 7"/>
    <w:lsdException w:uiPriority="39" w:semiHidden="0" w:name="toc 8"/>
    <w:lsdException w:uiPriority="39" w:semiHidden="0"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semiHidden="0" w:name="caption"/>
    <w:lsdException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Arial" w:hAnsi="Arial" w:eastAsiaTheme="minorHAnsi" w:cstheme="minorBidi"/>
      <w:kern w:val="2"/>
      <w:sz w:val="24"/>
      <w:szCs w:val="24"/>
      <w:lang w:val="en-GB" w:eastAsia="en-US" w:bidi="ar-SA"/>
      <w14:ligatures w14:val="none"/>
    </w:rPr>
  </w:style>
  <w:style w:type="paragraph" w:styleId="2">
    <w:name w:val="heading 1"/>
    <w:basedOn w:val="1"/>
    <w:next w:val="1"/>
    <w:link w:val="32"/>
    <w:qFormat/>
    <w:uiPriority w:val="9"/>
    <w:pPr>
      <w:keepNext/>
      <w:keepLines/>
      <w:numPr>
        <w:ilvl w:val="0"/>
        <w:numId w:val="1"/>
      </w:numPr>
      <w:spacing w:before="360" w:after="80"/>
      <w:outlineLvl w:val="0"/>
    </w:pPr>
    <w:rPr>
      <w:rFonts w:eastAsiaTheme="majorEastAsia" w:cstheme="majorBidi"/>
      <w:b/>
      <w:color w:val="000000" w:themeColor="text1"/>
      <w:sz w:val="32"/>
      <w:szCs w:val="40"/>
      <w14:textFill>
        <w14:solidFill>
          <w14:schemeClr w14:val="tx1"/>
        </w14:solidFill>
      </w14:textFill>
    </w:rPr>
  </w:style>
  <w:style w:type="paragraph" w:styleId="3">
    <w:name w:val="heading 2"/>
    <w:basedOn w:val="1"/>
    <w:next w:val="1"/>
    <w:link w:val="33"/>
    <w:unhideWhenUsed/>
    <w:qFormat/>
    <w:uiPriority w:val="9"/>
    <w:pPr>
      <w:keepNext/>
      <w:keepLines/>
      <w:numPr>
        <w:ilvl w:val="1"/>
        <w:numId w:val="1"/>
      </w:numPr>
      <w:spacing w:before="160" w:after="80"/>
      <w:outlineLvl w:val="1"/>
    </w:pPr>
    <w:rPr>
      <w:rFonts w:eastAsiaTheme="majorEastAsia" w:cstheme="majorBidi"/>
      <w:b/>
      <w:color w:val="000000" w:themeColor="text1"/>
      <w:sz w:val="28"/>
      <w:szCs w:val="32"/>
      <w14:textFill>
        <w14:solidFill>
          <w14:schemeClr w14:val="tx1"/>
        </w14:solidFill>
      </w14:textFill>
    </w:rPr>
  </w:style>
  <w:style w:type="paragraph" w:styleId="4">
    <w:name w:val="heading 3"/>
    <w:basedOn w:val="1"/>
    <w:next w:val="1"/>
    <w:link w:val="34"/>
    <w:unhideWhenUsed/>
    <w:qFormat/>
    <w:uiPriority w:val="9"/>
    <w:pPr>
      <w:keepNext/>
      <w:keepLines/>
      <w:numPr>
        <w:ilvl w:val="2"/>
        <w:numId w:val="1"/>
      </w:numPr>
      <w:spacing w:before="160" w:after="80"/>
      <w:outlineLvl w:val="2"/>
    </w:pPr>
    <w:rPr>
      <w:rFonts w:eastAsiaTheme="majorEastAsia" w:cstheme="majorBidi"/>
      <w:b/>
      <w:color w:val="000000" w:themeColor="text1"/>
      <w:szCs w:val="28"/>
      <w14:textFill>
        <w14:solidFill>
          <w14:schemeClr w14:val="tx1"/>
        </w14:solidFill>
      </w14:textFill>
    </w:rPr>
  </w:style>
  <w:style w:type="paragraph" w:styleId="5">
    <w:name w:val="heading 4"/>
    <w:basedOn w:val="1"/>
    <w:next w:val="1"/>
    <w:link w:val="35"/>
    <w:unhideWhenUsed/>
    <w:qFormat/>
    <w:uiPriority w:val="9"/>
    <w:pPr>
      <w:keepNext/>
      <w:keepLines/>
      <w:numPr>
        <w:ilvl w:val="3"/>
        <w:numId w:val="1"/>
      </w:numPr>
      <w:spacing w:before="80" w:after="40"/>
      <w:outlineLvl w:val="3"/>
    </w:pPr>
    <w:rPr>
      <w:rFonts w:asciiTheme="minorHAnsi" w:hAnsiTheme="minorHAnsi" w:eastAsiaTheme="majorEastAsia" w:cstheme="majorBidi"/>
      <w:i/>
      <w:iCs/>
      <w:color w:val="104862" w:themeColor="accent1" w:themeShade="BF"/>
    </w:rPr>
  </w:style>
  <w:style w:type="paragraph" w:styleId="6">
    <w:name w:val="heading 5"/>
    <w:basedOn w:val="1"/>
    <w:next w:val="1"/>
    <w:link w:val="36"/>
    <w:unhideWhenUsed/>
    <w:qFormat/>
    <w:uiPriority w:val="9"/>
    <w:pPr>
      <w:keepNext/>
      <w:keepLines/>
      <w:numPr>
        <w:ilvl w:val="4"/>
        <w:numId w:val="1"/>
      </w:numPr>
      <w:spacing w:before="80" w:after="40"/>
      <w:outlineLvl w:val="4"/>
    </w:pPr>
    <w:rPr>
      <w:rFonts w:asciiTheme="minorHAnsi" w:hAnsiTheme="minorHAnsi" w:eastAsiaTheme="majorEastAsia" w:cstheme="majorBidi"/>
      <w:color w:val="104862" w:themeColor="accent1" w:themeShade="BF"/>
    </w:rPr>
  </w:style>
  <w:style w:type="paragraph" w:styleId="7">
    <w:name w:val="heading 6"/>
    <w:basedOn w:val="1"/>
    <w:next w:val="1"/>
    <w:link w:val="37"/>
    <w:unhideWhenUsed/>
    <w:qFormat/>
    <w:uiPriority w:val="9"/>
    <w:pPr>
      <w:keepNext/>
      <w:keepLines/>
      <w:numPr>
        <w:ilvl w:val="5"/>
        <w:numId w:val="1"/>
      </w:numPr>
      <w:spacing w:before="40" w:after="0"/>
      <w:outlineLvl w:val="5"/>
    </w:pPr>
    <w:rPr>
      <w:rFonts w:asciiTheme="minorHAnsi" w:hAnsiTheme="minorHAnsi"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8"/>
    <w:unhideWhenUsed/>
    <w:qFormat/>
    <w:uiPriority w:val="9"/>
    <w:pPr>
      <w:keepNext/>
      <w:keepLines/>
      <w:numPr>
        <w:ilvl w:val="6"/>
        <w:numId w:val="1"/>
      </w:numPr>
      <w:spacing w:before="40" w:after="0"/>
      <w:outlineLvl w:val="6"/>
    </w:pPr>
    <w:rPr>
      <w:rFonts w:asciiTheme="minorHAnsi" w:hAnsiTheme="minorHAnsi"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9"/>
    <w:unhideWhenUsed/>
    <w:qFormat/>
    <w:uiPriority w:val="9"/>
    <w:pPr>
      <w:keepNext/>
      <w:keepLines/>
      <w:numPr>
        <w:ilvl w:val="7"/>
        <w:numId w:val="1"/>
      </w:numPr>
      <w:spacing w:after="0"/>
      <w:outlineLvl w:val="7"/>
    </w:pPr>
    <w:rPr>
      <w:rFonts w:asciiTheme="minorHAnsi" w:hAnsiTheme="minorHAnsi"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40"/>
    <w:unhideWhenUsed/>
    <w:qFormat/>
    <w:uiPriority w:val="9"/>
    <w:pPr>
      <w:keepNext/>
      <w:keepLines/>
      <w:numPr>
        <w:ilvl w:val="8"/>
        <w:numId w:val="1"/>
      </w:numPr>
      <w:spacing w:after="0"/>
      <w:outlineLvl w:val="8"/>
    </w:pPr>
    <w:rPr>
      <w:rFonts w:asciiTheme="minorHAnsi" w:hAnsiTheme="minorHAnsi" w:eastAsiaTheme="majorEastAsia" w:cstheme="majorBidi"/>
      <w:color w:val="262626" w:themeColor="text1" w:themeTint="D9"/>
      <w14:textFill>
        <w14:solidFill>
          <w14:schemeClr w14:val="tx1">
            <w14:lumMod w14:val="85000"/>
            <w14:lumOff w14:val="15000"/>
          </w14:schemeClr>
        </w14:solidFill>
      </w14:textFill>
    </w:rPr>
  </w:style>
  <w:style w:type="character" w:default="1" w:styleId="27">
    <w:name w:val="Default Paragraph Font"/>
    <w:unhideWhenUsed/>
    <w:uiPriority w:val="1"/>
  </w:style>
  <w:style w:type="table" w:default="1" w:styleId="30">
    <w:name w:val="Normal Table"/>
    <w:unhideWhenUsed/>
    <w:uiPriority w:val="99"/>
    <w:tblPr>
      <w:tblLayout w:type="fixed"/>
      <w:tblCellMar>
        <w:top w:w="0" w:type="dxa"/>
        <w:left w:w="108" w:type="dxa"/>
        <w:bottom w:w="0" w:type="dxa"/>
        <w:right w:w="108" w:type="dxa"/>
      </w:tblCellMar>
    </w:tblPr>
  </w:style>
  <w:style w:type="paragraph" w:styleId="11">
    <w:name w:val="caption"/>
    <w:basedOn w:val="1"/>
    <w:next w:val="1"/>
    <w:unhideWhenUsed/>
    <w:qFormat/>
    <w:uiPriority w:val="35"/>
    <w:pPr>
      <w:spacing w:after="200" w:line="240" w:lineRule="auto"/>
    </w:pPr>
    <w:rPr>
      <w:i/>
      <w:iCs/>
      <w:color w:val="0E2841" w:themeColor="text2"/>
      <w:sz w:val="18"/>
      <w:szCs w:val="18"/>
      <w14:textFill>
        <w14:solidFill>
          <w14:schemeClr w14:val="tx2"/>
        </w14:solidFill>
      </w14:textFill>
    </w:rPr>
  </w:style>
  <w:style w:type="paragraph" w:styleId="12">
    <w:name w:val="footer"/>
    <w:basedOn w:val="1"/>
    <w:link w:val="51"/>
    <w:unhideWhenUsed/>
    <w:uiPriority w:val="99"/>
    <w:pPr>
      <w:tabs>
        <w:tab w:val="center" w:pos="4513"/>
        <w:tab w:val="right" w:pos="9026"/>
      </w:tabs>
      <w:spacing w:after="0" w:line="240" w:lineRule="auto"/>
    </w:pPr>
  </w:style>
  <w:style w:type="paragraph" w:styleId="13">
    <w:name w:val="header"/>
    <w:basedOn w:val="1"/>
    <w:link w:val="50"/>
    <w:unhideWhenUsed/>
    <w:uiPriority w:val="99"/>
    <w:pPr>
      <w:tabs>
        <w:tab w:val="center" w:pos="4513"/>
        <w:tab w:val="right" w:pos="9026"/>
      </w:tabs>
      <w:spacing w:after="0" w:line="240" w:lineRule="auto"/>
    </w:pPr>
  </w:style>
  <w:style w:type="paragraph" w:styleId="14">
    <w:name w:val="Normal (Web)"/>
    <w:basedOn w:val="1"/>
    <w:unhideWhenUsed/>
    <w:uiPriority w:val="99"/>
    <w:pPr>
      <w:spacing w:before="100" w:beforeAutospacing="1" w:after="100" w:afterAutospacing="1" w:line="240" w:lineRule="auto"/>
      <w:jc w:val="left"/>
    </w:pPr>
    <w:rPr>
      <w:rFonts w:eastAsia="Times New Roman" w:cs="Times New Roman"/>
      <w:kern w:val="0"/>
      <w:lang w:eastAsia="en-GB"/>
      <w14:ligatures w14:val="none"/>
    </w:rPr>
  </w:style>
  <w:style w:type="paragraph" w:styleId="15">
    <w:name w:val="Subtitle"/>
    <w:basedOn w:val="1"/>
    <w:next w:val="1"/>
    <w:link w:val="42"/>
    <w:qFormat/>
    <w:uiPriority w:val="11"/>
    <w:rPr>
      <w:rFonts w:asciiTheme="minorHAnsi" w:hAnsiTheme="min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6">
    <w:name w:val="table of figures"/>
    <w:basedOn w:val="1"/>
    <w:next w:val="1"/>
    <w:unhideWhenUsed/>
    <w:uiPriority w:val="99"/>
    <w:pPr>
      <w:spacing w:after="0"/>
    </w:pPr>
  </w:style>
  <w:style w:type="paragraph" w:styleId="17">
    <w:name w:val="Title"/>
    <w:basedOn w:val="1"/>
    <w:next w:val="1"/>
    <w:link w:val="41"/>
    <w:qFormat/>
    <w:uiPriority w:val="10"/>
    <w:pPr>
      <w:spacing w:after="80" w:line="240" w:lineRule="auto"/>
      <w:contextualSpacing/>
      <w:jc w:val="center"/>
    </w:pPr>
    <w:rPr>
      <w:rFonts w:eastAsiaTheme="majorEastAsia" w:cstheme="majorBidi"/>
      <w:b/>
      <w:spacing w:val="-10"/>
      <w:kern w:val="28"/>
      <w:sz w:val="44"/>
      <w:szCs w:val="56"/>
    </w:rPr>
  </w:style>
  <w:style w:type="paragraph" w:styleId="18">
    <w:name w:val="toc 1"/>
    <w:basedOn w:val="1"/>
    <w:next w:val="1"/>
    <w:unhideWhenUsed/>
    <w:uiPriority w:val="39"/>
    <w:pPr>
      <w:spacing w:after="100"/>
    </w:pPr>
  </w:style>
  <w:style w:type="paragraph" w:styleId="19">
    <w:name w:val="toc 2"/>
    <w:basedOn w:val="1"/>
    <w:next w:val="1"/>
    <w:unhideWhenUsed/>
    <w:uiPriority w:val="39"/>
    <w:pPr>
      <w:spacing w:after="100"/>
      <w:ind w:left="240"/>
    </w:pPr>
  </w:style>
  <w:style w:type="paragraph" w:styleId="20">
    <w:name w:val="toc 3"/>
    <w:basedOn w:val="1"/>
    <w:next w:val="1"/>
    <w:unhideWhenUsed/>
    <w:uiPriority w:val="39"/>
    <w:pPr>
      <w:spacing w:after="100"/>
      <w:ind w:left="480"/>
    </w:pPr>
  </w:style>
  <w:style w:type="paragraph" w:styleId="21">
    <w:name w:val="toc 4"/>
    <w:basedOn w:val="1"/>
    <w:next w:val="1"/>
    <w:unhideWhenUsed/>
    <w:uiPriority w:val="39"/>
    <w:pPr>
      <w:spacing w:after="100" w:line="278" w:lineRule="auto"/>
      <w:ind w:left="720"/>
      <w:jc w:val="left"/>
    </w:pPr>
    <w:rPr>
      <w:rFonts w:asciiTheme="minorHAnsi" w:hAnsiTheme="minorHAnsi" w:eastAsiaTheme="minorEastAsia"/>
      <w:lang w:eastAsia="en-GB"/>
    </w:rPr>
  </w:style>
  <w:style w:type="paragraph" w:styleId="22">
    <w:name w:val="toc 5"/>
    <w:basedOn w:val="1"/>
    <w:next w:val="1"/>
    <w:unhideWhenUsed/>
    <w:uiPriority w:val="39"/>
    <w:pPr>
      <w:spacing w:after="100" w:line="278" w:lineRule="auto"/>
      <w:ind w:left="960"/>
      <w:jc w:val="left"/>
    </w:pPr>
    <w:rPr>
      <w:rFonts w:asciiTheme="minorHAnsi" w:hAnsiTheme="minorHAnsi" w:eastAsiaTheme="minorEastAsia"/>
      <w:lang w:eastAsia="en-GB"/>
    </w:rPr>
  </w:style>
  <w:style w:type="paragraph" w:styleId="23">
    <w:name w:val="toc 6"/>
    <w:basedOn w:val="1"/>
    <w:next w:val="1"/>
    <w:unhideWhenUsed/>
    <w:uiPriority w:val="39"/>
    <w:pPr>
      <w:spacing w:after="100" w:line="278" w:lineRule="auto"/>
      <w:ind w:left="1200"/>
      <w:jc w:val="left"/>
    </w:pPr>
    <w:rPr>
      <w:rFonts w:asciiTheme="minorHAnsi" w:hAnsiTheme="minorHAnsi" w:eastAsiaTheme="minorEastAsia"/>
      <w:lang w:eastAsia="en-GB"/>
    </w:rPr>
  </w:style>
  <w:style w:type="paragraph" w:styleId="24">
    <w:name w:val="toc 7"/>
    <w:basedOn w:val="1"/>
    <w:next w:val="1"/>
    <w:unhideWhenUsed/>
    <w:uiPriority w:val="39"/>
    <w:pPr>
      <w:spacing w:after="100" w:line="278" w:lineRule="auto"/>
      <w:ind w:left="1440"/>
      <w:jc w:val="left"/>
    </w:pPr>
    <w:rPr>
      <w:rFonts w:asciiTheme="minorHAnsi" w:hAnsiTheme="minorHAnsi" w:eastAsiaTheme="minorEastAsia"/>
      <w:lang w:eastAsia="en-GB"/>
    </w:rPr>
  </w:style>
  <w:style w:type="paragraph" w:styleId="25">
    <w:name w:val="toc 8"/>
    <w:basedOn w:val="1"/>
    <w:next w:val="1"/>
    <w:unhideWhenUsed/>
    <w:uiPriority w:val="39"/>
    <w:pPr>
      <w:spacing w:after="100" w:line="278" w:lineRule="auto"/>
      <w:ind w:left="1680"/>
      <w:jc w:val="left"/>
    </w:pPr>
    <w:rPr>
      <w:rFonts w:asciiTheme="minorHAnsi" w:hAnsiTheme="minorHAnsi" w:eastAsiaTheme="minorEastAsia"/>
      <w:lang w:eastAsia="en-GB"/>
    </w:rPr>
  </w:style>
  <w:style w:type="paragraph" w:styleId="26">
    <w:name w:val="toc 9"/>
    <w:basedOn w:val="1"/>
    <w:next w:val="1"/>
    <w:unhideWhenUsed/>
    <w:uiPriority w:val="39"/>
    <w:pPr>
      <w:spacing w:after="100" w:line="278" w:lineRule="auto"/>
      <w:ind w:left="1920"/>
      <w:jc w:val="left"/>
    </w:pPr>
    <w:rPr>
      <w:rFonts w:asciiTheme="minorHAnsi" w:hAnsiTheme="minorHAnsi" w:eastAsiaTheme="minorEastAsia"/>
      <w:lang w:eastAsia="en-GB"/>
    </w:rPr>
  </w:style>
  <w:style w:type="character" w:styleId="28">
    <w:name w:val="Hyperlink"/>
    <w:basedOn w:val="27"/>
    <w:unhideWhenUsed/>
    <w:uiPriority w:val="99"/>
    <w:rPr>
      <w:color w:val="467886" w:themeColor="hyperlink"/>
      <w:u w:val="single"/>
      <w14:textFill>
        <w14:solidFill>
          <w14:schemeClr w14:val="hlink"/>
        </w14:solidFill>
      </w14:textFill>
    </w:rPr>
  </w:style>
  <w:style w:type="character" w:styleId="29">
    <w:name w:val="Strong"/>
    <w:basedOn w:val="27"/>
    <w:qFormat/>
    <w:uiPriority w:val="22"/>
    <w:rPr>
      <w:b/>
      <w:bCs/>
    </w:rPr>
  </w:style>
  <w:style w:type="table" w:styleId="31">
    <w:name w:val="Table Grid"/>
    <w:basedOn w:val="30"/>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style>
  <w:style w:type="character" w:customStyle="1" w:styleId="32">
    <w:name w:val="Heading 1 Char"/>
    <w:basedOn w:val="27"/>
    <w:link w:val="2"/>
    <w:uiPriority w:val="9"/>
    <w:rPr>
      <w:rFonts w:ascii="Times New Roman" w:hAnsi="Times New Roman" w:eastAsiaTheme="majorEastAsia" w:cstheme="majorBidi"/>
      <w:b/>
      <w:color w:val="000000" w:themeColor="text1"/>
      <w:sz w:val="32"/>
      <w:szCs w:val="40"/>
      <w14:textFill>
        <w14:solidFill>
          <w14:schemeClr w14:val="tx1"/>
        </w14:solidFill>
      </w14:textFill>
    </w:rPr>
  </w:style>
  <w:style w:type="character" w:customStyle="1" w:styleId="33">
    <w:name w:val="Heading 2 Char"/>
    <w:basedOn w:val="27"/>
    <w:link w:val="3"/>
    <w:uiPriority w:val="9"/>
    <w:rPr>
      <w:rFonts w:ascii="Times New Roman" w:hAnsi="Times New Roman" w:eastAsiaTheme="majorEastAsia" w:cstheme="majorBidi"/>
      <w:b/>
      <w:color w:val="000000" w:themeColor="text1"/>
      <w:sz w:val="28"/>
      <w:szCs w:val="32"/>
      <w14:textFill>
        <w14:solidFill>
          <w14:schemeClr w14:val="tx1"/>
        </w14:solidFill>
      </w14:textFill>
    </w:rPr>
  </w:style>
  <w:style w:type="character" w:customStyle="1" w:styleId="34">
    <w:name w:val="Heading 3 Char"/>
    <w:basedOn w:val="27"/>
    <w:link w:val="4"/>
    <w:uiPriority w:val="9"/>
    <w:rPr>
      <w:rFonts w:ascii="Times New Roman" w:hAnsi="Times New Roman" w:eastAsiaTheme="majorEastAsia" w:cstheme="majorBidi"/>
      <w:b/>
      <w:color w:val="000000" w:themeColor="text1"/>
      <w:szCs w:val="28"/>
      <w14:textFill>
        <w14:solidFill>
          <w14:schemeClr w14:val="tx1"/>
        </w14:solidFill>
      </w14:textFill>
    </w:rPr>
  </w:style>
  <w:style w:type="character" w:customStyle="1" w:styleId="35">
    <w:name w:val="Heading 4 Char"/>
    <w:basedOn w:val="27"/>
    <w:link w:val="5"/>
    <w:semiHidden/>
    <w:uiPriority w:val="9"/>
    <w:rPr>
      <w:rFonts w:eastAsiaTheme="majorEastAsia" w:cstheme="majorBidi"/>
      <w:i/>
      <w:iCs/>
      <w:color w:val="104862" w:themeColor="accent1" w:themeShade="BF"/>
    </w:rPr>
  </w:style>
  <w:style w:type="character" w:customStyle="1" w:styleId="36">
    <w:name w:val="Heading 5 Char"/>
    <w:basedOn w:val="27"/>
    <w:link w:val="6"/>
    <w:semiHidden/>
    <w:uiPriority w:val="9"/>
    <w:rPr>
      <w:rFonts w:eastAsiaTheme="majorEastAsia" w:cstheme="majorBidi"/>
      <w:color w:val="104862" w:themeColor="accent1" w:themeShade="BF"/>
    </w:rPr>
  </w:style>
  <w:style w:type="character" w:customStyle="1" w:styleId="37">
    <w:name w:val="Heading 6 Char"/>
    <w:basedOn w:val="27"/>
    <w:link w:val="7"/>
    <w:semiHidden/>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38">
    <w:name w:val="Heading 7 Char"/>
    <w:basedOn w:val="27"/>
    <w:link w:val="8"/>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9">
    <w:name w:val="Heading 8 Char"/>
    <w:basedOn w:val="27"/>
    <w:link w:val="9"/>
    <w:semiHidden/>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40">
    <w:name w:val="Heading 9 Char"/>
    <w:basedOn w:val="27"/>
    <w:link w:val="10"/>
    <w:semiHidden/>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41">
    <w:name w:val="Title Char"/>
    <w:basedOn w:val="27"/>
    <w:link w:val="17"/>
    <w:uiPriority w:val="10"/>
    <w:rPr>
      <w:rFonts w:ascii="Arial" w:hAnsi="Arial" w:eastAsiaTheme="majorEastAsia" w:cstheme="majorBidi"/>
      <w:b/>
      <w:spacing w:val="-10"/>
      <w:kern w:val="28"/>
      <w:sz w:val="44"/>
      <w:szCs w:val="56"/>
    </w:rPr>
  </w:style>
  <w:style w:type="character" w:customStyle="1" w:styleId="42">
    <w:name w:val="Subtitle Char"/>
    <w:basedOn w:val="27"/>
    <w:link w:val="15"/>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customStyle="1" w:styleId="43">
    <w:name w:val="Quote"/>
    <w:basedOn w:val="1"/>
    <w:next w:val="1"/>
    <w:link w:val="44"/>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44">
    <w:name w:val="Quote Char"/>
    <w:basedOn w:val="27"/>
    <w:link w:val="43"/>
    <w:uiPriority w:val="29"/>
    <w:rPr>
      <w:rFonts w:ascii="Times New Roman" w:hAnsi="Times New Roman"/>
      <w:i/>
      <w:iCs/>
      <w:color w:val="404040" w:themeColor="text1" w:themeTint="BF"/>
      <w14:textFill>
        <w14:solidFill>
          <w14:schemeClr w14:val="tx1">
            <w14:lumMod w14:val="75000"/>
            <w14:lumOff w14:val="25000"/>
          </w14:schemeClr>
        </w14:solidFill>
      </w14:textFill>
    </w:rPr>
  </w:style>
  <w:style w:type="paragraph" w:customStyle="1" w:styleId="45">
    <w:name w:val="List Paragraph"/>
    <w:basedOn w:val="1"/>
    <w:qFormat/>
    <w:uiPriority w:val="34"/>
    <w:pPr>
      <w:ind w:left="720"/>
      <w:contextualSpacing/>
    </w:pPr>
  </w:style>
  <w:style w:type="character" w:customStyle="1" w:styleId="46">
    <w:name w:val="Intense Emphasis"/>
    <w:basedOn w:val="27"/>
    <w:qFormat/>
    <w:uiPriority w:val="21"/>
    <w:rPr>
      <w:i/>
      <w:iCs/>
      <w:color w:val="104862" w:themeColor="accent1" w:themeShade="BF"/>
    </w:rPr>
  </w:style>
  <w:style w:type="paragraph" w:customStyle="1" w:styleId="47">
    <w:name w:val="Intense Quote"/>
    <w:basedOn w:val="1"/>
    <w:next w:val="1"/>
    <w:link w:val="48"/>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48">
    <w:name w:val="Intense Quote Char"/>
    <w:basedOn w:val="27"/>
    <w:link w:val="47"/>
    <w:uiPriority w:val="30"/>
    <w:rPr>
      <w:rFonts w:ascii="Times New Roman" w:hAnsi="Times New Roman"/>
      <w:i/>
      <w:iCs/>
      <w:color w:val="104862" w:themeColor="accent1" w:themeShade="BF"/>
    </w:rPr>
  </w:style>
  <w:style w:type="character" w:customStyle="1" w:styleId="49">
    <w:name w:val="Intense Reference"/>
    <w:basedOn w:val="27"/>
    <w:qFormat/>
    <w:uiPriority w:val="32"/>
    <w:rPr>
      <w:b/>
      <w:bCs/>
      <w:smallCaps/>
      <w:color w:val="104862" w:themeColor="accent1" w:themeShade="BF"/>
      <w:spacing w:val="5"/>
    </w:rPr>
  </w:style>
  <w:style w:type="character" w:customStyle="1" w:styleId="50">
    <w:name w:val="Header Char"/>
    <w:basedOn w:val="27"/>
    <w:link w:val="13"/>
    <w:uiPriority w:val="99"/>
    <w:rPr>
      <w:rFonts w:ascii="Times New Roman" w:hAnsi="Times New Roman"/>
    </w:rPr>
  </w:style>
  <w:style w:type="character" w:customStyle="1" w:styleId="51">
    <w:name w:val="Footer Char"/>
    <w:basedOn w:val="27"/>
    <w:link w:val="12"/>
    <w:uiPriority w:val="99"/>
    <w:rPr>
      <w:rFonts w:ascii="Times New Roman" w:hAnsi="Times New Roman"/>
    </w:rPr>
  </w:style>
  <w:style w:type="table" w:customStyle="1" w:styleId="52">
    <w:name w:val="Plain Table 1"/>
    <w:basedOn w:val="30"/>
    <w:uiPriority w:val="41"/>
    <w:pPr>
      <w:spacing w:after="0" w:line="240" w:lineRule="auto"/>
    </w:p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fixed"/>
      <w:tblCellMar>
        <w:top w:w="0" w:type="dxa"/>
        <w:left w:w="108" w:type="dxa"/>
        <w:bottom w:w="0" w:type="dxa"/>
        <w:right w:w="108" w:type="dxa"/>
      </w:tblCellMar>
    </w:tblPr>
    <w:tblStylePr w:type="firstRow">
      <w:rPr>
        <w:b/>
        <w:bCs/>
      </w:rPr>
    </w:tblStylePr>
    <w:tblStylePr w:type="lastRow">
      <w:rPr>
        <w:b/>
        <w:bCs/>
      </w:rPr>
      <w:tblPr>
        <w:tblLayout w:type="fixed"/>
      </w:tblPr>
      <w:tcPr>
        <w:tcBorders>
          <w:top w:val="double" w:color="BEBEBE" w:themeColor="background1" w:themeShade="BF" w:sz="4" w:space="0"/>
        </w:tcBorders>
      </w:tcPr>
    </w:tblStylePr>
    <w:tblStylePr w:type="firstCol">
      <w:rPr>
        <w:b/>
        <w:bCs/>
      </w:rPr>
    </w:tblStylePr>
    <w:tblStylePr w:type="lastCol">
      <w:rPr>
        <w:b/>
        <w:bCs/>
      </w:rPr>
    </w:tblStylePr>
    <w:tblStylePr w:type="band1Vert">
      <w:tblPr>
        <w:tblLayout w:type="fixed"/>
      </w:tblPr>
      <w:tcPr>
        <w:shd w:val="clear" w:color="auto" w:fill="F1F1F1" w:themeFill="background1" w:themeFillShade="F2"/>
      </w:tcPr>
    </w:tblStylePr>
    <w:tblStylePr w:type="band1Horz">
      <w:tblPr>
        <w:tblLayout w:type="fixed"/>
      </w:tblPr>
      <w:tcPr>
        <w:shd w:val="clear" w:color="auto" w:fill="F1F1F1" w:themeFill="background1" w:themeFillShade="F2"/>
      </w:tcPr>
    </w:tblStylePr>
  </w:style>
  <w:style w:type="paragraph" w:customStyle="1" w:styleId="53">
    <w:name w:val="TOC Heading"/>
    <w:basedOn w:val="2"/>
    <w:next w:val="1"/>
    <w:unhideWhenUsed/>
    <w:qFormat/>
    <w:uiPriority w:val="39"/>
    <w:pPr>
      <w:numPr>
        <w:numId w:val="0"/>
      </w:numPr>
      <w:spacing w:before="240" w:after="0" w:line="259" w:lineRule="auto"/>
      <w:jc w:val="left"/>
      <w:outlineLvl w:val="9"/>
    </w:pPr>
    <w:rPr>
      <w:rFonts w:asciiTheme="majorHAnsi" w:hAnsiTheme="majorHAnsi"/>
      <w:b w:val="0"/>
      <w:color w:val="104862" w:themeColor="accent1" w:themeShade="BF"/>
      <w:kern w:val="0"/>
      <w:szCs w:val="32"/>
      <w:lang w:val="en-US"/>
      <w14:ligatures w14:val="none"/>
    </w:rPr>
  </w:style>
  <w:style w:type="character" w:customStyle="1" w:styleId="54">
    <w:name w:val="whitespace-normal"/>
    <w:basedOn w:val="27"/>
    <w:uiPriority w:val="0"/>
  </w:style>
  <w:style w:type="character" w:customStyle="1" w:styleId="55">
    <w:name w:val="Hyperlink1"/>
    <w:uiPriority w:val="99"/>
    <w:rPr>
      <w:color w:val="535353"/>
      <w:u w:val="single"/>
    </w:rPr>
  </w:style>
  <w:style w:type="paragraph" w:customStyle="1" w:styleId="56">
    <w:name w:val="isselectedend"/>
    <w:basedOn w:val="1"/>
    <w:uiPriority w:val="0"/>
    <w:pPr>
      <w:spacing w:before="100" w:beforeAutospacing="1" w:after="100" w:afterAutospacing="1" w:line="240" w:lineRule="auto"/>
      <w:jc w:val="left"/>
    </w:pPr>
    <w:rPr>
      <w:rFonts w:ascii="Times New Roman" w:hAnsi="Times New Roman" w:eastAsia="Times New Roman" w:cs="Times New Roman"/>
      <w:kern w:val="0"/>
      <w:lang w:eastAsia="en-GB"/>
      <w14:ligatures w14:val="none"/>
    </w:rPr>
  </w:style>
  <w:style w:type="character" w:customStyle="1" w:styleId="57">
    <w:name w:val="Unresolved Mention"/>
    <w:basedOn w:val="27"/>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7" Type="http://schemas.openxmlformats.org/officeDocument/2006/relationships/fontTable" Target="fontTable.xml"/><Relationship Id="rId26" Type="http://schemas.openxmlformats.org/officeDocument/2006/relationships/numbering" Target="numbering.xml"/><Relationship Id="rId25" Type="http://schemas.openxmlformats.org/officeDocument/2006/relationships/customXml" Target="../customXml/item1.xml"/><Relationship Id="rId24" Type="http://schemas.openxmlformats.org/officeDocument/2006/relationships/image" Target="media/image20.png"/><Relationship Id="rId23" Type="http://schemas.openxmlformats.org/officeDocument/2006/relationships/image" Target="media/image19.png"/><Relationship Id="rId22" Type="http://schemas.openxmlformats.org/officeDocument/2006/relationships/image" Target="media/image18.png"/><Relationship Id="rId21" Type="http://schemas.openxmlformats.org/officeDocument/2006/relationships/image" Target="media/image17.png"/><Relationship Id="rId20" Type="http://schemas.openxmlformats.org/officeDocument/2006/relationships/image" Target="media/image16.png"/><Relationship Id="rId2" Type="http://schemas.openxmlformats.org/officeDocument/2006/relationships/settings" Target="settings.xml"/><Relationship Id="rId19" Type="http://schemas.openxmlformats.org/officeDocument/2006/relationships/image" Target="media/image15.png"/><Relationship Id="rId18" Type="http://schemas.openxmlformats.org/officeDocument/2006/relationships/image" Target="media/image14.png"/><Relationship Id="rId17" Type="http://schemas.openxmlformats.org/officeDocument/2006/relationships/image" Target="media/image13.png"/><Relationship Id="rId16" Type="http://schemas.openxmlformats.org/officeDocument/2006/relationships/image" Target="media/image12.png"/><Relationship Id="rId15" Type="http://schemas.openxmlformats.org/officeDocument/2006/relationships/image" Target="media/image11.png"/><Relationship Id="rId14" Type="http://schemas.openxmlformats.org/officeDocument/2006/relationships/image" Target="media/image10.png"/><Relationship Id="rId13" Type="http://schemas.openxmlformats.org/officeDocument/2006/relationships/image" Target="media/image9.png"/><Relationship Id="rId12" Type="http://schemas.openxmlformats.org/officeDocument/2006/relationships/image" Target="media/image8.png"/><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Pages>
  <Words>26507</Words>
  <Characters>151092</Characters>
  <Lines>1259</Lines>
  <Paragraphs>354</Paragraphs>
  <TotalTime>0</TotalTime>
  <ScaleCrop>false</ScaleCrop>
  <LinksUpToDate>false</LinksUpToDate>
  <CharactersWithSpaces>177245</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2026-05-26T01:46:00Z</dcterms:created>
  <dc:creator>DELL</dc:creator>
  <cp:lastModifiedBy>iPhone</cp:lastModifiedBy>
  <cp:lastPrinted>2026-05-26T01:47:00Z</cp:lastPrinted>
  <dcterms:modified xsi:type="dcterms:W3CDTF">2026-06-06T04:29:50Z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2026-04-02T14:34:13Z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e0e5b249-75ed-41df-b9f9-e9cbe438b206</vt:lpwstr>
  </property>
  <property fmtid="{D5CDD505-2E9C-101B-9397-08002B2CF9AE}" pid="7" name="MSIP_Label_defa4170-0d19-0005-0004-bc88714345d2_ActionId">
    <vt:lpwstr>77d0fd15-8bda-48b5-bf41-5e5cfa59f324</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y fmtid="{D5CDD505-2E9C-101B-9397-08002B2CF9AE}" pid="10" name="ICV">
    <vt:lpwstr>6D2187843FEE436D1493236AE166AB6C_31</vt:lpwstr>
  </property>
  <property fmtid="{D5CDD505-2E9C-101B-9397-08002B2CF9AE}" pid="11" name="KSOProductBuildVer">
    <vt:lpwstr>3081-26.4.2</vt:lpwstr>
  </property>
</Properties>
</file>