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B0EDE" w14:textId="77777777" w:rsidR="00243C6B" w:rsidRPr="00785086" w:rsidRDefault="00243C6B" w:rsidP="00243C6B">
      <w:pPr>
        <w:rPr>
          <w:rFonts w:ascii="Arial" w:hAnsi="Arial" w:cs="Arial"/>
          <w:color w:val="000000" w:themeColor="text1"/>
          <w:sz w:val="96"/>
          <w:szCs w:val="96"/>
        </w:rPr>
      </w:pPr>
    </w:p>
    <w:p w14:paraId="4CC6117F" w14:textId="77777777" w:rsidR="00243C6B" w:rsidRPr="00785086" w:rsidRDefault="00243C6B" w:rsidP="00243C6B">
      <w:pPr>
        <w:rPr>
          <w:rFonts w:ascii="Arial" w:hAnsi="Arial" w:cs="Arial"/>
          <w:color w:val="000000" w:themeColor="text1"/>
          <w:sz w:val="160"/>
          <w:szCs w:val="160"/>
        </w:rPr>
      </w:pPr>
      <w:r w:rsidRPr="00785086">
        <w:rPr>
          <w:rFonts w:ascii="Arial" w:hAnsi="Arial" w:cs="Arial"/>
          <w:color w:val="000000" w:themeColor="text1"/>
          <w:sz w:val="96"/>
          <w:szCs w:val="96"/>
        </w:rPr>
        <w:t>How do year 5/6 pupils perceive emotional check-ins on pupil wellbeing?</w:t>
      </w:r>
    </w:p>
    <w:p w14:paraId="659A0D7A" w14:textId="77777777" w:rsidR="00243C6B" w:rsidRPr="00785086" w:rsidRDefault="00243C6B" w:rsidP="00243C6B">
      <w:pPr>
        <w:rPr>
          <w:rFonts w:ascii="Arial" w:hAnsi="Arial" w:cs="Arial"/>
          <w:color w:val="000000" w:themeColor="text1"/>
          <w:sz w:val="72"/>
          <w:szCs w:val="72"/>
        </w:rPr>
      </w:pPr>
    </w:p>
    <w:p w14:paraId="6203E114" w14:textId="77777777" w:rsidR="00243C6B" w:rsidRPr="00785086" w:rsidRDefault="00243C6B" w:rsidP="00243C6B">
      <w:pPr>
        <w:rPr>
          <w:rFonts w:ascii="Arial" w:hAnsi="Arial" w:cs="Arial"/>
          <w:color w:val="000000" w:themeColor="text1"/>
          <w:sz w:val="72"/>
          <w:szCs w:val="72"/>
        </w:rPr>
      </w:pPr>
      <w:r w:rsidRPr="00785086">
        <w:rPr>
          <w:rFonts w:ascii="Arial" w:hAnsi="Arial" w:cs="Arial"/>
          <w:color w:val="000000" w:themeColor="text1"/>
          <w:sz w:val="72"/>
          <w:szCs w:val="72"/>
        </w:rPr>
        <w:t xml:space="preserve">2012008 </w:t>
      </w:r>
    </w:p>
    <w:p w14:paraId="49DE9B59" w14:textId="77777777" w:rsidR="00243C6B" w:rsidRPr="00785086" w:rsidRDefault="00243C6B" w:rsidP="00243C6B">
      <w:pPr>
        <w:rPr>
          <w:rFonts w:ascii="Arial" w:hAnsi="Arial" w:cs="Arial"/>
          <w:color w:val="000000" w:themeColor="text1"/>
          <w:sz w:val="72"/>
          <w:szCs w:val="72"/>
        </w:rPr>
      </w:pPr>
      <w:r w:rsidRPr="00785086">
        <w:rPr>
          <w:rFonts w:ascii="Arial" w:hAnsi="Arial" w:cs="Arial"/>
          <w:color w:val="000000" w:themeColor="text1"/>
          <w:sz w:val="72"/>
          <w:szCs w:val="72"/>
        </w:rPr>
        <w:t>Lauren Greenhill</w:t>
      </w:r>
    </w:p>
    <w:p w14:paraId="7BFA926D" w14:textId="77777777" w:rsidR="00243C6B" w:rsidRPr="00785086" w:rsidRDefault="00243C6B" w:rsidP="00243C6B">
      <w:pPr>
        <w:rPr>
          <w:rFonts w:ascii="Arial" w:hAnsi="Arial" w:cs="Arial"/>
          <w:color w:val="000000" w:themeColor="text1"/>
          <w:sz w:val="72"/>
          <w:szCs w:val="72"/>
        </w:rPr>
      </w:pPr>
    </w:p>
    <w:p w14:paraId="56D04B6B" w14:textId="77777777" w:rsidR="00243C6B" w:rsidRPr="00785086" w:rsidRDefault="00243C6B" w:rsidP="00243C6B">
      <w:pPr>
        <w:rPr>
          <w:rFonts w:ascii="Arial" w:hAnsi="Arial" w:cs="Arial"/>
          <w:color w:val="000000" w:themeColor="text1"/>
          <w:sz w:val="72"/>
          <w:szCs w:val="72"/>
        </w:rPr>
      </w:pPr>
    </w:p>
    <w:p w14:paraId="0FEA3066" w14:textId="77777777" w:rsidR="00243C6B" w:rsidRPr="00785086" w:rsidRDefault="00243C6B" w:rsidP="00243C6B">
      <w:pPr>
        <w:rPr>
          <w:rFonts w:ascii="Arial" w:hAnsi="Arial" w:cs="Arial"/>
          <w:color w:val="000000" w:themeColor="text1"/>
          <w:sz w:val="72"/>
          <w:szCs w:val="72"/>
        </w:rPr>
      </w:pPr>
    </w:p>
    <w:p w14:paraId="264F7B71" w14:textId="77777777" w:rsidR="00243C6B" w:rsidRPr="00785086" w:rsidRDefault="00243C6B" w:rsidP="00243C6B">
      <w:pPr>
        <w:rPr>
          <w:rFonts w:ascii="Arial" w:hAnsi="Arial" w:cs="Arial"/>
          <w:color w:val="000000" w:themeColor="text1"/>
          <w:sz w:val="72"/>
          <w:szCs w:val="72"/>
        </w:rPr>
      </w:pPr>
    </w:p>
    <w:p w14:paraId="523F7557" w14:textId="77777777" w:rsidR="00243C6B" w:rsidRDefault="00243C6B" w:rsidP="00243C6B">
      <w:pPr>
        <w:rPr>
          <w:rFonts w:ascii="Arial" w:hAnsi="Arial" w:cs="Arial"/>
          <w:color w:val="000000" w:themeColor="text1"/>
          <w:sz w:val="72"/>
          <w:szCs w:val="72"/>
        </w:rPr>
      </w:pPr>
    </w:p>
    <w:p w14:paraId="67857BE5" w14:textId="77777777" w:rsidR="00243C6B" w:rsidRDefault="00243C6B" w:rsidP="00243C6B">
      <w:pPr>
        <w:rPr>
          <w:rFonts w:ascii="Arial" w:hAnsi="Arial" w:cs="Arial"/>
          <w:color w:val="000000" w:themeColor="text1"/>
          <w:sz w:val="72"/>
          <w:szCs w:val="72"/>
        </w:rPr>
      </w:pPr>
    </w:p>
    <w:p w14:paraId="06EEF29C" w14:textId="77777777" w:rsidR="00243C6B" w:rsidRPr="00785086" w:rsidRDefault="00243C6B" w:rsidP="00243C6B">
      <w:pPr>
        <w:rPr>
          <w:rFonts w:ascii="Arial" w:hAnsi="Arial" w:cs="Arial"/>
          <w:b/>
          <w:bCs/>
          <w:color w:val="000000" w:themeColor="text1"/>
          <w:sz w:val="28"/>
          <w:szCs w:val="28"/>
        </w:rPr>
      </w:pPr>
      <w:r w:rsidRPr="00785086">
        <w:rPr>
          <w:rFonts w:ascii="Arial" w:hAnsi="Arial" w:cs="Arial"/>
          <w:b/>
          <w:bCs/>
          <w:color w:val="000000" w:themeColor="text1"/>
          <w:sz w:val="28"/>
          <w:szCs w:val="28"/>
        </w:rPr>
        <w:t xml:space="preserve">Aim, focus and purpose of the research question/context? </w:t>
      </w:r>
    </w:p>
    <w:p w14:paraId="17DE0C29"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br/>
        <w:t xml:space="preserve">The overarching aim of this assignment is to conduct an evaluative exploration into </w:t>
      </w:r>
      <w:r w:rsidRPr="00785086">
        <w:rPr>
          <w:rFonts w:ascii="Arial" w:hAnsi="Arial" w:cs="Arial"/>
          <w:color w:val="000000" w:themeColor="text1"/>
        </w:rPr>
        <w:lastRenderedPageBreak/>
        <w:t>the perceptions held by Year 5/6 pupils regarding the practice of check-ins on pupil wellbeing within the educational setting. This entails a comprehensive examination of how students conceptualize, engage with, and assess the efficacy of check-in procedures designed to monitor and support the emotional and mental health needs of pupils.</w:t>
      </w:r>
    </w:p>
    <w:p w14:paraId="3C85514B" w14:textId="77777777" w:rsidR="00243C6B" w:rsidRPr="00785086" w:rsidRDefault="00243C6B" w:rsidP="00243C6B">
      <w:pPr>
        <w:rPr>
          <w:rFonts w:ascii="Arial" w:hAnsi="Arial" w:cs="Arial"/>
          <w:color w:val="000000" w:themeColor="text1"/>
        </w:rPr>
      </w:pPr>
    </w:p>
    <w:p w14:paraId="618C8043"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t>The investigation seeks to delve into the multifaceted dimensions of this phenomenon by scrutinizing various aspects, including the frequency and manner in which check-ins are conducted, the extent to which they are perceived as beneficial or otherwise impactful by different stakeholders, and the potential areas for improvement identified by participants. Central to this endeavour is the recognition of the diverse perspectives and experiences that inform individuals' attitudes and opinions towards check-ins on pupil wellbeing.</w:t>
      </w:r>
    </w:p>
    <w:p w14:paraId="66217842" w14:textId="77777777" w:rsidR="00243C6B" w:rsidRPr="00785086" w:rsidRDefault="00243C6B" w:rsidP="00243C6B">
      <w:pPr>
        <w:rPr>
          <w:rFonts w:ascii="Arial" w:hAnsi="Arial" w:cs="Arial"/>
          <w:color w:val="000000" w:themeColor="text1"/>
        </w:rPr>
      </w:pPr>
    </w:p>
    <w:p w14:paraId="2D0F67BA"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t>By adopting a holistic approach that encompasses the viewpoints of pupils, this evaluation endeavours to generate insights into the effectiveness of current practices, identify potential challenges or barriers to their implementation, and illuminate opportunities for enhancing the provision of support for pupil wellbeing within the educational context. Moreover, it aims to contribute to the ongoing discourse surrounding the promotion of holistic approaches to education that prioritize the social, emotional, and mental health needs of students, thereby fostering a conducive learning environment that nurtures the overall wellbeing and development of all individuals involved.</w:t>
      </w:r>
    </w:p>
    <w:p w14:paraId="430B05B0"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br/>
        <w:t xml:space="preserve">The study was carried out in a composite Year 5/6 classroom within a mainstream primary school located in South Wales. Within this setting, one student in the class was identified as having Additional Learning Needs (ALN). Situated in an affluent geographical area, the school provided a context perceived to be supportive of academic achievement. </w:t>
      </w:r>
    </w:p>
    <w:p w14:paraId="18E616D8"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br/>
      </w:r>
      <w:r w:rsidRPr="00785086">
        <w:rPr>
          <w:rFonts w:ascii="Arial" w:hAnsi="Arial" w:cs="Arial"/>
          <w:color w:val="000000" w:themeColor="text1"/>
          <w:shd w:val="clear" w:color="auto" w:fill="FFFFFF"/>
        </w:rPr>
        <w:t>The emotional check-in board utilized by the participants in this study featured pegs labelled with the children's names and four laminated pages representing different emotions. Children would approach the board and place their peg on one of the four laminated pages. The bottom four pages depicted coloured zones associated with specific emotions: the red zone encompassed feelings of anger, frustration, panic, loss of control, fear, and insecurity; followed by the blue zone, which included emotions such as sadness, fatigue, boredom, sickness, and withdrawal. The yellow zone comprised emotions like nervousness, excitement, worry, stress, confusion, and a lack of readiness to learn. Lastly, the green zone encompassed emotions of happiness, positivity, calmness, and focus.</w:t>
      </w:r>
      <w:r w:rsidRPr="00785086">
        <w:rPr>
          <w:rFonts w:ascii="Arial" w:hAnsi="Arial" w:cs="Arial"/>
          <w:color w:val="000000" w:themeColor="text1"/>
        </w:rPr>
        <w:t xml:space="preserve"> </w:t>
      </w:r>
    </w:p>
    <w:p w14:paraId="4E071125" w14:textId="77777777" w:rsidR="00243C6B" w:rsidRPr="00785086" w:rsidRDefault="00243C6B" w:rsidP="00243C6B">
      <w:pPr>
        <w:rPr>
          <w:rFonts w:ascii="Arial" w:hAnsi="Arial" w:cs="Arial"/>
          <w:color w:val="000000" w:themeColor="text1"/>
        </w:rPr>
      </w:pPr>
    </w:p>
    <w:p w14:paraId="00298685"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t xml:space="preserve">My research question is ‘How do year 5/6 pupils perceive emotional check-ins on pupil wellbeing?‘. </w:t>
      </w:r>
    </w:p>
    <w:p w14:paraId="541A5A22" w14:textId="77777777" w:rsidR="00243C6B" w:rsidRDefault="00243C6B" w:rsidP="00243C6B">
      <w:pPr>
        <w:rPr>
          <w:rFonts w:ascii="Arial" w:hAnsi="Arial" w:cs="Arial"/>
          <w:color w:val="000000" w:themeColor="text1"/>
        </w:rPr>
      </w:pPr>
    </w:p>
    <w:p w14:paraId="12009E93" w14:textId="77777777" w:rsidR="00243C6B" w:rsidRPr="00785086" w:rsidRDefault="00243C6B" w:rsidP="00243C6B">
      <w:pPr>
        <w:rPr>
          <w:rFonts w:ascii="Arial" w:hAnsi="Arial" w:cs="Arial"/>
          <w:b/>
          <w:bCs/>
          <w:color w:val="000000" w:themeColor="text1"/>
          <w:sz w:val="28"/>
          <w:szCs w:val="28"/>
        </w:rPr>
      </w:pPr>
      <w:r w:rsidRPr="00785086">
        <w:rPr>
          <w:rFonts w:ascii="Arial" w:hAnsi="Arial" w:cs="Arial"/>
          <w:b/>
          <w:bCs/>
          <w:color w:val="000000" w:themeColor="text1"/>
          <w:sz w:val="28"/>
          <w:szCs w:val="28"/>
        </w:rPr>
        <w:t xml:space="preserve">Overview of relevant literature </w:t>
      </w:r>
    </w:p>
    <w:p w14:paraId="3CD0358F" w14:textId="77777777" w:rsidR="00243C6B" w:rsidRPr="00785086" w:rsidRDefault="00243C6B" w:rsidP="00243C6B">
      <w:pPr>
        <w:rPr>
          <w:rFonts w:ascii="Arial" w:hAnsi="Arial" w:cs="Arial"/>
          <w:b/>
          <w:bCs/>
          <w:color w:val="000000" w:themeColor="text1"/>
          <w:sz w:val="28"/>
          <w:szCs w:val="28"/>
        </w:rPr>
      </w:pPr>
    </w:p>
    <w:p w14:paraId="1AA385B8"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t xml:space="preserve">In the context of government policy, the Welsh Government has provided its own definition of wellbeing within the framework of the Well-being of Future Generations (Wales) Act 2015. According to this legislation, wellbeing extends beyond individual </w:t>
      </w:r>
      <w:r w:rsidRPr="00785086">
        <w:rPr>
          <w:rFonts w:ascii="Arial" w:hAnsi="Arial" w:cs="Arial"/>
          <w:color w:val="000000" w:themeColor="text1"/>
        </w:rPr>
        <w:lastRenderedPageBreak/>
        <w:t>happiness to encompass broader societal and environmental concerns (Welsh Government, 2015).</w:t>
      </w:r>
    </w:p>
    <w:p w14:paraId="0E4DA45C" w14:textId="77777777" w:rsidR="00243C6B" w:rsidRPr="00785086" w:rsidRDefault="00243C6B" w:rsidP="00243C6B">
      <w:pPr>
        <w:rPr>
          <w:rFonts w:ascii="Arial" w:hAnsi="Arial" w:cs="Arial"/>
          <w:color w:val="000000" w:themeColor="text1"/>
        </w:rPr>
      </w:pPr>
    </w:p>
    <w:p w14:paraId="53A71FF5"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t>The Act outlines seven key wellbeing goals for Wales, reflecting a holistic approach to societal progress and development. These goals include fostering a prosperous and resilient economy, nurturing healthy and prosperous communities, striving for a more equal Wales, promoting a vibrant culture and a thriving Welsh language, embracing global responsibility, fostering resilience, and nurturing cohesive communities (Welsh Government, 2015).</w:t>
      </w:r>
    </w:p>
    <w:p w14:paraId="4D81DF3B" w14:textId="77777777" w:rsidR="00243C6B" w:rsidRPr="00785086" w:rsidRDefault="00243C6B" w:rsidP="00243C6B">
      <w:pPr>
        <w:rPr>
          <w:rFonts w:ascii="Arial" w:hAnsi="Arial" w:cs="Arial"/>
          <w:color w:val="000000" w:themeColor="text1"/>
        </w:rPr>
      </w:pPr>
    </w:p>
    <w:p w14:paraId="0A5DC37D"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t>The overarching aim of these wellbeing goals is to ensure the welfare and prosperity of both present and future generations in Wales. By addressing various aspects of social, economic, environmental, and cultural wellbeing, the legislation aims to promote sustainable development and improve overall conditions within Welsh society (Welsh Government, 2015). Through these comprehensive objectives, the Welsh Government seeks to create a more inclusive, equitable, and resilient society for all its citizens.</w:t>
      </w:r>
    </w:p>
    <w:p w14:paraId="4A2138D9" w14:textId="77777777" w:rsidR="00243C6B" w:rsidRPr="00785086" w:rsidRDefault="00243C6B" w:rsidP="00243C6B">
      <w:pPr>
        <w:rPr>
          <w:rFonts w:ascii="Arial" w:hAnsi="Arial" w:cs="Arial"/>
          <w:color w:val="000000" w:themeColor="text1"/>
          <w:shd w:val="clear" w:color="auto" w:fill="FFFFFF"/>
        </w:rPr>
      </w:pPr>
      <w:r w:rsidRPr="00785086">
        <w:rPr>
          <w:rFonts w:ascii="Arial" w:hAnsi="Arial" w:cs="Arial"/>
          <w:color w:val="000000" w:themeColor="text1"/>
        </w:rPr>
        <w:br/>
      </w:r>
      <w:r w:rsidRPr="00785086">
        <w:rPr>
          <w:rFonts w:ascii="Arial" w:hAnsi="Arial" w:cs="Arial"/>
          <w:color w:val="000000" w:themeColor="text1"/>
          <w:shd w:val="clear" w:color="auto" w:fill="FFFFFF"/>
        </w:rPr>
        <w:t xml:space="preserve">Prioritizing the wellbeing of children aged 9-11 is paramount as it significantly impacts their overall development and future outcomes. This age group experiences substantial social and emotional changes, making it crucial to focus on emotional intelligence, resilience, and positive coping strategies (Luthar, 2006) By promoting wellbeing, educators can create an optimal learning environment that enhances academic success. Furthermore, interventions aimed at fostering wellbeing can help children develop behavioural regulation and self-control, empowering them to navigate challenges effectively (Roeser et al., 2012). Finally, building resilience during this period is crucial for adapting to change and overcoming obstacles, equipping children with the skills they need to thrive </w:t>
      </w:r>
      <w:r w:rsidRPr="00785086">
        <w:rPr>
          <w:rFonts w:ascii="Arial" w:hAnsi="Arial" w:cs="Arial"/>
          <w:color w:val="000000" w:themeColor="text1"/>
        </w:rPr>
        <w:t>(Cicchetti, 2016)</w:t>
      </w:r>
      <w:r w:rsidRPr="00785086">
        <w:rPr>
          <w:rFonts w:ascii="Arial" w:hAnsi="Arial" w:cs="Arial"/>
          <w:color w:val="000000" w:themeColor="text1"/>
          <w:shd w:val="clear" w:color="auto" w:fill="FFFFFF"/>
        </w:rPr>
        <w:t>.</w:t>
      </w:r>
    </w:p>
    <w:p w14:paraId="778EBDA3" w14:textId="77777777" w:rsidR="00243C6B" w:rsidRPr="00785086" w:rsidRDefault="00243C6B" w:rsidP="00243C6B">
      <w:pPr>
        <w:rPr>
          <w:rFonts w:ascii="Arial" w:hAnsi="Arial" w:cs="Arial"/>
          <w:color w:val="000000" w:themeColor="text1"/>
          <w:shd w:val="clear" w:color="auto" w:fill="FFFFFF"/>
        </w:rPr>
      </w:pPr>
    </w:p>
    <w:p w14:paraId="3A0E0A21" w14:textId="77777777" w:rsidR="00243C6B" w:rsidRPr="00785086" w:rsidRDefault="00243C6B" w:rsidP="00243C6B">
      <w:pPr>
        <w:rPr>
          <w:rFonts w:ascii="Arial" w:hAnsi="Arial" w:cs="Arial"/>
          <w:color w:val="000000" w:themeColor="text1"/>
          <w:shd w:val="clear" w:color="auto" w:fill="FFFFFF"/>
        </w:rPr>
      </w:pPr>
      <w:r w:rsidRPr="00785086">
        <w:rPr>
          <w:rFonts w:ascii="Arial" w:hAnsi="Arial" w:cs="Arial"/>
          <w:color w:val="000000" w:themeColor="text1"/>
          <w:shd w:val="clear" w:color="auto" w:fill="FFFFFF"/>
        </w:rPr>
        <w:t xml:space="preserve">Extensive research indicates that students with higher levels of wellbeing often exhibit superior academic performance. Positive mental health and emotional stability have been consistently linked to enhanced concentration, motivation, and cognitive abilities, all crucial components for effective learning and academic achievement </w:t>
      </w:r>
      <w:r w:rsidRPr="00785086">
        <w:rPr>
          <w:rFonts w:ascii="Arial" w:hAnsi="Arial" w:cs="Arial"/>
          <w:color w:val="000000" w:themeColor="text1"/>
        </w:rPr>
        <w:t>(Huppert and So, 2013)</w:t>
      </w:r>
      <w:r w:rsidRPr="00785086">
        <w:rPr>
          <w:rFonts w:ascii="Arial" w:hAnsi="Arial" w:cs="Arial"/>
          <w:color w:val="000000" w:themeColor="text1"/>
          <w:shd w:val="clear" w:color="auto" w:fill="FFFFFF"/>
        </w:rPr>
        <w:t>. Moreover, students who perceive psychological and emotional support within their educational environments are more inclined to actively engage in classroom activities, participate in discussions, and persevere through academic obstacles (Suldo &amp; Shaffer, 2008). Therefore, nurturing a positive and supportive school atmosphere that prioritizes student wellbeing can yield significant benefits for academic outcomes.</w:t>
      </w:r>
    </w:p>
    <w:p w14:paraId="47A76DD4" w14:textId="77777777" w:rsidR="00243C6B" w:rsidRPr="00785086" w:rsidRDefault="00243C6B" w:rsidP="00243C6B">
      <w:pPr>
        <w:rPr>
          <w:rFonts w:ascii="Arial" w:hAnsi="Arial" w:cs="Arial"/>
          <w:color w:val="000000" w:themeColor="text1"/>
        </w:rPr>
      </w:pPr>
    </w:p>
    <w:p w14:paraId="7D2D2FAF"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t xml:space="preserve">Social-Emotional Learning (SEL) theory underscores the significance of nurturing social and emotional competencies in children and adolescents. According to Durlak et al. (2011), emotional check-ins represent a practical application of SEL principles, providing students with structured opportunities to identify, understand, and regulate their emotions within the classroom environment. By incorporating SEL practices like emotional check-ins into everyday routines, educators facilitate the development of crucial social and emotional skills, ultimately fostering improved wellbeing and academic achievement among students. (Durlak et al,2011) </w:t>
      </w:r>
    </w:p>
    <w:p w14:paraId="498B4C54" w14:textId="77777777" w:rsidR="00243C6B" w:rsidRPr="00785086" w:rsidRDefault="00243C6B" w:rsidP="00243C6B">
      <w:pPr>
        <w:rPr>
          <w:rFonts w:ascii="Arial" w:hAnsi="Arial" w:cs="Arial"/>
          <w:color w:val="000000" w:themeColor="text1"/>
        </w:rPr>
      </w:pPr>
    </w:p>
    <w:p w14:paraId="7FFC00D0"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lastRenderedPageBreak/>
        <w:t xml:space="preserve">Attachment theory, as proposed by Bowlby (1997), highlights the profound influence of early caregiver relationships on individuals' social and emotional development. Emotional check-ins in educational settings serve as platforms for students to establish secure attachments with trusted adults, particularly teachers, who serve as sources of support and comfort. Through these interactions, emotional check-ins contribute to students' sense of safety, belonging, and emotional wellbeing within the classroom context, reinforcing the importance of relational connections in promoting positive developmental outcomes. (Bowlby, 1997) </w:t>
      </w:r>
    </w:p>
    <w:p w14:paraId="01B824A7" w14:textId="77777777" w:rsidR="00243C6B" w:rsidRPr="00785086" w:rsidRDefault="00243C6B" w:rsidP="00243C6B">
      <w:pPr>
        <w:rPr>
          <w:rFonts w:ascii="Arial" w:hAnsi="Arial" w:cs="Arial"/>
          <w:color w:val="000000" w:themeColor="text1"/>
        </w:rPr>
      </w:pPr>
    </w:p>
    <w:p w14:paraId="1062BC2A"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t>Self-Determination Theory (SDT) emphasizes the role of intrinsic motivation, autonomy, and relatedness in facilitating optimal human functioning. Deci and Ryan (2000) suggest that emotional check-ins align with the principles of SDT by providing students with opportunities to express their emotions authentically, make choices about regulating their feelings, and connect with others in a supportive environment. By addressing students' psychological needs for autonomy, competence, and relatedness, emotional check-ins promote intrinsic motivation, engagement, and overall wellbeing, underscoring their value as a practical tool for enhancing students' socio-emotional development within educational settings. (Deci and Ryan, 2000)</w:t>
      </w:r>
    </w:p>
    <w:p w14:paraId="36D95228"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br/>
      </w:r>
      <w:r w:rsidRPr="00785086">
        <w:rPr>
          <w:rFonts w:ascii="Arial" w:hAnsi="Arial" w:cs="Arial"/>
          <w:color w:val="000000" w:themeColor="text1"/>
          <w:shd w:val="clear" w:color="auto" w:fill="FFFFFF"/>
        </w:rPr>
        <w:t>Emotional check-ins play a crucial role in promoting a positive classroom environment, as highlighted by Maslow (1943). By fostering a sense of safety and belonging, emotional check-ins create a foundation for positive wellbeing among students. Wentzel (1998) emphasizes that when students perceive their emotions as acknowledged and valued by teachers and peers, they are more likely to feel supported and accepted, leading to higher levels of psychological wellbeing. Additionally, emotional check-ins, as noted by Fredricks, Blumenfeld, and Paris (2004), provide opportunities for students to connect with others, share their experiences, and receive validation and support. These interactions contribute to the cultivation of a supportive and inclusive classroom climate, further enhancing student wellbeing.</w:t>
      </w:r>
    </w:p>
    <w:p w14:paraId="4A318A2B" w14:textId="77777777" w:rsidR="00243C6B" w:rsidRPr="00785086" w:rsidRDefault="00243C6B" w:rsidP="00243C6B">
      <w:pPr>
        <w:pStyle w:val="z-BottomofForm"/>
        <w:jc w:val="left"/>
        <w:rPr>
          <w:color w:val="000000" w:themeColor="text1"/>
        </w:rPr>
      </w:pPr>
      <w:r w:rsidRPr="00785086">
        <w:rPr>
          <w:color w:val="000000" w:themeColor="text1"/>
        </w:rPr>
        <w:t>Bottom of Form</w:t>
      </w:r>
    </w:p>
    <w:p w14:paraId="698E71F4"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br/>
      </w:r>
      <w:r w:rsidRPr="00785086">
        <w:rPr>
          <w:rFonts w:ascii="Arial" w:hAnsi="Arial" w:cs="Arial"/>
          <w:color w:val="000000" w:themeColor="text1"/>
          <w:shd w:val="clear" w:color="auto" w:fill="FFFFFF"/>
        </w:rPr>
        <w:t>Emotional check-ins are closely tied to the Curriculum for Wales, which prioritizes holistic education and fostering learners' emotional intelligence. The curriculum recognizes that education involves more than just academics and seeks to cultivate students who are emotionally resilient, socially skilled, and ready to succeed in a dynamic world. (Welsh Government, 2022)</w:t>
      </w:r>
    </w:p>
    <w:p w14:paraId="18B691C8" w14:textId="77777777" w:rsidR="00243C6B" w:rsidRPr="00785086" w:rsidRDefault="00243C6B" w:rsidP="00243C6B">
      <w:pPr>
        <w:rPr>
          <w:rFonts w:ascii="Arial" w:hAnsi="Arial" w:cs="Arial"/>
          <w:color w:val="000000" w:themeColor="text1"/>
        </w:rPr>
      </w:pPr>
    </w:p>
    <w:p w14:paraId="2F036DF7" w14:textId="77777777" w:rsidR="00243C6B" w:rsidRPr="00785086" w:rsidRDefault="00243C6B" w:rsidP="00243C6B">
      <w:pPr>
        <w:rPr>
          <w:rFonts w:ascii="Arial" w:hAnsi="Arial" w:cs="Arial"/>
          <w:b/>
          <w:bCs/>
          <w:color w:val="000000" w:themeColor="text1"/>
          <w:sz w:val="28"/>
          <w:szCs w:val="28"/>
        </w:rPr>
      </w:pPr>
      <w:r w:rsidRPr="00785086">
        <w:rPr>
          <w:rFonts w:ascii="Arial" w:hAnsi="Arial" w:cs="Arial"/>
          <w:b/>
          <w:bCs/>
          <w:color w:val="000000" w:themeColor="text1"/>
          <w:sz w:val="28"/>
          <w:szCs w:val="28"/>
        </w:rPr>
        <w:t xml:space="preserve">Explanation of case study </w:t>
      </w:r>
    </w:p>
    <w:p w14:paraId="319E5B12" w14:textId="77777777" w:rsidR="00243C6B" w:rsidRPr="00785086" w:rsidRDefault="00243C6B" w:rsidP="00243C6B">
      <w:pPr>
        <w:rPr>
          <w:rFonts w:ascii="Arial" w:hAnsi="Arial" w:cs="Arial"/>
          <w:color w:val="000000" w:themeColor="text1"/>
        </w:rPr>
      </w:pPr>
    </w:p>
    <w:p w14:paraId="2318A02D"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t>Case study research is a qualitative research method that involves an in-depth and detailed examination of a single instance or a small number of cases within a real-life context (Yin, 2018). It aims to understand complex phenomena within their natural settings and is often used to explore issues where limited prior research exists or when the focus is on understanding the intricacies of a particular situation.</w:t>
      </w:r>
    </w:p>
    <w:p w14:paraId="02C5A1A3"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t xml:space="preserve">Case study research typically involves multiple sources of data, such as interviews, observations, documents, and artifacts, which are collected over an extended period (Stake, 1995). Researchers immerse themselves in the context of the case to gather rich and comprehensive data, allowing for a nuanced understanding of the phenomenon under investigation. Case studies can take various forms, including descriptive, exploratory, explanatory, or instrumental, depending on the research </w:t>
      </w:r>
      <w:r w:rsidRPr="00785086">
        <w:rPr>
          <w:rFonts w:ascii="Arial" w:hAnsi="Arial" w:cs="Arial"/>
          <w:color w:val="000000" w:themeColor="text1"/>
        </w:rPr>
        <w:lastRenderedPageBreak/>
        <w:t>objectives and the depth of analysis required (Creswell, 2013). They are commonly used in fields such as psychology, sociology, education, business, and medicine, among others.</w:t>
      </w:r>
    </w:p>
    <w:p w14:paraId="72D6A209"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br/>
        <w:t>The case study approach offers strengths such as contextual understanding, flexibility, and theory development. Conducted within real-life contexts, case studies allow researchers to grasp phenomena within their natural settings, capturing the intricacies and subtleties of real-world dynamics (Stake, 1995). This contextual understanding enhances the validity and relevance of findings. Additionally, case study research provides flexibility to adapt to various research questions and settings, enabling researchers to employ diverse data collection methods and analytical techniques tailored to specific research objectives and contextual nuances (Merriam, 2009). Furthermore, case studies play a vital role in theory development by offering empirical evidence to support, refine, or challenge existing theoretical frameworks. Through detailed analysis of real-life cases, researchers can generate novel insights and hypotheses, advancing knowledge within their field (Eisenhardt, 1989).</w:t>
      </w:r>
    </w:p>
    <w:p w14:paraId="2F13197A" w14:textId="77777777" w:rsidR="00243C6B" w:rsidRPr="00785086" w:rsidRDefault="00243C6B" w:rsidP="00243C6B">
      <w:pPr>
        <w:rPr>
          <w:rFonts w:ascii="Arial" w:hAnsi="Arial" w:cs="Arial"/>
          <w:color w:val="000000" w:themeColor="text1"/>
        </w:rPr>
      </w:pPr>
    </w:p>
    <w:p w14:paraId="0AC51E96"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t>However, the case study approach also comes with limitations. Findings from case studies may have limited generalizability due to their focus on specific cases, making it challenging to extrapolate findings to broader populations or contexts (Yin, 2018). Each case's uniqueness may constrain the applicability of findings beyond the studied context. Moreover, case study research is susceptible to researcher subjectivity and bias, particularly in data collection, interpretation, and analysis. Researchers' personal perspectives, preconceptions, and values may influence case selection, data collection methods, and interpretation of findings (Merriam, 2009). Additionally, case studies often demand significant time, resources, and effort, especially when collecting and analysing extensive qualitative data. Researchers must invest substantial time in establishing rapport with participants, gathering data, and conducting detailed analysis, making case studies resource-intensive endeavours (Stake, 1995). Furthermore, the unique and context-specific nature of case studies poses challenges for replication, unlike experimental or survey research, where replication is relatively straightforward (Eisenhardt, 1989). Each case's idiosyncratic nature may hinder replication efforts.</w:t>
      </w:r>
    </w:p>
    <w:p w14:paraId="47331BFC" w14:textId="77777777" w:rsidR="00243C6B" w:rsidRPr="00785086" w:rsidRDefault="00243C6B" w:rsidP="00243C6B">
      <w:pPr>
        <w:rPr>
          <w:rFonts w:ascii="Arial" w:hAnsi="Arial" w:cs="Arial"/>
          <w:color w:val="000000" w:themeColor="text1"/>
        </w:rPr>
      </w:pPr>
    </w:p>
    <w:p w14:paraId="0EC574EE" w14:textId="77777777" w:rsidR="00243C6B" w:rsidRDefault="00243C6B" w:rsidP="00243C6B">
      <w:pPr>
        <w:rPr>
          <w:rFonts w:ascii="Arial" w:hAnsi="Arial" w:cs="Arial"/>
          <w:color w:val="000000" w:themeColor="text1"/>
        </w:rPr>
      </w:pPr>
      <w:r w:rsidRPr="00785086">
        <w:rPr>
          <w:rFonts w:ascii="Arial" w:hAnsi="Arial" w:cs="Arial"/>
          <w:color w:val="000000" w:themeColor="text1"/>
        </w:rPr>
        <w:t>In conclusion, while case study research offers valuable insights, researchers should be mindful of its strengths and limitations, ensuring careful consideration and appropriate application in research endeavours.</w:t>
      </w:r>
    </w:p>
    <w:p w14:paraId="482394E5" w14:textId="77777777" w:rsidR="00243C6B" w:rsidRPr="00037921" w:rsidRDefault="00243C6B" w:rsidP="00243C6B">
      <w:pPr>
        <w:rPr>
          <w:rFonts w:ascii="Arial" w:hAnsi="Arial" w:cs="Arial"/>
          <w:color w:val="000000" w:themeColor="text1"/>
        </w:rPr>
      </w:pPr>
    </w:p>
    <w:p w14:paraId="1813E525" w14:textId="77777777" w:rsidR="00243C6B" w:rsidRPr="00785086" w:rsidRDefault="00243C6B" w:rsidP="00243C6B">
      <w:pPr>
        <w:rPr>
          <w:rFonts w:ascii="Arial" w:hAnsi="Arial" w:cs="Arial"/>
          <w:b/>
          <w:bCs/>
          <w:color w:val="000000" w:themeColor="text1"/>
          <w:sz w:val="28"/>
          <w:szCs w:val="28"/>
        </w:rPr>
      </w:pPr>
      <w:r w:rsidRPr="00785086">
        <w:rPr>
          <w:rFonts w:ascii="Arial" w:hAnsi="Arial" w:cs="Arial"/>
          <w:b/>
          <w:bCs/>
          <w:color w:val="000000" w:themeColor="text1"/>
          <w:sz w:val="28"/>
          <w:szCs w:val="28"/>
        </w:rPr>
        <w:t xml:space="preserve">Research methods </w:t>
      </w:r>
    </w:p>
    <w:p w14:paraId="4E4A68A6"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t xml:space="preserve"> </w:t>
      </w:r>
      <w:r w:rsidRPr="00785086">
        <w:rPr>
          <w:rFonts w:ascii="Arial" w:hAnsi="Arial" w:cs="Arial"/>
          <w:color w:val="000000" w:themeColor="text1"/>
        </w:rPr>
        <w:br/>
        <w:t>In this research endeavour, the utilization of questionnaires was selected as the primary methodological approach. Initially, the intent was to administer these questionnaires digitally, thereby ensuring anonymity among respondents. However, constraints in resource availability precluded this digital implementation, necessitating the administration of paper-based questionnaires instead. Despite this shift, measures were taken to uphold anonymity, with participants refraining from disclosing their identities on the questionnaires. Moreover, a deliberate procedure was enacted wherein participants independently placed their completed questionnaires into a designated receptacle, thereby further safeguarding anonymity.</w:t>
      </w:r>
    </w:p>
    <w:p w14:paraId="179D8897" w14:textId="77777777" w:rsidR="00243C6B" w:rsidRPr="00785086" w:rsidRDefault="00243C6B" w:rsidP="00243C6B">
      <w:pPr>
        <w:rPr>
          <w:rFonts w:ascii="Arial" w:hAnsi="Arial" w:cs="Arial"/>
          <w:color w:val="000000" w:themeColor="text1"/>
        </w:rPr>
      </w:pPr>
    </w:p>
    <w:p w14:paraId="118DCBFF"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t>The study targeted Year 5/6 pupils and centred on the exploration of their perceptions regarding the implementation of an emotional check-in board. Through the administration of questionnaires, participants were encouraged to provide candid responses. Despite the transition to paper-based administration, meticulous efforts were undertaken to maintain the integrity of anonymity throughout the data collection process. Participants were assured of confidentiality, and steps were taken to minimize any potential breaches of privacy. By employing this methodological framework, the study aimed to glean nuanced insights into the efficacy and reception of emotional check-in practices among primary school students.</w:t>
      </w:r>
    </w:p>
    <w:p w14:paraId="07D79F87" w14:textId="77777777" w:rsidR="00243C6B" w:rsidRPr="00785086" w:rsidRDefault="00243C6B" w:rsidP="00243C6B">
      <w:pPr>
        <w:rPr>
          <w:rFonts w:ascii="Arial" w:hAnsi="Arial" w:cs="Arial"/>
          <w:color w:val="000000" w:themeColor="text1"/>
        </w:rPr>
      </w:pPr>
    </w:p>
    <w:p w14:paraId="760F9FC2"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t>Research suggests that questionnaires are widely employed in various fields, including education, psychology, and social sciences, due to their versatility, efficiency, and ability to collect data from a large number of participants (Dillman, Smyth and Christian, 2014). They offer a structured approach to data collection, allowing researchers to gather standardized responses to predefined questions, which can be analyzed quantitatively (Babbie, 2016).</w:t>
      </w:r>
    </w:p>
    <w:p w14:paraId="5070CBA3"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br/>
        <w:t>Moreover, research underscores the significance of questionnaire design in upholding the validity and reliability of collected data. Well-constructed questionnaires are characterized by clear, unambiguous inquiries, devoid of leading or biased language, and encompassing suitable response formats (Fowler, 2009). Pilot testing and validation procedures are also advocated to refine questionnaire items and ascertain their efficacy in measuring the intended constructs (DeVellis, 2016). Regrettably, due to time constraints, these protocols were not feasible in the present study, which, given its small-scale nature involving only 23 participants, led the researcher to deem them unnecessary.</w:t>
      </w:r>
    </w:p>
    <w:p w14:paraId="1241174A" w14:textId="77777777" w:rsidR="00243C6B" w:rsidRPr="00785086" w:rsidRDefault="00243C6B" w:rsidP="00243C6B">
      <w:pPr>
        <w:rPr>
          <w:rFonts w:ascii="Arial" w:hAnsi="Arial" w:cs="Arial"/>
          <w:color w:val="000000" w:themeColor="text1"/>
        </w:rPr>
      </w:pPr>
    </w:p>
    <w:p w14:paraId="66273B03"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t>Nonetheless, the literature also acknowledges inherent limitations associated with questionnaire-based inquiries. These encompass potential response biases, such as social desirability bias, where respondents may tailor their answers to align with perceived societal norms rather than reflecting genuine opinions or behaviors (Podsakoff et al., 2003). Concerns regarding this bias were acknowledged in the study, with the researcher expressing apprehension that participants might provide socially desirable responses. Consequently, measures were taken to emphasize the importance of honest responses and to ensure anonymity.</w:t>
      </w:r>
    </w:p>
    <w:p w14:paraId="0A0FC6B9" w14:textId="77777777" w:rsidR="00243C6B" w:rsidRPr="00785086" w:rsidRDefault="00243C6B" w:rsidP="00243C6B">
      <w:pPr>
        <w:rPr>
          <w:rFonts w:ascii="Arial" w:hAnsi="Arial" w:cs="Arial"/>
          <w:color w:val="000000" w:themeColor="text1"/>
        </w:rPr>
      </w:pPr>
    </w:p>
    <w:p w14:paraId="1A475883"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t>Furthermore, questionnaire data may be susceptible to interpretation errors or misinterpretation by respondents, resulting in inaccurate or incomplete responses (Dillman et al., 2014). To mitigate this risk, the researcher predominantly utilized tick-box questions, see appendix A, aiming to facilitate straightforward interpretation and minimize potential errors.</w:t>
      </w:r>
    </w:p>
    <w:p w14:paraId="3E1B60FF" w14:textId="77777777" w:rsidR="00243C6B" w:rsidRDefault="00243C6B" w:rsidP="00243C6B">
      <w:pPr>
        <w:rPr>
          <w:rFonts w:ascii="Arial" w:hAnsi="Arial" w:cs="Arial"/>
          <w:b/>
          <w:bCs/>
          <w:color w:val="000000" w:themeColor="text1"/>
          <w:sz w:val="28"/>
          <w:szCs w:val="28"/>
        </w:rPr>
      </w:pPr>
    </w:p>
    <w:p w14:paraId="3B64F473" w14:textId="77777777" w:rsidR="00243C6B" w:rsidRDefault="00243C6B" w:rsidP="00243C6B">
      <w:pPr>
        <w:rPr>
          <w:rFonts w:ascii="Arial" w:hAnsi="Arial" w:cs="Arial"/>
          <w:b/>
          <w:bCs/>
          <w:color w:val="000000" w:themeColor="text1"/>
          <w:sz w:val="28"/>
          <w:szCs w:val="28"/>
        </w:rPr>
      </w:pPr>
    </w:p>
    <w:p w14:paraId="2B02A324" w14:textId="77777777" w:rsidR="00243C6B" w:rsidRPr="00785086" w:rsidRDefault="00243C6B" w:rsidP="00243C6B">
      <w:pPr>
        <w:rPr>
          <w:rFonts w:ascii="Arial" w:hAnsi="Arial" w:cs="Arial"/>
          <w:b/>
          <w:bCs/>
          <w:color w:val="000000" w:themeColor="text1"/>
          <w:sz w:val="28"/>
          <w:szCs w:val="28"/>
        </w:rPr>
      </w:pPr>
    </w:p>
    <w:p w14:paraId="1F395ADF" w14:textId="77777777" w:rsidR="00243C6B" w:rsidRPr="00785086" w:rsidRDefault="00243C6B" w:rsidP="00243C6B">
      <w:pPr>
        <w:rPr>
          <w:rFonts w:ascii="Arial" w:hAnsi="Arial" w:cs="Arial"/>
          <w:b/>
          <w:bCs/>
          <w:color w:val="000000" w:themeColor="text1"/>
          <w:sz w:val="28"/>
          <w:szCs w:val="28"/>
        </w:rPr>
      </w:pPr>
      <w:r w:rsidRPr="00785086">
        <w:rPr>
          <w:rFonts w:ascii="Arial" w:hAnsi="Arial" w:cs="Arial"/>
          <w:b/>
          <w:bCs/>
          <w:color w:val="000000" w:themeColor="text1"/>
          <w:sz w:val="28"/>
          <w:szCs w:val="28"/>
        </w:rPr>
        <w:t xml:space="preserve">Data presentation and analysis method </w:t>
      </w:r>
    </w:p>
    <w:p w14:paraId="765FD8BA" w14:textId="77777777" w:rsidR="00243C6B" w:rsidRPr="00785086" w:rsidRDefault="00243C6B" w:rsidP="00243C6B">
      <w:pPr>
        <w:rPr>
          <w:rFonts w:ascii="Arial" w:hAnsi="Arial" w:cs="Arial"/>
          <w:color w:val="000000" w:themeColor="text1"/>
        </w:rPr>
      </w:pPr>
    </w:p>
    <w:p w14:paraId="560A4EDB"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t xml:space="preserve">The researcher acknowledges the paramount importance of effective data visualization in conveying the results of the research study comprehensively and </w:t>
      </w:r>
      <w:r w:rsidRPr="00785086">
        <w:rPr>
          <w:rFonts w:ascii="Arial" w:hAnsi="Arial" w:cs="Arial"/>
          <w:color w:val="000000" w:themeColor="text1"/>
        </w:rPr>
        <w:lastRenderedPageBreak/>
        <w:t>intelligibly. To achieve this, a multifaceted approach incorporating various visual aids such as graphs, pie charts, and pictograms will be employed. By integrating these diverse visual elements, the researcher aims to enrich the presentation of the gathered data, facilitating a deeper understanding and analysis by the intended audience.</w:t>
      </w:r>
    </w:p>
    <w:p w14:paraId="648007FD" w14:textId="77777777" w:rsidR="00243C6B" w:rsidRPr="00785086" w:rsidRDefault="00243C6B" w:rsidP="00243C6B">
      <w:pPr>
        <w:rPr>
          <w:rFonts w:ascii="Arial" w:hAnsi="Arial" w:cs="Arial"/>
          <w:color w:val="000000" w:themeColor="text1"/>
        </w:rPr>
      </w:pPr>
    </w:p>
    <w:p w14:paraId="1EBF6C59"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t>Graphs, including both bar graphs and line graphs, will serve as powerful tools for visually representing numerical data and highlighting trends and patterns observed within the dataset. As suggested by Bryman (2016), the utilization of graphs allows for the clear and concise depiction of quantitative information, enabling viewers to discern relationships and fluctuations in the data with ease. Through the strategic use of colour, scale, and labelling, the researcher endeavours to create visually compelling graphs that effectively communicate key findings and insights derived from the research.</w:t>
      </w:r>
    </w:p>
    <w:p w14:paraId="30AC5A57" w14:textId="77777777" w:rsidR="00243C6B" w:rsidRPr="00785086" w:rsidRDefault="00243C6B" w:rsidP="00243C6B">
      <w:pPr>
        <w:rPr>
          <w:rFonts w:ascii="Arial" w:hAnsi="Arial" w:cs="Arial"/>
          <w:color w:val="000000" w:themeColor="text1"/>
        </w:rPr>
      </w:pPr>
    </w:p>
    <w:p w14:paraId="5F12846F"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t>In addition to graphs, pie charts will be employed to illustrate proportions and percentages, offering a visually intuitive representation of the distribution of variables within the dataset. Drawing from the insights of Field (2013), pie charts provide a succinct overview of categorical data, enabling viewers to grasp the relative significance of different components within the dataset at a glance. By organizing data into distinct segments and employing contrasting colours or patterns, the researcher seeks to enhance the clarity and accessibility of information presented in the pie charts, facilitating rapid interpretation and comparison of data subsets.</w:t>
      </w:r>
    </w:p>
    <w:p w14:paraId="646F8571" w14:textId="77777777" w:rsidR="00243C6B" w:rsidRPr="00785086" w:rsidRDefault="00243C6B" w:rsidP="00243C6B">
      <w:pPr>
        <w:rPr>
          <w:rFonts w:ascii="Arial" w:hAnsi="Arial" w:cs="Arial"/>
          <w:color w:val="000000" w:themeColor="text1"/>
        </w:rPr>
      </w:pPr>
    </w:p>
    <w:p w14:paraId="255F2834"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t>Furthermore, the researcher will incorporate pictograms as a means of conveying complex information in an easily understandable format. Building upon the principles outlined by Tufte (2001), pictograms offer simplified visual representations of data using images or symbols, making them particularly effective for communicating abstract or multifaceted concepts. By selecting appropriate icons or symbols and arranging them in a logical and coherent manner, the researcher endeavours to create visually engaging pictograms that elucidate key insights and trends within the dataset, thereby enhancing the audience's comprehension and retention of information.</w:t>
      </w:r>
    </w:p>
    <w:p w14:paraId="4E9618CC" w14:textId="77777777" w:rsidR="00243C6B" w:rsidRPr="00785086" w:rsidRDefault="00243C6B" w:rsidP="00243C6B">
      <w:pPr>
        <w:rPr>
          <w:rFonts w:ascii="Arial" w:hAnsi="Arial" w:cs="Arial"/>
          <w:color w:val="000000" w:themeColor="text1"/>
        </w:rPr>
      </w:pPr>
    </w:p>
    <w:p w14:paraId="6F423601"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t>Ultimately, by harnessing the collective power of graphs, pie charts, and pictograms, the researcher aims to enhance the accessibility and clarity of the research findings, enabling comprehensive interpretation and analysis by the intended audience. As advocated by Few (2004), the strategic integration of diverse visual elements fosters a more engaging and impactful presentation of data, empowering viewers to extract meaningful insights and draw informed conclusions from the research outcomes.</w:t>
      </w:r>
    </w:p>
    <w:p w14:paraId="5A1EB3C8" w14:textId="77777777" w:rsidR="00243C6B" w:rsidRPr="00785086" w:rsidRDefault="00243C6B" w:rsidP="00243C6B">
      <w:pPr>
        <w:rPr>
          <w:rFonts w:ascii="Arial" w:hAnsi="Arial" w:cs="Arial"/>
          <w:color w:val="000000" w:themeColor="text1"/>
        </w:rPr>
      </w:pPr>
    </w:p>
    <w:p w14:paraId="66E3DD64" w14:textId="77777777" w:rsidR="00243C6B" w:rsidRDefault="00243C6B" w:rsidP="00243C6B">
      <w:pPr>
        <w:rPr>
          <w:rFonts w:ascii="Arial" w:hAnsi="Arial" w:cs="Arial"/>
          <w:color w:val="000000" w:themeColor="text1"/>
        </w:rPr>
      </w:pPr>
    </w:p>
    <w:p w14:paraId="4EB12815" w14:textId="77777777" w:rsidR="00243C6B" w:rsidRDefault="00243C6B" w:rsidP="00243C6B">
      <w:pPr>
        <w:rPr>
          <w:rFonts w:ascii="Arial" w:hAnsi="Arial" w:cs="Arial"/>
          <w:color w:val="000000" w:themeColor="text1"/>
        </w:rPr>
      </w:pPr>
    </w:p>
    <w:p w14:paraId="7D5B96E6" w14:textId="77777777" w:rsidR="00243C6B" w:rsidRDefault="00243C6B" w:rsidP="00243C6B">
      <w:pPr>
        <w:rPr>
          <w:rFonts w:ascii="Arial" w:hAnsi="Arial" w:cs="Arial"/>
          <w:color w:val="000000" w:themeColor="text1"/>
        </w:rPr>
      </w:pPr>
    </w:p>
    <w:p w14:paraId="3DB8FDA0" w14:textId="77777777" w:rsidR="00243C6B" w:rsidRDefault="00243C6B" w:rsidP="00243C6B">
      <w:pPr>
        <w:rPr>
          <w:rFonts w:ascii="Arial" w:hAnsi="Arial" w:cs="Arial"/>
          <w:color w:val="000000" w:themeColor="text1"/>
        </w:rPr>
      </w:pPr>
    </w:p>
    <w:p w14:paraId="7CE6B791" w14:textId="77777777" w:rsidR="00243C6B" w:rsidRDefault="00243C6B" w:rsidP="00243C6B">
      <w:pPr>
        <w:rPr>
          <w:rFonts w:ascii="Arial" w:hAnsi="Arial" w:cs="Arial"/>
          <w:color w:val="000000" w:themeColor="text1"/>
        </w:rPr>
      </w:pPr>
    </w:p>
    <w:p w14:paraId="3A1D2AB7" w14:textId="77777777" w:rsidR="00243C6B" w:rsidRPr="00785086" w:rsidRDefault="00243C6B" w:rsidP="00243C6B">
      <w:pPr>
        <w:rPr>
          <w:rFonts w:ascii="Arial" w:hAnsi="Arial" w:cs="Arial"/>
          <w:b/>
          <w:bCs/>
          <w:color w:val="000000" w:themeColor="text1"/>
          <w:sz w:val="28"/>
          <w:szCs w:val="28"/>
        </w:rPr>
      </w:pPr>
      <w:r w:rsidRPr="00785086">
        <w:rPr>
          <w:rFonts w:ascii="Arial" w:hAnsi="Arial" w:cs="Arial"/>
          <w:b/>
          <w:bCs/>
          <w:color w:val="000000" w:themeColor="text1"/>
          <w:sz w:val="28"/>
          <w:szCs w:val="28"/>
        </w:rPr>
        <w:t>Ethic</w:t>
      </w:r>
      <w:r>
        <w:rPr>
          <w:rFonts w:ascii="Arial" w:hAnsi="Arial" w:cs="Arial"/>
          <w:b/>
          <w:bCs/>
          <w:color w:val="000000" w:themeColor="text1"/>
          <w:sz w:val="28"/>
          <w:szCs w:val="28"/>
        </w:rPr>
        <w:t>s</w:t>
      </w:r>
      <w:r w:rsidRPr="00785086">
        <w:rPr>
          <w:rFonts w:ascii="Arial" w:hAnsi="Arial" w:cs="Arial"/>
          <w:b/>
          <w:bCs/>
          <w:color w:val="000000" w:themeColor="text1"/>
          <w:sz w:val="28"/>
          <w:szCs w:val="28"/>
        </w:rPr>
        <w:t xml:space="preserve"> considerations </w:t>
      </w:r>
    </w:p>
    <w:p w14:paraId="0BFC7DD5" w14:textId="77777777" w:rsidR="00243C6B" w:rsidRPr="00785086" w:rsidRDefault="00243C6B" w:rsidP="00243C6B">
      <w:pPr>
        <w:rPr>
          <w:rFonts w:ascii="Arial" w:hAnsi="Arial" w:cs="Arial"/>
          <w:color w:val="000000" w:themeColor="text1"/>
        </w:rPr>
      </w:pPr>
    </w:p>
    <w:p w14:paraId="70741590" w14:textId="77777777" w:rsidR="00243C6B" w:rsidRPr="00785086" w:rsidRDefault="00243C6B" w:rsidP="00243C6B">
      <w:pPr>
        <w:rPr>
          <w:rFonts w:ascii="Arial" w:hAnsi="Arial" w:cs="Arial"/>
          <w:color w:val="000000" w:themeColor="text1"/>
          <w:shd w:val="clear" w:color="auto" w:fill="FFFFFF"/>
        </w:rPr>
      </w:pPr>
      <w:r w:rsidRPr="00785086">
        <w:rPr>
          <w:rFonts w:ascii="Arial" w:hAnsi="Arial" w:cs="Arial"/>
          <w:color w:val="000000" w:themeColor="text1"/>
          <w:shd w:val="clear" w:color="auto" w:fill="FFFFFF"/>
        </w:rPr>
        <w:t xml:space="preserve">In the context of educational research, ethics are the moral principles that guide behaviour and decision-making. When writing this research paper, the researcher </w:t>
      </w:r>
      <w:r w:rsidRPr="00785086">
        <w:rPr>
          <w:rFonts w:ascii="Arial" w:hAnsi="Arial" w:cs="Arial"/>
          <w:color w:val="000000" w:themeColor="text1"/>
          <w:shd w:val="clear" w:color="auto" w:fill="FFFFFF"/>
        </w:rPr>
        <w:lastRenderedPageBreak/>
        <w:t xml:space="preserve">will consider ethics at every stage of the process. This includes how data is gathered, findings are presented, and results are interpreted. Ethical considerations may involve obtaining informed consent from participants, ensuring confidentiality, avoiding plagiarism, citing sources accurately, and disclosing any conflicts of interest. By incorporating ethical practices into the research, the researcher upholds the principles of honesty, respect, and fairness that are vital to the academic community and the advancement of knowledge. </w:t>
      </w:r>
    </w:p>
    <w:p w14:paraId="306C3691" w14:textId="77777777" w:rsidR="00243C6B" w:rsidRPr="00037921" w:rsidRDefault="00243C6B" w:rsidP="00243C6B">
      <w:pPr>
        <w:rPr>
          <w:rFonts w:ascii="Arial" w:hAnsi="Arial" w:cs="Arial"/>
          <w:color w:val="000000" w:themeColor="text1"/>
        </w:rPr>
      </w:pPr>
      <w:r w:rsidRPr="00785086">
        <w:rPr>
          <w:rFonts w:ascii="Arial" w:hAnsi="Arial" w:cs="Arial"/>
          <w:color w:val="000000" w:themeColor="text1"/>
        </w:rPr>
        <w:br/>
        <w:t xml:space="preserve">The researcher obtained ethical approval, as outlined in the UWTSD Research Ethics &amp; Integrity Code of Practice. Appropriate advice was sought if there were any doubts regarding ethical implications or data protection in the research. Anonymity and confidentiality of participants were maintained by concealing their identities in all research documents. The principles of privacy were adhered to, respecting the expectations of individuals who had entrusted their information. Unforeseen ethical implications that arose during the research process were addressed, and the researcher was prepared to resubmit the project if the nature of the research changed. Data </w:t>
      </w:r>
      <w:r w:rsidRPr="00037921">
        <w:rPr>
          <w:rFonts w:ascii="Arial" w:hAnsi="Arial" w:cs="Arial"/>
          <w:color w:val="000000" w:themeColor="text1"/>
        </w:rPr>
        <w:t>protection legislation was familiarized with to ensure the confidentiality of the data provided by participants.</w:t>
      </w:r>
    </w:p>
    <w:p w14:paraId="427618E4" w14:textId="77777777" w:rsidR="00243C6B" w:rsidRPr="00037921" w:rsidRDefault="00243C6B" w:rsidP="00243C6B">
      <w:pPr>
        <w:rPr>
          <w:rFonts w:ascii="Arial" w:hAnsi="Arial" w:cs="Arial"/>
          <w:color w:val="000000" w:themeColor="text1"/>
        </w:rPr>
      </w:pPr>
      <w:r w:rsidRPr="00037921">
        <w:rPr>
          <w:rFonts w:ascii="Arial" w:hAnsi="Arial" w:cs="Arial"/>
          <w:color w:val="000000" w:themeColor="text1"/>
        </w:rPr>
        <w:t xml:space="preserve">The pre-eminent ethical driver of privacy in western societies was considered, and the protection of participants' rights was prioritized. </w:t>
      </w:r>
      <w:r w:rsidRPr="00037921">
        <w:rPr>
          <w:rFonts w:ascii="Arial" w:hAnsi="Arial" w:cs="Arial"/>
        </w:rPr>
        <w:t>(UWTSD, 2022)</w:t>
      </w:r>
    </w:p>
    <w:p w14:paraId="47A5AFDB" w14:textId="77777777" w:rsidR="00243C6B" w:rsidRPr="00785086" w:rsidRDefault="00243C6B" w:rsidP="00243C6B">
      <w:pPr>
        <w:rPr>
          <w:rFonts w:ascii="Arial" w:hAnsi="Arial" w:cs="Arial"/>
          <w:color w:val="000000" w:themeColor="text1"/>
          <w:shd w:val="clear" w:color="auto" w:fill="FFFFFF"/>
        </w:rPr>
      </w:pPr>
      <w:r w:rsidRPr="00785086">
        <w:rPr>
          <w:rFonts w:ascii="Arial" w:hAnsi="Arial" w:cs="Arial"/>
          <w:color w:val="000000" w:themeColor="text1"/>
        </w:rPr>
        <w:br/>
        <w:t xml:space="preserve">Trust and responsibility were essential elements in the relationship between researcher and researched. The researcher accepted responsibility for their actions and prioritized the wellbeing and development of participants. The implications of the research on individuals who might be identifiable through their relationship with the researcher or other participants were considered. In some cases, consent needed to be sought from these individuals. Researchers had </w:t>
      </w:r>
      <w:r w:rsidRPr="00627E97">
        <w:rPr>
          <w:rFonts w:ascii="Arial" w:hAnsi="Arial" w:cs="Arial"/>
          <w:color w:val="000000" w:themeColor="text1"/>
        </w:rPr>
        <w:t xml:space="preserve">responsibilities to sponsors, clients, and stakeholders in the research as stated in the BERA guidelines </w:t>
      </w:r>
      <w:r w:rsidRPr="00627E97">
        <w:rPr>
          <w:rFonts w:ascii="Arial" w:hAnsi="Arial" w:cs="Arial"/>
        </w:rPr>
        <w:t>(British Educational Research Association, 2024),</w:t>
      </w:r>
      <w:r w:rsidRPr="00627E97">
        <w:rPr>
          <w:rFonts w:ascii="Arial" w:hAnsi="Arial" w:cs="Arial"/>
          <w:color w:val="000000" w:themeColor="text1"/>
        </w:rPr>
        <w:t xml:space="preserve">this links closely to the </w:t>
      </w:r>
      <w:r w:rsidRPr="00627E97">
        <w:rPr>
          <w:rFonts w:ascii="Arial" w:hAnsi="Arial" w:cs="Arial"/>
          <w:color w:val="000000" w:themeColor="text1"/>
          <w:shd w:val="clear" w:color="auto" w:fill="FFFFFF"/>
        </w:rPr>
        <w:t xml:space="preserve">UNCRC article 12 of the rights of the child, ‘Every child has the right to express their views on matters that affect them, and for these views to be taken into consideration’ </w:t>
      </w:r>
      <w:r w:rsidRPr="00627E97">
        <w:rPr>
          <w:rFonts w:ascii="Arial" w:hAnsi="Arial" w:cs="Arial"/>
        </w:rPr>
        <w:t>(United Nations, 1989)</w:t>
      </w:r>
    </w:p>
    <w:p w14:paraId="3A5833E9" w14:textId="77777777" w:rsidR="00243C6B" w:rsidRPr="00785086" w:rsidRDefault="00243C6B" w:rsidP="00243C6B">
      <w:pPr>
        <w:rPr>
          <w:rFonts w:ascii="Arial" w:hAnsi="Arial" w:cs="Arial"/>
          <w:color w:val="000000" w:themeColor="text1"/>
        </w:rPr>
      </w:pPr>
    </w:p>
    <w:p w14:paraId="64CC32D5" w14:textId="77777777" w:rsidR="00243C6B" w:rsidRPr="00785086" w:rsidRDefault="00243C6B" w:rsidP="00243C6B">
      <w:pPr>
        <w:rPr>
          <w:rFonts w:ascii="Arial" w:hAnsi="Arial" w:cs="Arial"/>
          <w:b/>
          <w:bCs/>
          <w:color w:val="000000" w:themeColor="text1"/>
          <w:sz w:val="28"/>
          <w:szCs w:val="28"/>
        </w:rPr>
      </w:pPr>
      <w:r w:rsidRPr="00785086">
        <w:rPr>
          <w:rFonts w:ascii="Arial" w:hAnsi="Arial" w:cs="Arial"/>
          <w:b/>
          <w:bCs/>
          <w:color w:val="000000" w:themeColor="text1"/>
          <w:sz w:val="28"/>
          <w:szCs w:val="28"/>
        </w:rPr>
        <w:t xml:space="preserve">Results/analysis of results/ discussion </w:t>
      </w:r>
    </w:p>
    <w:p w14:paraId="08C6F045" w14:textId="77777777" w:rsidR="00243C6B" w:rsidRPr="00785086" w:rsidRDefault="00243C6B" w:rsidP="00243C6B">
      <w:pPr>
        <w:rPr>
          <w:rFonts w:ascii="Arial" w:hAnsi="Arial" w:cs="Arial"/>
          <w:b/>
          <w:bCs/>
          <w:color w:val="000000" w:themeColor="text1"/>
          <w:sz w:val="28"/>
          <w:szCs w:val="28"/>
        </w:rPr>
      </w:pPr>
    </w:p>
    <w:p w14:paraId="52FC4734"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t>Here are the findings derived from a research study conducted in a Year 5/6 mainstream classroom situated in South Wales, focusing on observations and questionnaire responses obtained from a cohort of 29 children, one of whom had been diagnosed with Additional Learning Needs (ALN). The data were collected on a day when 27 children were present, with 23 of them having provided consent to participate in the study.</w:t>
      </w:r>
    </w:p>
    <w:p w14:paraId="33448250" w14:textId="77777777" w:rsidR="00243C6B" w:rsidRPr="00785086" w:rsidRDefault="00243C6B" w:rsidP="00243C6B">
      <w:pPr>
        <w:rPr>
          <w:rFonts w:ascii="Arial" w:hAnsi="Arial" w:cs="Arial"/>
          <w:color w:val="000000" w:themeColor="text1"/>
        </w:rPr>
      </w:pPr>
    </w:p>
    <w:p w14:paraId="66480A88"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t>Among the respondents, 16 children indicated their utilization of the emotional check-in board, while 6 reported non-utilization, with one child occasionally engaging with it. Notably, 16 children mentioned using the board for both positive and negative emotions, while 6 stated usages exclusively for happiness. Only 2 children claimed daily utilization, whereas 12 reported doing so on most days, and 8 acknowledged hardly ever using it, with one explicitly stating "never."</w:t>
      </w:r>
    </w:p>
    <w:p w14:paraId="74C8EA94" w14:textId="77777777" w:rsidR="00243C6B" w:rsidRPr="00785086" w:rsidRDefault="00243C6B" w:rsidP="00243C6B">
      <w:pPr>
        <w:rPr>
          <w:rFonts w:ascii="Arial" w:hAnsi="Arial" w:cs="Arial"/>
          <w:color w:val="000000" w:themeColor="text1"/>
        </w:rPr>
      </w:pPr>
    </w:p>
    <w:p w14:paraId="5ADC348A"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lastRenderedPageBreak/>
        <w:t>In terms of perceived usefulness, 13 children affirmed the utility of the emotional check-in board, while 10 expressed the contrary view. Regarding teacher-initiated check-ins prompted by children indicating negative emotions on the board, 10 children confirmed such engagements, 3 reported occasional instances, and 10 stated no occurrences. Notably, some respondents mentioned peer-initiated check-ins as substitutes for teacher interactions.</w:t>
      </w:r>
    </w:p>
    <w:p w14:paraId="4CD866E0" w14:textId="77777777" w:rsidR="00243C6B" w:rsidRPr="00785086" w:rsidRDefault="00243C6B" w:rsidP="00243C6B">
      <w:pPr>
        <w:rPr>
          <w:rFonts w:ascii="Arial" w:hAnsi="Arial" w:cs="Arial"/>
          <w:color w:val="000000" w:themeColor="text1"/>
        </w:rPr>
      </w:pPr>
    </w:p>
    <w:p w14:paraId="24EF89ED"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t>Regarding the sensible use of the emotional check-in board, opinions were divided, with 12 children affirming its sensible application and 11 dissenting. Furthermore, when queried about using the board specifically during periods of sadness or anger, responses varied, with 3 indicating consistent usage, 5 reporting non-utilization, and 15 citing occasional engagement.</w:t>
      </w:r>
    </w:p>
    <w:p w14:paraId="148B07D1" w14:textId="77777777" w:rsidR="00243C6B" w:rsidRPr="00785086" w:rsidRDefault="00243C6B" w:rsidP="00243C6B">
      <w:pPr>
        <w:rPr>
          <w:rFonts w:ascii="Arial" w:hAnsi="Arial" w:cs="Arial"/>
          <w:color w:val="000000" w:themeColor="text1"/>
        </w:rPr>
      </w:pPr>
    </w:p>
    <w:p w14:paraId="34B791AD"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t>Suggestions for improvement included expanding the range of emotions represented on the board, incorporating teacher-initiated check-ins, facilitating private review of children's emotional expressions by the teacher, and addressing potential reluctance among children to openly share their feelings.</w:t>
      </w:r>
    </w:p>
    <w:p w14:paraId="015C6EE5" w14:textId="77777777" w:rsidR="00243C6B" w:rsidRPr="00785086" w:rsidRDefault="00243C6B" w:rsidP="00243C6B">
      <w:pPr>
        <w:rPr>
          <w:rFonts w:ascii="Arial" w:hAnsi="Arial" w:cs="Arial"/>
          <w:color w:val="000000" w:themeColor="text1"/>
        </w:rPr>
      </w:pPr>
    </w:p>
    <w:p w14:paraId="521700E3" w14:textId="77777777" w:rsidR="00243C6B" w:rsidRDefault="00243C6B" w:rsidP="00243C6B">
      <w:pPr>
        <w:rPr>
          <w:rFonts w:ascii="Arial" w:hAnsi="Arial" w:cs="Arial"/>
          <w:color w:val="000000" w:themeColor="text1"/>
        </w:rPr>
      </w:pPr>
      <w:r w:rsidRPr="00785086">
        <w:rPr>
          <w:rFonts w:ascii="Arial" w:hAnsi="Arial" w:cs="Arial"/>
          <w:color w:val="000000" w:themeColor="text1"/>
        </w:rPr>
        <w:t xml:space="preserve"> The findings of the research study conducted in a Year 5/6 mainstream classroom in South Wales provide valuable insights into the practical application and effectiveness of emotional check-ins, aligning with the theoretical underpinnings discussed in the literature review. The utilization of the emotional check-in board by a significant portion of the cohort underscores its relevance in facilitating social-emotional development and wellbeing among students, in line with the principles of Social-Emotional Learning (SEL) theory (Durlak et al., 2011). The varying degrees of engagement reported by the children, from daily usage to infrequent utilization</w:t>
      </w:r>
      <w:r>
        <w:rPr>
          <w:rFonts w:ascii="Arial" w:hAnsi="Arial" w:cs="Arial"/>
          <w:color w:val="000000" w:themeColor="text1"/>
        </w:rPr>
        <w:t xml:space="preserve"> as shown in pie chart below</w:t>
      </w:r>
      <w:r w:rsidRPr="00785086">
        <w:rPr>
          <w:rFonts w:ascii="Arial" w:hAnsi="Arial" w:cs="Arial"/>
          <w:color w:val="000000" w:themeColor="text1"/>
        </w:rPr>
        <w:t>, highlight</w:t>
      </w:r>
      <w:r>
        <w:rPr>
          <w:rFonts w:ascii="Arial" w:hAnsi="Arial" w:cs="Arial"/>
          <w:color w:val="000000" w:themeColor="text1"/>
        </w:rPr>
        <w:t>s</w:t>
      </w:r>
      <w:r w:rsidRPr="00785086">
        <w:rPr>
          <w:rFonts w:ascii="Arial" w:hAnsi="Arial" w:cs="Arial"/>
          <w:color w:val="000000" w:themeColor="text1"/>
        </w:rPr>
        <w:t xml:space="preserve"> the individual differences in how students perceive and interact with emotional check-ins, reflecting the diverse emotional needs and preferences within the classroom environment (Deci and Ryan, 2000).</w:t>
      </w:r>
    </w:p>
    <w:p w14:paraId="5789D90F" w14:textId="77777777" w:rsidR="00243C6B" w:rsidRDefault="00243C6B" w:rsidP="00243C6B">
      <w:pPr>
        <w:rPr>
          <w:rFonts w:ascii="Arial" w:hAnsi="Arial" w:cs="Arial"/>
          <w:color w:val="000000" w:themeColor="text1"/>
        </w:rPr>
      </w:pPr>
    </w:p>
    <w:p w14:paraId="5E58FC86" w14:textId="77777777" w:rsidR="00243C6B" w:rsidRPr="00785086" w:rsidRDefault="00243C6B" w:rsidP="00243C6B">
      <w:pPr>
        <w:rPr>
          <w:rFonts w:ascii="Arial" w:hAnsi="Arial" w:cs="Arial"/>
          <w:color w:val="000000" w:themeColor="text1"/>
        </w:rPr>
      </w:pPr>
      <w:r>
        <w:rPr>
          <w:noProof/>
        </w:rPr>
        <w:drawing>
          <wp:inline distT="0" distB="0" distL="0" distR="0" wp14:anchorId="0C700A29" wp14:editId="41428F47">
            <wp:extent cx="3950534" cy="296311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3959619" cy="2969933"/>
                    </a:xfrm>
                    <a:prstGeom prst="rect">
                      <a:avLst/>
                    </a:prstGeom>
                  </pic:spPr>
                </pic:pic>
              </a:graphicData>
            </a:graphic>
          </wp:inline>
        </w:drawing>
      </w:r>
    </w:p>
    <w:p w14:paraId="16DC85FC" w14:textId="77777777" w:rsidR="00243C6B" w:rsidRPr="00785086" w:rsidRDefault="00243C6B" w:rsidP="00243C6B">
      <w:pPr>
        <w:rPr>
          <w:rFonts w:ascii="Arial" w:hAnsi="Arial" w:cs="Arial"/>
          <w:color w:val="000000" w:themeColor="text1"/>
        </w:rPr>
      </w:pPr>
    </w:p>
    <w:p w14:paraId="250CDE34"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t xml:space="preserve">Moreover, the research findings shed light on the perceived usefulness of emotional check-ins among students, with a substantial number affirming its utility in </w:t>
      </w:r>
      <w:r w:rsidRPr="00785086">
        <w:rPr>
          <w:rFonts w:ascii="Arial" w:hAnsi="Arial" w:cs="Arial"/>
          <w:color w:val="000000" w:themeColor="text1"/>
        </w:rPr>
        <w:lastRenderedPageBreak/>
        <w:t>expressing and regulating their emotions. This aligns with the core tenets of Self-Determination Theory (SDT), which emphasizes the importance of autonomy and relatedness in fostering intrinsic motivation and psychological wellbeing (Deci and Ryan, 2000). By providing students with opportunities to authentically express their emotions and connect with others in a supportive environment, emotional check-ins not only contribute to their socio-emotional development but also promote a sense of belonging and engagement within the classroom community (Maslow, 1943; Fredricks et al., 2004).</w:t>
      </w:r>
    </w:p>
    <w:p w14:paraId="79B53991" w14:textId="77777777" w:rsidR="00243C6B" w:rsidRPr="00785086" w:rsidRDefault="00243C6B" w:rsidP="00243C6B">
      <w:pPr>
        <w:rPr>
          <w:rFonts w:ascii="Arial" w:hAnsi="Arial" w:cs="Arial"/>
          <w:color w:val="000000" w:themeColor="text1"/>
        </w:rPr>
      </w:pPr>
    </w:p>
    <w:p w14:paraId="386E7739"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t>Furthermore, by incorporating emotional check-ins into classroom practices, educators can address the overarching goals of the Curriculum for Wales, which seeks to cultivate learners who are emotionally resilient, socially skilled, and prepared for the challenges of a rapidly changing world. By promoting emotional intelligence and self-awareness through initiatives such as emotional check-ins, educators contribute to the holistic development of students, enabling them to become healthy, confident individuals capable of navigating complex social and emotional landscapes. Thus, the integration of emotional check-ins aligns not only with the theoretical underpinnings of SEL and SDT but also with the broader objectives of educational practice outlined in the Curriculum for Wales. (Welsh Government, 2022)</w:t>
      </w:r>
    </w:p>
    <w:p w14:paraId="00E08FD1" w14:textId="77777777" w:rsidR="00243C6B" w:rsidRPr="00785086" w:rsidRDefault="00243C6B" w:rsidP="00243C6B">
      <w:pPr>
        <w:rPr>
          <w:rFonts w:ascii="Arial" w:hAnsi="Arial" w:cs="Arial"/>
          <w:color w:val="000000" w:themeColor="text1"/>
        </w:rPr>
      </w:pPr>
    </w:p>
    <w:p w14:paraId="41F9EAB1" w14:textId="77777777" w:rsidR="00243C6B" w:rsidRPr="00785086" w:rsidRDefault="00243C6B" w:rsidP="00243C6B">
      <w:pPr>
        <w:rPr>
          <w:rFonts w:ascii="Arial" w:hAnsi="Arial" w:cs="Arial"/>
          <w:b/>
          <w:bCs/>
          <w:color w:val="000000" w:themeColor="text1"/>
          <w:sz w:val="28"/>
          <w:szCs w:val="28"/>
        </w:rPr>
      </w:pPr>
      <w:r w:rsidRPr="00785086">
        <w:rPr>
          <w:rFonts w:ascii="Arial" w:hAnsi="Arial" w:cs="Arial"/>
          <w:b/>
          <w:bCs/>
          <w:color w:val="000000" w:themeColor="text1"/>
          <w:sz w:val="28"/>
          <w:szCs w:val="28"/>
        </w:rPr>
        <w:t xml:space="preserve">Conclusions </w:t>
      </w:r>
    </w:p>
    <w:p w14:paraId="2BAD50C2" w14:textId="77777777" w:rsidR="00243C6B" w:rsidRPr="00785086" w:rsidRDefault="00243C6B" w:rsidP="00243C6B">
      <w:pPr>
        <w:rPr>
          <w:rFonts w:ascii="Arial" w:hAnsi="Arial" w:cs="Arial"/>
          <w:color w:val="000000" w:themeColor="text1"/>
        </w:rPr>
      </w:pPr>
    </w:p>
    <w:p w14:paraId="32FFFA38"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shd w:val="clear" w:color="auto" w:fill="FFFFFF"/>
        </w:rPr>
        <w:t>To conclude, I believe that implementing emotional check-ins proves to be an asset in a Year 5/6 classroom. Enclosed below is a pictogram depicting the children's perceptions of its effectiveness, with lighter blue indicating those who found it useful and darker blue representing those who disagreed or did not find it beneficial.</w:t>
      </w:r>
    </w:p>
    <w:p w14:paraId="212F04B9" w14:textId="77777777" w:rsidR="00243C6B" w:rsidRPr="00785086" w:rsidRDefault="00243C6B" w:rsidP="00243C6B">
      <w:pPr>
        <w:rPr>
          <w:rFonts w:ascii="Arial" w:hAnsi="Arial" w:cs="Arial"/>
          <w:color w:val="000000" w:themeColor="text1"/>
        </w:rPr>
      </w:pPr>
      <w:r w:rsidRPr="00785086">
        <w:rPr>
          <w:rFonts w:ascii="Arial" w:hAnsi="Arial" w:cs="Arial"/>
          <w:noProof/>
          <w:color w:val="000000" w:themeColor="text1"/>
        </w:rPr>
        <w:drawing>
          <wp:inline distT="0" distB="0" distL="0" distR="0" wp14:anchorId="317F5C1A" wp14:editId="7DFD2BF5">
            <wp:extent cx="5730982" cy="2269993"/>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6">
                      <a:extLst>
                        <a:ext uri="{28A0092B-C50C-407E-A947-70E740481C1C}">
                          <a14:useLocalDpi xmlns:a14="http://schemas.microsoft.com/office/drawing/2010/main" val="0"/>
                        </a:ext>
                      </a:extLst>
                    </a:blip>
                    <a:srcRect t="8069" b="39123"/>
                    <a:stretch/>
                  </pic:blipFill>
                  <pic:spPr bwMode="auto">
                    <a:xfrm>
                      <a:off x="0" y="0"/>
                      <a:ext cx="5731510" cy="2270202"/>
                    </a:xfrm>
                    <a:prstGeom prst="rect">
                      <a:avLst/>
                    </a:prstGeom>
                    <a:ln>
                      <a:noFill/>
                    </a:ln>
                    <a:extLst>
                      <a:ext uri="{53640926-AAD7-44D8-BBD7-CCE9431645EC}">
                        <a14:shadowObscured xmlns:a14="http://schemas.microsoft.com/office/drawing/2010/main"/>
                      </a:ext>
                    </a:extLst>
                  </pic:spPr>
                </pic:pic>
              </a:graphicData>
            </a:graphic>
          </wp:inline>
        </w:drawing>
      </w:r>
    </w:p>
    <w:p w14:paraId="23D4E089" w14:textId="77777777" w:rsidR="00243C6B" w:rsidRPr="00785086" w:rsidRDefault="00243C6B" w:rsidP="00243C6B">
      <w:pPr>
        <w:rPr>
          <w:rFonts w:ascii="Arial" w:hAnsi="Arial" w:cs="Arial"/>
          <w:color w:val="000000" w:themeColor="text1"/>
        </w:rPr>
      </w:pPr>
    </w:p>
    <w:p w14:paraId="38B6AB81" w14:textId="77777777" w:rsidR="00243C6B" w:rsidRPr="00785086" w:rsidRDefault="00243C6B" w:rsidP="00243C6B">
      <w:pPr>
        <w:rPr>
          <w:rFonts w:ascii="Arial" w:hAnsi="Arial" w:cs="Arial"/>
          <w:color w:val="000000" w:themeColor="text1"/>
        </w:rPr>
      </w:pPr>
    </w:p>
    <w:p w14:paraId="52DE557E"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t>This research study offers valuable insights into how Year 5/6 pupils perceive emotional check-ins concerning pupil wellbeing in the educational setting. Through a thorough examination of questionnaire responses and observations, the efficacy, utility, and areas for enhancement of emotional check-in practices have been illuminated.</w:t>
      </w:r>
    </w:p>
    <w:p w14:paraId="3682B69D" w14:textId="77777777" w:rsidR="00243C6B" w:rsidRPr="00785086" w:rsidRDefault="00243C6B" w:rsidP="00243C6B">
      <w:pPr>
        <w:rPr>
          <w:rFonts w:ascii="Arial" w:hAnsi="Arial" w:cs="Arial"/>
          <w:color w:val="000000" w:themeColor="text1"/>
        </w:rPr>
      </w:pPr>
    </w:p>
    <w:p w14:paraId="4FA477D5"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t xml:space="preserve">The findings underscore the relevance of emotional check-ins in fostering social-emotional development and wellbeing among students. However, the diverse levels </w:t>
      </w:r>
      <w:r w:rsidRPr="00785086">
        <w:rPr>
          <w:rFonts w:ascii="Arial" w:hAnsi="Arial" w:cs="Arial"/>
          <w:color w:val="000000" w:themeColor="text1"/>
        </w:rPr>
        <w:lastRenderedPageBreak/>
        <w:t>of engagement and perceptions regarding the usefulness and practical application of emotional check-ins highlight the necessity of tailoring these practices to accommodate the varied needs and preferences of students.</w:t>
      </w:r>
    </w:p>
    <w:p w14:paraId="7395F533" w14:textId="77777777" w:rsidR="00243C6B" w:rsidRPr="00785086" w:rsidRDefault="00243C6B" w:rsidP="00243C6B">
      <w:pPr>
        <w:rPr>
          <w:rFonts w:ascii="Arial" w:hAnsi="Arial" w:cs="Arial"/>
          <w:color w:val="000000" w:themeColor="text1"/>
        </w:rPr>
      </w:pPr>
    </w:p>
    <w:p w14:paraId="5AECA906"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t xml:space="preserve">Aligned with theoretical frameworks such as Social-Emotional Learning (SEL) theory </w:t>
      </w:r>
      <w:r>
        <w:rPr>
          <w:rFonts w:ascii="Arial" w:hAnsi="Arial" w:cs="Arial"/>
          <w:color w:val="000000" w:themeColor="text1"/>
        </w:rPr>
        <w:t xml:space="preserve">(Durlak et al, 2011) </w:t>
      </w:r>
      <w:r w:rsidRPr="00785086">
        <w:rPr>
          <w:rFonts w:ascii="Arial" w:hAnsi="Arial" w:cs="Arial"/>
          <w:color w:val="000000" w:themeColor="text1"/>
        </w:rPr>
        <w:t>and Self-Determination Theory (SDT)</w:t>
      </w:r>
      <w:r>
        <w:rPr>
          <w:rFonts w:ascii="Arial" w:hAnsi="Arial" w:cs="Arial"/>
          <w:color w:val="000000" w:themeColor="text1"/>
        </w:rPr>
        <w:t xml:space="preserve"> (Deci and Ryan,2000)</w:t>
      </w:r>
      <w:r w:rsidRPr="00785086">
        <w:rPr>
          <w:rFonts w:ascii="Arial" w:hAnsi="Arial" w:cs="Arial"/>
          <w:color w:val="000000" w:themeColor="text1"/>
        </w:rPr>
        <w:t xml:space="preserve">, emotional check-ins not only contribute to students' socio-emotional development but also promote intrinsic motivation, autonomy, and a sense of belonging within the classroom community. </w:t>
      </w:r>
    </w:p>
    <w:p w14:paraId="441D42FD" w14:textId="77777777" w:rsidR="00243C6B" w:rsidRPr="00785086" w:rsidRDefault="00243C6B" w:rsidP="00243C6B">
      <w:pPr>
        <w:rPr>
          <w:rFonts w:ascii="Arial" w:hAnsi="Arial" w:cs="Arial"/>
          <w:color w:val="000000" w:themeColor="text1"/>
        </w:rPr>
      </w:pPr>
    </w:p>
    <w:p w14:paraId="319FCEC2"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t>Furthermore, integrating emotional check-ins aligns with the broader objectives of educational practice outlined in the Curriculum for Wales, emphasizing the cultivation of emotionally resilient, socially skilled learners prepared for future challenges (Welsh Government, 2022).</w:t>
      </w:r>
    </w:p>
    <w:p w14:paraId="5ACBC310" w14:textId="77777777" w:rsidR="00243C6B" w:rsidRPr="00785086" w:rsidRDefault="00243C6B" w:rsidP="00243C6B">
      <w:pPr>
        <w:rPr>
          <w:rFonts w:ascii="Arial" w:hAnsi="Arial" w:cs="Arial"/>
          <w:color w:val="000000" w:themeColor="text1"/>
        </w:rPr>
      </w:pPr>
    </w:p>
    <w:p w14:paraId="56072DCE" w14:textId="77777777" w:rsidR="00243C6B" w:rsidRPr="00785086" w:rsidRDefault="00243C6B" w:rsidP="00243C6B">
      <w:pPr>
        <w:rPr>
          <w:rFonts w:ascii="Arial" w:hAnsi="Arial" w:cs="Arial"/>
          <w:b/>
          <w:bCs/>
          <w:color w:val="000000" w:themeColor="text1"/>
          <w:sz w:val="28"/>
          <w:szCs w:val="28"/>
        </w:rPr>
      </w:pPr>
      <w:r w:rsidRPr="00785086">
        <w:rPr>
          <w:rFonts w:ascii="Arial" w:hAnsi="Arial" w:cs="Arial"/>
          <w:b/>
          <w:bCs/>
          <w:color w:val="000000" w:themeColor="text1"/>
          <w:sz w:val="28"/>
          <w:szCs w:val="28"/>
        </w:rPr>
        <w:t xml:space="preserve">Recommendations </w:t>
      </w:r>
    </w:p>
    <w:p w14:paraId="6C750E60" w14:textId="77777777" w:rsidR="00243C6B" w:rsidRPr="00785086" w:rsidRDefault="00243C6B" w:rsidP="00243C6B">
      <w:pPr>
        <w:rPr>
          <w:rFonts w:ascii="Arial" w:hAnsi="Arial" w:cs="Arial"/>
          <w:b/>
          <w:bCs/>
          <w:color w:val="000000" w:themeColor="text1"/>
          <w:sz w:val="28"/>
          <w:szCs w:val="28"/>
        </w:rPr>
      </w:pPr>
    </w:p>
    <w:p w14:paraId="61B57135"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t>Drawing from the research findings, several recommendations can be proposed to enhance the implementation and efficacy of emotional check-ins in promoting pupil wellbeing:</w:t>
      </w:r>
    </w:p>
    <w:p w14:paraId="08C4F3AC" w14:textId="77777777" w:rsidR="00243C6B" w:rsidRPr="00785086" w:rsidRDefault="00243C6B" w:rsidP="00243C6B">
      <w:pPr>
        <w:rPr>
          <w:rFonts w:ascii="Arial" w:hAnsi="Arial" w:cs="Arial"/>
          <w:color w:val="000000" w:themeColor="text1"/>
        </w:rPr>
      </w:pPr>
    </w:p>
    <w:p w14:paraId="06C4B2CD" w14:textId="77777777" w:rsidR="00243C6B" w:rsidRPr="00785086" w:rsidRDefault="00243C6B" w:rsidP="00243C6B">
      <w:pPr>
        <w:rPr>
          <w:rFonts w:ascii="Arial" w:hAnsi="Arial" w:cs="Arial"/>
          <w:color w:val="000000" w:themeColor="text1"/>
          <w:shd w:val="clear" w:color="auto" w:fill="FFFFFF"/>
        </w:rPr>
      </w:pPr>
      <w:r w:rsidRPr="00785086">
        <w:rPr>
          <w:rFonts w:ascii="Arial" w:hAnsi="Arial" w:cs="Arial"/>
          <w:color w:val="000000" w:themeColor="text1"/>
          <w:shd w:val="clear" w:color="auto" w:fill="FFFFFF"/>
        </w:rPr>
        <w:t>To initiate my recommendations, I deemed it pertinent to assess the children's perspectives on the emotional check-in process. Enclosed below is a pie chart illustrating the recommendations provided by the children.</w:t>
      </w:r>
    </w:p>
    <w:p w14:paraId="430C277B" w14:textId="77777777" w:rsidR="00243C6B" w:rsidRPr="00785086" w:rsidRDefault="00243C6B" w:rsidP="00243C6B">
      <w:pPr>
        <w:rPr>
          <w:rFonts w:ascii="Arial" w:hAnsi="Arial" w:cs="Arial"/>
          <w:color w:val="000000" w:themeColor="text1"/>
          <w:shd w:val="clear" w:color="auto" w:fill="FFFFFF"/>
        </w:rPr>
      </w:pPr>
    </w:p>
    <w:p w14:paraId="44537EB0" w14:textId="77777777" w:rsidR="00243C6B" w:rsidRPr="00785086" w:rsidRDefault="00243C6B" w:rsidP="00243C6B">
      <w:pPr>
        <w:rPr>
          <w:rFonts w:ascii="Arial" w:hAnsi="Arial" w:cs="Arial"/>
          <w:color w:val="000000" w:themeColor="text1"/>
          <w:shd w:val="clear" w:color="auto" w:fill="FFFFFF"/>
        </w:rPr>
      </w:pPr>
      <w:r w:rsidRPr="00785086">
        <w:rPr>
          <w:rFonts w:ascii="Arial" w:hAnsi="Arial" w:cs="Arial"/>
          <w:noProof/>
          <w:color w:val="000000" w:themeColor="text1"/>
        </w:rPr>
        <w:drawing>
          <wp:inline distT="0" distB="0" distL="0" distR="0" wp14:anchorId="748C4006" wp14:editId="43812748">
            <wp:extent cx="4942390" cy="3707066"/>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a:extLst>
                        <a:ext uri="{28A0092B-C50C-407E-A947-70E740481C1C}">
                          <a14:useLocalDpi xmlns:a14="http://schemas.microsoft.com/office/drawing/2010/main" val="0"/>
                        </a:ext>
                      </a:extLst>
                    </a:blip>
                    <a:stretch>
                      <a:fillRect/>
                    </a:stretch>
                  </pic:blipFill>
                  <pic:spPr>
                    <a:xfrm>
                      <a:off x="0" y="0"/>
                      <a:ext cx="4981740" cy="3736581"/>
                    </a:xfrm>
                    <a:prstGeom prst="rect">
                      <a:avLst/>
                    </a:prstGeom>
                  </pic:spPr>
                </pic:pic>
              </a:graphicData>
            </a:graphic>
          </wp:inline>
        </w:drawing>
      </w:r>
    </w:p>
    <w:p w14:paraId="522FFA15" w14:textId="77777777" w:rsidR="00243C6B" w:rsidRPr="00785086" w:rsidRDefault="00243C6B" w:rsidP="00243C6B">
      <w:pPr>
        <w:rPr>
          <w:rFonts w:ascii="Arial" w:hAnsi="Arial" w:cs="Arial"/>
          <w:color w:val="000000" w:themeColor="text1"/>
          <w:shd w:val="clear" w:color="auto" w:fill="FFFFFF"/>
        </w:rPr>
      </w:pPr>
    </w:p>
    <w:p w14:paraId="1599D0CC" w14:textId="77777777" w:rsidR="00243C6B" w:rsidRPr="00785086" w:rsidRDefault="00243C6B" w:rsidP="00243C6B">
      <w:pPr>
        <w:rPr>
          <w:rFonts w:ascii="Arial" w:hAnsi="Arial" w:cs="Arial"/>
          <w:color w:val="000000" w:themeColor="text1"/>
        </w:rPr>
      </w:pPr>
    </w:p>
    <w:p w14:paraId="48EBDB6E"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lastRenderedPageBreak/>
        <w:t>Expansion of Emotional Range: Consider broadening the range of emotions represented on the emotional check-in board to better reflect the diverse emotional experiences of students, ensuring inclusivity and relevance (Field, 2013).</w:t>
      </w:r>
    </w:p>
    <w:p w14:paraId="1B4DE314" w14:textId="77777777" w:rsidR="00243C6B" w:rsidRPr="00785086" w:rsidRDefault="00243C6B" w:rsidP="00243C6B">
      <w:pPr>
        <w:rPr>
          <w:rFonts w:ascii="Arial" w:hAnsi="Arial" w:cs="Arial"/>
          <w:color w:val="000000" w:themeColor="text1"/>
        </w:rPr>
      </w:pPr>
    </w:p>
    <w:p w14:paraId="160D411F" w14:textId="77777777" w:rsidR="00243C6B" w:rsidRDefault="00243C6B" w:rsidP="00243C6B">
      <w:pPr>
        <w:rPr>
          <w:rFonts w:ascii="Arial" w:hAnsi="Arial" w:cs="Arial"/>
          <w:color w:val="000000" w:themeColor="text1"/>
        </w:rPr>
      </w:pPr>
      <w:r w:rsidRPr="00785086">
        <w:rPr>
          <w:rFonts w:ascii="Arial" w:hAnsi="Arial" w:cs="Arial"/>
          <w:color w:val="000000" w:themeColor="text1"/>
        </w:rPr>
        <w:t>Teacher Involvement: Incorporate teacher check-ins prompted by children indicating negative emotions on the board to provide additional support and guidance when necessary, fostering a more supportive classroom environment</w:t>
      </w:r>
      <w:r>
        <w:rPr>
          <w:rFonts w:ascii="Arial" w:hAnsi="Arial" w:cs="Arial"/>
          <w:color w:val="000000" w:themeColor="text1"/>
        </w:rPr>
        <w:t>.</w:t>
      </w:r>
      <w:r w:rsidRPr="00785086">
        <w:rPr>
          <w:rFonts w:ascii="Arial" w:hAnsi="Arial" w:cs="Arial"/>
          <w:color w:val="000000" w:themeColor="text1"/>
        </w:rPr>
        <w:t xml:space="preserve"> (Deci and Ryan, 2000).</w:t>
      </w:r>
      <w:r>
        <w:rPr>
          <w:rFonts w:ascii="Arial" w:hAnsi="Arial" w:cs="Arial"/>
          <w:color w:val="000000" w:themeColor="text1"/>
        </w:rPr>
        <w:t xml:space="preserve"> This recommendation came from the varied results around teacher check-ins as shown in bar chart below.</w:t>
      </w:r>
    </w:p>
    <w:p w14:paraId="15880759" w14:textId="77777777" w:rsidR="00243C6B" w:rsidRPr="00785086" w:rsidRDefault="00243C6B" w:rsidP="00243C6B">
      <w:pPr>
        <w:rPr>
          <w:rFonts w:ascii="Arial" w:hAnsi="Arial" w:cs="Arial"/>
          <w:color w:val="000000" w:themeColor="text1"/>
        </w:rPr>
      </w:pPr>
    </w:p>
    <w:p w14:paraId="1E8EA6F1" w14:textId="77777777" w:rsidR="00243C6B" w:rsidRPr="00785086" w:rsidRDefault="00243C6B" w:rsidP="00243C6B">
      <w:pPr>
        <w:rPr>
          <w:rFonts w:ascii="Arial" w:hAnsi="Arial" w:cs="Arial"/>
          <w:color w:val="000000" w:themeColor="text1"/>
        </w:rPr>
      </w:pPr>
      <w:r>
        <w:rPr>
          <w:rFonts w:ascii="Arial" w:hAnsi="Arial" w:cs="Arial"/>
          <w:noProof/>
          <w:color w:val="000000" w:themeColor="text1"/>
        </w:rPr>
        <w:drawing>
          <wp:inline distT="0" distB="0" distL="0" distR="0" wp14:anchorId="4CCCCDCC" wp14:editId="67FFE060">
            <wp:extent cx="4585209" cy="2361236"/>
            <wp:effectExtent l="0" t="0" r="0" b="1270"/>
            <wp:docPr id="10" name="Picture 10" descr="A graph with blue rect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aph with blue rectangles&#10;&#10;Description automatically generated"/>
                    <pic:cNvPicPr/>
                  </pic:nvPicPr>
                  <pic:blipFill rotWithShape="1">
                    <a:blip r:embed="rId8">
                      <a:extLst>
                        <a:ext uri="{28A0092B-C50C-407E-A947-70E740481C1C}">
                          <a14:useLocalDpi xmlns:a14="http://schemas.microsoft.com/office/drawing/2010/main" val="0"/>
                        </a:ext>
                      </a:extLst>
                    </a:blip>
                    <a:srcRect b="31342"/>
                    <a:stretch/>
                  </pic:blipFill>
                  <pic:spPr bwMode="auto">
                    <a:xfrm>
                      <a:off x="0" y="0"/>
                      <a:ext cx="4626108" cy="2382298"/>
                    </a:xfrm>
                    <a:prstGeom prst="rect">
                      <a:avLst/>
                    </a:prstGeom>
                    <a:ln>
                      <a:noFill/>
                    </a:ln>
                    <a:extLst>
                      <a:ext uri="{53640926-AAD7-44D8-BBD7-CCE9431645EC}">
                        <a14:shadowObscured xmlns:a14="http://schemas.microsoft.com/office/drawing/2010/main"/>
                      </a:ext>
                    </a:extLst>
                  </pic:spPr>
                </pic:pic>
              </a:graphicData>
            </a:graphic>
          </wp:inline>
        </w:drawing>
      </w:r>
    </w:p>
    <w:p w14:paraId="61A73B93" w14:textId="77777777" w:rsidR="00243C6B" w:rsidRPr="00D37720" w:rsidRDefault="00243C6B" w:rsidP="00243C6B">
      <w:pPr>
        <w:rPr>
          <w:rFonts w:ascii="Arial" w:hAnsi="Arial" w:cs="Arial"/>
          <w:color w:val="000000" w:themeColor="text1"/>
        </w:rPr>
      </w:pPr>
      <w:r w:rsidRPr="00D37720">
        <w:rPr>
          <w:rFonts w:ascii="Arial" w:hAnsi="Arial" w:cs="Arial"/>
          <w:color w:val="000000" w:themeColor="text1"/>
        </w:rPr>
        <w:br/>
      </w:r>
      <w:r w:rsidRPr="00D37720">
        <w:rPr>
          <w:rFonts w:ascii="Arial" w:hAnsi="Arial" w:cs="Arial"/>
          <w:color w:val="000000" w:themeColor="text1"/>
          <w:shd w:val="clear" w:color="auto" w:fill="FFFFFF"/>
        </w:rPr>
        <w:t>A potential improvement could involve revising the current peg system used for emotional check-ins to a more private method, such as a cup and lollipop stick or a similar discreet approach. This adjustment aims to address the limited sharing of negative feelings observed among students during the check-in process. By adopting a more private method, students may feel more comfortable expressing negative emotions without the concern of their responses being visible to everyone. This change could potentially encourage a greater number of students to share their negative feelings, thereby providing educators with a more comprehensive understanding of students' emotional states.</w:t>
      </w:r>
    </w:p>
    <w:p w14:paraId="67A54FF1" w14:textId="77777777" w:rsidR="00243C6B" w:rsidRDefault="00243C6B" w:rsidP="00243C6B">
      <w:pPr>
        <w:rPr>
          <w:rFonts w:ascii="Arial" w:hAnsi="Arial" w:cs="Arial"/>
          <w:color w:val="000000" w:themeColor="text1"/>
        </w:rPr>
      </w:pPr>
      <w:r>
        <w:rPr>
          <w:rFonts w:ascii="Arial" w:hAnsi="Arial" w:cs="Arial"/>
          <w:noProof/>
          <w:color w:val="000000" w:themeColor="text1"/>
        </w:rPr>
        <w:drawing>
          <wp:inline distT="0" distB="0" distL="0" distR="0" wp14:anchorId="5E4FB7D6" wp14:editId="334C7B56">
            <wp:extent cx="4584700" cy="2408702"/>
            <wp:effectExtent l="0" t="0" r="0" b="4445"/>
            <wp:docPr id="9" name="Picture 9" descr="A graph with a line going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graph with a line going up&#10;&#10;Description automatically generated"/>
                    <pic:cNvPicPr/>
                  </pic:nvPicPr>
                  <pic:blipFill rotWithShape="1">
                    <a:blip r:embed="rId9">
                      <a:extLst>
                        <a:ext uri="{28A0092B-C50C-407E-A947-70E740481C1C}">
                          <a14:useLocalDpi xmlns:a14="http://schemas.microsoft.com/office/drawing/2010/main" val="0"/>
                        </a:ext>
                      </a:extLst>
                    </a:blip>
                    <a:srcRect b="29954"/>
                    <a:stretch/>
                  </pic:blipFill>
                  <pic:spPr bwMode="auto">
                    <a:xfrm>
                      <a:off x="0" y="0"/>
                      <a:ext cx="4652699" cy="2444427"/>
                    </a:xfrm>
                    <a:prstGeom prst="rect">
                      <a:avLst/>
                    </a:prstGeom>
                    <a:ln>
                      <a:noFill/>
                    </a:ln>
                    <a:extLst>
                      <a:ext uri="{53640926-AAD7-44D8-BBD7-CCE9431645EC}">
                        <a14:shadowObscured xmlns:a14="http://schemas.microsoft.com/office/drawing/2010/main"/>
                      </a:ext>
                    </a:extLst>
                  </pic:spPr>
                </pic:pic>
              </a:graphicData>
            </a:graphic>
          </wp:inline>
        </w:drawing>
      </w:r>
    </w:p>
    <w:p w14:paraId="4BF8ACB6" w14:textId="77777777" w:rsidR="00243C6B" w:rsidRPr="00E155A5" w:rsidRDefault="00243C6B" w:rsidP="00243C6B">
      <w:pPr>
        <w:pStyle w:val="ListParagraph"/>
        <w:numPr>
          <w:ilvl w:val="0"/>
          <w:numId w:val="1"/>
        </w:numPr>
        <w:rPr>
          <w:rFonts w:ascii="Arial" w:hAnsi="Arial" w:cs="Arial"/>
          <w:color w:val="000000" w:themeColor="text1"/>
        </w:rPr>
      </w:pPr>
      <w:r>
        <w:rPr>
          <w:rFonts w:ascii="Arial" w:hAnsi="Arial" w:cs="Arial"/>
          <w:color w:val="000000" w:themeColor="text1"/>
        </w:rPr>
        <w:t>Bar graph showing usage of check-in board when feeling sad/angry</w:t>
      </w:r>
    </w:p>
    <w:p w14:paraId="1E06ABFE" w14:textId="77777777" w:rsidR="00243C6B" w:rsidRPr="00785086" w:rsidRDefault="00243C6B" w:rsidP="00243C6B">
      <w:pPr>
        <w:rPr>
          <w:rFonts w:ascii="Arial" w:hAnsi="Arial" w:cs="Arial"/>
          <w:color w:val="000000" w:themeColor="text1"/>
        </w:rPr>
      </w:pPr>
    </w:p>
    <w:p w14:paraId="0100FC01" w14:textId="77777777" w:rsidR="00243C6B" w:rsidRPr="00785086" w:rsidRDefault="00243C6B" w:rsidP="00243C6B">
      <w:pPr>
        <w:rPr>
          <w:rFonts w:ascii="Arial" w:hAnsi="Arial" w:cs="Arial"/>
          <w:color w:val="000000" w:themeColor="text1"/>
        </w:rPr>
      </w:pPr>
    </w:p>
    <w:p w14:paraId="1DD065D7"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lastRenderedPageBreak/>
        <w:t>Peer Support: Encourage peer-initiated check-ins as substitutes for teacher interactions, fostering a sense of peer support and community among students, thereby promoting collaborative problem-solving and emotional resilience (Fredricks et al., 2004).</w:t>
      </w:r>
    </w:p>
    <w:p w14:paraId="5EDFBAC7" w14:textId="77777777" w:rsidR="00243C6B" w:rsidRPr="00785086" w:rsidRDefault="00243C6B" w:rsidP="00243C6B">
      <w:pPr>
        <w:rPr>
          <w:rFonts w:ascii="Arial" w:hAnsi="Arial" w:cs="Arial"/>
          <w:color w:val="000000" w:themeColor="text1"/>
        </w:rPr>
      </w:pPr>
    </w:p>
    <w:p w14:paraId="480D492F"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t>Professional Development: Provide professional development opportunities for educators on the principles and practices of emotional check-ins, equipping them with the knowledge and skills to effectively implement and support students' socio-emotional development within the classroom (Durlak et al., 2011).</w:t>
      </w:r>
    </w:p>
    <w:p w14:paraId="40BD6CFC" w14:textId="77777777" w:rsidR="00243C6B" w:rsidRPr="00785086" w:rsidRDefault="00243C6B" w:rsidP="00243C6B">
      <w:pPr>
        <w:rPr>
          <w:rFonts w:ascii="Arial" w:hAnsi="Arial" w:cs="Arial"/>
          <w:color w:val="000000" w:themeColor="text1"/>
        </w:rPr>
      </w:pPr>
    </w:p>
    <w:p w14:paraId="3E0AE261" w14:textId="77777777" w:rsidR="00243C6B" w:rsidRPr="00785086" w:rsidRDefault="00243C6B" w:rsidP="00243C6B">
      <w:pPr>
        <w:rPr>
          <w:rFonts w:ascii="Arial" w:hAnsi="Arial" w:cs="Arial"/>
          <w:color w:val="000000" w:themeColor="text1"/>
        </w:rPr>
      </w:pPr>
      <w:r w:rsidRPr="00785086">
        <w:rPr>
          <w:rFonts w:ascii="Arial" w:hAnsi="Arial" w:cs="Arial"/>
          <w:color w:val="000000" w:themeColor="text1"/>
        </w:rPr>
        <w:t>By implementing these recommendations, educators can optimize the effectiveness of emotional check-ins in promoting pupil wellbeing, fostering a positive and supportive learning environment conducive to the holistic development of all students.</w:t>
      </w:r>
    </w:p>
    <w:p w14:paraId="429B6D1E" w14:textId="77777777" w:rsidR="00243C6B" w:rsidRPr="00785086" w:rsidRDefault="00243C6B" w:rsidP="00243C6B">
      <w:pPr>
        <w:rPr>
          <w:rFonts w:ascii="Arial" w:hAnsi="Arial" w:cs="Arial"/>
          <w:color w:val="000000" w:themeColor="text1"/>
        </w:rPr>
      </w:pPr>
    </w:p>
    <w:p w14:paraId="5FB5F57B" w14:textId="77777777" w:rsidR="00243C6B" w:rsidRPr="00785086" w:rsidRDefault="00243C6B" w:rsidP="00243C6B">
      <w:pPr>
        <w:rPr>
          <w:rFonts w:ascii="Arial" w:hAnsi="Arial" w:cs="Arial"/>
          <w:color w:val="000000" w:themeColor="text1"/>
        </w:rPr>
      </w:pPr>
    </w:p>
    <w:p w14:paraId="62976ADD" w14:textId="77777777" w:rsidR="00243C6B" w:rsidRPr="00785086" w:rsidRDefault="00243C6B" w:rsidP="00243C6B">
      <w:pPr>
        <w:rPr>
          <w:rFonts w:ascii="Arial" w:hAnsi="Arial" w:cs="Arial"/>
          <w:color w:val="000000" w:themeColor="text1"/>
        </w:rPr>
      </w:pPr>
    </w:p>
    <w:p w14:paraId="65EB91CD" w14:textId="77777777" w:rsidR="00243C6B" w:rsidRPr="00785086" w:rsidRDefault="00243C6B" w:rsidP="00243C6B">
      <w:pPr>
        <w:rPr>
          <w:rFonts w:ascii="Arial" w:hAnsi="Arial" w:cs="Arial"/>
          <w:color w:val="000000" w:themeColor="text1"/>
        </w:rPr>
      </w:pPr>
    </w:p>
    <w:p w14:paraId="1945466F" w14:textId="77777777" w:rsidR="00243C6B" w:rsidRDefault="00243C6B" w:rsidP="00243C6B">
      <w:pPr>
        <w:rPr>
          <w:rFonts w:ascii="Arial" w:hAnsi="Arial" w:cs="Arial"/>
          <w:b/>
          <w:bCs/>
          <w:sz w:val="28"/>
          <w:szCs w:val="28"/>
        </w:rPr>
      </w:pPr>
    </w:p>
    <w:p w14:paraId="11ABC574" w14:textId="77777777" w:rsidR="00243C6B" w:rsidRDefault="00243C6B" w:rsidP="00243C6B">
      <w:pPr>
        <w:rPr>
          <w:rFonts w:ascii="Arial" w:hAnsi="Arial" w:cs="Arial"/>
          <w:b/>
          <w:bCs/>
          <w:sz w:val="28"/>
          <w:szCs w:val="28"/>
        </w:rPr>
      </w:pPr>
    </w:p>
    <w:p w14:paraId="05C29E4E" w14:textId="77777777" w:rsidR="00243C6B" w:rsidRDefault="00243C6B" w:rsidP="00243C6B">
      <w:pPr>
        <w:rPr>
          <w:rFonts w:ascii="Arial" w:hAnsi="Arial" w:cs="Arial"/>
          <w:b/>
          <w:bCs/>
          <w:sz w:val="28"/>
          <w:szCs w:val="28"/>
        </w:rPr>
      </w:pPr>
    </w:p>
    <w:p w14:paraId="163FBB6E" w14:textId="77777777" w:rsidR="00243C6B" w:rsidRDefault="00243C6B" w:rsidP="00243C6B">
      <w:pPr>
        <w:rPr>
          <w:rFonts w:ascii="Arial" w:hAnsi="Arial" w:cs="Arial"/>
          <w:b/>
          <w:bCs/>
          <w:sz w:val="28"/>
          <w:szCs w:val="28"/>
        </w:rPr>
      </w:pPr>
    </w:p>
    <w:p w14:paraId="26061B11" w14:textId="77777777" w:rsidR="00243C6B" w:rsidRDefault="00243C6B" w:rsidP="00243C6B">
      <w:pPr>
        <w:rPr>
          <w:rFonts w:ascii="Arial" w:hAnsi="Arial" w:cs="Arial"/>
          <w:b/>
          <w:bCs/>
          <w:sz w:val="28"/>
          <w:szCs w:val="28"/>
        </w:rPr>
      </w:pPr>
    </w:p>
    <w:p w14:paraId="5349262E" w14:textId="77777777" w:rsidR="00243C6B" w:rsidRDefault="00243C6B" w:rsidP="00243C6B">
      <w:pPr>
        <w:rPr>
          <w:rFonts w:ascii="Arial" w:hAnsi="Arial" w:cs="Arial"/>
          <w:b/>
          <w:bCs/>
          <w:sz w:val="28"/>
          <w:szCs w:val="28"/>
        </w:rPr>
      </w:pPr>
    </w:p>
    <w:p w14:paraId="384A85BB" w14:textId="77777777" w:rsidR="00243C6B" w:rsidRDefault="00243C6B" w:rsidP="00243C6B">
      <w:pPr>
        <w:rPr>
          <w:rFonts w:ascii="Arial" w:hAnsi="Arial" w:cs="Arial"/>
          <w:b/>
          <w:bCs/>
          <w:sz w:val="28"/>
          <w:szCs w:val="28"/>
        </w:rPr>
      </w:pPr>
    </w:p>
    <w:p w14:paraId="1DF93AAA" w14:textId="77777777" w:rsidR="00243C6B" w:rsidRDefault="00243C6B" w:rsidP="00243C6B">
      <w:pPr>
        <w:rPr>
          <w:rFonts w:ascii="Arial" w:hAnsi="Arial" w:cs="Arial"/>
          <w:b/>
          <w:bCs/>
          <w:sz w:val="28"/>
          <w:szCs w:val="28"/>
        </w:rPr>
      </w:pPr>
    </w:p>
    <w:p w14:paraId="7D4C5C87" w14:textId="77777777" w:rsidR="00243C6B" w:rsidRDefault="00243C6B" w:rsidP="00243C6B">
      <w:pPr>
        <w:rPr>
          <w:rFonts w:ascii="Arial" w:hAnsi="Arial" w:cs="Arial"/>
          <w:b/>
          <w:bCs/>
          <w:sz w:val="28"/>
          <w:szCs w:val="28"/>
        </w:rPr>
      </w:pPr>
    </w:p>
    <w:p w14:paraId="75869FE6" w14:textId="77777777" w:rsidR="00243C6B" w:rsidRDefault="00243C6B" w:rsidP="00243C6B">
      <w:pPr>
        <w:rPr>
          <w:rFonts w:ascii="Arial" w:hAnsi="Arial" w:cs="Arial"/>
          <w:b/>
          <w:bCs/>
          <w:sz w:val="28"/>
          <w:szCs w:val="28"/>
        </w:rPr>
      </w:pPr>
    </w:p>
    <w:p w14:paraId="48B13A4F" w14:textId="77777777" w:rsidR="00243C6B" w:rsidRDefault="00243C6B" w:rsidP="00243C6B">
      <w:pPr>
        <w:rPr>
          <w:rFonts w:ascii="Arial" w:hAnsi="Arial" w:cs="Arial"/>
          <w:b/>
          <w:bCs/>
          <w:sz w:val="28"/>
          <w:szCs w:val="28"/>
        </w:rPr>
      </w:pPr>
    </w:p>
    <w:p w14:paraId="5216B700" w14:textId="77777777" w:rsidR="00243C6B" w:rsidRDefault="00243C6B" w:rsidP="00243C6B">
      <w:pPr>
        <w:rPr>
          <w:rFonts w:ascii="Arial" w:hAnsi="Arial" w:cs="Arial"/>
          <w:b/>
          <w:bCs/>
          <w:sz w:val="28"/>
          <w:szCs w:val="28"/>
        </w:rPr>
      </w:pPr>
    </w:p>
    <w:p w14:paraId="4C774DB8" w14:textId="77777777" w:rsidR="00243C6B" w:rsidRDefault="00243C6B" w:rsidP="00243C6B">
      <w:pPr>
        <w:rPr>
          <w:rFonts w:ascii="Arial" w:hAnsi="Arial" w:cs="Arial"/>
          <w:b/>
          <w:bCs/>
          <w:sz w:val="28"/>
          <w:szCs w:val="28"/>
        </w:rPr>
      </w:pPr>
    </w:p>
    <w:p w14:paraId="17ED7A11" w14:textId="77777777" w:rsidR="00243C6B" w:rsidRDefault="00243C6B" w:rsidP="00243C6B">
      <w:pPr>
        <w:rPr>
          <w:rFonts w:ascii="Arial" w:hAnsi="Arial" w:cs="Arial"/>
          <w:b/>
          <w:bCs/>
          <w:sz w:val="28"/>
          <w:szCs w:val="28"/>
        </w:rPr>
      </w:pPr>
    </w:p>
    <w:p w14:paraId="0C709913" w14:textId="77777777" w:rsidR="00243C6B" w:rsidRDefault="00243C6B" w:rsidP="00243C6B">
      <w:pPr>
        <w:rPr>
          <w:rFonts w:ascii="Arial" w:hAnsi="Arial" w:cs="Arial"/>
          <w:b/>
          <w:bCs/>
          <w:sz w:val="28"/>
          <w:szCs w:val="28"/>
        </w:rPr>
      </w:pPr>
    </w:p>
    <w:p w14:paraId="56AD1889" w14:textId="77777777" w:rsidR="00243C6B" w:rsidRDefault="00243C6B" w:rsidP="00243C6B">
      <w:pPr>
        <w:rPr>
          <w:rFonts w:ascii="Arial" w:hAnsi="Arial" w:cs="Arial"/>
          <w:b/>
          <w:bCs/>
          <w:sz w:val="28"/>
          <w:szCs w:val="28"/>
        </w:rPr>
      </w:pPr>
    </w:p>
    <w:p w14:paraId="4993272C" w14:textId="77777777" w:rsidR="00243C6B" w:rsidRDefault="00243C6B" w:rsidP="00243C6B">
      <w:pPr>
        <w:rPr>
          <w:rFonts w:ascii="Arial" w:hAnsi="Arial" w:cs="Arial"/>
          <w:b/>
          <w:bCs/>
          <w:sz w:val="28"/>
          <w:szCs w:val="28"/>
        </w:rPr>
      </w:pPr>
    </w:p>
    <w:p w14:paraId="2D528FF0" w14:textId="77777777" w:rsidR="00243C6B" w:rsidRDefault="00243C6B" w:rsidP="00243C6B">
      <w:pPr>
        <w:rPr>
          <w:rFonts w:ascii="Arial" w:hAnsi="Arial" w:cs="Arial"/>
          <w:b/>
          <w:bCs/>
          <w:sz w:val="28"/>
          <w:szCs w:val="28"/>
        </w:rPr>
      </w:pPr>
    </w:p>
    <w:p w14:paraId="5368B291" w14:textId="77777777" w:rsidR="00243C6B" w:rsidRDefault="00243C6B" w:rsidP="00243C6B">
      <w:pPr>
        <w:rPr>
          <w:rFonts w:ascii="Arial" w:hAnsi="Arial" w:cs="Arial"/>
          <w:b/>
          <w:bCs/>
          <w:sz w:val="28"/>
          <w:szCs w:val="28"/>
        </w:rPr>
      </w:pPr>
    </w:p>
    <w:p w14:paraId="72975058" w14:textId="77777777" w:rsidR="00243C6B" w:rsidRDefault="00243C6B" w:rsidP="00243C6B">
      <w:pPr>
        <w:rPr>
          <w:rFonts w:ascii="Arial" w:hAnsi="Arial" w:cs="Arial"/>
          <w:b/>
          <w:bCs/>
          <w:sz w:val="28"/>
          <w:szCs w:val="28"/>
        </w:rPr>
      </w:pPr>
    </w:p>
    <w:p w14:paraId="31F240D9" w14:textId="77777777" w:rsidR="00243C6B" w:rsidRDefault="00243C6B" w:rsidP="00243C6B">
      <w:pPr>
        <w:rPr>
          <w:rFonts w:ascii="Arial" w:hAnsi="Arial" w:cs="Arial"/>
          <w:b/>
          <w:bCs/>
          <w:sz w:val="28"/>
          <w:szCs w:val="28"/>
        </w:rPr>
      </w:pPr>
    </w:p>
    <w:p w14:paraId="35AE887E" w14:textId="77777777" w:rsidR="00243C6B" w:rsidRDefault="00243C6B" w:rsidP="00243C6B">
      <w:pPr>
        <w:rPr>
          <w:rFonts w:ascii="Arial" w:hAnsi="Arial" w:cs="Arial"/>
          <w:b/>
          <w:bCs/>
          <w:sz w:val="28"/>
          <w:szCs w:val="28"/>
        </w:rPr>
      </w:pPr>
    </w:p>
    <w:p w14:paraId="03B72471" w14:textId="77777777" w:rsidR="00243C6B" w:rsidRDefault="00243C6B" w:rsidP="00243C6B">
      <w:pPr>
        <w:rPr>
          <w:rFonts w:ascii="Arial" w:hAnsi="Arial" w:cs="Arial"/>
          <w:b/>
          <w:bCs/>
          <w:sz w:val="28"/>
          <w:szCs w:val="28"/>
        </w:rPr>
      </w:pPr>
    </w:p>
    <w:p w14:paraId="23FDAE49" w14:textId="77777777" w:rsidR="00243C6B" w:rsidRDefault="00243C6B" w:rsidP="00243C6B">
      <w:pPr>
        <w:rPr>
          <w:rFonts w:ascii="Arial" w:hAnsi="Arial" w:cs="Arial"/>
          <w:b/>
          <w:bCs/>
          <w:sz w:val="28"/>
          <w:szCs w:val="28"/>
        </w:rPr>
      </w:pPr>
    </w:p>
    <w:p w14:paraId="5613F8F1" w14:textId="77777777" w:rsidR="00243C6B" w:rsidRDefault="00243C6B" w:rsidP="00243C6B">
      <w:pPr>
        <w:rPr>
          <w:rFonts w:ascii="Arial" w:hAnsi="Arial" w:cs="Arial"/>
          <w:b/>
          <w:bCs/>
          <w:sz w:val="28"/>
          <w:szCs w:val="28"/>
        </w:rPr>
      </w:pPr>
    </w:p>
    <w:p w14:paraId="574207E5" w14:textId="77777777" w:rsidR="00243C6B" w:rsidRDefault="00243C6B" w:rsidP="00243C6B">
      <w:pPr>
        <w:rPr>
          <w:rFonts w:ascii="Arial" w:hAnsi="Arial" w:cs="Arial"/>
          <w:b/>
          <w:bCs/>
          <w:sz w:val="28"/>
          <w:szCs w:val="28"/>
        </w:rPr>
      </w:pPr>
    </w:p>
    <w:p w14:paraId="1B35CDEF" w14:textId="77777777" w:rsidR="00243C6B" w:rsidRDefault="00243C6B" w:rsidP="00243C6B">
      <w:pPr>
        <w:rPr>
          <w:rFonts w:ascii="Arial" w:hAnsi="Arial" w:cs="Arial"/>
          <w:b/>
          <w:bCs/>
          <w:sz w:val="28"/>
          <w:szCs w:val="28"/>
        </w:rPr>
      </w:pPr>
    </w:p>
    <w:p w14:paraId="7A2A1952" w14:textId="77777777" w:rsidR="00243C6B" w:rsidRDefault="00243C6B" w:rsidP="00243C6B">
      <w:pPr>
        <w:rPr>
          <w:rFonts w:ascii="Arial" w:hAnsi="Arial" w:cs="Arial"/>
          <w:b/>
          <w:bCs/>
          <w:sz w:val="28"/>
          <w:szCs w:val="28"/>
        </w:rPr>
      </w:pPr>
      <w:r>
        <w:rPr>
          <w:rFonts w:ascii="Arial" w:hAnsi="Arial" w:cs="Arial"/>
          <w:b/>
          <w:bCs/>
          <w:sz w:val="28"/>
          <w:szCs w:val="28"/>
        </w:rPr>
        <w:lastRenderedPageBreak/>
        <w:t xml:space="preserve">References </w:t>
      </w:r>
    </w:p>
    <w:p w14:paraId="3C1A5447" w14:textId="77777777" w:rsidR="00243C6B" w:rsidRDefault="00243C6B" w:rsidP="00243C6B">
      <w:pPr>
        <w:rPr>
          <w:rFonts w:ascii="Arial" w:hAnsi="Arial" w:cs="Arial"/>
          <w:b/>
          <w:bCs/>
          <w:sz w:val="28"/>
          <w:szCs w:val="28"/>
        </w:rPr>
      </w:pPr>
    </w:p>
    <w:p w14:paraId="591FFA70" w14:textId="77777777" w:rsidR="00243C6B" w:rsidRDefault="00243C6B" w:rsidP="00243C6B">
      <w:pPr>
        <w:rPr>
          <w:rFonts w:ascii="Arial" w:hAnsi="Arial" w:cs="Arial"/>
          <w:sz w:val="21"/>
          <w:szCs w:val="21"/>
        </w:rPr>
      </w:pPr>
      <w:r w:rsidRPr="00627E97">
        <w:rPr>
          <w:rFonts w:ascii="Arial" w:hAnsi="Arial" w:cs="Arial"/>
          <w:sz w:val="21"/>
          <w:szCs w:val="21"/>
        </w:rPr>
        <w:t>Babbie, E.R. (2016) The Practice of Social Research. 14th edn. Boston, Ma: Cengage Learning.</w:t>
      </w:r>
    </w:p>
    <w:p w14:paraId="3AD781F0" w14:textId="77777777" w:rsidR="00243C6B" w:rsidRPr="00627E97" w:rsidRDefault="00243C6B" w:rsidP="00243C6B">
      <w:pPr>
        <w:rPr>
          <w:rFonts w:ascii="Arial" w:hAnsi="Arial" w:cs="Arial"/>
          <w:sz w:val="21"/>
          <w:szCs w:val="21"/>
        </w:rPr>
      </w:pPr>
    </w:p>
    <w:p w14:paraId="78A0B990" w14:textId="77777777" w:rsidR="00243C6B" w:rsidRDefault="00243C6B" w:rsidP="00243C6B">
      <w:pPr>
        <w:rPr>
          <w:rFonts w:ascii="Arial" w:hAnsi="Arial" w:cs="Arial"/>
          <w:sz w:val="21"/>
          <w:szCs w:val="21"/>
        </w:rPr>
      </w:pPr>
      <w:r w:rsidRPr="00627E97">
        <w:rPr>
          <w:rFonts w:ascii="Arial" w:hAnsi="Arial" w:cs="Arial"/>
          <w:sz w:val="21"/>
          <w:szCs w:val="21"/>
        </w:rPr>
        <w:t>Bowlby, J. (1997) Attachment and Loss. London: Pimlico.</w:t>
      </w:r>
    </w:p>
    <w:p w14:paraId="48FBC04C" w14:textId="77777777" w:rsidR="00243C6B" w:rsidRPr="00627E97" w:rsidRDefault="00243C6B" w:rsidP="00243C6B">
      <w:pPr>
        <w:rPr>
          <w:rFonts w:ascii="Arial" w:hAnsi="Arial" w:cs="Arial"/>
          <w:sz w:val="21"/>
          <w:szCs w:val="21"/>
        </w:rPr>
      </w:pPr>
    </w:p>
    <w:p w14:paraId="7D0D0E87" w14:textId="77777777" w:rsidR="00243C6B" w:rsidRDefault="00243C6B" w:rsidP="00243C6B">
      <w:pPr>
        <w:rPr>
          <w:rFonts w:ascii="Arial" w:hAnsi="Arial" w:cs="Arial"/>
          <w:sz w:val="21"/>
          <w:szCs w:val="21"/>
        </w:rPr>
      </w:pPr>
      <w:r w:rsidRPr="00627E97">
        <w:rPr>
          <w:rFonts w:ascii="Arial" w:hAnsi="Arial" w:cs="Arial"/>
          <w:sz w:val="21"/>
          <w:szCs w:val="21"/>
        </w:rPr>
        <w:t xml:space="preserve">British Educational Research Association (2024) Ethical Guidelines for Educational Research. </w:t>
      </w:r>
    </w:p>
    <w:p w14:paraId="78F358F6" w14:textId="77777777" w:rsidR="00243C6B" w:rsidRDefault="00243C6B" w:rsidP="00243C6B">
      <w:pPr>
        <w:rPr>
          <w:rFonts w:ascii="Arial" w:hAnsi="Arial" w:cs="Arial"/>
          <w:sz w:val="21"/>
          <w:szCs w:val="21"/>
        </w:rPr>
      </w:pPr>
      <w:r w:rsidRPr="00627E97">
        <w:rPr>
          <w:rFonts w:ascii="Arial" w:hAnsi="Arial" w:cs="Arial"/>
          <w:sz w:val="21"/>
          <w:szCs w:val="21"/>
        </w:rPr>
        <w:t>5th edn. London: British Educational Research Association.</w:t>
      </w:r>
    </w:p>
    <w:p w14:paraId="2AA8C264" w14:textId="77777777" w:rsidR="00243C6B" w:rsidRPr="00627E97" w:rsidRDefault="00243C6B" w:rsidP="00243C6B">
      <w:pPr>
        <w:rPr>
          <w:rFonts w:ascii="Arial" w:hAnsi="Arial" w:cs="Arial"/>
          <w:sz w:val="21"/>
          <w:szCs w:val="21"/>
        </w:rPr>
      </w:pPr>
    </w:p>
    <w:p w14:paraId="273634E5" w14:textId="77777777" w:rsidR="00243C6B" w:rsidRDefault="00243C6B" w:rsidP="00243C6B">
      <w:pPr>
        <w:rPr>
          <w:rFonts w:ascii="Arial" w:hAnsi="Arial" w:cs="Arial"/>
          <w:sz w:val="21"/>
          <w:szCs w:val="21"/>
        </w:rPr>
      </w:pPr>
      <w:r w:rsidRPr="00627E97">
        <w:rPr>
          <w:rFonts w:ascii="Arial" w:hAnsi="Arial" w:cs="Arial"/>
          <w:sz w:val="21"/>
          <w:szCs w:val="21"/>
        </w:rPr>
        <w:t>Bryman, A. (2016) Social Research Methods. 5th edn. Oxford: Oxford University Press.</w:t>
      </w:r>
    </w:p>
    <w:p w14:paraId="6598025E" w14:textId="77777777" w:rsidR="00243C6B" w:rsidRPr="00627E97" w:rsidRDefault="00243C6B" w:rsidP="00243C6B">
      <w:pPr>
        <w:rPr>
          <w:rFonts w:ascii="Arial" w:hAnsi="Arial" w:cs="Arial"/>
          <w:sz w:val="21"/>
          <w:szCs w:val="21"/>
        </w:rPr>
      </w:pPr>
    </w:p>
    <w:p w14:paraId="139FAD70" w14:textId="77777777" w:rsidR="00243C6B" w:rsidRDefault="00243C6B" w:rsidP="00243C6B">
      <w:pPr>
        <w:rPr>
          <w:rFonts w:ascii="Arial" w:hAnsi="Arial" w:cs="Arial"/>
          <w:sz w:val="21"/>
          <w:szCs w:val="21"/>
        </w:rPr>
      </w:pPr>
      <w:r w:rsidRPr="00627E97">
        <w:rPr>
          <w:rFonts w:ascii="Arial" w:hAnsi="Arial" w:cs="Arial"/>
          <w:sz w:val="21"/>
          <w:szCs w:val="21"/>
        </w:rPr>
        <w:t xml:space="preserve">Cicchetti, D. (2016) Developmental psychopathology: Risk, Resilience and intervention . 3rd edition. Hoboken, New Jersey: John Wiley &amp; Sons, Inc. </w:t>
      </w:r>
    </w:p>
    <w:p w14:paraId="6FCD5AA1" w14:textId="77777777" w:rsidR="00243C6B" w:rsidRPr="00627E97" w:rsidRDefault="00243C6B" w:rsidP="00243C6B">
      <w:pPr>
        <w:rPr>
          <w:rFonts w:ascii="Arial" w:hAnsi="Arial" w:cs="Arial"/>
          <w:sz w:val="21"/>
          <w:szCs w:val="21"/>
        </w:rPr>
      </w:pPr>
    </w:p>
    <w:p w14:paraId="341AD47D" w14:textId="77777777" w:rsidR="00243C6B" w:rsidRDefault="00243C6B" w:rsidP="00243C6B">
      <w:pPr>
        <w:rPr>
          <w:rFonts w:ascii="Arial" w:hAnsi="Arial" w:cs="Arial"/>
          <w:sz w:val="21"/>
          <w:szCs w:val="21"/>
        </w:rPr>
      </w:pPr>
      <w:r w:rsidRPr="00627E97">
        <w:rPr>
          <w:rFonts w:ascii="Arial" w:hAnsi="Arial" w:cs="Arial"/>
          <w:sz w:val="21"/>
          <w:szCs w:val="21"/>
        </w:rPr>
        <w:t>Creswell, J.W. (2013) Qualitative inquiry &amp; research design: Choosing among five approaches. 3rd edn. Los Angeles: Sage Publications.</w:t>
      </w:r>
    </w:p>
    <w:p w14:paraId="04569EF3" w14:textId="77777777" w:rsidR="00243C6B" w:rsidRPr="00627E97" w:rsidRDefault="00243C6B" w:rsidP="00243C6B">
      <w:pPr>
        <w:rPr>
          <w:rFonts w:ascii="Arial" w:hAnsi="Arial" w:cs="Arial"/>
          <w:sz w:val="21"/>
          <w:szCs w:val="21"/>
        </w:rPr>
      </w:pPr>
    </w:p>
    <w:p w14:paraId="0A1C7419" w14:textId="77777777" w:rsidR="00243C6B" w:rsidRDefault="00243C6B" w:rsidP="00243C6B">
      <w:pPr>
        <w:rPr>
          <w:rFonts w:ascii="Arial" w:hAnsi="Arial" w:cs="Arial"/>
          <w:sz w:val="21"/>
          <w:szCs w:val="21"/>
        </w:rPr>
      </w:pPr>
      <w:r w:rsidRPr="00627E97">
        <w:rPr>
          <w:rFonts w:ascii="Arial" w:hAnsi="Arial" w:cs="Arial"/>
          <w:sz w:val="21"/>
          <w:szCs w:val="21"/>
        </w:rPr>
        <w:t>Deci, E.L. and Ryan, R.M. (2000) ‘The “What” and “Why” of Goal pursuits: Human Needs and the self-determination of Behavior’, Psychological Inquiry, 11(4), pp. 227–268.</w:t>
      </w:r>
    </w:p>
    <w:p w14:paraId="009E8FD2" w14:textId="77777777" w:rsidR="00243C6B" w:rsidRPr="00627E97" w:rsidRDefault="00243C6B" w:rsidP="00243C6B">
      <w:pPr>
        <w:rPr>
          <w:rFonts w:ascii="Arial" w:hAnsi="Arial" w:cs="Arial"/>
          <w:sz w:val="21"/>
          <w:szCs w:val="21"/>
        </w:rPr>
      </w:pPr>
    </w:p>
    <w:p w14:paraId="5E000942" w14:textId="77777777" w:rsidR="00243C6B" w:rsidRDefault="00243C6B" w:rsidP="00243C6B">
      <w:pPr>
        <w:rPr>
          <w:rFonts w:ascii="Arial" w:hAnsi="Arial" w:cs="Arial"/>
          <w:sz w:val="21"/>
          <w:szCs w:val="21"/>
        </w:rPr>
      </w:pPr>
      <w:r w:rsidRPr="00627E97">
        <w:rPr>
          <w:rFonts w:ascii="Arial" w:hAnsi="Arial" w:cs="Arial"/>
          <w:sz w:val="21"/>
          <w:szCs w:val="21"/>
        </w:rPr>
        <w:t>Devellis, R.F. (2016) Scale development : theory and applications. Thousand Oaks: Sage Publications, Inc.</w:t>
      </w:r>
    </w:p>
    <w:p w14:paraId="42701BFE" w14:textId="77777777" w:rsidR="00243C6B" w:rsidRPr="00627E97" w:rsidRDefault="00243C6B" w:rsidP="00243C6B">
      <w:pPr>
        <w:rPr>
          <w:rFonts w:ascii="Arial" w:hAnsi="Arial" w:cs="Arial"/>
          <w:sz w:val="21"/>
          <w:szCs w:val="21"/>
        </w:rPr>
      </w:pPr>
    </w:p>
    <w:p w14:paraId="61EEBD9B" w14:textId="77777777" w:rsidR="00243C6B" w:rsidRDefault="00243C6B" w:rsidP="00243C6B">
      <w:pPr>
        <w:rPr>
          <w:rFonts w:ascii="Arial" w:hAnsi="Arial" w:cs="Arial"/>
          <w:sz w:val="21"/>
          <w:szCs w:val="21"/>
        </w:rPr>
      </w:pPr>
      <w:r w:rsidRPr="00627E97">
        <w:rPr>
          <w:rFonts w:ascii="Arial" w:hAnsi="Arial" w:cs="Arial"/>
          <w:sz w:val="21"/>
          <w:szCs w:val="21"/>
        </w:rPr>
        <w:t>Dillman, D.A., Smyth, J.D. and Christian, L.M. (2014) Internet, phone, mail, and mixed-mode surveys : the tailored design method. 4th edn. Hoboken, New Jersey: Wiley.</w:t>
      </w:r>
    </w:p>
    <w:p w14:paraId="1EECD773" w14:textId="77777777" w:rsidR="00243C6B" w:rsidRPr="00627E97" w:rsidRDefault="00243C6B" w:rsidP="00243C6B">
      <w:pPr>
        <w:rPr>
          <w:rFonts w:ascii="Arial" w:hAnsi="Arial" w:cs="Arial"/>
          <w:sz w:val="21"/>
          <w:szCs w:val="21"/>
        </w:rPr>
      </w:pPr>
    </w:p>
    <w:p w14:paraId="7F121F14" w14:textId="77777777" w:rsidR="00243C6B" w:rsidRDefault="00243C6B" w:rsidP="00243C6B">
      <w:pPr>
        <w:rPr>
          <w:rFonts w:ascii="Arial" w:hAnsi="Arial" w:cs="Arial"/>
          <w:sz w:val="21"/>
          <w:szCs w:val="21"/>
        </w:rPr>
      </w:pPr>
      <w:r w:rsidRPr="00627E97">
        <w:rPr>
          <w:rFonts w:ascii="Arial" w:hAnsi="Arial" w:cs="Arial"/>
          <w:sz w:val="21"/>
          <w:szCs w:val="21"/>
        </w:rPr>
        <w:t xml:space="preserve">Durlak, J.A. et al. (2011) ‘The impact of enhancing students’ social and emotional learning: A meta-analysis of school-based universal interventions’, Child Development, 82(1), pp. 405–432. Available at: </w:t>
      </w:r>
      <w:hyperlink r:id="rId10" w:history="1">
        <w:r w:rsidRPr="001C5EB8">
          <w:rPr>
            <w:rStyle w:val="Hyperlink"/>
            <w:rFonts w:ascii="Arial" w:hAnsi="Arial" w:cs="Arial"/>
            <w:sz w:val="21"/>
            <w:szCs w:val="21"/>
          </w:rPr>
          <w:t>https://doi.org/10.1111/j.1467-8624.2010.01564.x</w:t>
        </w:r>
      </w:hyperlink>
      <w:r w:rsidRPr="00627E97">
        <w:rPr>
          <w:rFonts w:ascii="Arial" w:hAnsi="Arial" w:cs="Arial"/>
          <w:sz w:val="21"/>
          <w:szCs w:val="21"/>
        </w:rPr>
        <w:t>.</w:t>
      </w:r>
    </w:p>
    <w:p w14:paraId="753F4D54" w14:textId="77777777" w:rsidR="00243C6B" w:rsidRPr="00627E97" w:rsidRDefault="00243C6B" w:rsidP="00243C6B">
      <w:pPr>
        <w:rPr>
          <w:rFonts w:ascii="Arial" w:hAnsi="Arial" w:cs="Arial"/>
          <w:sz w:val="21"/>
          <w:szCs w:val="21"/>
        </w:rPr>
      </w:pPr>
    </w:p>
    <w:p w14:paraId="18869484" w14:textId="77777777" w:rsidR="00243C6B" w:rsidRDefault="00243C6B" w:rsidP="00243C6B">
      <w:pPr>
        <w:rPr>
          <w:rFonts w:ascii="Arial" w:hAnsi="Arial" w:cs="Arial"/>
          <w:sz w:val="21"/>
          <w:szCs w:val="21"/>
        </w:rPr>
      </w:pPr>
      <w:r w:rsidRPr="00627E97">
        <w:rPr>
          <w:rFonts w:ascii="Arial" w:hAnsi="Arial" w:cs="Arial"/>
          <w:sz w:val="21"/>
          <w:szCs w:val="21"/>
        </w:rPr>
        <w:t xml:space="preserve">Eisenhardt, K.M. (1989) ‘Building Theories from Case Study Research’, The Academy of Management Review, 14(4), pp. 532–550. Available at: </w:t>
      </w:r>
      <w:hyperlink r:id="rId11" w:history="1">
        <w:r w:rsidRPr="001C5EB8">
          <w:rPr>
            <w:rStyle w:val="Hyperlink"/>
            <w:rFonts w:ascii="Arial" w:hAnsi="Arial" w:cs="Arial"/>
            <w:sz w:val="21"/>
            <w:szCs w:val="21"/>
          </w:rPr>
          <w:t>https://doi.org/10.2307/258557</w:t>
        </w:r>
      </w:hyperlink>
      <w:r w:rsidRPr="00627E97">
        <w:rPr>
          <w:rFonts w:ascii="Arial" w:hAnsi="Arial" w:cs="Arial"/>
          <w:sz w:val="21"/>
          <w:szCs w:val="21"/>
        </w:rPr>
        <w:t>.</w:t>
      </w:r>
    </w:p>
    <w:p w14:paraId="7DFC4F4F" w14:textId="77777777" w:rsidR="00243C6B" w:rsidRPr="00627E97" w:rsidRDefault="00243C6B" w:rsidP="00243C6B">
      <w:pPr>
        <w:rPr>
          <w:rFonts w:ascii="Arial" w:hAnsi="Arial" w:cs="Arial"/>
          <w:sz w:val="21"/>
          <w:szCs w:val="21"/>
        </w:rPr>
      </w:pPr>
    </w:p>
    <w:p w14:paraId="537B9537" w14:textId="77777777" w:rsidR="00243C6B" w:rsidRDefault="00243C6B" w:rsidP="00243C6B">
      <w:pPr>
        <w:rPr>
          <w:rFonts w:ascii="Arial" w:hAnsi="Arial" w:cs="Arial"/>
          <w:sz w:val="21"/>
          <w:szCs w:val="21"/>
        </w:rPr>
      </w:pPr>
      <w:r w:rsidRPr="00627E97">
        <w:rPr>
          <w:rFonts w:ascii="Arial" w:hAnsi="Arial" w:cs="Arial"/>
          <w:sz w:val="21"/>
          <w:szCs w:val="21"/>
        </w:rPr>
        <w:t>Few, S. (2004) Show me the numbers : designing tables and graphs to enlighten. Burlingame: Analytic Press.</w:t>
      </w:r>
    </w:p>
    <w:p w14:paraId="47184136" w14:textId="77777777" w:rsidR="00243C6B" w:rsidRPr="00627E97" w:rsidRDefault="00243C6B" w:rsidP="00243C6B">
      <w:pPr>
        <w:rPr>
          <w:rFonts w:ascii="Arial" w:hAnsi="Arial" w:cs="Arial"/>
          <w:sz w:val="21"/>
          <w:szCs w:val="21"/>
        </w:rPr>
      </w:pPr>
    </w:p>
    <w:p w14:paraId="088A937B" w14:textId="77777777" w:rsidR="00243C6B" w:rsidRDefault="00243C6B" w:rsidP="00243C6B">
      <w:pPr>
        <w:rPr>
          <w:rFonts w:ascii="Arial" w:hAnsi="Arial" w:cs="Arial"/>
          <w:sz w:val="21"/>
          <w:szCs w:val="21"/>
        </w:rPr>
      </w:pPr>
      <w:r w:rsidRPr="00627E97">
        <w:rPr>
          <w:rFonts w:ascii="Arial" w:hAnsi="Arial" w:cs="Arial"/>
          <w:sz w:val="21"/>
          <w:szCs w:val="21"/>
        </w:rPr>
        <w:t>Field, A.P. (2013) Discovering statistics using IBM SPSS statistics. 4th edn. London: Sage Publications Ltd.</w:t>
      </w:r>
    </w:p>
    <w:p w14:paraId="47488783" w14:textId="77777777" w:rsidR="00243C6B" w:rsidRPr="00627E97" w:rsidRDefault="00243C6B" w:rsidP="00243C6B">
      <w:pPr>
        <w:rPr>
          <w:rFonts w:ascii="Arial" w:hAnsi="Arial" w:cs="Arial"/>
          <w:sz w:val="21"/>
          <w:szCs w:val="21"/>
        </w:rPr>
      </w:pPr>
    </w:p>
    <w:p w14:paraId="44837E69" w14:textId="77777777" w:rsidR="00243C6B" w:rsidRDefault="00243C6B" w:rsidP="00243C6B">
      <w:pPr>
        <w:rPr>
          <w:rFonts w:ascii="Arial" w:hAnsi="Arial" w:cs="Arial"/>
          <w:sz w:val="21"/>
          <w:szCs w:val="21"/>
        </w:rPr>
      </w:pPr>
      <w:r w:rsidRPr="00627E97">
        <w:rPr>
          <w:rFonts w:ascii="Arial" w:hAnsi="Arial" w:cs="Arial"/>
          <w:sz w:val="21"/>
          <w:szCs w:val="21"/>
        </w:rPr>
        <w:t>Fowler, F.J. (2009) Survey research methods. 4th edn. Los Angeles (I.E. Thousand Oaks, Calif.): Sage Publications.</w:t>
      </w:r>
    </w:p>
    <w:p w14:paraId="0395697A" w14:textId="77777777" w:rsidR="00243C6B" w:rsidRPr="00627E97" w:rsidRDefault="00243C6B" w:rsidP="00243C6B">
      <w:pPr>
        <w:rPr>
          <w:rFonts w:ascii="Arial" w:hAnsi="Arial" w:cs="Arial"/>
          <w:sz w:val="21"/>
          <w:szCs w:val="21"/>
        </w:rPr>
      </w:pPr>
    </w:p>
    <w:p w14:paraId="15FC0CF1" w14:textId="77777777" w:rsidR="00243C6B" w:rsidRDefault="00243C6B" w:rsidP="00243C6B">
      <w:pPr>
        <w:rPr>
          <w:rFonts w:ascii="Arial" w:hAnsi="Arial" w:cs="Arial"/>
          <w:sz w:val="21"/>
          <w:szCs w:val="21"/>
        </w:rPr>
      </w:pPr>
      <w:r w:rsidRPr="00627E97">
        <w:rPr>
          <w:rFonts w:ascii="Arial" w:hAnsi="Arial" w:cs="Arial"/>
          <w:sz w:val="21"/>
          <w:szCs w:val="21"/>
        </w:rPr>
        <w:t xml:space="preserve">Fredricks, J.A., Blumenfeld, P.C. and Paris, A.H. (2004) ‘School Engagement: Potential of the Concept, State of the Evidence’, Review of Educational Research, 74(1), pp. 59–109. Available at: </w:t>
      </w:r>
      <w:hyperlink r:id="rId12" w:history="1">
        <w:r w:rsidRPr="001C5EB8">
          <w:rPr>
            <w:rStyle w:val="Hyperlink"/>
            <w:rFonts w:ascii="Arial" w:hAnsi="Arial" w:cs="Arial"/>
            <w:sz w:val="21"/>
            <w:szCs w:val="21"/>
          </w:rPr>
          <w:t>https://doi.org/10.3102/00346543074001059</w:t>
        </w:r>
      </w:hyperlink>
      <w:r w:rsidRPr="00627E97">
        <w:rPr>
          <w:rFonts w:ascii="Arial" w:hAnsi="Arial" w:cs="Arial"/>
          <w:sz w:val="21"/>
          <w:szCs w:val="21"/>
        </w:rPr>
        <w:t>.</w:t>
      </w:r>
    </w:p>
    <w:p w14:paraId="0189460F" w14:textId="77777777" w:rsidR="00243C6B" w:rsidRPr="00627E97" w:rsidRDefault="00243C6B" w:rsidP="00243C6B">
      <w:pPr>
        <w:rPr>
          <w:rFonts w:ascii="Arial" w:hAnsi="Arial" w:cs="Arial"/>
          <w:sz w:val="21"/>
          <w:szCs w:val="21"/>
        </w:rPr>
      </w:pPr>
    </w:p>
    <w:p w14:paraId="0A514C06" w14:textId="77777777" w:rsidR="00243C6B" w:rsidRDefault="00243C6B" w:rsidP="00243C6B">
      <w:pPr>
        <w:rPr>
          <w:rFonts w:ascii="Arial" w:hAnsi="Arial" w:cs="Arial"/>
          <w:sz w:val="21"/>
          <w:szCs w:val="21"/>
        </w:rPr>
      </w:pPr>
      <w:r w:rsidRPr="00627E97">
        <w:rPr>
          <w:rFonts w:ascii="Arial" w:hAnsi="Arial" w:cs="Arial"/>
          <w:sz w:val="21"/>
          <w:szCs w:val="21"/>
        </w:rPr>
        <w:t xml:space="preserve">Huppert, F.A. and So, T.T.C. (2013) ‘Flourishing Across Europe: Application of a New Conceptual Framework for Defining Well-Being’, Social Indicators Research, 110(3), pp. 837–861. Available at: </w:t>
      </w:r>
      <w:hyperlink r:id="rId13" w:history="1">
        <w:r w:rsidRPr="001C5EB8">
          <w:rPr>
            <w:rStyle w:val="Hyperlink"/>
            <w:rFonts w:ascii="Arial" w:hAnsi="Arial" w:cs="Arial"/>
            <w:sz w:val="21"/>
            <w:szCs w:val="21"/>
          </w:rPr>
          <w:t>https://doi.org/10.1007/s11205-011-9966-7</w:t>
        </w:r>
      </w:hyperlink>
      <w:r w:rsidRPr="00627E97">
        <w:rPr>
          <w:rFonts w:ascii="Arial" w:hAnsi="Arial" w:cs="Arial"/>
          <w:sz w:val="21"/>
          <w:szCs w:val="21"/>
        </w:rPr>
        <w:t>.</w:t>
      </w:r>
    </w:p>
    <w:p w14:paraId="6BDE39DA" w14:textId="77777777" w:rsidR="00243C6B" w:rsidRPr="00627E97" w:rsidRDefault="00243C6B" w:rsidP="00243C6B">
      <w:pPr>
        <w:rPr>
          <w:rFonts w:ascii="Arial" w:hAnsi="Arial" w:cs="Arial"/>
          <w:sz w:val="21"/>
          <w:szCs w:val="21"/>
        </w:rPr>
      </w:pPr>
    </w:p>
    <w:p w14:paraId="475E43F6" w14:textId="77777777" w:rsidR="00243C6B" w:rsidRDefault="00243C6B" w:rsidP="00243C6B">
      <w:pPr>
        <w:rPr>
          <w:rFonts w:ascii="Arial" w:hAnsi="Arial" w:cs="Arial"/>
          <w:sz w:val="21"/>
          <w:szCs w:val="21"/>
        </w:rPr>
      </w:pPr>
      <w:r w:rsidRPr="00627E97">
        <w:rPr>
          <w:rFonts w:ascii="Arial" w:hAnsi="Arial" w:cs="Arial"/>
          <w:sz w:val="21"/>
          <w:szCs w:val="21"/>
        </w:rPr>
        <w:t xml:space="preserve">Luthar, S.S. (2015) ‘Resilience in Development: A Synthesis of Research across Five Decades’, Developmental Psychopathology, 3, pp. 739–795. Available at: </w:t>
      </w:r>
      <w:hyperlink r:id="rId14" w:history="1">
        <w:r w:rsidRPr="001C5EB8">
          <w:rPr>
            <w:rStyle w:val="Hyperlink"/>
            <w:rFonts w:ascii="Arial" w:hAnsi="Arial" w:cs="Arial"/>
            <w:sz w:val="21"/>
            <w:szCs w:val="21"/>
          </w:rPr>
          <w:t>https://doi.org/10.1002/9780470939406.ch20</w:t>
        </w:r>
      </w:hyperlink>
      <w:r w:rsidRPr="00627E97">
        <w:rPr>
          <w:rFonts w:ascii="Arial" w:hAnsi="Arial" w:cs="Arial"/>
          <w:sz w:val="21"/>
          <w:szCs w:val="21"/>
        </w:rPr>
        <w:t>.</w:t>
      </w:r>
    </w:p>
    <w:p w14:paraId="06621BD9" w14:textId="77777777" w:rsidR="00243C6B" w:rsidRPr="00627E97" w:rsidRDefault="00243C6B" w:rsidP="00243C6B">
      <w:pPr>
        <w:rPr>
          <w:rFonts w:ascii="Arial" w:hAnsi="Arial" w:cs="Arial"/>
          <w:sz w:val="21"/>
          <w:szCs w:val="21"/>
        </w:rPr>
      </w:pPr>
    </w:p>
    <w:p w14:paraId="7CD30163" w14:textId="77777777" w:rsidR="00243C6B" w:rsidRPr="00627E97" w:rsidRDefault="00243C6B" w:rsidP="00243C6B">
      <w:pPr>
        <w:rPr>
          <w:rFonts w:ascii="Arial" w:hAnsi="Arial" w:cs="Arial"/>
          <w:sz w:val="21"/>
          <w:szCs w:val="21"/>
        </w:rPr>
      </w:pPr>
      <w:r w:rsidRPr="00627E97">
        <w:rPr>
          <w:rFonts w:ascii="Arial" w:hAnsi="Arial" w:cs="Arial"/>
          <w:sz w:val="21"/>
          <w:szCs w:val="21"/>
        </w:rPr>
        <w:t>Maslow, A.H. (1943) ‘A Theory of Human Motivation’, Psychological Review, 50(4), pp. 370–396. Available at: https://doi.org/10.1037/h0054346.</w:t>
      </w:r>
    </w:p>
    <w:p w14:paraId="45E91D96" w14:textId="77777777" w:rsidR="00243C6B" w:rsidRDefault="00243C6B" w:rsidP="00243C6B">
      <w:pPr>
        <w:rPr>
          <w:rFonts w:ascii="Arial" w:hAnsi="Arial" w:cs="Arial"/>
          <w:sz w:val="21"/>
          <w:szCs w:val="21"/>
        </w:rPr>
      </w:pPr>
      <w:r w:rsidRPr="00627E97">
        <w:rPr>
          <w:rFonts w:ascii="Arial" w:hAnsi="Arial" w:cs="Arial"/>
          <w:sz w:val="21"/>
          <w:szCs w:val="21"/>
        </w:rPr>
        <w:lastRenderedPageBreak/>
        <w:t>Merriam, S.B. and Tisdell, E.J. (2016) Qualitative research: A guide to design and implementation. 4th edn. San Francisco, Ca: Jossey-Bass.</w:t>
      </w:r>
    </w:p>
    <w:p w14:paraId="1B20EF9E" w14:textId="77777777" w:rsidR="00243C6B" w:rsidRPr="00627E97" w:rsidRDefault="00243C6B" w:rsidP="00243C6B">
      <w:pPr>
        <w:rPr>
          <w:rFonts w:ascii="Arial" w:hAnsi="Arial" w:cs="Arial"/>
          <w:sz w:val="21"/>
          <w:szCs w:val="21"/>
        </w:rPr>
      </w:pPr>
    </w:p>
    <w:p w14:paraId="599537FE" w14:textId="77777777" w:rsidR="00243C6B" w:rsidRDefault="00243C6B" w:rsidP="00243C6B">
      <w:pPr>
        <w:rPr>
          <w:rFonts w:ascii="Arial" w:hAnsi="Arial" w:cs="Arial"/>
          <w:sz w:val="21"/>
          <w:szCs w:val="21"/>
        </w:rPr>
      </w:pPr>
      <w:r w:rsidRPr="00627E97">
        <w:rPr>
          <w:rFonts w:ascii="Arial" w:hAnsi="Arial" w:cs="Arial"/>
          <w:sz w:val="21"/>
          <w:szCs w:val="21"/>
        </w:rPr>
        <w:t>Podsakoff, P.M. et al. (2003) ‘Common Method Biases in Behavioral research: a Critical Review of the Literature and Recommended remedies.’, Journal of Applied Psychology, 88(5), pp. 879–903.</w:t>
      </w:r>
    </w:p>
    <w:p w14:paraId="4C9202EF" w14:textId="77777777" w:rsidR="00243C6B" w:rsidRPr="00627E97" w:rsidRDefault="00243C6B" w:rsidP="00243C6B">
      <w:pPr>
        <w:rPr>
          <w:rFonts w:ascii="Arial" w:hAnsi="Arial" w:cs="Arial"/>
          <w:sz w:val="21"/>
          <w:szCs w:val="21"/>
        </w:rPr>
      </w:pPr>
    </w:p>
    <w:p w14:paraId="188767BD" w14:textId="77777777" w:rsidR="00243C6B" w:rsidRDefault="00243C6B" w:rsidP="00243C6B">
      <w:pPr>
        <w:rPr>
          <w:rFonts w:ascii="Arial" w:hAnsi="Arial" w:cs="Arial"/>
          <w:sz w:val="21"/>
          <w:szCs w:val="21"/>
        </w:rPr>
      </w:pPr>
      <w:r w:rsidRPr="00627E97">
        <w:rPr>
          <w:rFonts w:ascii="Arial" w:hAnsi="Arial" w:cs="Arial"/>
          <w:sz w:val="21"/>
          <w:szCs w:val="21"/>
        </w:rPr>
        <w:t xml:space="preserve">Roeser, R.W. et al. (2012) ‘Mindfulness Training and Teachers’ Professional Development: An Emerging Area of Research and Practice’, Child Development Perspectives, 6(2), pp. 167–173. Available at: </w:t>
      </w:r>
      <w:hyperlink r:id="rId15" w:history="1">
        <w:r w:rsidRPr="001C5EB8">
          <w:rPr>
            <w:rStyle w:val="Hyperlink"/>
            <w:rFonts w:ascii="Arial" w:hAnsi="Arial" w:cs="Arial"/>
            <w:sz w:val="21"/>
            <w:szCs w:val="21"/>
          </w:rPr>
          <w:t>https://doi.org/10.1111/j.1750-8606.2012.00238.x</w:t>
        </w:r>
      </w:hyperlink>
      <w:r w:rsidRPr="00627E97">
        <w:rPr>
          <w:rFonts w:ascii="Arial" w:hAnsi="Arial" w:cs="Arial"/>
          <w:sz w:val="21"/>
          <w:szCs w:val="21"/>
        </w:rPr>
        <w:t>.</w:t>
      </w:r>
    </w:p>
    <w:p w14:paraId="1DA37A21" w14:textId="77777777" w:rsidR="00243C6B" w:rsidRPr="00627E97" w:rsidRDefault="00243C6B" w:rsidP="00243C6B">
      <w:pPr>
        <w:rPr>
          <w:rFonts w:ascii="Arial" w:hAnsi="Arial" w:cs="Arial"/>
          <w:sz w:val="21"/>
          <w:szCs w:val="21"/>
        </w:rPr>
      </w:pPr>
    </w:p>
    <w:p w14:paraId="23910DDF" w14:textId="77777777" w:rsidR="00243C6B" w:rsidRDefault="00243C6B" w:rsidP="00243C6B">
      <w:pPr>
        <w:rPr>
          <w:rFonts w:ascii="Arial" w:hAnsi="Arial" w:cs="Arial"/>
          <w:sz w:val="21"/>
          <w:szCs w:val="21"/>
        </w:rPr>
      </w:pPr>
      <w:r w:rsidRPr="00627E97">
        <w:rPr>
          <w:rFonts w:ascii="Arial" w:hAnsi="Arial" w:cs="Arial"/>
          <w:sz w:val="21"/>
          <w:szCs w:val="21"/>
        </w:rPr>
        <w:t>Stake, R.E. (1995) The art of case study research. London: Sage Publications.</w:t>
      </w:r>
    </w:p>
    <w:p w14:paraId="0ECDDB3D" w14:textId="77777777" w:rsidR="00243C6B" w:rsidRPr="00627E97" w:rsidRDefault="00243C6B" w:rsidP="00243C6B">
      <w:pPr>
        <w:rPr>
          <w:rFonts w:ascii="Arial" w:hAnsi="Arial" w:cs="Arial"/>
          <w:sz w:val="21"/>
          <w:szCs w:val="21"/>
        </w:rPr>
      </w:pPr>
    </w:p>
    <w:p w14:paraId="0A60619F" w14:textId="77777777" w:rsidR="00243C6B" w:rsidRDefault="00243C6B" w:rsidP="00243C6B">
      <w:pPr>
        <w:rPr>
          <w:rFonts w:ascii="Arial" w:hAnsi="Arial" w:cs="Arial"/>
          <w:sz w:val="21"/>
          <w:szCs w:val="21"/>
        </w:rPr>
      </w:pPr>
      <w:r w:rsidRPr="00627E97">
        <w:rPr>
          <w:rFonts w:ascii="Arial" w:hAnsi="Arial" w:cs="Arial"/>
          <w:sz w:val="21"/>
          <w:szCs w:val="21"/>
        </w:rPr>
        <w:t xml:space="preserve">Suldo, S.M. and Shaffer, E.J. (2008) ‘Looking Beyond Psychopathology: The Dual-Factor Model of Mental Health in Youth’, School Psychology Review, 37(1), pp. 52–68. Available at: </w:t>
      </w:r>
      <w:hyperlink r:id="rId16" w:history="1">
        <w:r w:rsidRPr="001C5EB8">
          <w:rPr>
            <w:rStyle w:val="Hyperlink"/>
            <w:rFonts w:ascii="Arial" w:hAnsi="Arial" w:cs="Arial"/>
            <w:sz w:val="21"/>
            <w:szCs w:val="21"/>
          </w:rPr>
          <w:t>https://doi.org/10.1080/02796015.2008.12087908</w:t>
        </w:r>
      </w:hyperlink>
      <w:r w:rsidRPr="00627E97">
        <w:rPr>
          <w:rFonts w:ascii="Arial" w:hAnsi="Arial" w:cs="Arial"/>
          <w:sz w:val="21"/>
          <w:szCs w:val="21"/>
        </w:rPr>
        <w:t>.</w:t>
      </w:r>
    </w:p>
    <w:p w14:paraId="2E8DB58E" w14:textId="77777777" w:rsidR="00243C6B" w:rsidRPr="00627E97" w:rsidRDefault="00243C6B" w:rsidP="00243C6B">
      <w:pPr>
        <w:rPr>
          <w:rFonts w:ascii="Arial" w:hAnsi="Arial" w:cs="Arial"/>
          <w:sz w:val="21"/>
          <w:szCs w:val="21"/>
        </w:rPr>
      </w:pPr>
    </w:p>
    <w:p w14:paraId="0D7AC32F" w14:textId="77777777" w:rsidR="00243C6B" w:rsidRDefault="00243C6B" w:rsidP="00243C6B">
      <w:pPr>
        <w:rPr>
          <w:rFonts w:ascii="Arial" w:hAnsi="Arial" w:cs="Arial"/>
          <w:sz w:val="21"/>
          <w:szCs w:val="21"/>
        </w:rPr>
      </w:pPr>
      <w:r w:rsidRPr="00627E97">
        <w:rPr>
          <w:rFonts w:ascii="Arial" w:hAnsi="Arial" w:cs="Arial"/>
          <w:sz w:val="21"/>
          <w:szCs w:val="21"/>
        </w:rPr>
        <w:t>Tufte, E.R. (2001) The visual display of quantitative information. Cheshire, Connecticut: Graphics Press.</w:t>
      </w:r>
    </w:p>
    <w:p w14:paraId="399E9733" w14:textId="77777777" w:rsidR="00243C6B" w:rsidRPr="00627E97" w:rsidRDefault="00243C6B" w:rsidP="00243C6B">
      <w:pPr>
        <w:rPr>
          <w:rFonts w:ascii="Arial" w:hAnsi="Arial" w:cs="Arial"/>
          <w:sz w:val="21"/>
          <w:szCs w:val="21"/>
        </w:rPr>
      </w:pPr>
    </w:p>
    <w:p w14:paraId="141B510D" w14:textId="77777777" w:rsidR="00243C6B" w:rsidRDefault="00243C6B" w:rsidP="00243C6B">
      <w:pPr>
        <w:rPr>
          <w:rFonts w:ascii="Arial" w:hAnsi="Arial" w:cs="Arial"/>
          <w:sz w:val="21"/>
          <w:szCs w:val="21"/>
        </w:rPr>
      </w:pPr>
      <w:r w:rsidRPr="00627E97">
        <w:rPr>
          <w:rFonts w:ascii="Arial" w:hAnsi="Arial" w:cs="Arial"/>
          <w:sz w:val="21"/>
          <w:szCs w:val="21"/>
        </w:rPr>
        <w:t>United Nations (1989) The United Nations Convention on the Rights of the Child. Brill.</w:t>
      </w:r>
    </w:p>
    <w:p w14:paraId="77012B2C" w14:textId="77777777" w:rsidR="00243C6B" w:rsidRPr="00627E97" w:rsidRDefault="00243C6B" w:rsidP="00243C6B">
      <w:pPr>
        <w:rPr>
          <w:rFonts w:ascii="Arial" w:hAnsi="Arial" w:cs="Arial"/>
          <w:sz w:val="21"/>
          <w:szCs w:val="21"/>
        </w:rPr>
      </w:pPr>
    </w:p>
    <w:p w14:paraId="02E233D2" w14:textId="77777777" w:rsidR="00243C6B" w:rsidRDefault="00243C6B" w:rsidP="00243C6B">
      <w:pPr>
        <w:rPr>
          <w:rFonts w:ascii="Arial" w:hAnsi="Arial" w:cs="Arial"/>
          <w:sz w:val="21"/>
          <w:szCs w:val="21"/>
        </w:rPr>
      </w:pPr>
      <w:r w:rsidRPr="00627E97">
        <w:rPr>
          <w:rFonts w:ascii="Arial" w:hAnsi="Arial" w:cs="Arial"/>
          <w:sz w:val="21"/>
          <w:szCs w:val="21"/>
        </w:rPr>
        <w:t>UWTSD (2022) Research Ethics &amp; Integrity Code of Practice.</w:t>
      </w:r>
    </w:p>
    <w:p w14:paraId="3AEAA414" w14:textId="77777777" w:rsidR="00243C6B" w:rsidRPr="00627E97" w:rsidRDefault="00243C6B" w:rsidP="00243C6B">
      <w:pPr>
        <w:rPr>
          <w:rFonts w:ascii="Arial" w:hAnsi="Arial" w:cs="Arial"/>
          <w:sz w:val="21"/>
          <w:szCs w:val="21"/>
        </w:rPr>
      </w:pPr>
    </w:p>
    <w:p w14:paraId="56A57439" w14:textId="77777777" w:rsidR="00243C6B" w:rsidRPr="00627E97" w:rsidRDefault="00243C6B" w:rsidP="00243C6B">
      <w:pPr>
        <w:rPr>
          <w:rFonts w:ascii="Arial" w:hAnsi="Arial" w:cs="Arial"/>
          <w:sz w:val="21"/>
          <w:szCs w:val="21"/>
        </w:rPr>
      </w:pPr>
      <w:r w:rsidRPr="00627E97">
        <w:rPr>
          <w:rFonts w:ascii="Arial" w:hAnsi="Arial" w:cs="Arial"/>
          <w:sz w:val="21"/>
          <w:szCs w:val="21"/>
        </w:rPr>
        <w:t>Welsh Government (2015) Well-being of future generations Act. Available at: https://gov.wales/well-being-future-generations-wales-act-2015 (Accessed: May 3AD).</w:t>
      </w:r>
    </w:p>
    <w:p w14:paraId="2468A133" w14:textId="77777777" w:rsidR="00243C6B" w:rsidRDefault="00243C6B" w:rsidP="00243C6B">
      <w:pPr>
        <w:rPr>
          <w:rFonts w:ascii="Arial" w:hAnsi="Arial" w:cs="Arial"/>
          <w:sz w:val="21"/>
          <w:szCs w:val="21"/>
        </w:rPr>
      </w:pPr>
      <w:r w:rsidRPr="00627E97">
        <w:rPr>
          <w:rFonts w:ascii="Arial" w:hAnsi="Arial" w:cs="Arial"/>
          <w:sz w:val="21"/>
          <w:szCs w:val="21"/>
        </w:rPr>
        <w:t>Welsh Government (2022) Curriculum for Wales.</w:t>
      </w:r>
    </w:p>
    <w:p w14:paraId="5CFCE9FB" w14:textId="77777777" w:rsidR="00243C6B" w:rsidRPr="00627E97" w:rsidRDefault="00243C6B" w:rsidP="00243C6B">
      <w:pPr>
        <w:rPr>
          <w:rFonts w:ascii="Arial" w:hAnsi="Arial" w:cs="Arial"/>
          <w:sz w:val="21"/>
          <w:szCs w:val="21"/>
        </w:rPr>
      </w:pPr>
    </w:p>
    <w:p w14:paraId="6DA934D2" w14:textId="77777777" w:rsidR="00243C6B" w:rsidRDefault="00243C6B" w:rsidP="00243C6B">
      <w:pPr>
        <w:rPr>
          <w:rFonts w:ascii="Arial" w:hAnsi="Arial" w:cs="Arial"/>
          <w:sz w:val="21"/>
          <w:szCs w:val="21"/>
        </w:rPr>
      </w:pPr>
      <w:r w:rsidRPr="00627E97">
        <w:rPr>
          <w:rFonts w:ascii="Arial" w:hAnsi="Arial" w:cs="Arial"/>
          <w:sz w:val="21"/>
          <w:szCs w:val="21"/>
        </w:rPr>
        <w:t xml:space="preserve">Wentzel, K.R. (1998) ‘Social relationships and motivation in middle school: The role of parents, teachers, and peers.’, Journal of Educational Psychology, 90(2), pp. 202–209. Available at: </w:t>
      </w:r>
      <w:hyperlink r:id="rId17" w:history="1">
        <w:r w:rsidRPr="001C5EB8">
          <w:rPr>
            <w:rStyle w:val="Hyperlink"/>
            <w:rFonts w:ascii="Arial" w:hAnsi="Arial" w:cs="Arial"/>
            <w:sz w:val="21"/>
            <w:szCs w:val="21"/>
          </w:rPr>
          <w:t>https://doi.org/10.1037/0022-0663.90.2.202</w:t>
        </w:r>
      </w:hyperlink>
      <w:r w:rsidRPr="00627E97">
        <w:rPr>
          <w:rFonts w:ascii="Arial" w:hAnsi="Arial" w:cs="Arial"/>
          <w:sz w:val="21"/>
          <w:szCs w:val="21"/>
        </w:rPr>
        <w:t>.</w:t>
      </w:r>
    </w:p>
    <w:p w14:paraId="0F5C590C" w14:textId="77777777" w:rsidR="00243C6B" w:rsidRPr="00627E97" w:rsidRDefault="00243C6B" w:rsidP="00243C6B">
      <w:pPr>
        <w:rPr>
          <w:rFonts w:ascii="Arial" w:hAnsi="Arial" w:cs="Arial"/>
          <w:sz w:val="21"/>
          <w:szCs w:val="21"/>
        </w:rPr>
      </w:pPr>
    </w:p>
    <w:p w14:paraId="64D0E578" w14:textId="77777777" w:rsidR="00243C6B" w:rsidRPr="00627E97" w:rsidRDefault="00243C6B" w:rsidP="00243C6B">
      <w:pPr>
        <w:rPr>
          <w:rFonts w:ascii="Arial" w:hAnsi="Arial" w:cs="Arial"/>
          <w:sz w:val="21"/>
          <w:szCs w:val="21"/>
        </w:rPr>
      </w:pPr>
      <w:r w:rsidRPr="00627E97">
        <w:rPr>
          <w:rFonts w:ascii="Arial" w:hAnsi="Arial" w:cs="Arial"/>
          <w:sz w:val="21"/>
          <w:szCs w:val="21"/>
        </w:rPr>
        <w:t>Yin, R.K. (2018) Case Study Research and Applications: Design and Methods. 6th edn. Thousand Oaks, California: Sage Publications.</w:t>
      </w:r>
    </w:p>
    <w:p w14:paraId="3D000AB4" w14:textId="77777777" w:rsidR="00243C6B" w:rsidRDefault="00243C6B" w:rsidP="00243C6B">
      <w:pPr>
        <w:rPr>
          <w:rFonts w:ascii="Arial" w:hAnsi="Arial" w:cs="Arial"/>
          <w:b/>
          <w:bCs/>
          <w:sz w:val="28"/>
          <w:szCs w:val="28"/>
        </w:rPr>
      </w:pPr>
    </w:p>
    <w:p w14:paraId="45A77AA0" w14:textId="77777777" w:rsidR="00243C6B" w:rsidRDefault="00243C6B" w:rsidP="00243C6B">
      <w:pPr>
        <w:rPr>
          <w:rFonts w:ascii="Arial" w:hAnsi="Arial" w:cs="Arial"/>
          <w:b/>
          <w:bCs/>
          <w:sz w:val="28"/>
          <w:szCs w:val="28"/>
        </w:rPr>
      </w:pPr>
    </w:p>
    <w:p w14:paraId="451820CB" w14:textId="77777777" w:rsidR="00243C6B" w:rsidRDefault="00243C6B" w:rsidP="00243C6B">
      <w:pPr>
        <w:rPr>
          <w:rFonts w:ascii="Arial" w:hAnsi="Arial" w:cs="Arial"/>
          <w:b/>
          <w:bCs/>
          <w:sz w:val="28"/>
          <w:szCs w:val="28"/>
        </w:rPr>
      </w:pPr>
    </w:p>
    <w:p w14:paraId="49AEEF53" w14:textId="77777777" w:rsidR="00243C6B" w:rsidRDefault="00243C6B" w:rsidP="00243C6B">
      <w:pPr>
        <w:rPr>
          <w:rFonts w:ascii="Arial" w:hAnsi="Arial" w:cs="Arial"/>
          <w:b/>
          <w:bCs/>
          <w:sz w:val="28"/>
          <w:szCs w:val="28"/>
        </w:rPr>
      </w:pPr>
    </w:p>
    <w:p w14:paraId="57202C5A" w14:textId="77777777" w:rsidR="00243C6B" w:rsidRDefault="00243C6B" w:rsidP="00243C6B">
      <w:pPr>
        <w:rPr>
          <w:rFonts w:ascii="Arial" w:hAnsi="Arial" w:cs="Arial"/>
          <w:b/>
          <w:bCs/>
          <w:sz w:val="28"/>
          <w:szCs w:val="28"/>
        </w:rPr>
      </w:pPr>
    </w:p>
    <w:p w14:paraId="08525370" w14:textId="77777777" w:rsidR="00243C6B" w:rsidRDefault="00243C6B" w:rsidP="00243C6B">
      <w:pPr>
        <w:rPr>
          <w:rFonts w:ascii="Arial" w:hAnsi="Arial" w:cs="Arial"/>
          <w:b/>
          <w:bCs/>
          <w:sz w:val="28"/>
          <w:szCs w:val="28"/>
        </w:rPr>
      </w:pPr>
    </w:p>
    <w:p w14:paraId="5957A1E3" w14:textId="77777777" w:rsidR="00243C6B" w:rsidRDefault="00243C6B" w:rsidP="00243C6B">
      <w:pPr>
        <w:rPr>
          <w:rFonts w:ascii="Arial" w:hAnsi="Arial" w:cs="Arial"/>
          <w:b/>
          <w:bCs/>
          <w:sz w:val="28"/>
          <w:szCs w:val="28"/>
        </w:rPr>
      </w:pPr>
    </w:p>
    <w:p w14:paraId="11EA7622" w14:textId="77777777" w:rsidR="00243C6B" w:rsidRDefault="00243C6B" w:rsidP="00243C6B">
      <w:pPr>
        <w:rPr>
          <w:rFonts w:ascii="Arial" w:hAnsi="Arial" w:cs="Arial"/>
          <w:b/>
          <w:bCs/>
          <w:sz w:val="28"/>
          <w:szCs w:val="28"/>
        </w:rPr>
      </w:pPr>
    </w:p>
    <w:p w14:paraId="6AC2A2B5" w14:textId="77777777" w:rsidR="00243C6B" w:rsidRDefault="00243C6B" w:rsidP="00243C6B">
      <w:pPr>
        <w:rPr>
          <w:rFonts w:ascii="Arial" w:hAnsi="Arial" w:cs="Arial"/>
          <w:b/>
          <w:bCs/>
          <w:sz w:val="28"/>
          <w:szCs w:val="28"/>
        </w:rPr>
      </w:pPr>
    </w:p>
    <w:p w14:paraId="47E8E7F9" w14:textId="77777777" w:rsidR="00243C6B" w:rsidRDefault="00243C6B" w:rsidP="00243C6B">
      <w:pPr>
        <w:rPr>
          <w:rFonts w:ascii="Arial" w:hAnsi="Arial" w:cs="Arial"/>
          <w:b/>
          <w:bCs/>
          <w:sz w:val="28"/>
          <w:szCs w:val="28"/>
        </w:rPr>
      </w:pPr>
    </w:p>
    <w:p w14:paraId="4D181CB7" w14:textId="77777777" w:rsidR="00243C6B" w:rsidRDefault="00243C6B" w:rsidP="00243C6B">
      <w:pPr>
        <w:rPr>
          <w:rFonts w:ascii="Arial" w:hAnsi="Arial" w:cs="Arial"/>
          <w:b/>
          <w:bCs/>
          <w:sz w:val="28"/>
          <w:szCs w:val="28"/>
        </w:rPr>
      </w:pPr>
    </w:p>
    <w:p w14:paraId="3112697B" w14:textId="77777777" w:rsidR="00243C6B" w:rsidRDefault="00243C6B" w:rsidP="00243C6B">
      <w:pPr>
        <w:rPr>
          <w:rFonts w:ascii="Arial" w:hAnsi="Arial" w:cs="Arial"/>
          <w:b/>
          <w:bCs/>
          <w:sz w:val="28"/>
          <w:szCs w:val="28"/>
        </w:rPr>
      </w:pPr>
    </w:p>
    <w:p w14:paraId="2A6554B9" w14:textId="77777777" w:rsidR="00243C6B" w:rsidRDefault="00243C6B" w:rsidP="00243C6B">
      <w:pPr>
        <w:rPr>
          <w:rFonts w:ascii="Arial" w:hAnsi="Arial" w:cs="Arial"/>
          <w:b/>
          <w:bCs/>
          <w:sz w:val="28"/>
          <w:szCs w:val="28"/>
        </w:rPr>
      </w:pPr>
    </w:p>
    <w:p w14:paraId="1FBBFF36" w14:textId="77777777" w:rsidR="00243C6B" w:rsidRDefault="00243C6B"/>
    <w:sectPr w:rsidR="00243C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976D9"/>
    <w:multiLevelType w:val="hybridMultilevel"/>
    <w:tmpl w:val="F4BC8936"/>
    <w:lvl w:ilvl="0" w:tplc="A7EEF906">
      <w:start w:val="1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5031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C6B"/>
    <w:rsid w:val="00243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A066B7"/>
  <w15:chartTrackingRefBased/>
  <w15:docId w15:val="{1926CEFF-F7D5-8841-A8D6-FEC1BEBC3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C6B"/>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z-BottomofForm">
    <w:name w:val="HTML Bottom of Form"/>
    <w:basedOn w:val="Normal"/>
    <w:next w:val="Normal"/>
    <w:link w:val="z-BottomofFormChar"/>
    <w:hidden/>
    <w:uiPriority w:val="99"/>
    <w:unhideWhenUsed/>
    <w:rsid w:val="00243C6B"/>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rsid w:val="00243C6B"/>
    <w:rPr>
      <w:rFonts w:ascii="Arial" w:eastAsia="Times New Roman" w:hAnsi="Arial" w:cs="Arial"/>
      <w:vanish/>
      <w:sz w:val="16"/>
      <w:szCs w:val="16"/>
      <w:lang w:eastAsia="en-GB"/>
    </w:rPr>
  </w:style>
  <w:style w:type="paragraph" w:styleId="ListParagraph">
    <w:name w:val="List Paragraph"/>
    <w:basedOn w:val="Normal"/>
    <w:uiPriority w:val="34"/>
    <w:qFormat/>
    <w:rsid w:val="00243C6B"/>
    <w:pPr>
      <w:ind w:left="720"/>
      <w:contextualSpacing/>
    </w:pPr>
  </w:style>
  <w:style w:type="character" w:styleId="Hyperlink">
    <w:name w:val="Hyperlink"/>
    <w:basedOn w:val="DefaultParagraphFont"/>
    <w:unhideWhenUsed/>
    <w:rsid w:val="00243C6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doi.org/10.1007/s11205-011-9966-7"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hyperlink" Target="https://doi.org/10.3102/00346543074001059" TargetMode="External"/><Relationship Id="rId17" Type="http://schemas.openxmlformats.org/officeDocument/2006/relationships/hyperlink" Target="https://doi.org/10.1037/0022-0663.90.2.202" TargetMode="External"/><Relationship Id="rId2" Type="http://schemas.openxmlformats.org/officeDocument/2006/relationships/styles" Target="styles.xml"/><Relationship Id="rId16" Type="http://schemas.openxmlformats.org/officeDocument/2006/relationships/hyperlink" Target="https://doi.org/10.1080/02796015.2008.12087908" TargetMode="Externa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hyperlink" Target="https://doi.org/10.2307/258557" TargetMode="External"/><Relationship Id="rId5" Type="http://schemas.openxmlformats.org/officeDocument/2006/relationships/image" Target="media/image1.emf"/><Relationship Id="rId15" Type="http://schemas.openxmlformats.org/officeDocument/2006/relationships/hyperlink" Target="https://doi.org/10.1111/j.1750-8606.2012.00238.x" TargetMode="External"/><Relationship Id="rId10" Type="http://schemas.openxmlformats.org/officeDocument/2006/relationships/hyperlink" Target="https://doi.org/10.1111/j.1467-8624.2010.01564.x"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doi.org/10.1002/9780470939406.ch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5309</Words>
  <Characters>30263</Characters>
  <Application>Microsoft Office Word</Application>
  <DocSecurity>0</DocSecurity>
  <Lines>252</Lines>
  <Paragraphs>71</Paragraphs>
  <ScaleCrop>false</ScaleCrop>
  <Company/>
  <LinksUpToDate>false</LinksUpToDate>
  <CharactersWithSpaces>35501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Greenhill (2012008)</dc:creator>
  <cp:keywords/>
  <dc:description/>
  <cp:lastModifiedBy>Lauren Greenhill (2012008)</cp:lastModifiedBy>
  <cp:revision>1</cp:revision>
  <dcterms:created xsi:type="dcterms:W3CDTF">2024-05-05T18:14:00Z</dcterms:created>
  <dcterms:modified xsi:type="dcterms:W3CDTF">2024-05-05T18:14:00Z</dcterms:modified>
</cp:coreProperties>
</file>