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21B70" w14:textId="2B908ACA" w:rsidR="004D7E16" w:rsidRPr="00E676F7" w:rsidRDefault="004D7E16" w:rsidP="004D7E16">
      <w:pPr>
        <w:ind w:right="237"/>
        <w:rPr>
          <w:sz w:val="24"/>
          <w:szCs w:val="24"/>
        </w:rPr>
      </w:pPr>
      <w:r w:rsidRPr="71763EF9">
        <w:rPr>
          <w:color w:val="000000" w:themeColor="text1"/>
          <w:sz w:val="24"/>
          <w:szCs w:val="24"/>
        </w:rPr>
        <w:t>+</w:t>
      </w:r>
      <w:r>
        <w:rPr>
          <w:noProof/>
        </w:rPr>
        <w:drawing>
          <wp:inline distT="0" distB="0" distL="0" distR="0" wp14:anchorId="1B1D154E" wp14:editId="45C70EED">
            <wp:extent cx="2045368" cy="714179"/>
            <wp:effectExtent l="0" t="0" r="0" b="0"/>
            <wp:docPr id="3838363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6317" name="Picture 17" descr="Black text on a white backgrou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45235966" w14:textId="77777777" w:rsidR="004D7E16" w:rsidRPr="00E676F7" w:rsidRDefault="004D7E16" w:rsidP="004D7E16">
      <w:pPr>
        <w:ind w:right="237"/>
        <w:rPr>
          <w:sz w:val="24"/>
          <w:szCs w:val="24"/>
        </w:rPr>
      </w:pPr>
    </w:p>
    <w:p w14:paraId="7829835B" w14:textId="77777777" w:rsidR="004D7E16" w:rsidRPr="00E676F7" w:rsidRDefault="004D7E16" w:rsidP="004D7E16">
      <w:pPr>
        <w:ind w:right="237"/>
        <w:rPr>
          <w:sz w:val="24"/>
          <w:szCs w:val="24"/>
        </w:rPr>
      </w:pPr>
    </w:p>
    <w:p w14:paraId="6BA12A13" w14:textId="77777777" w:rsidR="004D7E16" w:rsidRPr="00E676F7" w:rsidRDefault="004D7E16" w:rsidP="004D7E16">
      <w:pPr>
        <w:ind w:right="237"/>
        <w:rPr>
          <w:b/>
          <w:sz w:val="36"/>
          <w:szCs w:val="40"/>
        </w:rPr>
      </w:pPr>
      <w:r w:rsidRPr="00E676F7">
        <w:rPr>
          <w:b/>
          <w:sz w:val="36"/>
          <w:szCs w:val="40"/>
        </w:rPr>
        <w:t xml:space="preserve">Graduate Diploma Professional Police Practice </w:t>
      </w:r>
    </w:p>
    <w:p w14:paraId="20D80A06" w14:textId="77777777" w:rsidR="004D7E16" w:rsidRPr="00E676F7" w:rsidRDefault="004D7E16" w:rsidP="004D7E16">
      <w:pPr>
        <w:overflowPunct/>
        <w:autoSpaceDE/>
        <w:autoSpaceDN/>
        <w:adjustRightInd/>
        <w:ind w:right="237"/>
        <w:textAlignment w:val="auto"/>
        <w:rPr>
          <w:b/>
          <w:color w:val="auto"/>
          <w:sz w:val="44"/>
        </w:rPr>
      </w:pPr>
    </w:p>
    <w:p w14:paraId="1B054A0B" w14:textId="77777777" w:rsidR="004D7E16" w:rsidRPr="00E676F7" w:rsidRDefault="004D7E16" w:rsidP="004D7E16">
      <w:pPr>
        <w:overflowPunct/>
        <w:autoSpaceDE/>
        <w:autoSpaceDN/>
        <w:adjustRightInd/>
        <w:ind w:right="237"/>
        <w:textAlignment w:val="auto"/>
        <w:rPr>
          <w:b/>
          <w:color w:val="auto"/>
          <w:sz w:val="44"/>
        </w:rPr>
      </w:pPr>
      <w:r w:rsidRPr="00E676F7">
        <w:rPr>
          <w:b/>
          <w:color w:val="auto"/>
          <w:sz w:val="44"/>
        </w:rPr>
        <w:t>LEVEL 6 - 40 Credits</w:t>
      </w:r>
    </w:p>
    <w:p w14:paraId="34F654E0" w14:textId="77777777" w:rsidR="004D7E16" w:rsidRPr="00E676F7" w:rsidRDefault="004D7E16" w:rsidP="004D7E16">
      <w:pPr>
        <w:overflowPunct/>
        <w:autoSpaceDE/>
        <w:autoSpaceDN/>
        <w:adjustRightInd/>
        <w:ind w:right="237"/>
        <w:textAlignment w:val="auto"/>
        <w:rPr>
          <w:b/>
          <w:color w:val="auto"/>
          <w:sz w:val="44"/>
        </w:rPr>
      </w:pPr>
    </w:p>
    <w:p w14:paraId="6922D6C9" w14:textId="77777777" w:rsidR="004D7E16" w:rsidRPr="00E676F7" w:rsidRDefault="004D7E16" w:rsidP="004D7E16">
      <w:pPr>
        <w:overflowPunct/>
        <w:autoSpaceDE/>
        <w:autoSpaceDN/>
        <w:adjustRightInd/>
        <w:ind w:right="237"/>
        <w:textAlignment w:val="auto"/>
        <w:rPr>
          <w:b/>
          <w:color w:val="auto"/>
          <w:sz w:val="44"/>
        </w:rPr>
      </w:pPr>
    </w:p>
    <w:p w14:paraId="7896CCCF" w14:textId="77777777" w:rsidR="004D7E16" w:rsidRPr="00E676F7" w:rsidRDefault="004D7E16" w:rsidP="004D7E16">
      <w:pPr>
        <w:overflowPunct/>
        <w:autoSpaceDE/>
        <w:autoSpaceDN/>
        <w:adjustRightInd/>
        <w:ind w:right="237"/>
        <w:textAlignment w:val="auto"/>
        <w:rPr>
          <w:b/>
          <w:color w:val="auto"/>
          <w:sz w:val="40"/>
        </w:rPr>
      </w:pPr>
      <w:r w:rsidRPr="00E676F7">
        <w:rPr>
          <w:b/>
          <w:color w:val="auto"/>
          <w:sz w:val="40"/>
        </w:rPr>
        <w:t>Workbook title: Competency Based Workbook 2 (DHEP)</w:t>
      </w:r>
    </w:p>
    <w:p w14:paraId="4C3C21B3" w14:textId="77777777" w:rsidR="004D7E16" w:rsidRPr="00E676F7" w:rsidRDefault="004D7E16" w:rsidP="004D7E16">
      <w:pPr>
        <w:overflowPunct/>
        <w:autoSpaceDE/>
        <w:autoSpaceDN/>
        <w:adjustRightInd/>
        <w:ind w:right="237"/>
        <w:textAlignment w:val="auto"/>
        <w:rPr>
          <w:b/>
          <w:color w:val="auto"/>
          <w:sz w:val="36"/>
        </w:rPr>
      </w:pPr>
    </w:p>
    <w:p w14:paraId="39E5BDA6" w14:textId="77777777" w:rsidR="004D7E16" w:rsidRPr="00E676F7" w:rsidRDefault="004D7E16" w:rsidP="004D7E16">
      <w:pPr>
        <w:overflowPunct/>
        <w:autoSpaceDE/>
        <w:autoSpaceDN/>
        <w:adjustRightInd/>
        <w:ind w:right="237"/>
        <w:textAlignment w:val="auto"/>
        <w:rPr>
          <w:b/>
          <w:color w:val="auto"/>
          <w:sz w:val="36"/>
        </w:rPr>
      </w:pPr>
      <w:r w:rsidRPr="00E676F7">
        <w:rPr>
          <w:b/>
          <w:color w:val="auto"/>
          <w:sz w:val="36"/>
        </w:rPr>
        <w:t>(SOUTH WALES POLICE, GWENT POLICE AND UWTSD)</w:t>
      </w:r>
    </w:p>
    <w:p w14:paraId="3DA9592E" w14:textId="77777777" w:rsidR="004D7E16" w:rsidRPr="00E676F7" w:rsidRDefault="004D7E16" w:rsidP="004D7E16">
      <w:pPr>
        <w:overflowPunct/>
        <w:autoSpaceDE/>
        <w:autoSpaceDN/>
        <w:adjustRightInd/>
        <w:ind w:right="237"/>
        <w:textAlignment w:val="auto"/>
        <w:rPr>
          <w:b/>
          <w:color w:val="auto"/>
          <w:sz w:val="44"/>
        </w:rPr>
      </w:pPr>
    </w:p>
    <w:p w14:paraId="24CF0551" w14:textId="77777777" w:rsidR="004D7E16" w:rsidRPr="00E676F7" w:rsidRDefault="004D7E16" w:rsidP="004D7E16">
      <w:pPr>
        <w:overflowPunct/>
        <w:autoSpaceDE/>
        <w:autoSpaceDN/>
        <w:adjustRightInd/>
        <w:ind w:right="237"/>
        <w:textAlignment w:val="auto"/>
        <w:rPr>
          <w:b/>
          <w:color w:val="auto"/>
          <w:sz w:val="44"/>
        </w:rPr>
      </w:pPr>
    </w:p>
    <w:p w14:paraId="350BB278" w14:textId="77777777" w:rsidR="004D7E16" w:rsidRPr="00E676F7" w:rsidRDefault="004D7E16" w:rsidP="004D7E16">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004D7E16" w14:paraId="21F4D2A2" w14:textId="77777777" w:rsidTr="00E47EAE">
        <w:tc>
          <w:tcPr>
            <w:tcW w:w="9015" w:type="dxa"/>
          </w:tcPr>
          <w:p w14:paraId="1CCA685B" w14:textId="0524CF72" w:rsidR="004D7E16" w:rsidRDefault="004D7E16" w:rsidP="00E47EAE">
            <w:pPr>
              <w:ind w:right="237"/>
              <w:rPr>
                <w:b/>
                <w:bCs/>
                <w:color w:val="auto"/>
                <w:sz w:val="32"/>
                <w:szCs w:val="32"/>
              </w:rPr>
            </w:pPr>
            <w:r w:rsidRPr="33572C6E">
              <w:rPr>
                <w:b/>
                <w:bCs/>
                <w:color w:val="auto"/>
                <w:sz w:val="32"/>
                <w:szCs w:val="32"/>
              </w:rPr>
              <w:t>Learner name: __</w:t>
            </w:r>
            <w:r>
              <w:rPr>
                <w:b/>
                <w:bCs/>
                <w:color w:val="auto"/>
                <w:sz w:val="32"/>
                <w:szCs w:val="32"/>
              </w:rPr>
              <w:t xml:space="preserve">JAMIE HARDING </w:t>
            </w:r>
            <w:r w:rsidRPr="33572C6E">
              <w:rPr>
                <w:b/>
                <w:bCs/>
                <w:color w:val="auto"/>
                <w:sz w:val="32"/>
                <w:szCs w:val="32"/>
              </w:rPr>
              <w:t>____________</w:t>
            </w:r>
          </w:p>
          <w:p w14:paraId="1C123ED5" w14:textId="77777777" w:rsidR="004D7E16" w:rsidRDefault="004D7E16" w:rsidP="00E47EAE">
            <w:pPr>
              <w:ind w:right="237"/>
              <w:rPr>
                <w:b/>
                <w:bCs/>
                <w:color w:val="auto"/>
                <w:sz w:val="32"/>
                <w:szCs w:val="32"/>
              </w:rPr>
            </w:pPr>
          </w:p>
          <w:p w14:paraId="030127B5" w14:textId="77777777" w:rsidR="004D7E16" w:rsidRDefault="004D7E16" w:rsidP="00E47EAE">
            <w:pPr>
              <w:ind w:right="237"/>
              <w:rPr>
                <w:b/>
                <w:bCs/>
                <w:color w:val="auto"/>
                <w:sz w:val="32"/>
                <w:szCs w:val="32"/>
              </w:rPr>
            </w:pPr>
            <w:r w:rsidRPr="33572C6E">
              <w:rPr>
                <w:b/>
                <w:bCs/>
                <w:color w:val="auto"/>
                <w:sz w:val="32"/>
                <w:szCs w:val="32"/>
              </w:rPr>
              <w:t>Learner’s University Registration Number:</w:t>
            </w:r>
          </w:p>
          <w:p w14:paraId="5E5CF251" w14:textId="58BD8D4C" w:rsidR="004D7E16" w:rsidRDefault="00853A84" w:rsidP="00E47EAE">
            <w:pPr>
              <w:ind w:right="237"/>
              <w:rPr>
                <w:b/>
                <w:bCs/>
                <w:color w:val="auto"/>
                <w:sz w:val="32"/>
                <w:szCs w:val="32"/>
              </w:rPr>
            </w:pPr>
            <w:r>
              <w:rPr>
                <w:b/>
                <w:bCs/>
                <w:color w:val="auto"/>
                <w:sz w:val="32"/>
                <w:szCs w:val="32"/>
              </w:rPr>
              <w:t xml:space="preserve">         </w:t>
            </w:r>
            <w:r w:rsidR="004D7E16" w:rsidRPr="33572C6E">
              <w:rPr>
                <w:b/>
                <w:bCs/>
                <w:color w:val="auto"/>
                <w:sz w:val="32"/>
                <w:szCs w:val="32"/>
              </w:rPr>
              <w:t>______</w:t>
            </w:r>
            <w:r>
              <w:rPr>
                <w:b/>
                <w:bCs/>
                <w:color w:val="auto"/>
                <w:sz w:val="32"/>
                <w:szCs w:val="32"/>
              </w:rPr>
              <w:t>2131878</w:t>
            </w:r>
            <w:r w:rsidR="004D7E16" w:rsidRPr="33572C6E">
              <w:rPr>
                <w:b/>
                <w:bCs/>
                <w:color w:val="auto"/>
                <w:sz w:val="32"/>
                <w:szCs w:val="32"/>
              </w:rPr>
              <w:t>_______</w:t>
            </w:r>
          </w:p>
          <w:p w14:paraId="2EC8E3AC" w14:textId="77777777" w:rsidR="004D7E16" w:rsidRDefault="004D7E16" w:rsidP="00E47EAE">
            <w:pPr>
              <w:ind w:right="237"/>
              <w:rPr>
                <w:b/>
                <w:bCs/>
                <w:color w:val="auto"/>
                <w:sz w:val="32"/>
                <w:szCs w:val="32"/>
              </w:rPr>
            </w:pPr>
          </w:p>
          <w:p w14:paraId="6BD30A95" w14:textId="77777777" w:rsidR="004D7E16" w:rsidRDefault="004D7E16" w:rsidP="00E47EAE">
            <w:pPr>
              <w:ind w:right="237"/>
              <w:rPr>
                <w:b/>
                <w:bCs/>
                <w:color w:val="auto"/>
                <w:sz w:val="32"/>
                <w:szCs w:val="32"/>
              </w:rPr>
            </w:pPr>
          </w:p>
          <w:p w14:paraId="1A49F2D0" w14:textId="77777777" w:rsidR="004D7E16" w:rsidRDefault="004D7E16" w:rsidP="00E47EAE">
            <w:pPr>
              <w:rPr>
                <w:b/>
                <w:bCs/>
                <w:color w:val="000000" w:themeColor="text1"/>
                <w:sz w:val="32"/>
                <w:szCs w:val="32"/>
              </w:rPr>
            </w:pPr>
          </w:p>
        </w:tc>
      </w:tr>
    </w:tbl>
    <w:p w14:paraId="484145C0" w14:textId="77777777" w:rsidR="004D7E16" w:rsidRPr="00E676F7" w:rsidRDefault="004D7E16" w:rsidP="004D7E16">
      <w:pPr>
        <w:overflowPunct/>
        <w:autoSpaceDE/>
        <w:autoSpaceDN/>
        <w:adjustRightInd/>
        <w:ind w:right="237"/>
        <w:textAlignment w:val="auto"/>
        <w:rPr>
          <w:b/>
          <w:bCs/>
          <w:color w:val="auto"/>
          <w:sz w:val="32"/>
          <w:szCs w:val="32"/>
        </w:rPr>
      </w:pPr>
    </w:p>
    <w:p w14:paraId="0B1DB9BC" w14:textId="77777777" w:rsidR="004D7E16" w:rsidRPr="00E676F7" w:rsidRDefault="004D7E16" w:rsidP="004D7E16">
      <w:pPr>
        <w:overflowPunct/>
        <w:autoSpaceDE/>
        <w:autoSpaceDN/>
        <w:adjustRightInd/>
        <w:ind w:right="237"/>
        <w:textAlignment w:val="auto"/>
        <w:rPr>
          <w:b/>
          <w:bCs/>
          <w:color w:val="000000" w:themeColor="text1"/>
          <w:sz w:val="36"/>
          <w:szCs w:val="36"/>
        </w:rPr>
      </w:pPr>
    </w:p>
    <w:p w14:paraId="0E6B12C1" w14:textId="77777777" w:rsidR="004D7E16" w:rsidRPr="00E676F7" w:rsidRDefault="004D7E16" w:rsidP="004D7E16">
      <w:pPr>
        <w:overflowPunct/>
        <w:autoSpaceDE/>
        <w:autoSpaceDN/>
        <w:adjustRightInd/>
        <w:ind w:right="237"/>
        <w:textAlignment w:val="auto"/>
        <w:rPr>
          <w:b/>
          <w:color w:val="auto"/>
          <w:sz w:val="36"/>
        </w:rPr>
      </w:pPr>
    </w:p>
    <w:p w14:paraId="3CBB2518" w14:textId="77777777" w:rsidR="004D7E16" w:rsidRPr="00E676F7" w:rsidRDefault="004D7E16" w:rsidP="004D7E16">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728ADF49" w14:textId="77777777" w:rsidR="004D7E16" w:rsidRPr="00E676F7" w:rsidRDefault="004D7E16" w:rsidP="004D7E16">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54A4DDFE" w14:textId="77777777" w:rsidR="004D7E16" w:rsidRPr="00E676F7" w:rsidRDefault="004D7E16" w:rsidP="004D7E16">
      <w:pPr>
        <w:overflowPunct/>
        <w:autoSpaceDE/>
        <w:autoSpaceDN/>
        <w:adjustRightInd/>
        <w:ind w:right="237"/>
        <w:textAlignment w:val="auto"/>
        <w:rPr>
          <w:b/>
          <w:i/>
          <w:color w:val="auto"/>
          <w:sz w:val="24"/>
        </w:rPr>
      </w:pPr>
    </w:p>
    <w:p w14:paraId="53E53775" w14:textId="77777777" w:rsidR="004D7E16" w:rsidRPr="00E676F7" w:rsidRDefault="004D7E16" w:rsidP="004D7E16">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3 (DHEP) - BMPP6001D </w:t>
      </w:r>
    </w:p>
    <w:p w14:paraId="196E01D6" w14:textId="1B8D69B5" w:rsidR="00C10C65" w:rsidRDefault="00C10C65">
      <w:pPr>
        <w:overflowPunct/>
        <w:autoSpaceDE/>
        <w:autoSpaceDN/>
        <w:adjustRightInd/>
        <w:spacing w:after="160" w:line="259" w:lineRule="auto"/>
        <w:textAlignment w:val="auto"/>
        <w:rPr>
          <w:rFonts w:eastAsia="Arial"/>
          <w:b/>
          <w:bCs/>
          <w:color w:val="000000" w:themeColor="text1"/>
          <w:sz w:val="24"/>
          <w:szCs w:val="24"/>
        </w:rPr>
      </w:pPr>
    </w:p>
    <w:p w14:paraId="1307A5DD" w14:textId="25466A70" w:rsidR="00AC77CB" w:rsidRPr="00E676F7" w:rsidRDefault="00AC77CB" w:rsidP="00AC77CB">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2772D98A" w14:textId="77777777" w:rsidR="00AC77CB" w:rsidRPr="00E676F7" w:rsidRDefault="00AC77CB" w:rsidP="00AC77CB">
      <w:pPr>
        <w:ind w:right="237"/>
        <w:jc w:val="both"/>
        <w:rPr>
          <w:rFonts w:eastAsia="Arial"/>
          <w:color w:val="000000" w:themeColor="text1"/>
          <w:sz w:val="24"/>
          <w:szCs w:val="24"/>
        </w:rPr>
      </w:pPr>
    </w:p>
    <w:p w14:paraId="7C105D31" w14:textId="77777777" w:rsidR="00AC77CB" w:rsidRPr="00E676F7" w:rsidRDefault="00AC77CB" w:rsidP="00AC77CB">
      <w:pPr>
        <w:ind w:right="237"/>
        <w:jc w:val="both"/>
        <w:rPr>
          <w:rFonts w:eastAsia="Arial"/>
          <w:color w:val="000000" w:themeColor="text1"/>
          <w:sz w:val="24"/>
          <w:szCs w:val="24"/>
        </w:rPr>
      </w:pPr>
      <w:r w:rsidRPr="5CE196A1">
        <w:rPr>
          <w:rFonts w:eastAsia="Arial"/>
          <w:b/>
          <w:bCs/>
          <w:color w:val="000000" w:themeColor="text1"/>
          <w:sz w:val="24"/>
          <w:szCs w:val="24"/>
        </w:rPr>
        <w:lastRenderedPageBreak/>
        <w:t xml:space="preserve">Relevant areas of the National Policing Curriculum: </w:t>
      </w:r>
    </w:p>
    <w:p w14:paraId="1AD42DBE" w14:textId="77777777" w:rsidR="00AC77CB" w:rsidRPr="00E676F7" w:rsidRDefault="00AC77CB" w:rsidP="00AC77CB">
      <w:pPr>
        <w:ind w:right="237"/>
        <w:jc w:val="both"/>
        <w:rPr>
          <w:rFonts w:eastAsia="Arial"/>
          <w:color w:val="000000" w:themeColor="text1"/>
          <w:sz w:val="24"/>
          <w:szCs w:val="24"/>
        </w:rPr>
      </w:pPr>
      <w:r w:rsidRPr="5CE196A1">
        <w:rPr>
          <w:rFonts w:eastAsia="Arial"/>
          <w:b/>
          <w:bCs/>
          <w:color w:val="000000" w:themeColor="text1"/>
          <w:sz w:val="24"/>
          <w:szCs w:val="24"/>
        </w:rPr>
        <w:t>Vulnerability and Risk, Evidence-based policing</w:t>
      </w:r>
    </w:p>
    <w:p w14:paraId="58EB9F20" w14:textId="77777777" w:rsidR="00AC77CB" w:rsidRPr="00E676F7" w:rsidRDefault="00AC77CB" w:rsidP="00AC77CB">
      <w:pPr>
        <w:ind w:right="237"/>
        <w:jc w:val="both"/>
        <w:rPr>
          <w:rFonts w:eastAsia="Arial"/>
          <w:color w:val="000000" w:themeColor="text1"/>
          <w:sz w:val="24"/>
          <w:szCs w:val="24"/>
        </w:rPr>
      </w:pPr>
    </w:p>
    <w:p w14:paraId="624464F1" w14:textId="77777777" w:rsidR="00AC77CB" w:rsidRPr="00E676F7" w:rsidRDefault="00AC77CB" w:rsidP="00AC77CB">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74E154FA" w14:textId="77777777" w:rsidR="00AC77CB" w:rsidRPr="00E676F7" w:rsidRDefault="00AC77CB" w:rsidP="00AC77CB">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C77CB" w:rsidRPr="00E676F7" w14:paraId="31616F3C" w14:textId="77777777" w:rsidTr="00BF5262">
        <w:tc>
          <w:tcPr>
            <w:tcW w:w="10188" w:type="dxa"/>
            <w:shd w:val="clear" w:color="auto" w:fill="auto"/>
          </w:tcPr>
          <w:p w14:paraId="0385FC73" w14:textId="77777777" w:rsidR="00AC77CB" w:rsidRPr="00E676F7" w:rsidRDefault="00AC77CB" w:rsidP="00BF5262">
            <w:pPr>
              <w:ind w:right="237"/>
              <w:rPr>
                <w:sz w:val="24"/>
                <w:szCs w:val="24"/>
              </w:rPr>
            </w:pPr>
          </w:p>
          <w:p w14:paraId="4632848B" w14:textId="77777777" w:rsidR="00AC77CB" w:rsidRPr="00E676F7" w:rsidRDefault="00AC77CB" w:rsidP="00BF5262">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1B13AE40" w14:textId="77777777" w:rsidR="00AC77CB" w:rsidRPr="00E676F7" w:rsidRDefault="00AC77CB" w:rsidP="00BF5262">
            <w:pPr>
              <w:rPr>
                <w:rFonts w:eastAsia="Arial"/>
                <w:color w:val="000000" w:themeColor="text1"/>
                <w:sz w:val="24"/>
                <w:szCs w:val="24"/>
              </w:rPr>
            </w:pPr>
          </w:p>
          <w:p w14:paraId="5D109A5A" w14:textId="77777777" w:rsidR="00AC77CB" w:rsidRPr="00E676F7" w:rsidRDefault="00AC77CB" w:rsidP="00BF5262">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60FE4503" w14:textId="77777777" w:rsidR="00AC77CB" w:rsidRPr="00E676F7" w:rsidRDefault="00AC77CB" w:rsidP="00BF5262">
            <w:pPr>
              <w:rPr>
                <w:rFonts w:eastAsia="Arial"/>
                <w:color w:val="000000" w:themeColor="text1"/>
                <w:sz w:val="24"/>
                <w:szCs w:val="24"/>
              </w:rPr>
            </w:pPr>
          </w:p>
          <w:p w14:paraId="15AA6786" w14:textId="77777777" w:rsidR="00AC77CB" w:rsidRPr="00E676F7" w:rsidRDefault="00AC77CB" w:rsidP="00BF5262">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Consider the use of evidence-based policing. </w:t>
            </w:r>
          </w:p>
          <w:p w14:paraId="45523494" w14:textId="77777777" w:rsidR="00AC77CB" w:rsidRPr="00E676F7" w:rsidRDefault="00AC77CB" w:rsidP="00BF5262">
            <w:pPr>
              <w:ind w:right="237"/>
              <w:jc w:val="both"/>
              <w:rPr>
                <w:rFonts w:eastAsia="Arial"/>
                <w:color w:val="000000" w:themeColor="text1"/>
                <w:sz w:val="24"/>
                <w:szCs w:val="24"/>
              </w:rPr>
            </w:pPr>
          </w:p>
          <w:p w14:paraId="7DB7F4BE" w14:textId="77777777" w:rsidR="00AC77CB" w:rsidRPr="00E676F7" w:rsidRDefault="00AC77CB" w:rsidP="00BF5262">
            <w:pPr>
              <w:ind w:right="237"/>
              <w:jc w:val="both"/>
              <w:rPr>
                <w:rFonts w:eastAsia="Arial"/>
                <w:color w:val="000000" w:themeColor="text1"/>
                <w:sz w:val="24"/>
                <w:szCs w:val="24"/>
              </w:rPr>
            </w:pPr>
            <w:r w:rsidRPr="5CE196A1">
              <w:rPr>
                <w:rFonts w:eastAsia="Arial"/>
                <w:color w:val="000000" w:themeColor="text1"/>
                <w:sz w:val="24"/>
                <w:szCs w:val="24"/>
              </w:rPr>
              <w:t xml:space="preserve">2000 words </w:t>
            </w:r>
            <w:r w:rsidRPr="5CE196A1">
              <w:rPr>
                <w:rFonts w:eastAsia="Arial"/>
                <w:i/>
                <w:iCs/>
                <w:color w:val="000000" w:themeColor="text1"/>
                <w:sz w:val="24"/>
                <w:szCs w:val="24"/>
              </w:rPr>
              <w:t>(+/- 10%: include your actual word count at the end of each section)</w:t>
            </w:r>
          </w:p>
          <w:p w14:paraId="15351B35" w14:textId="77777777" w:rsidR="00AC77CB" w:rsidRPr="00E676F7" w:rsidRDefault="00AC77CB" w:rsidP="00BF5262">
            <w:pPr>
              <w:ind w:right="237"/>
              <w:jc w:val="both"/>
              <w:rPr>
                <w:sz w:val="24"/>
                <w:szCs w:val="24"/>
              </w:rPr>
            </w:pPr>
          </w:p>
        </w:tc>
      </w:tr>
    </w:tbl>
    <w:p w14:paraId="01F5265E" w14:textId="77777777" w:rsidR="00AC77CB" w:rsidRPr="00E676F7" w:rsidRDefault="00AC77CB" w:rsidP="00AC77CB">
      <w:pPr>
        <w:ind w:right="237"/>
        <w:jc w:val="both"/>
        <w:rPr>
          <w:sz w:val="24"/>
          <w:szCs w:val="24"/>
        </w:rPr>
      </w:pPr>
    </w:p>
    <w:p w14:paraId="34CDA842" w14:textId="77777777" w:rsidR="00AC77CB" w:rsidRPr="00E676F7" w:rsidRDefault="00AC77CB" w:rsidP="00AC77CB">
      <w:pPr>
        <w:ind w:right="237"/>
        <w:jc w:val="both"/>
        <w:rPr>
          <w:rFonts w:eastAsia="Arial"/>
          <w:color w:val="000000" w:themeColor="text1"/>
          <w:sz w:val="24"/>
          <w:szCs w:val="24"/>
        </w:rPr>
      </w:pPr>
    </w:p>
    <w:p w14:paraId="50BCCA17" w14:textId="77777777" w:rsidR="00AC77CB" w:rsidRPr="00E676F7" w:rsidRDefault="00AC77CB" w:rsidP="00AC77CB">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70356224" w14:textId="77777777" w:rsidR="00C05B8B" w:rsidRDefault="00C05B8B"/>
    <w:p w14:paraId="4153A4DA" w14:textId="4FA5A603" w:rsidR="006635EE" w:rsidRDefault="006635EE" w:rsidP="006A188A">
      <w:pPr>
        <w:spacing w:before="30" w:after="30" w:line="480" w:lineRule="auto"/>
      </w:pPr>
      <w:r>
        <w:t xml:space="preserve">A common misconception is that a police officer’s main priority or purpose is to apprehend criminals and investigate crime – whilst this is of course a key part of policing, I believe most police officers would however argue that their main objective is </w:t>
      </w:r>
      <w:proofErr w:type="gramStart"/>
      <w:r>
        <w:t>actually not</w:t>
      </w:r>
      <w:proofErr w:type="gramEnd"/>
      <w:r>
        <w:t xml:space="preserve"> subject-oriented, but towards the victim or potential victims of such matters. Our top priority as officers is the safeguarding of the public, with all officers told from their first day in training school that it is ‘preservation of life’ which must come first. This includes both the physical preservation of life, but also the victim’s well-being throughout the judicial process</w:t>
      </w:r>
      <w:r w:rsidR="000E481B">
        <w:t xml:space="preserve">, and the prevention of isolated incidents becoming repeated or escalated if we do not tackle them adequately at the earliest opportunity. </w:t>
      </w:r>
    </w:p>
    <w:p w14:paraId="18715C8C" w14:textId="3C1ACB19" w:rsidR="000E481B" w:rsidRDefault="000E481B" w:rsidP="006A188A">
      <w:pPr>
        <w:spacing w:before="30" w:after="30" w:line="480" w:lineRule="auto"/>
      </w:pPr>
      <w:r>
        <w:tab/>
        <w:t>This responsibility towards the public is not solely that of the police, however; other agencies also have their own part to play in addressing such issues</w:t>
      </w:r>
      <w:r w:rsidR="00753AA8">
        <w:t>, and</w:t>
      </w:r>
      <w:r>
        <w:t xml:space="preserve"> these can range from local authorities</w:t>
      </w:r>
      <w:r w:rsidR="007411E9">
        <w:t>, courts</w:t>
      </w:r>
      <w:r w:rsidR="00496BF9">
        <w:t xml:space="preserve"> and </w:t>
      </w:r>
      <w:r>
        <w:t xml:space="preserve">social services </w:t>
      </w:r>
      <w:r w:rsidR="00496BF9">
        <w:t>to independent charities</w:t>
      </w:r>
      <w:r w:rsidR="00AB48C6">
        <w:t xml:space="preserve"> and health services</w:t>
      </w:r>
      <w:r w:rsidR="00496BF9">
        <w:t>.</w:t>
      </w:r>
    </w:p>
    <w:p w14:paraId="20521FC2" w14:textId="67CD7529" w:rsidR="006635EE" w:rsidRDefault="00753AA8" w:rsidP="006A188A">
      <w:pPr>
        <w:spacing w:before="30" w:after="30" w:line="480" w:lineRule="auto"/>
      </w:pPr>
      <w:r>
        <w:tab/>
        <w:t xml:space="preserve">In this essay, </w:t>
      </w:r>
      <w:r w:rsidR="00536805">
        <w:t xml:space="preserve">using a policing incident I have attended, I intend to </w:t>
      </w:r>
      <w:r w:rsidR="00176D62">
        <w:t xml:space="preserve">critically evaluate the appropriateness of </w:t>
      </w:r>
      <w:r w:rsidR="00AB48C6">
        <w:t xml:space="preserve">different approaches available – both by police and other agencies </w:t>
      </w:r>
      <w:r w:rsidR="00CF47CC">
        <w:t>–</w:t>
      </w:r>
      <w:r w:rsidR="00AB48C6">
        <w:t xml:space="preserve"> </w:t>
      </w:r>
      <w:r w:rsidR="00CF47CC">
        <w:t xml:space="preserve">in supporting </w:t>
      </w:r>
      <w:r w:rsidR="00D95E5D">
        <w:t xml:space="preserve">or managing vulnerable people or people at risk of harm. I will also analyse the effectiveness of </w:t>
      </w:r>
      <w:r w:rsidR="00051E52">
        <w:t>these approaches in tackling repeat victimisation and offending</w:t>
      </w:r>
      <w:r w:rsidR="00EC7708">
        <w:t xml:space="preserve">, and how an evidence-based policing approach is utilised to </w:t>
      </w:r>
      <w:r w:rsidR="00265B88">
        <w:t>provide the best service possible to victims and target offenders.</w:t>
      </w:r>
      <w:r w:rsidR="00CD10F3">
        <w:tab/>
      </w:r>
    </w:p>
    <w:p w14:paraId="40FE983B" w14:textId="0763F9DA" w:rsidR="00CD10F3" w:rsidRDefault="00CD10F3" w:rsidP="006A188A">
      <w:pPr>
        <w:spacing w:before="30" w:after="30" w:line="480" w:lineRule="auto"/>
      </w:pPr>
      <w:r>
        <w:lastRenderedPageBreak/>
        <w:tab/>
        <w:t xml:space="preserve">I will begin by introducing my chosen policing incident. </w:t>
      </w:r>
      <w:r w:rsidR="00C546DF">
        <w:t>The initial report wa</w:t>
      </w:r>
      <w:r w:rsidR="00F2195C">
        <w:t xml:space="preserve">s made by the female victim stating that her ex-partner had been </w:t>
      </w:r>
      <w:r w:rsidR="00815E21">
        <w:t xml:space="preserve">sending her messages via social media and text since they separated </w:t>
      </w:r>
      <w:r w:rsidR="00B46FE1">
        <w:t xml:space="preserve">a year prior, and that she considered this to be Harassment. From speaking with the </w:t>
      </w:r>
      <w:proofErr w:type="gramStart"/>
      <w:r w:rsidR="00B46FE1">
        <w:t>victim</w:t>
      </w:r>
      <w:proofErr w:type="gramEnd"/>
      <w:r w:rsidR="00B46FE1">
        <w:t xml:space="preserve"> I quickly identified that the victim and subject had been </w:t>
      </w:r>
      <w:r w:rsidR="00304CD0">
        <w:t>in mutual communication with one another during this time, with the majority of the conversations being regarding their daughter.</w:t>
      </w:r>
      <w:r w:rsidR="00AD5EBB">
        <w:t xml:space="preserve"> It was only the week prior that </w:t>
      </w:r>
      <w:r w:rsidR="00CB0AFD">
        <w:t xml:space="preserve">she had actually asked him not to contact her, and even </w:t>
      </w:r>
      <w:proofErr w:type="gramStart"/>
      <w:r w:rsidR="00CB0AFD">
        <w:t>then</w:t>
      </w:r>
      <w:proofErr w:type="gramEnd"/>
      <w:r w:rsidR="00CB0AFD">
        <w:t xml:space="preserve"> she had continued speaking with him initially. </w:t>
      </w:r>
    </w:p>
    <w:p w14:paraId="79BCD2B6" w14:textId="2E8B6DF5" w:rsidR="00F3236F" w:rsidRDefault="00F3236F" w:rsidP="006A188A">
      <w:pPr>
        <w:spacing w:before="30" w:after="30" w:line="480" w:lineRule="auto"/>
      </w:pPr>
      <w:r>
        <w:tab/>
      </w:r>
      <w:r w:rsidR="004C68FE">
        <w:t>From a legislative conte</w:t>
      </w:r>
      <w:r w:rsidR="003B2879">
        <w:t>xt, f</w:t>
      </w:r>
      <w:r>
        <w:t xml:space="preserve">or the offence of Harassment to be made out, </w:t>
      </w:r>
      <w:r w:rsidR="00372F0D">
        <w:t xml:space="preserve">the Protection from Harassment Act 1997 </w:t>
      </w:r>
      <w:r w:rsidR="00C97D8D">
        <w:t>states that:</w:t>
      </w:r>
    </w:p>
    <w:p w14:paraId="691F1124" w14:textId="3317CCB7" w:rsidR="001B09A0" w:rsidRDefault="00C97D8D" w:rsidP="006A188A">
      <w:pPr>
        <w:spacing w:before="30" w:after="30" w:line="480" w:lineRule="auto"/>
      </w:pPr>
      <w:r>
        <w:tab/>
        <w:t>‘</w:t>
      </w:r>
      <w:r w:rsidR="001B09A0">
        <w:t>(1)</w:t>
      </w:r>
      <w:r w:rsidR="00AE7B56">
        <w:t xml:space="preserve"> </w:t>
      </w:r>
      <w:r w:rsidR="001B09A0">
        <w:t>A person must not pursue a course of conduct—</w:t>
      </w:r>
    </w:p>
    <w:p w14:paraId="67E176DB" w14:textId="6D339A8B" w:rsidR="001B09A0" w:rsidRDefault="001B09A0" w:rsidP="006A188A">
      <w:pPr>
        <w:spacing w:before="30" w:after="30" w:line="480" w:lineRule="auto"/>
      </w:pPr>
      <w:r>
        <w:t>(a)</w:t>
      </w:r>
      <w:r w:rsidR="00AE7B56">
        <w:t xml:space="preserve"> </w:t>
      </w:r>
      <w:r>
        <w:t>which amounts to harassment of another, and</w:t>
      </w:r>
    </w:p>
    <w:p w14:paraId="6ABBE581" w14:textId="0F7498F3" w:rsidR="00C97D8D" w:rsidRDefault="001B09A0" w:rsidP="006A188A">
      <w:pPr>
        <w:spacing w:before="30" w:after="30" w:line="480" w:lineRule="auto"/>
      </w:pPr>
      <w:r>
        <w:t>(b)</w:t>
      </w:r>
      <w:r w:rsidR="00AE7B56">
        <w:t xml:space="preserve"> </w:t>
      </w:r>
      <w:r>
        <w:t>which he knows or ought to know amounts to harassment of the other.</w:t>
      </w:r>
      <w:r w:rsidR="00AE7B56">
        <w:t>’ (CPS, 1997)</w:t>
      </w:r>
    </w:p>
    <w:p w14:paraId="2852B0D8" w14:textId="6AE5F6B1" w:rsidR="00DD439D" w:rsidRDefault="00DD439D" w:rsidP="006A188A">
      <w:pPr>
        <w:spacing w:before="30" w:after="30" w:line="480" w:lineRule="auto"/>
      </w:pPr>
    </w:p>
    <w:p w14:paraId="15977A18" w14:textId="3A971EF7" w:rsidR="00DD439D" w:rsidRDefault="00DD439D" w:rsidP="006A188A">
      <w:pPr>
        <w:spacing w:before="30" w:after="30" w:line="480" w:lineRule="auto"/>
      </w:pPr>
      <w:r>
        <w:t>Regarding the course of conduct element, what this means is that a person has to exhibit a behaviour constituting harassment on at least two occasions</w:t>
      </w:r>
      <w:r w:rsidR="00622872">
        <w:t xml:space="preserve"> – in this case making unwanted contact with the victim – and also he has to know (or should know) that the behaviour would be considered harassment – in this matter, as the victim was engaging in a two-way conversation with him then it would be unreasonable to expect him to know that this contact was unwanted, and therefore the offence of Harassment would not apply. It was only the final week just prior to her contacting police where the victim has made her views clear to the subject </w:t>
      </w:r>
      <w:r w:rsidR="0035179D">
        <w:t>by telling him so, and then refusing to reply, that our subject could have been considered guilty of the offence</w:t>
      </w:r>
      <w:r w:rsidR="00EA7D80">
        <w:t xml:space="preserve"> by continuing to send the victim unwanted messages</w:t>
      </w:r>
      <w:r w:rsidR="0035179D">
        <w:t>.</w:t>
      </w:r>
    </w:p>
    <w:p w14:paraId="5434283B" w14:textId="0D208BCD" w:rsidR="00EA7D80" w:rsidRDefault="00EA7D80" w:rsidP="006A188A">
      <w:pPr>
        <w:spacing w:before="30" w:after="30" w:line="480" w:lineRule="auto"/>
      </w:pPr>
      <w:r>
        <w:tab/>
      </w:r>
      <w:r w:rsidR="00554618">
        <w:t xml:space="preserve">In taking on this case, I </w:t>
      </w:r>
      <w:r w:rsidR="00802E7D">
        <w:t xml:space="preserve">felt it was important to be honest with the victim and to manage her expectations from the outset. </w:t>
      </w:r>
      <w:r w:rsidR="00AB3191">
        <w:t xml:space="preserve">Within </w:t>
      </w:r>
      <w:r w:rsidR="00CA42BC">
        <w:t>England and Wales</w:t>
      </w:r>
      <w:r w:rsidR="00AB3191">
        <w:t>, police officers and other service</w:t>
      </w:r>
      <w:r w:rsidR="000F6E16">
        <w:t xml:space="preserve"> providers</w:t>
      </w:r>
      <w:r w:rsidR="00AB3191">
        <w:t xml:space="preserve"> such as the </w:t>
      </w:r>
      <w:r w:rsidR="005C6405">
        <w:t>Crown Prosecution Service or probation services for example are governed by the Victim’s Code of Practice</w:t>
      </w:r>
      <w:r w:rsidR="002D44C1">
        <w:t xml:space="preserve"> (Ministry of Justice, 2023)</w:t>
      </w:r>
      <w:r w:rsidR="00CA42BC">
        <w:t xml:space="preserve"> </w:t>
      </w:r>
      <w:r w:rsidR="00BB3509">
        <w:t>– these are a set of twelve rights which apply to all victims of crime</w:t>
      </w:r>
      <w:r w:rsidR="007A609F">
        <w:t xml:space="preserve"> and act as a framework for ensuring that all victims are treated properly and fairly. </w:t>
      </w:r>
      <w:r w:rsidR="002D44C1">
        <w:t xml:space="preserve">Right #1 of this code is ‘To Be Able to Understand </w:t>
      </w:r>
      <w:proofErr w:type="gramStart"/>
      <w:r w:rsidR="002D44C1">
        <w:t>And</w:t>
      </w:r>
      <w:proofErr w:type="gramEnd"/>
      <w:r w:rsidR="002D44C1">
        <w:t xml:space="preserve"> To Be Un</w:t>
      </w:r>
      <w:r w:rsidR="0095521B">
        <w:t xml:space="preserve">derstood’ </w:t>
      </w:r>
      <w:r w:rsidR="00022ACB">
        <w:t>–</w:t>
      </w:r>
      <w:r w:rsidR="0095521B">
        <w:t xml:space="preserve"> </w:t>
      </w:r>
      <w:r w:rsidR="00022ACB">
        <w:t xml:space="preserve">it was important for me then to adhere to this code by ensuring that I was clear with the victim which offences may apply to her case and </w:t>
      </w:r>
      <w:r w:rsidR="00CE3887">
        <w:t xml:space="preserve">to ensure that she understood the offences outlined. I did this by talking her through the </w:t>
      </w:r>
      <w:r w:rsidR="00CE3887">
        <w:lastRenderedPageBreak/>
        <w:t xml:space="preserve">parameters of the offence, explaining for example why the previous messages – whereby she had been engaging with the subject and had not actually asked him to stop messaging her yet </w:t>
      </w:r>
      <w:r w:rsidR="00104024">
        <w:t>–</w:t>
      </w:r>
      <w:r w:rsidR="00CE3887">
        <w:t xml:space="preserve"> </w:t>
      </w:r>
      <w:r w:rsidR="00104024">
        <w:t xml:space="preserve">would not be applicable. </w:t>
      </w:r>
    </w:p>
    <w:p w14:paraId="7DD42C5A" w14:textId="2380335B" w:rsidR="000320C7" w:rsidRDefault="000320C7" w:rsidP="006A188A">
      <w:pPr>
        <w:spacing w:before="30" w:after="30" w:line="480" w:lineRule="auto"/>
      </w:pPr>
      <w:r>
        <w:tab/>
        <w:t xml:space="preserve">Right #4 of the code is ‘To be </w:t>
      </w:r>
      <w:r w:rsidR="00510303">
        <w:t xml:space="preserve">Referred to Services that Support Victims and have Services and Support Tailored to Your Needs.’ </w:t>
      </w:r>
      <w:proofErr w:type="gramStart"/>
      <w:r w:rsidR="00E27338">
        <w:t>In order to</w:t>
      </w:r>
      <w:proofErr w:type="gramEnd"/>
      <w:r w:rsidR="00E27338">
        <w:t xml:space="preserve"> ensure the safeguarding and confidence of my victim during this case, I made sure to refer her to relevant </w:t>
      </w:r>
      <w:r w:rsidR="001C6C63">
        <w:t>partner agencies which could support her</w:t>
      </w:r>
      <w:r w:rsidR="00E90762">
        <w:t xml:space="preserve">. </w:t>
      </w:r>
      <w:r w:rsidR="00204477">
        <w:t>One way I did this was by submitting a Public Protection Form (PPN)</w:t>
      </w:r>
      <w:r w:rsidR="00070B26">
        <w:t xml:space="preserve"> – this is an electronic form which gets processed by my force’s Public Protection Unit and then passed on to any relevant partner agencies; in this case, </w:t>
      </w:r>
      <w:r w:rsidR="00865E75">
        <w:t xml:space="preserve">Adult Services, </w:t>
      </w:r>
      <w:r w:rsidR="00863658">
        <w:t xml:space="preserve">Children’s Services </w:t>
      </w:r>
    </w:p>
    <w:p w14:paraId="521AACCB" w14:textId="6DD3B0D4" w:rsidR="001B09A0" w:rsidRDefault="001B09A0" w:rsidP="0062128C">
      <w:pPr>
        <w:spacing w:after="30"/>
      </w:pPr>
    </w:p>
    <w:p w14:paraId="2AD61E6C" w14:textId="5879A5E5" w:rsidR="005E6CB4" w:rsidRDefault="005E6CB4" w:rsidP="005E6CB4">
      <w:r>
        <w:t>814 WORDS SO FAR</w:t>
      </w:r>
    </w:p>
    <w:p w14:paraId="601F7B1E" w14:textId="6C361185" w:rsidR="005E6CB4" w:rsidRDefault="005E6CB4" w:rsidP="005E6CB4">
      <w:r>
        <w:t>UNFINISHED</w:t>
      </w:r>
    </w:p>
    <w:p w14:paraId="35E0165E" w14:textId="77777777" w:rsidR="009F01D6" w:rsidRDefault="009F01D6" w:rsidP="008F0A74"/>
    <w:p w14:paraId="1A4B5C95" w14:textId="20C80AB4" w:rsidR="009F01D6" w:rsidRDefault="009F01D6" w:rsidP="008F0A74">
      <w:hyperlink r:id="rId6" w:history="1">
        <w:r w:rsidRPr="00180EF3">
          <w:rPr>
            <w:rStyle w:val="Hyperlink"/>
          </w:rPr>
          <w:t>https://www.cps.gov.uk/legal-guidance/stalking-or-harassment</w:t>
        </w:r>
      </w:hyperlink>
    </w:p>
    <w:p w14:paraId="604400A9" w14:textId="36B39CAC" w:rsidR="00AE7BD2" w:rsidRDefault="00AE7BD2" w:rsidP="008F0A74">
      <w:hyperlink r:id="rId7" w:history="1">
        <w:r w:rsidRPr="00180EF3">
          <w:rPr>
            <w:rStyle w:val="Hyperlink"/>
          </w:rPr>
          <w:t>https://www.legislation.gov.uk/ukpga/1997/40</w:t>
        </w:r>
      </w:hyperlink>
    </w:p>
    <w:p w14:paraId="4AC2A62F" w14:textId="77777777" w:rsidR="00AE7BD2" w:rsidRDefault="00AE7BD2" w:rsidP="008F0A74"/>
    <w:p w14:paraId="3B4AA7BF" w14:textId="77777777" w:rsidR="009F01D6" w:rsidRDefault="009F01D6" w:rsidP="008F0A74"/>
    <w:p w14:paraId="78F4094A" w14:textId="77777777" w:rsidR="004679AC" w:rsidRDefault="004679AC" w:rsidP="008F0A74"/>
    <w:p w14:paraId="60DEF9B3" w14:textId="77777777" w:rsidR="004679AC" w:rsidRDefault="004679AC" w:rsidP="008F0A74"/>
    <w:p w14:paraId="515AAEE5" w14:textId="77777777" w:rsidR="006635EE" w:rsidRDefault="006635EE" w:rsidP="008F0A74"/>
    <w:p w14:paraId="5585BE6C" w14:textId="77777777" w:rsidR="008F0A74" w:rsidRDefault="008F0A74" w:rsidP="008F0A74"/>
    <w:p w14:paraId="49F9BA06" w14:textId="7BC30436" w:rsidR="008F0A74" w:rsidRDefault="008F0A74">
      <w:pPr>
        <w:overflowPunct/>
        <w:autoSpaceDE/>
        <w:autoSpaceDN/>
        <w:adjustRightInd/>
        <w:spacing w:after="160" w:line="259" w:lineRule="auto"/>
        <w:textAlignment w:val="auto"/>
      </w:pPr>
    </w:p>
    <w:p w14:paraId="33D09A5E" w14:textId="77777777" w:rsidR="005E6CB4" w:rsidRDefault="005E6CB4">
      <w:pPr>
        <w:overflowPunct/>
        <w:autoSpaceDE/>
        <w:autoSpaceDN/>
        <w:adjustRightInd/>
        <w:spacing w:after="160" w:line="259" w:lineRule="auto"/>
        <w:textAlignment w:val="auto"/>
      </w:pPr>
    </w:p>
    <w:p w14:paraId="076F756D" w14:textId="77777777" w:rsidR="005E6CB4" w:rsidRDefault="005E6CB4">
      <w:pPr>
        <w:overflowPunct/>
        <w:autoSpaceDE/>
        <w:autoSpaceDN/>
        <w:adjustRightInd/>
        <w:spacing w:after="160" w:line="259" w:lineRule="auto"/>
        <w:textAlignment w:val="auto"/>
      </w:pPr>
    </w:p>
    <w:p w14:paraId="2E827053" w14:textId="77777777" w:rsidR="005E6CB4" w:rsidRDefault="005E6CB4">
      <w:pPr>
        <w:overflowPunct/>
        <w:autoSpaceDE/>
        <w:autoSpaceDN/>
        <w:adjustRightInd/>
        <w:spacing w:after="160" w:line="259" w:lineRule="auto"/>
        <w:textAlignment w:val="auto"/>
      </w:pPr>
    </w:p>
    <w:p w14:paraId="15EAB018" w14:textId="77777777" w:rsidR="005E6CB4" w:rsidRDefault="005E6CB4">
      <w:pPr>
        <w:overflowPunct/>
        <w:autoSpaceDE/>
        <w:autoSpaceDN/>
        <w:adjustRightInd/>
        <w:spacing w:after="160" w:line="259" w:lineRule="auto"/>
        <w:textAlignment w:val="auto"/>
      </w:pPr>
    </w:p>
    <w:p w14:paraId="262E284F" w14:textId="77777777" w:rsidR="005E6CB4" w:rsidRDefault="005E6CB4">
      <w:pPr>
        <w:overflowPunct/>
        <w:autoSpaceDE/>
        <w:autoSpaceDN/>
        <w:adjustRightInd/>
        <w:spacing w:after="160" w:line="259" w:lineRule="auto"/>
        <w:textAlignment w:val="auto"/>
      </w:pPr>
    </w:p>
    <w:p w14:paraId="01A8C733" w14:textId="77777777" w:rsidR="005E6CB4" w:rsidRDefault="005E6CB4">
      <w:pPr>
        <w:overflowPunct/>
        <w:autoSpaceDE/>
        <w:autoSpaceDN/>
        <w:adjustRightInd/>
        <w:spacing w:after="160" w:line="259" w:lineRule="auto"/>
        <w:textAlignment w:val="auto"/>
      </w:pPr>
    </w:p>
    <w:p w14:paraId="569FDE2B" w14:textId="77777777" w:rsidR="005E6CB4" w:rsidRDefault="005E6CB4">
      <w:pPr>
        <w:overflowPunct/>
        <w:autoSpaceDE/>
        <w:autoSpaceDN/>
        <w:adjustRightInd/>
        <w:spacing w:after="160" w:line="259" w:lineRule="auto"/>
        <w:textAlignment w:val="auto"/>
      </w:pPr>
    </w:p>
    <w:p w14:paraId="79D9571B" w14:textId="77777777" w:rsidR="005E6CB4" w:rsidRDefault="005E6CB4">
      <w:pPr>
        <w:overflowPunct/>
        <w:autoSpaceDE/>
        <w:autoSpaceDN/>
        <w:adjustRightInd/>
        <w:spacing w:after="160" w:line="259" w:lineRule="auto"/>
        <w:textAlignment w:val="auto"/>
      </w:pPr>
    </w:p>
    <w:p w14:paraId="018AF3FB" w14:textId="77777777" w:rsidR="005E6CB4" w:rsidRDefault="005E6CB4">
      <w:pPr>
        <w:overflowPunct/>
        <w:autoSpaceDE/>
        <w:autoSpaceDN/>
        <w:adjustRightInd/>
        <w:spacing w:after="160" w:line="259" w:lineRule="auto"/>
        <w:textAlignment w:val="auto"/>
      </w:pPr>
    </w:p>
    <w:p w14:paraId="0A8B3A11" w14:textId="77777777" w:rsidR="005E6CB4" w:rsidRDefault="005E6CB4">
      <w:pPr>
        <w:overflowPunct/>
        <w:autoSpaceDE/>
        <w:autoSpaceDN/>
        <w:adjustRightInd/>
        <w:spacing w:after="160" w:line="259" w:lineRule="auto"/>
        <w:textAlignment w:val="auto"/>
      </w:pPr>
    </w:p>
    <w:p w14:paraId="097A0D5D" w14:textId="77777777" w:rsidR="005E6CB4" w:rsidRDefault="005E6CB4">
      <w:pPr>
        <w:overflowPunct/>
        <w:autoSpaceDE/>
        <w:autoSpaceDN/>
        <w:adjustRightInd/>
        <w:spacing w:after="160" w:line="259" w:lineRule="auto"/>
        <w:textAlignment w:val="auto"/>
      </w:pPr>
    </w:p>
    <w:p w14:paraId="216D88A7" w14:textId="77777777" w:rsidR="006A188A" w:rsidRDefault="006A188A">
      <w:pPr>
        <w:overflowPunct/>
        <w:autoSpaceDE/>
        <w:autoSpaceDN/>
        <w:adjustRightInd/>
        <w:spacing w:after="160" w:line="259" w:lineRule="auto"/>
        <w:textAlignment w:val="auto"/>
      </w:pPr>
    </w:p>
    <w:p w14:paraId="2D771129" w14:textId="77777777" w:rsidR="006A188A" w:rsidRDefault="006A188A">
      <w:pPr>
        <w:overflowPunct/>
        <w:autoSpaceDE/>
        <w:autoSpaceDN/>
        <w:adjustRightInd/>
        <w:spacing w:after="160" w:line="259" w:lineRule="auto"/>
        <w:textAlignment w:val="auto"/>
      </w:pPr>
    </w:p>
    <w:p w14:paraId="46B51892" w14:textId="77777777" w:rsidR="008F0A74" w:rsidRDefault="008F0A74"/>
    <w:p w14:paraId="5FE668EB" w14:textId="77777777" w:rsidR="00853A84" w:rsidRDefault="00853A84" w:rsidP="00AC77CB">
      <w:pPr>
        <w:ind w:right="237"/>
        <w:jc w:val="center"/>
        <w:rPr>
          <w:b/>
          <w:bCs/>
          <w:color w:val="000000" w:themeColor="text1"/>
          <w:sz w:val="28"/>
          <w:szCs w:val="28"/>
          <w:u w:val="single"/>
        </w:rPr>
      </w:pPr>
    </w:p>
    <w:p w14:paraId="1E86E9DC" w14:textId="77777777" w:rsidR="00853A84" w:rsidRDefault="00853A84" w:rsidP="00AC77CB">
      <w:pPr>
        <w:ind w:right="237"/>
        <w:jc w:val="center"/>
        <w:rPr>
          <w:b/>
          <w:bCs/>
          <w:color w:val="000000" w:themeColor="text1"/>
          <w:sz w:val="28"/>
          <w:szCs w:val="28"/>
          <w:u w:val="single"/>
        </w:rPr>
      </w:pPr>
    </w:p>
    <w:p w14:paraId="2B1E29B2" w14:textId="77777777" w:rsidR="00853A84" w:rsidRDefault="00853A84" w:rsidP="00AC77CB">
      <w:pPr>
        <w:ind w:right="237"/>
        <w:jc w:val="center"/>
        <w:rPr>
          <w:b/>
          <w:bCs/>
          <w:color w:val="000000" w:themeColor="text1"/>
          <w:sz w:val="28"/>
          <w:szCs w:val="28"/>
          <w:u w:val="single"/>
        </w:rPr>
      </w:pPr>
    </w:p>
    <w:p w14:paraId="550728B1" w14:textId="38C650FF" w:rsidR="00AC77CB" w:rsidRPr="00AC77CB" w:rsidRDefault="00AC77CB" w:rsidP="00AC77CB">
      <w:pPr>
        <w:ind w:right="237"/>
        <w:jc w:val="center"/>
        <w:rPr>
          <w:b/>
          <w:bCs/>
          <w:color w:val="000000" w:themeColor="text1"/>
          <w:sz w:val="28"/>
          <w:szCs w:val="28"/>
          <w:u w:val="single"/>
        </w:rPr>
      </w:pPr>
      <w:r w:rsidRPr="00AC77CB">
        <w:rPr>
          <w:b/>
          <w:bCs/>
          <w:color w:val="000000" w:themeColor="text1"/>
          <w:sz w:val="28"/>
          <w:szCs w:val="28"/>
          <w:u w:val="single"/>
        </w:rPr>
        <w:lastRenderedPageBreak/>
        <w:t>Task 2 Option 1:</w:t>
      </w:r>
      <w:r w:rsidRPr="00AC77CB">
        <w:rPr>
          <w:b/>
          <w:bCs/>
          <w:color w:val="000000" w:themeColor="text1"/>
          <w:sz w:val="28"/>
          <w:szCs w:val="28"/>
        </w:rPr>
        <w:t xml:space="preserve"> </w:t>
      </w:r>
    </w:p>
    <w:p w14:paraId="0EB0FA93" w14:textId="77777777" w:rsidR="00AC77CB" w:rsidRPr="00AC77CB" w:rsidRDefault="00AC77CB" w:rsidP="00AC77CB">
      <w:pPr>
        <w:ind w:right="237"/>
        <w:jc w:val="both"/>
        <w:rPr>
          <w:b/>
          <w:bCs/>
          <w:color w:val="000000" w:themeColor="text1"/>
          <w:sz w:val="28"/>
          <w:szCs w:val="28"/>
        </w:rPr>
      </w:pPr>
    </w:p>
    <w:p w14:paraId="36899EF0" w14:textId="77777777" w:rsidR="00AC77CB" w:rsidRPr="00AC77CB" w:rsidRDefault="00AC77CB" w:rsidP="00AC77CB">
      <w:pPr>
        <w:ind w:right="237"/>
        <w:jc w:val="both"/>
        <w:rPr>
          <w:rFonts w:eastAsia="Arial"/>
          <w:b/>
          <w:bCs/>
          <w:color w:val="000000" w:themeColor="text1"/>
          <w:sz w:val="24"/>
          <w:szCs w:val="24"/>
        </w:rPr>
      </w:pPr>
      <w:r w:rsidRPr="00AC77CB">
        <w:rPr>
          <w:rFonts w:eastAsia="Arial"/>
          <w:b/>
          <w:bCs/>
          <w:color w:val="000000" w:themeColor="text1"/>
          <w:sz w:val="24"/>
          <w:szCs w:val="24"/>
          <w:u w:val="single"/>
        </w:rPr>
        <w:t>Relevant areas of the National Policing Curriculum:</w:t>
      </w:r>
    </w:p>
    <w:p w14:paraId="58A3263E" w14:textId="77777777" w:rsidR="00AC77CB" w:rsidRPr="00AC77CB" w:rsidRDefault="00AC77CB" w:rsidP="00AC77CB">
      <w:pPr>
        <w:ind w:right="237"/>
        <w:jc w:val="both"/>
        <w:rPr>
          <w:b/>
          <w:bCs/>
          <w:color w:val="000000" w:themeColor="text1"/>
          <w:sz w:val="28"/>
          <w:szCs w:val="28"/>
        </w:rPr>
      </w:pPr>
    </w:p>
    <w:p w14:paraId="05FEF630" w14:textId="77777777" w:rsidR="00AC77CB" w:rsidRPr="00AC77CB" w:rsidRDefault="00AC77CB" w:rsidP="00AC77CB">
      <w:pPr>
        <w:ind w:right="237"/>
        <w:jc w:val="both"/>
        <w:rPr>
          <w:b/>
          <w:bCs/>
          <w:color w:val="000000" w:themeColor="text1"/>
          <w:sz w:val="24"/>
          <w:szCs w:val="24"/>
          <w:u w:val="single"/>
        </w:rPr>
      </w:pPr>
    </w:p>
    <w:p w14:paraId="213744DD" w14:textId="77777777" w:rsidR="00AC77CB" w:rsidRPr="00AC77CB" w:rsidRDefault="00AC77CB" w:rsidP="00AC77CB">
      <w:pPr>
        <w:ind w:right="237"/>
        <w:jc w:val="both"/>
        <w:rPr>
          <w:rFonts w:eastAsia="Arial"/>
          <w:color w:val="000000" w:themeColor="text1"/>
          <w:sz w:val="24"/>
          <w:szCs w:val="24"/>
          <w:u w:val="single"/>
        </w:rPr>
      </w:pPr>
      <w:r w:rsidRPr="00AC77CB">
        <w:rPr>
          <w:rFonts w:eastAsia="Arial"/>
          <w:b/>
          <w:bCs/>
          <w:color w:val="000000" w:themeColor="text1"/>
          <w:sz w:val="24"/>
          <w:szCs w:val="24"/>
          <w:u w:val="single"/>
        </w:rPr>
        <w:t>Response Policing</w:t>
      </w:r>
    </w:p>
    <w:p w14:paraId="60599951" w14:textId="77777777" w:rsidR="00AC77CB" w:rsidRPr="00AC77CB" w:rsidRDefault="00AC77CB" w:rsidP="00AC77CB">
      <w:pPr>
        <w:ind w:right="237"/>
        <w:jc w:val="both"/>
        <w:rPr>
          <w:rFonts w:eastAsia="Arial"/>
          <w:color w:val="000000" w:themeColor="text1"/>
          <w:sz w:val="24"/>
          <w:szCs w:val="24"/>
        </w:rPr>
      </w:pPr>
    </w:p>
    <w:p w14:paraId="685B99C1" w14:textId="77777777" w:rsidR="00AC77CB" w:rsidRPr="00AC77CB" w:rsidRDefault="00AC77CB" w:rsidP="00AC77CB">
      <w:pPr>
        <w:ind w:right="237"/>
        <w:jc w:val="both"/>
        <w:rPr>
          <w:rFonts w:eastAsia="Arial"/>
          <w:color w:val="000000" w:themeColor="text1"/>
          <w:sz w:val="24"/>
          <w:szCs w:val="24"/>
        </w:rPr>
      </w:pPr>
      <w:r w:rsidRPr="00AC77CB">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00AC77CB">
        <w:rPr>
          <w:rFonts w:eastAsia="Arial"/>
          <w:color w:val="000000" w:themeColor="text1"/>
          <w:sz w:val="24"/>
          <w:szCs w:val="24"/>
        </w:rPr>
        <w:t>crime</w:t>
      </w:r>
      <w:proofErr w:type="gramEnd"/>
    </w:p>
    <w:p w14:paraId="1D267F72" w14:textId="77777777" w:rsidR="00AC77CB" w:rsidRPr="00AC77CB" w:rsidRDefault="00AC77CB" w:rsidP="00AC77CB">
      <w:pPr>
        <w:ind w:right="237"/>
        <w:jc w:val="both"/>
        <w:rPr>
          <w:b/>
          <w:bCs/>
          <w:color w:val="000000" w:themeColor="text1"/>
          <w:sz w:val="24"/>
          <w:szCs w:val="24"/>
        </w:rPr>
      </w:pPr>
    </w:p>
    <w:p w14:paraId="68F3F554" w14:textId="77777777" w:rsidR="00AC77CB" w:rsidRPr="00AC77CB" w:rsidRDefault="00AC77CB" w:rsidP="00AC77CB">
      <w:pPr>
        <w:jc w:val="both"/>
        <w:rPr>
          <w:rFonts w:eastAsia="Arial"/>
          <w:color w:val="000000" w:themeColor="text1"/>
          <w:sz w:val="24"/>
          <w:szCs w:val="24"/>
        </w:rPr>
      </w:pPr>
      <w:r w:rsidRPr="00AC77CB">
        <w:rPr>
          <w:rFonts w:eastAsia="Arial"/>
          <w:color w:val="000000" w:themeColor="text1"/>
          <w:sz w:val="24"/>
          <w:szCs w:val="24"/>
        </w:rPr>
        <w:t xml:space="preserve">You should choose </w:t>
      </w:r>
      <w:r w:rsidRPr="00AC77CB">
        <w:rPr>
          <w:rFonts w:eastAsia="Arial"/>
          <w:b/>
          <w:bCs/>
          <w:color w:val="000000" w:themeColor="text1"/>
          <w:sz w:val="24"/>
          <w:szCs w:val="24"/>
          <w:u w:val="single"/>
        </w:rPr>
        <w:t xml:space="preserve">a domestic abuse incident </w:t>
      </w:r>
      <w:r w:rsidRPr="00AC77CB">
        <w:rPr>
          <w:rFonts w:eastAsia="Arial"/>
          <w:b/>
          <w:bCs/>
          <w:color w:val="000000" w:themeColor="text1"/>
          <w:sz w:val="24"/>
          <w:szCs w:val="24"/>
        </w:rPr>
        <w:t xml:space="preserve">that was of a complex nature, </w:t>
      </w:r>
      <w:r w:rsidRPr="00AC77CB">
        <w:rPr>
          <w:rFonts w:eastAsia="Arial"/>
          <w:color w:val="000000" w:themeColor="text1"/>
          <w:sz w:val="24"/>
          <w:szCs w:val="24"/>
        </w:rPr>
        <w:t>in which you played a significant role in providing a response.</w:t>
      </w:r>
    </w:p>
    <w:p w14:paraId="72178B34" w14:textId="77777777" w:rsidR="00AC77CB" w:rsidRPr="00AC77CB" w:rsidRDefault="00AC77CB" w:rsidP="00AC77CB">
      <w:pPr>
        <w:jc w:val="both"/>
      </w:pPr>
      <w:r w:rsidRPr="00AC77CB">
        <w:br/>
      </w:r>
    </w:p>
    <w:p w14:paraId="0C44351E" w14:textId="77777777" w:rsidR="00AC77CB" w:rsidRPr="00AC77CB" w:rsidRDefault="00AC77CB" w:rsidP="00AC77CB">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C77CB" w:rsidRPr="00AC77CB" w14:paraId="01945CF2" w14:textId="77777777" w:rsidTr="008F0A74">
        <w:tc>
          <w:tcPr>
            <w:tcW w:w="9016" w:type="dxa"/>
            <w:shd w:val="clear" w:color="auto" w:fill="auto"/>
          </w:tcPr>
          <w:p w14:paraId="2FB670AE" w14:textId="77777777" w:rsidR="00AC77CB" w:rsidRPr="00AC77CB" w:rsidRDefault="00AC77CB" w:rsidP="00AC77CB">
            <w:pPr>
              <w:ind w:right="237"/>
              <w:jc w:val="both"/>
              <w:rPr>
                <w:color w:val="000000" w:themeColor="text1"/>
                <w:sz w:val="24"/>
                <w:szCs w:val="24"/>
              </w:rPr>
            </w:pPr>
            <w:r w:rsidRPr="00AC77CB">
              <w:rPr>
                <w:color w:val="000000" w:themeColor="text1"/>
                <w:sz w:val="24"/>
                <w:szCs w:val="24"/>
              </w:rPr>
              <w:t xml:space="preserve"> </w:t>
            </w:r>
          </w:p>
          <w:p w14:paraId="050D8035" w14:textId="77777777" w:rsidR="00AC77CB" w:rsidRPr="00AC77CB" w:rsidRDefault="00AC77CB" w:rsidP="00AC77CB">
            <w:pPr>
              <w:rPr>
                <w:color w:val="000000" w:themeColor="text1"/>
                <w:sz w:val="28"/>
                <w:szCs w:val="28"/>
              </w:rPr>
            </w:pPr>
          </w:p>
          <w:p w14:paraId="71FC1F2F" w14:textId="77777777" w:rsidR="00AC77CB" w:rsidRPr="00AC77CB" w:rsidRDefault="00AC77CB" w:rsidP="00AC77CB">
            <w:pPr>
              <w:rPr>
                <w:rFonts w:asciiTheme="minorHAnsi" w:eastAsiaTheme="minorEastAsia" w:hAnsiTheme="minorHAnsi" w:cstheme="minorBidi"/>
                <w:color w:val="000000" w:themeColor="text1"/>
                <w:sz w:val="24"/>
                <w:szCs w:val="24"/>
              </w:rPr>
            </w:pPr>
            <w:r w:rsidRPr="00AC77CB">
              <w:rPr>
                <w:rFonts w:ascii="Calibri" w:eastAsia="Calibri" w:hAnsi="Calibri" w:cs="Calibri"/>
                <w:color w:val="000000" w:themeColor="text1"/>
                <w:sz w:val="28"/>
                <w:szCs w:val="28"/>
              </w:rPr>
              <w:t xml:space="preserve"> Critically assess the challenges associated with a domestic abuse incident that you have attended, and the strategies developed for effective policing in such challenging situations. </w:t>
            </w:r>
            <w:r w:rsidRPr="00AC77CB">
              <w:br/>
            </w:r>
          </w:p>
          <w:p w14:paraId="7045352C" w14:textId="77777777" w:rsidR="00AC77CB" w:rsidRPr="00AC77CB" w:rsidRDefault="00AC77CB" w:rsidP="00AC77CB">
            <w:pPr>
              <w:ind w:right="237"/>
              <w:rPr>
                <w:color w:val="000000" w:themeColor="text1"/>
                <w:sz w:val="24"/>
                <w:szCs w:val="24"/>
              </w:rPr>
            </w:pPr>
          </w:p>
          <w:p w14:paraId="2A15D6CA" w14:textId="77777777" w:rsidR="00AC77CB" w:rsidRPr="00AC77CB" w:rsidRDefault="00AC77CB" w:rsidP="00AC77CB">
            <w:pPr>
              <w:ind w:right="237"/>
              <w:jc w:val="both"/>
              <w:rPr>
                <w:sz w:val="24"/>
                <w:szCs w:val="24"/>
              </w:rPr>
            </w:pPr>
          </w:p>
          <w:p w14:paraId="22DDDC53" w14:textId="77777777" w:rsidR="00AC77CB" w:rsidRPr="00AC77CB" w:rsidRDefault="00AC77CB" w:rsidP="00AC77CB">
            <w:pPr>
              <w:ind w:right="237"/>
              <w:jc w:val="both"/>
              <w:rPr>
                <w:i/>
                <w:iCs/>
                <w:sz w:val="24"/>
                <w:szCs w:val="24"/>
              </w:rPr>
            </w:pPr>
            <w:r w:rsidRPr="00AC77CB">
              <w:rPr>
                <w:sz w:val="24"/>
                <w:szCs w:val="24"/>
              </w:rPr>
              <w:t xml:space="preserve">2000 words </w:t>
            </w:r>
            <w:r w:rsidRPr="00AC77CB">
              <w:rPr>
                <w:i/>
                <w:iCs/>
                <w:sz w:val="24"/>
                <w:szCs w:val="24"/>
              </w:rPr>
              <w:t>(+/- 10%: include your actual word count at the end of each section)</w:t>
            </w:r>
          </w:p>
          <w:p w14:paraId="345A26EF" w14:textId="77777777" w:rsidR="00AC77CB" w:rsidRPr="00AC77CB" w:rsidRDefault="00AC77CB" w:rsidP="00AC77CB">
            <w:pPr>
              <w:ind w:right="237"/>
              <w:jc w:val="both"/>
              <w:rPr>
                <w:sz w:val="24"/>
                <w:szCs w:val="24"/>
              </w:rPr>
            </w:pPr>
          </w:p>
        </w:tc>
      </w:tr>
    </w:tbl>
    <w:p w14:paraId="430C788E" w14:textId="77777777" w:rsidR="008F0A74" w:rsidRDefault="008F0A74" w:rsidP="008F0A74"/>
    <w:p w14:paraId="28F92D1D" w14:textId="77777777" w:rsidR="0020331A" w:rsidRDefault="0020331A" w:rsidP="008F0A74"/>
    <w:p w14:paraId="495A6241" w14:textId="77777777" w:rsidR="005E4998" w:rsidRPr="005E4998" w:rsidRDefault="005E4998" w:rsidP="005E4998">
      <w:pPr>
        <w:spacing w:after="30" w:line="480" w:lineRule="auto"/>
      </w:pPr>
      <w:r w:rsidRPr="005E4998">
        <w:t>Since the days when Robert Peel first founded the police in 1829 right up until the current day, police officers have always been involved in dealing with domestic abuse incidents in some form or another. Our perception and response to what domestic abuse is has of course adapted over time, and this evolution will undoubtedly continue, however the police by their very role and nature have always been at the forefront of responding to such matters. With advancements in reporting methods, better awareness of what domestic abuse includes and a variety of other contributing factors, the police of today are dealing with domestic abuse incidents on often a daily basis, with a 2014 HMIC report stating that ‘crime relating to domestic abuse constitutes some 8 percent of all recorded crime - and one third of recorded assaults with injury. On average the police receive an emergency call relating to domestic abuse every 30 seconds’ (HMIC, 2014).</w:t>
      </w:r>
    </w:p>
    <w:p w14:paraId="2B7828D6" w14:textId="77777777" w:rsidR="005E4998" w:rsidRPr="005E4998" w:rsidRDefault="005E4998" w:rsidP="005E4998">
      <w:pPr>
        <w:spacing w:after="30" w:line="480" w:lineRule="auto"/>
        <w:ind w:firstLine="720"/>
      </w:pPr>
      <w:r w:rsidRPr="005E4998">
        <w:t xml:space="preserve">For modern police officers, then, tackling domestic abuse is something we have to quickly become used to, and a key part of our role is ensuring that each case is risk-assessed </w:t>
      </w:r>
      <w:proofErr w:type="gramStart"/>
      <w:r w:rsidRPr="005E4998">
        <w:t>appropriately</w:t>
      </w:r>
      <w:proofErr w:type="gramEnd"/>
      <w:r w:rsidRPr="005E4998">
        <w:t xml:space="preserve"> and the proper safeguarding measures put in place for the victims and, sometimes, even the offenders.</w:t>
      </w:r>
    </w:p>
    <w:p w14:paraId="3BC36FAF" w14:textId="77777777" w:rsidR="005E4998" w:rsidRPr="005E4998" w:rsidRDefault="005E4998" w:rsidP="005E4998">
      <w:pPr>
        <w:spacing w:after="30" w:line="480" w:lineRule="auto"/>
        <w:ind w:firstLine="720"/>
      </w:pPr>
      <w:r w:rsidRPr="005E4998">
        <w:lastRenderedPageBreak/>
        <w:t>Within this essay, I will describe and critically assess a policing incident involving domestic abuse which I have attended, analysing the challenges that I faced whilst dealing with this matter, and exploring the strategies in place currently which assisted me in dealing with such matters.</w:t>
      </w:r>
    </w:p>
    <w:p w14:paraId="53A07386" w14:textId="77777777" w:rsidR="005E4998" w:rsidRPr="005E4998" w:rsidRDefault="005E4998" w:rsidP="005E4998">
      <w:pPr>
        <w:spacing w:after="30" w:line="480" w:lineRule="auto"/>
        <w:ind w:firstLine="720"/>
      </w:pPr>
      <w:r w:rsidRPr="005E4998">
        <w:t>I will begin by providing an outline of the incident which I have chosen and giving a brief explanation for why I have chosen this incident to critically assess.</w:t>
      </w:r>
    </w:p>
    <w:p w14:paraId="4D7CCB8C" w14:textId="77777777" w:rsidR="005E4998" w:rsidRPr="005E4998" w:rsidRDefault="005E4998" w:rsidP="005E4998">
      <w:pPr>
        <w:spacing w:after="30" w:line="480" w:lineRule="auto"/>
        <w:ind w:firstLine="720"/>
      </w:pPr>
      <w:r w:rsidRPr="005E4998">
        <w:t>When I first met the subject, it was in relation to her having committed criminal damage and assault at her home address, with the victim of each offence being her own mother. Over the following year, I would come to know each of them well: the subject would be arrested multiple times for various offences including public order, possession of a bladed article, arson, assaulting an emergency worker and false imprisonment. I would arrest the subject myself on a number of these occasions, and I was also the victim of one of her assaults myself in the course of my duties as a police officer. The primary victim, her mother, was caught in a difficult situation whereby she would repeatedly be assaulted, threatened, and have her property damaged – and so be compelled to call the police to avoid harm – whilst also desperately trying to avoid her daughter being criminally prosecuted. She would never provide a statement, never formally support prosecution, and would plead with attending officers not to arrest her daughter. This cycle of offences being committed, police being called, no charges being brought and her being released back to inevitably commit further offences lasted well over a year – with only recently the subject being given time in prison.</w:t>
      </w:r>
    </w:p>
    <w:p w14:paraId="47999AF7" w14:textId="77777777" w:rsidR="005E4998" w:rsidRPr="005E4998" w:rsidRDefault="005E4998" w:rsidP="005E4998">
      <w:pPr>
        <w:spacing w:after="30" w:line="480" w:lineRule="auto"/>
        <w:ind w:firstLine="720"/>
      </w:pPr>
      <w:r w:rsidRPr="005E4998">
        <w:t>The subject in this matter – at seventeen years old – was considered a child as she was not yet eighteen (Children’s Act, 1989). This fact presented its own challenges both from a police and judicial perspective but also from the perspective of relevant partner agencies such as Children’s Services. Whilst the age of criminal responsibility in Wales is set at ten years old (Children and Young Persons Act, 1963), the police and courts will always look for alternative methods of disposal initially – with arrest and criminal prosecution being a last resort.</w:t>
      </w:r>
    </w:p>
    <w:p w14:paraId="6ADADF27" w14:textId="77777777" w:rsidR="005E4998" w:rsidRPr="005E4998" w:rsidRDefault="005E4998" w:rsidP="005E4998">
      <w:pPr>
        <w:spacing w:after="30" w:line="480" w:lineRule="auto"/>
        <w:ind w:firstLine="720"/>
      </w:pPr>
      <w:r w:rsidRPr="005E4998">
        <w:t>The most updated legislation defining domestic abuse classifies it overall as being when two persons are ‘each aged 16 or over and are personally connected to each other, and the behaviour is abusive’ (Domestic Abuse Act, 2021). This definition sets out further detailing parameters within the act – in the context of my chosen incident the relevant parameters are that it involves physical and threatening behaviour, and that they are relatives, therefore personally connected.</w:t>
      </w:r>
    </w:p>
    <w:p w14:paraId="69AFCACF" w14:textId="77777777" w:rsidR="005E4998" w:rsidRPr="005E4998" w:rsidRDefault="005E4998" w:rsidP="005E4998">
      <w:pPr>
        <w:spacing w:after="30" w:line="480" w:lineRule="auto"/>
        <w:ind w:firstLine="720"/>
      </w:pPr>
      <w:r w:rsidRPr="005E4998">
        <w:lastRenderedPageBreak/>
        <w:t xml:space="preserve">Child to Parent Abuse (CPA) is a form of domestic abuse which is often overlooked – when we think of domestic abuse we usually think of partner to partner, however research conducted by Dr Paula Wilcox from the University of Brighton once claimed that one in ten families are experiencing some form of child to parent abuse (Wilcox, 2015). This illustrates that this is more widespread than most would assume – it </w:t>
      </w:r>
      <w:r w:rsidRPr="005E4998">
        <w:rPr>
          <w:i/>
          <w:iCs/>
        </w:rPr>
        <w:t>is</w:t>
      </w:r>
      <w:r w:rsidRPr="005E4998">
        <w:t xml:space="preserve"> a form of domestic abuse which leaves some people feeling demoralised and trapped. It is in this way no different from a partner living in fear from their spouse. One study conducted by the University of Oxford also described the control through intimidation which some parents felt subjected to from their children and their abusive actions, stating ‘This pattern of behaviour creates an environment where a parent lives in fear of their child and often curtails their own behaviour in order to avoid conflict, contain or minimise violence’ (Condry and Miles, 2012; 2014; 2015). Again, this point reinforces the affects that victims of child to parent abuse experience – living their lives under the constant threat and fear of violence. It also highlights how difficult it can be to tackle such abuse – as the parents of such children fear that any attempt at rebuking or rehabilitating the child will only prompt further abuse which will of course be directed towards themselves. It is a potentially vicious cycle if left unchallenged. </w:t>
      </w:r>
    </w:p>
    <w:p w14:paraId="180459EB" w14:textId="77777777" w:rsidR="005E4998" w:rsidRPr="005E4998" w:rsidRDefault="005E4998" w:rsidP="005E4998">
      <w:pPr>
        <w:spacing w:after="30" w:line="480" w:lineRule="auto"/>
        <w:ind w:firstLine="720"/>
      </w:pPr>
      <w:r w:rsidRPr="005E4998">
        <w:t xml:space="preserve"> During one early encounter I had with the subject female where she had assaulted her mother, the subject then also subsequently went on to assault me by punching me to the chest – she was therefore additionally arrested for assaulting an emergency worker.  </w:t>
      </w:r>
    </w:p>
    <w:p w14:paraId="79FA435E" w14:textId="77777777" w:rsidR="005E4998" w:rsidRPr="005E4998" w:rsidRDefault="005E4998" w:rsidP="005E4998">
      <w:pPr>
        <w:spacing w:after="30" w:line="480" w:lineRule="auto"/>
        <w:ind w:firstLine="720"/>
      </w:pPr>
      <w:r w:rsidRPr="005E4998">
        <w:tab/>
        <w:t>Despite the behaviour and offences committed against her, the mother immediately began begging us not to arrest her daughter. In this way, she showed us the ‘Catch 22’ position she found herself within – she could not allow the abuse towards herself to continue, and so had called police, but she also did not want her daughter, whom she loved dearly, to be arrested. This is not uncommon, with one 2022 report claiming that at least 40% of child-to-parent abuse goes unreported due to precisely the fear of their child being criminalised (London’s Violence Reduction Unit, 2022).</w:t>
      </w:r>
    </w:p>
    <w:p w14:paraId="10F7536E" w14:textId="77777777" w:rsidR="005E4998" w:rsidRPr="005E4998" w:rsidRDefault="005E4998" w:rsidP="005E4998">
      <w:pPr>
        <w:spacing w:after="30" w:line="480" w:lineRule="auto"/>
        <w:ind w:firstLine="720"/>
      </w:pPr>
      <w:r w:rsidRPr="005E4998">
        <w:t xml:space="preserve">When it comes to domestic violence, police officers are trained to always take ‘positive action’ – usually in cases where physical violence has occurred this will mean arresting the perpetrator, regardless of whether the victim is supportive of prosecution or not. Now, with the Office for National Statistics claiming that ‘51% of all domestic abuse prosecutions between 2017 and 2018 in England and Wales ended unsuccessfully because the victim did not attend court or did not support the prosecution’ (ONS, 2018), it is likely then that a case whereby a mother has reported her seventeen </w:t>
      </w:r>
      <w:r w:rsidRPr="005E4998">
        <w:lastRenderedPageBreak/>
        <w:t xml:space="preserve">year old daughter – and is not supporting prosecution – the chances of any actual criminal proceedings going ahead are extremely slim. </w:t>
      </w:r>
    </w:p>
    <w:p w14:paraId="7B48542F" w14:textId="77777777" w:rsidR="005E4998" w:rsidRPr="005E4998" w:rsidRDefault="005E4998" w:rsidP="005E4998">
      <w:pPr>
        <w:spacing w:after="30" w:line="480" w:lineRule="auto"/>
        <w:ind w:firstLine="720"/>
      </w:pPr>
      <w:r w:rsidRPr="005E4998">
        <w:tab/>
        <w:t xml:space="preserve">When presenting a child to custody an officer must also be aware that there is a possibility their detention may not be authorised by the custody sergeant. The custody sergeant will at this stage have to consider firstly whether Code G of the Police and Criminal Evidence Act (PACE) 1984 apply – that the necessary grounds have been met for the arrest – </w:t>
      </w:r>
      <w:proofErr w:type="gramStart"/>
      <w:r w:rsidRPr="005E4998">
        <w:t>and also</w:t>
      </w:r>
      <w:proofErr w:type="gramEnd"/>
      <w:r w:rsidRPr="005E4998">
        <w:t xml:space="preserve"> section 38(6) of PACE which stipulates that they must also consider:</w:t>
      </w:r>
    </w:p>
    <w:p w14:paraId="20D29C3E" w14:textId="77777777" w:rsidR="005E4998" w:rsidRPr="005E4998" w:rsidRDefault="005E4998" w:rsidP="005E4998">
      <w:pPr>
        <w:spacing w:after="30" w:line="480" w:lineRule="auto"/>
        <w:ind w:firstLine="720"/>
      </w:pPr>
    </w:p>
    <w:p w14:paraId="4AC0B217" w14:textId="77777777" w:rsidR="005E4998" w:rsidRPr="005E4998" w:rsidRDefault="005E4998" w:rsidP="005E4998">
      <w:pPr>
        <w:spacing w:after="30" w:line="480" w:lineRule="auto"/>
        <w:ind w:firstLine="720"/>
      </w:pPr>
      <w:r w:rsidRPr="005E4998">
        <w:t xml:space="preserve"> ‘In the case of an arrested juvenile who has attained the age of 12 years, that no secure accommodation is available and that keeping him in other local authority accommodation would not be adequate to protect the public from serious harm from him, secure that the arrested juvenile is moved to local authority accommodation.’ (College of Policing, 2023).</w:t>
      </w:r>
    </w:p>
    <w:p w14:paraId="5D7D05B4" w14:textId="77777777" w:rsidR="005E4998" w:rsidRPr="005E4998" w:rsidRDefault="005E4998" w:rsidP="005E4998">
      <w:pPr>
        <w:spacing w:after="30" w:line="480" w:lineRule="auto"/>
      </w:pPr>
    </w:p>
    <w:p w14:paraId="2050B311" w14:textId="77777777" w:rsidR="005E4998" w:rsidRPr="005E4998" w:rsidRDefault="005E4998" w:rsidP="005E4998">
      <w:pPr>
        <w:spacing w:after="30" w:line="480" w:lineRule="auto"/>
      </w:pPr>
      <w:r w:rsidRPr="005E4998">
        <w:tab/>
        <w:t>Our subject in the matter I dealt with was initially placed in the care of Children’s Services, however this eventually became impossible due to her repeated damaging of their property too, not to mention her attacking the provided staff; this became so severe that Children’s Services eventually refused to provide any further accommodation, resulting in her being returned to her mother, the primary victim of her abuse.</w:t>
      </w:r>
    </w:p>
    <w:p w14:paraId="52F26380" w14:textId="77777777" w:rsidR="005E4998" w:rsidRPr="005E4998" w:rsidRDefault="005E4998" w:rsidP="005E4998">
      <w:pPr>
        <w:spacing w:after="30" w:line="480" w:lineRule="auto"/>
      </w:pPr>
      <w:r w:rsidRPr="005E4998">
        <w:tab/>
        <w:t xml:space="preserve">Being a police officer is as much about safeguarding the victim as targeting the offender, however, and so despite the challenges faced in that respect, we did ensure we at least provided the victim with all the help we could. Part of this help is to offer the victim the chance to answer the designated Domestic Abuse, Stalking &amp; Harassment (DASH) questions established in 2009. This is a framework of questions put to potential victims of domestic abuse which ‘aims to identify domestic abuse victims at high risk of serious harm for referral to Multi-Agency Risk Assessment Conferences (MARAC)—multiagency panels producing coordinated action plans to increase victims’ safety and to manage perpetrators behaviour’ (Turner, Brown, and Medina, 2019). Part of this process is also for the completing officer to judge the matter as either Standard, </w:t>
      </w:r>
      <w:proofErr w:type="gramStart"/>
      <w:r w:rsidRPr="005E4998">
        <w:t>Medium</w:t>
      </w:r>
      <w:proofErr w:type="gramEnd"/>
      <w:r w:rsidRPr="005E4998">
        <w:t xml:space="preserve"> or High risk based on their own observations – with our matter, I would always select High Risk based on the daughter’s continued reoffending and her close proximity to the mother. By completing DASH with the victim in this way, we </w:t>
      </w:r>
      <w:r w:rsidRPr="005E4998">
        <w:lastRenderedPageBreak/>
        <w:t xml:space="preserve">ensure that there is an ongoing risk assessment taking place as well as the continued sharing of information with relevant partner agencies who may also be able to provide support. </w:t>
      </w:r>
    </w:p>
    <w:p w14:paraId="37DFF48D" w14:textId="77777777" w:rsidR="005E4998" w:rsidRPr="005E4998" w:rsidRDefault="005E4998" w:rsidP="005E4998">
      <w:pPr>
        <w:spacing w:after="30" w:line="480" w:lineRule="auto"/>
      </w:pPr>
      <w:r w:rsidRPr="005E4998">
        <w:tab/>
        <w:t xml:space="preserve">When considering the risk level of the DASH questions – and indeed when considering any actions I take during my attendance at a domestic abuse incident – I would always consider my decision with reference to the National </w:t>
      </w:r>
      <w:proofErr w:type="gramStart"/>
      <w:r w:rsidRPr="005E4998">
        <w:t>Decision Making</w:t>
      </w:r>
      <w:proofErr w:type="gramEnd"/>
      <w:r w:rsidRPr="005E4998">
        <w:t xml:space="preserve"> Model (College of Policing, 2014). The NDM provides a structure for officers to work through as we go, </w:t>
      </w:r>
      <w:proofErr w:type="gramStart"/>
      <w:r w:rsidRPr="005E4998">
        <w:t>taking into account</w:t>
      </w:r>
      <w:proofErr w:type="gramEnd"/>
      <w:r w:rsidRPr="005E4998">
        <w:t xml:space="preserve"> any relevant information, reminding us to consider any risks posed, and prompting us to identify any powers or policies available to us and then subsequently the options we have at our disposal. Once that decision has been made, the NDM then has us review the outcome – what worked well and what didn’t, so that we are always giving ourselves the most effective approach. With domestic abuse incidents, the NDM can be particularly valuable as these are often the incidents with the highest level of risk.</w:t>
      </w:r>
    </w:p>
    <w:p w14:paraId="25B590E7" w14:textId="77777777" w:rsidR="005E4998" w:rsidRPr="005E4998" w:rsidRDefault="005E4998" w:rsidP="005E4998">
      <w:pPr>
        <w:spacing w:after="30" w:line="480" w:lineRule="auto"/>
      </w:pPr>
      <w:r w:rsidRPr="005E4998">
        <w:tab/>
        <w:t xml:space="preserve">Another way of the police combating the risk of reoffending is the implementation of bail conditions on offenders (Bail Act, 1976). This was a method we used for this subject female, imposing a variety of different bail conditions on her throughout the past year to prevent reoffending and minimise risk to her victims, whilst also reducing the need for her to be remanded in custody – which, as mentioned above, is a last resort for child offenders. The challenge faced here was of course that her victim was her own mother, and as bail conditions </w:t>
      </w:r>
      <w:proofErr w:type="gramStart"/>
      <w:r w:rsidRPr="005E4998">
        <w:t>have to</w:t>
      </w:r>
      <w:proofErr w:type="gramEnd"/>
      <w:r w:rsidRPr="005E4998">
        <w:t xml:space="preserve"> be ‘necessary, reasonable, proportionate and capable of being enforced (CPS, 2023), the conditions that we did impose had to be considered carefully. It was not reasonable for example to impose no contact with her own mother whilst they lived together, however during the times when she was housed with Children’s Services this was a reasonable condition. </w:t>
      </w:r>
    </w:p>
    <w:p w14:paraId="4184B2ED" w14:textId="77777777" w:rsidR="005E4998" w:rsidRPr="005E4998" w:rsidRDefault="005E4998" w:rsidP="005E4998">
      <w:pPr>
        <w:spacing w:after="30" w:line="480" w:lineRule="auto"/>
      </w:pPr>
      <w:r w:rsidRPr="005E4998">
        <w:tab/>
      </w:r>
      <w:r w:rsidRPr="005E4998">
        <w:tab/>
        <w:t xml:space="preserve">Another option I utilised to try and reduce risk to the victim was to regularly recommend that she contact the Live Fear Free helpline, which is a dedicated contact number ‘which aims to offer confidential, and quality information and support to all survivors and victims of [domestic abuse]’ (Women’s Aid, 2015). By providing this option, I gave the mother an option to seek support even in the occasions where she felt too scared of penalisation to report her daughter; as the Live Fear Free helpline is independent of the police and purely a victim-focused service, I knew that doing so would provide this victim with a way of confidentially seeking help, thereby enhancing her </w:t>
      </w:r>
      <w:r w:rsidRPr="005E4998">
        <w:lastRenderedPageBreak/>
        <w:t xml:space="preserve">safeguarding – I knew that calling the police for her was a last resort, but I wanted to ensure that protecting herself was not. </w:t>
      </w:r>
    </w:p>
    <w:p w14:paraId="1AD1131B" w14:textId="77777777" w:rsidR="005E4998" w:rsidRPr="005E4998" w:rsidRDefault="005E4998" w:rsidP="005E4998">
      <w:pPr>
        <w:spacing w:after="30" w:line="480" w:lineRule="auto"/>
      </w:pPr>
      <w:r w:rsidRPr="005E4998">
        <w:tab/>
        <w:t xml:space="preserve">The </w:t>
      </w:r>
      <w:proofErr w:type="gramStart"/>
      <w:r w:rsidRPr="005E4998">
        <w:t>current status</w:t>
      </w:r>
      <w:proofErr w:type="gramEnd"/>
      <w:r w:rsidRPr="005E4998">
        <w:t xml:space="preserve"> of this subject female is, unfortunately, that she has ended up being sent to prison, having recently turned eighteen. Whilst this could be considered a failure to prevent her reoffending, it has to be acknowledged that this has been a last resort option – the female has at this point accumulated 460 police occurrences for varying offences; it must also be noted that by imprisoning her, we have wholly ensured that her mother is safeguarded from any further harm, and that is a positive outcome from this perspective. </w:t>
      </w:r>
    </w:p>
    <w:p w14:paraId="61D6A097" w14:textId="77777777" w:rsidR="005E4998" w:rsidRPr="005E4998" w:rsidRDefault="005E4998" w:rsidP="005E4998">
      <w:pPr>
        <w:spacing w:after="30" w:line="480" w:lineRule="auto"/>
        <w:ind w:firstLine="720"/>
      </w:pPr>
      <w:r w:rsidRPr="005E4998">
        <w:t xml:space="preserve">In conclusion, </w:t>
      </w:r>
      <w:proofErr w:type="gramStart"/>
      <w:r w:rsidRPr="005E4998">
        <w:t>it is clear that domestic</w:t>
      </w:r>
      <w:proofErr w:type="gramEnd"/>
      <w:r w:rsidRPr="005E4998">
        <w:t xml:space="preserve"> abuse is a challenge which will always be faced by police officers and a matter which faces ever-increasing scrutiny. Awareness of how serious child-to-parent abuse can be is still not as prevalent as it should be, however efforts are being made to improve this. There are, also, a wealth of options available to assist us in tackling these matters – and we can best arm ourselves as officers by always having these in mind, ensuring we are regularly receiving updated training, and by always being open to adopting additional new approaches if they are best-suited to our cases. The priority, by the very nature of policing, must always be simple: to safeguard the victim, target the offender, and deter future offences.</w:t>
      </w:r>
    </w:p>
    <w:p w14:paraId="01DB9A06" w14:textId="77777777" w:rsidR="005E4998" w:rsidRPr="005E4998" w:rsidRDefault="005E4998" w:rsidP="005E4998">
      <w:pPr>
        <w:spacing w:after="30" w:line="480" w:lineRule="auto"/>
      </w:pPr>
    </w:p>
    <w:p w14:paraId="60B09180" w14:textId="77777777" w:rsidR="005E4998" w:rsidRPr="005E4998" w:rsidRDefault="005E4998" w:rsidP="005E4998">
      <w:pPr>
        <w:spacing w:after="30" w:line="480" w:lineRule="auto"/>
      </w:pPr>
      <w:r w:rsidRPr="005E4998">
        <w:t>2,198 words</w:t>
      </w:r>
    </w:p>
    <w:p w14:paraId="6B6BB146" w14:textId="77777777" w:rsidR="00095722" w:rsidRDefault="00095722" w:rsidP="009B433B"/>
    <w:p w14:paraId="6F16C4C8" w14:textId="77777777" w:rsidR="00F022F7" w:rsidRDefault="00F022F7" w:rsidP="00F022F7"/>
    <w:p w14:paraId="1AE0ABB1" w14:textId="77777777" w:rsidR="00F022F7" w:rsidRDefault="00F022F7" w:rsidP="00F022F7"/>
    <w:p w14:paraId="01CAC20D" w14:textId="61952B0B" w:rsidR="00C54766" w:rsidRDefault="00000000" w:rsidP="00F022F7">
      <w:hyperlink r:id="rId8" w:history="1">
        <w:r w:rsidR="009B433B" w:rsidRPr="00925AF8">
          <w:rPr>
            <w:rStyle w:val="Hyperlink"/>
          </w:rPr>
          <w:t>https://academic.oup.com/bjc/article/59/5/1013/5518314</w:t>
        </w:r>
      </w:hyperlink>
    </w:p>
    <w:p w14:paraId="06389AB9" w14:textId="77777777" w:rsidR="009B433B" w:rsidRDefault="009B433B" w:rsidP="00F022F7"/>
    <w:p w14:paraId="3989F2E3" w14:textId="4438C489" w:rsidR="009B433B" w:rsidRDefault="00000000" w:rsidP="00F022F7">
      <w:hyperlink r:id="rId9" w:history="1">
        <w:r w:rsidR="009B433B" w:rsidRPr="00925AF8">
          <w:rPr>
            <w:rStyle w:val="Hyperlink"/>
          </w:rPr>
          <w:t>https://www.gov.wales/sites/default/files/statistics-and-research/2020-03/evaluability-assessment-of-the-live-fear-free-helpline_0.pdf</w:t>
        </w:r>
      </w:hyperlink>
    </w:p>
    <w:p w14:paraId="7071D8FD" w14:textId="77777777" w:rsidR="00C54766" w:rsidRDefault="00C54766" w:rsidP="006F128C">
      <w:pPr>
        <w:ind w:firstLine="720"/>
      </w:pPr>
    </w:p>
    <w:p w14:paraId="05EEF711" w14:textId="77777777" w:rsidR="007406EF" w:rsidRDefault="007406EF"/>
    <w:p w14:paraId="7A5C5757" w14:textId="228E9E5B" w:rsidR="007406EF" w:rsidRDefault="00000000">
      <w:hyperlink r:id="rId10" w:history="1">
        <w:r w:rsidR="003F176B" w:rsidRPr="00296D4F">
          <w:rPr>
            <w:rStyle w:val="Hyperlink"/>
          </w:rPr>
          <w:t>https://assets-hmicfrs.justiceinspectorates.gov.uk/uploads/2014/03/south-wales-approach-to-tackling-domestic-abuse.pdf</w:t>
        </w:r>
      </w:hyperlink>
    </w:p>
    <w:p w14:paraId="3121EA6B" w14:textId="77777777" w:rsidR="003F176B" w:rsidRDefault="003F176B"/>
    <w:p w14:paraId="2E4140F9" w14:textId="5CFE71AF" w:rsidR="003F176B" w:rsidRDefault="00000000">
      <w:hyperlink r:id="rId11" w:history="1">
        <w:r w:rsidR="003F176B" w:rsidRPr="00296D4F">
          <w:rPr>
            <w:rStyle w:val="Hyperlink"/>
          </w:rPr>
          <w:t>https://www.college.police.uk/app/detention-and-custody/detainee-care/children-and-young-persons</w:t>
        </w:r>
      </w:hyperlink>
    </w:p>
    <w:p w14:paraId="12B6A7E4" w14:textId="77777777" w:rsidR="003F176B" w:rsidRDefault="003F176B"/>
    <w:p w14:paraId="65E6A4C5" w14:textId="5026E3C7" w:rsidR="003F176B" w:rsidRDefault="00000000">
      <w:hyperlink r:id="rId12" w:history="1">
        <w:r w:rsidR="003F176B" w:rsidRPr="00296D4F">
          <w:rPr>
            <w:rStyle w:val="Hyperlink"/>
          </w:rPr>
          <w:t>https://assets.publishing.service.gov.uk/government/uploads/system/uploads/attachment_data/file/1000549/The_Children_Act_1989_guidance_and_regulations_Volume_2_care_planning__placement_and_case_review.pdf</w:t>
        </w:r>
      </w:hyperlink>
    </w:p>
    <w:p w14:paraId="0BA04DE4" w14:textId="77777777" w:rsidR="003F176B" w:rsidRDefault="003F176B"/>
    <w:p w14:paraId="2BA6BD27" w14:textId="2518DE6B" w:rsidR="002E384C" w:rsidRDefault="00000000">
      <w:hyperlink r:id="rId13" w:history="1">
        <w:r w:rsidR="002E384C" w:rsidRPr="00296D4F">
          <w:rPr>
            <w:rStyle w:val="Hyperlink"/>
          </w:rPr>
          <w:t>https://www.gov.uk/government/publications/preventing-offending-and-re-offending-by-children/collaborative-approaches-to-preventing-offending-and-re-offending-by-children-capricorn-summary</w:t>
        </w:r>
      </w:hyperlink>
    </w:p>
    <w:p w14:paraId="1CB9CB0D" w14:textId="77777777" w:rsidR="002E384C" w:rsidRDefault="002E384C"/>
    <w:p w14:paraId="28D36403" w14:textId="77777777" w:rsidR="002E384C" w:rsidRDefault="002E384C"/>
    <w:p w14:paraId="02B4B858" w14:textId="049B3C56" w:rsidR="00F57406" w:rsidRDefault="00000000">
      <w:hyperlink r:id="rId14" w:history="1">
        <w:r w:rsidR="00F57406" w:rsidRPr="00296D4F">
          <w:rPr>
            <w:rStyle w:val="Hyperlink"/>
          </w:rPr>
          <w:t>https://post.parliament.uk/research-briefings/post-pn-0577/</w:t>
        </w:r>
      </w:hyperlink>
    </w:p>
    <w:p w14:paraId="6F75FEE8" w14:textId="77777777" w:rsidR="002E384C" w:rsidRDefault="002E384C"/>
    <w:p w14:paraId="0B1FDDC1" w14:textId="20B6AB98" w:rsidR="00F57406" w:rsidRDefault="00000000">
      <w:hyperlink r:id="rId15" w:history="1">
        <w:r w:rsidR="002E384C" w:rsidRPr="00296D4F">
          <w:rPr>
            <w:rStyle w:val="Hyperlink"/>
          </w:rPr>
          <w:t>https://www.brighton.ac.uk/research/groups/social-science-policy/research-projects/responding-to-child-to-parent-violence.aspx</w:t>
        </w:r>
      </w:hyperlink>
    </w:p>
    <w:p w14:paraId="0F7BEF5C" w14:textId="77777777" w:rsidR="002E384C" w:rsidRDefault="002E384C"/>
    <w:p w14:paraId="364F5694" w14:textId="77777777" w:rsidR="002E384C" w:rsidRDefault="00000000" w:rsidP="002E384C">
      <w:hyperlink r:id="rId16" w:history="1">
        <w:r w:rsidR="002E384C" w:rsidRPr="00296D4F">
          <w:rPr>
            <w:rStyle w:val="Hyperlink"/>
          </w:rPr>
          <w:t>https://irp.cdn-website.com/fa6ebd65/files/uploaded/Child+to+Parent+Abuse+Parent+Survey.pdf</w:t>
        </w:r>
      </w:hyperlink>
    </w:p>
    <w:p w14:paraId="3520A458" w14:textId="77777777" w:rsidR="002E384C" w:rsidRDefault="002E384C"/>
    <w:p w14:paraId="0FB01C09" w14:textId="26BEACF3" w:rsidR="006F128C" w:rsidRDefault="00000000">
      <w:hyperlink r:id="rId17" w:history="1">
        <w:r w:rsidR="006F128C" w:rsidRPr="00296D4F">
          <w:rPr>
            <w:rStyle w:val="Hyperlink"/>
          </w:rPr>
          <w:t>https://safelives.org.uk/sites/default/files/resources/HO%20Information%20APVA.pdf</w:t>
        </w:r>
      </w:hyperlink>
    </w:p>
    <w:p w14:paraId="18B9F348" w14:textId="77777777" w:rsidR="006F128C" w:rsidRDefault="006F128C"/>
    <w:p w14:paraId="6C6EBD1C" w14:textId="33EFB840" w:rsidR="000569DC" w:rsidRDefault="00000000">
      <w:hyperlink r:id="rId18" w:history="1">
        <w:r w:rsidR="000569DC" w:rsidRPr="00296D4F">
          <w:rPr>
            <w:rStyle w:val="Hyperlink"/>
          </w:rPr>
          <w:t>https://www.allaboutlaw.co.uk/commercial-awareness/legal-spotlight/why-does-the-cps-pursue-cases-even-without-victim-support-</w:t>
        </w:r>
      </w:hyperlink>
    </w:p>
    <w:p w14:paraId="44ED7B56" w14:textId="77777777" w:rsidR="000569DC" w:rsidRDefault="000569DC"/>
    <w:p w14:paraId="336BA659" w14:textId="761AED8B" w:rsidR="00345C89" w:rsidRDefault="00000000">
      <w:hyperlink r:id="rId19" w:anchor="domestic-abuse-related-offences-specific-crime-types" w:history="1">
        <w:r w:rsidR="00345C89" w:rsidRPr="00925AF8">
          <w:rPr>
            <w:rStyle w:val="Hyperlink"/>
          </w:rPr>
          <w:t>https://www.ons.gov.uk/peoplepopulationandcommunity/crimeandjustice/bulletins/domesticabuseinenglandandwales/yearendingmarch2018#domestic-abuse-related-offences-specific-crime-types</w:t>
        </w:r>
      </w:hyperlink>
    </w:p>
    <w:p w14:paraId="4602696C" w14:textId="77777777" w:rsidR="00345C89" w:rsidRDefault="00345C89"/>
    <w:p w14:paraId="7CBDC371" w14:textId="63D8A8A5" w:rsidR="00274FCA" w:rsidRDefault="00000000">
      <w:hyperlink r:id="rId20" w:history="1">
        <w:r w:rsidR="00274FCA" w:rsidRPr="00925AF8">
          <w:rPr>
            <w:rStyle w:val="Hyperlink"/>
          </w:rPr>
          <w:t>https://www.london.gov.uk/press-releases/mayoral/mayors-new-research-into-child-to-parent-violence</w:t>
        </w:r>
      </w:hyperlink>
    </w:p>
    <w:p w14:paraId="2EBE2662" w14:textId="77777777" w:rsidR="00274FCA" w:rsidRDefault="00274FCA"/>
    <w:p w14:paraId="5DBF287F" w14:textId="6BBC5CC8" w:rsidR="00274FCA" w:rsidRDefault="00000000">
      <w:hyperlink r:id="rId21" w:history="1">
        <w:r w:rsidR="00274FCA" w:rsidRPr="00925AF8">
          <w:rPr>
            <w:rStyle w:val="Hyperlink"/>
          </w:rPr>
          <w:t>https://www.london.gov.uk/sites/default/files/comprehensive_needs_assessment_of_child-adolescent_to_parent_violence_and_abuse_in_london.pdf</w:t>
        </w:r>
      </w:hyperlink>
    </w:p>
    <w:p w14:paraId="60CA619D" w14:textId="77777777" w:rsidR="00BF22D3" w:rsidRDefault="00BF22D3"/>
    <w:p w14:paraId="285E8710" w14:textId="2B4AC3DF" w:rsidR="00BF22D3" w:rsidRDefault="00000000">
      <w:hyperlink r:id="rId22" w:history="1">
        <w:r w:rsidR="00BF22D3" w:rsidRPr="00925AF8">
          <w:rPr>
            <w:rStyle w:val="Hyperlink"/>
          </w:rPr>
          <w:t>https://library.college.police.uk/docs/college-of-policing/Risk-led-policing-2-2016.pdf</w:t>
        </w:r>
      </w:hyperlink>
    </w:p>
    <w:p w14:paraId="347138DB" w14:textId="77777777" w:rsidR="009B433B" w:rsidRDefault="009B433B"/>
    <w:p w14:paraId="4C217F6F" w14:textId="17741FFE" w:rsidR="009B433B" w:rsidRDefault="00000000">
      <w:hyperlink r:id="rId23" w:history="1">
        <w:r w:rsidR="009B433B" w:rsidRPr="00925AF8">
          <w:rPr>
            <w:rStyle w:val="Hyperlink"/>
          </w:rPr>
          <w:t>https://welshwomensaid.org.uk/wp-content/uploads/2022/12/Live-Fear-Free-Privacy-Notice.pdf</w:t>
        </w:r>
      </w:hyperlink>
    </w:p>
    <w:p w14:paraId="0EAE5777" w14:textId="77777777" w:rsidR="009B433B" w:rsidRDefault="009B433B"/>
    <w:p w14:paraId="60DE9D76" w14:textId="77777777" w:rsidR="00BF22D3" w:rsidRDefault="00BF22D3"/>
    <w:sectPr w:rsidR="00BF22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7CB"/>
    <w:rsid w:val="00022ACB"/>
    <w:rsid w:val="00023E93"/>
    <w:rsid w:val="000320C7"/>
    <w:rsid w:val="00051E52"/>
    <w:rsid w:val="000569DC"/>
    <w:rsid w:val="00070B26"/>
    <w:rsid w:val="00095722"/>
    <w:rsid w:val="000A0AF4"/>
    <w:rsid w:val="000A4BC4"/>
    <w:rsid w:val="000E481B"/>
    <w:rsid w:val="000F6E16"/>
    <w:rsid w:val="00104024"/>
    <w:rsid w:val="00113816"/>
    <w:rsid w:val="00175507"/>
    <w:rsid w:val="00176D62"/>
    <w:rsid w:val="001A1EDA"/>
    <w:rsid w:val="001B09A0"/>
    <w:rsid w:val="001B56A9"/>
    <w:rsid w:val="001C6C63"/>
    <w:rsid w:val="0020331A"/>
    <w:rsid w:val="00204477"/>
    <w:rsid w:val="00242583"/>
    <w:rsid w:val="002466BF"/>
    <w:rsid w:val="00265B88"/>
    <w:rsid w:val="00274FCA"/>
    <w:rsid w:val="002D1E4B"/>
    <w:rsid w:val="002D44C1"/>
    <w:rsid w:val="002E384C"/>
    <w:rsid w:val="002F0395"/>
    <w:rsid w:val="002F76E8"/>
    <w:rsid w:val="00304CD0"/>
    <w:rsid w:val="00345C89"/>
    <w:rsid w:val="0035179D"/>
    <w:rsid w:val="00372F0D"/>
    <w:rsid w:val="003B2879"/>
    <w:rsid w:val="003D1995"/>
    <w:rsid w:val="003E0232"/>
    <w:rsid w:val="003F176B"/>
    <w:rsid w:val="003F6B46"/>
    <w:rsid w:val="004679AC"/>
    <w:rsid w:val="00496BF9"/>
    <w:rsid w:val="004B07AE"/>
    <w:rsid w:val="004C68FE"/>
    <w:rsid w:val="004D45B9"/>
    <w:rsid w:val="004D7E16"/>
    <w:rsid w:val="004E3A38"/>
    <w:rsid w:val="00504BDC"/>
    <w:rsid w:val="00510303"/>
    <w:rsid w:val="00526F12"/>
    <w:rsid w:val="00536805"/>
    <w:rsid w:val="00554618"/>
    <w:rsid w:val="005A0BD9"/>
    <w:rsid w:val="005C6405"/>
    <w:rsid w:val="005E4998"/>
    <w:rsid w:val="005E6CB4"/>
    <w:rsid w:val="0062128C"/>
    <w:rsid w:val="00622872"/>
    <w:rsid w:val="00652339"/>
    <w:rsid w:val="006635EE"/>
    <w:rsid w:val="006A188A"/>
    <w:rsid w:val="006A717D"/>
    <w:rsid w:val="006C61A6"/>
    <w:rsid w:val="006F128C"/>
    <w:rsid w:val="0071572B"/>
    <w:rsid w:val="007406EF"/>
    <w:rsid w:val="007411E9"/>
    <w:rsid w:val="00753AA8"/>
    <w:rsid w:val="007540B0"/>
    <w:rsid w:val="00772213"/>
    <w:rsid w:val="00790FE6"/>
    <w:rsid w:val="007A609F"/>
    <w:rsid w:val="00802E7D"/>
    <w:rsid w:val="0081582B"/>
    <w:rsid w:val="00815E21"/>
    <w:rsid w:val="00817155"/>
    <w:rsid w:val="00853A84"/>
    <w:rsid w:val="00863658"/>
    <w:rsid w:val="00865E75"/>
    <w:rsid w:val="00872779"/>
    <w:rsid w:val="008902F6"/>
    <w:rsid w:val="008F0A74"/>
    <w:rsid w:val="0095521B"/>
    <w:rsid w:val="00995BE6"/>
    <w:rsid w:val="009B0EC2"/>
    <w:rsid w:val="009B3AEB"/>
    <w:rsid w:val="009B433B"/>
    <w:rsid w:val="009F01D6"/>
    <w:rsid w:val="00A13269"/>
    <w:rsid w:val="00A279F3"/>
    <w:rsid w:val="00A37FA2"/>
    <w:rsid w:val="00A90140"/>
    <w:rsid w:val="00AB3191"/>
    <w:rsid w:val="00AB48C6"/>
    <w:rsid w:val="00AC615D"/>
    <w:rsid w:val="00AC77CB"/>
    <w:rsid w:val="00AD5EBB"/>
    <w:rsid w:val="00AE7B56"/>
    <w:rsid w:val="00AE7BD2"/>
    <w:rsid w:val="00B07944"/>
    <w:rsid w:val="00B32358"/>
    <w:rsid w:val="00B46FE1"/>
    <w:rsid w:val="00B47D0F"/>
    <w:rsid w:val="00B90819"/>
    <w:rsid w:val="00B97433"/>
    <w:rsid w:val="00BA1A39"/>
    <w:rsid w:val="00BB3509"/>
    <w:rsid w:val="00BD6D0B"/>
    <w:rsid w:val="00BF22D3"/>
    <w:rsid w:val="00C05B8B"/>
    <w:rsid w:val="00C10C65"/>
    <w:rsid w:val="00C546DF"/>
    <w:rsid w:val="00C54766"/>
    <w:rsid w:val="00C66377"/>
    <w:rsid w:val="00C712F7"/>
    <w:rsid w:val="00C97D8D"/>
    <w:rsid w:val="00CA42BC"/>
    <w:rsid w:val="00CB08DF"/>
    <w:rsid w:val="00CB0AFD"/>
    <w:rsid w:val="00CD10F3"/>
    <w:rsid w:val="00CE3887"/>
    <w:rsid w:val="00CF47CC"/>
    <w:rsid w:val="00D95E5D"/>
    <w:rsid w:val="00DD439D"/>
    <w:rsid w:val="00E17447"/>
    <w:rsid w:val="00E27338"/>
    <w:rsid w:val="00E90762"/>
    <w:rsid w:val="00EA6F6F"/>
    <w:rsid w:val="00EA7D80"/>
    <w:rsid w:val="00EC7708"/>
    <w:rsid w:val="00ED3561"/>
    <w:rsid w:val="00EE7CC8"/>
    <w:rsid w:val="00F022F7"/>
    <w:rsid w:val="00F2195C"/>
    <w:rsid w:val="00F3236F"/>
    <w:rsid w:val="00F44134"/>
    <w:rsid w:val="00F57406"/>
    <w:rsid w:val="00F66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F94E3"/>
  <w15:chartTrackingRefBased/>
  <w15:docId w15:val="{C5B96F80-DDB2-4019-8E76-056AC903C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7CB"/>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176B"/>
    <w:rPr>
      <w:color w:val="0563C1" w:themeColor="hyperlink"/>
      <w:u w:val="single"/>
    </w:rPr>
  </w:style>
  <w:style w:type="character" w:styleId="UnresolvedMention">
    <w:name w:val="Unresolved Mention"/>
    <w:basedOn w:val="DefaultParagraphFont"/>
    <w:uiPriority w:val="99"/>
    <w:semiHidden/>
    <w:unhideWhenUsed/>
    <w:rsid w:val="003F176B"/>
    <w:rPr>
      <w:color w:val="605E5C"/>
      <w:shd w:val="clear" w:color="auto" w:fill="E1DFDD"/>
    </w:rPr>
  </w:style>
  <w:style w:type="table" w:styleId="TableGrid">
    <w:name w:val="Table Grid"/>
    <w:basedOn w:val="TableNormal"/>
    <w:rsid w:val="004D7E16"/>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jc/article/59/5/1013/5518314" TargetMode="External"/><Relationship Id="rId13" Type="http://schemas.openxmlformats.org/officeDocument/2006/relationships/hyperlink" Target="https://www.gov.uk/government/publications/preventing-offending-and-re-offending-by-children/collaborative-approaches-to-preventing-offending-and-re-offending-by-children-capricorn-summary" TargetMode="External"/><Relationship Id="rId18" Type="http://schemas.openxmlformats.org/officeDocument/2006/relationships/hyperlink" Target="https://www.allaboutlaw.co.uk/commercial-awareness/legal-spotlight/why-does-the-cps-pursue-cases-even-without-victim-support-" TargetMode="External"/><Relationship Id="rId3" Type="http://schemas.openxmlformats.org/officeDocument/2006/relationships/settings" Target="settings.xml"/><Relationship Id="rId21" Type="http://schemas.openxmlformats.org/officeDocument/2006/relationships/hyperlink" Target="https://www.london.gov.uk/sites/default/files/comprehensive_needs_assessment_of_child-adolescent_to_parent_violence_and_abuse_in_london.pdf" TargetMode="External"/><Relationship Id="rId7" Type="http://schemas.openxmlformats.org/officeDocument/2006/relationships/hyperlink" Target="https://www.legislation.gov.uk/ukpga/1997/40" TargetMode="External"/><Relationship Id="rId12"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17" Type="http://schemas.openxmlformats.org/officeDocument/2006/relationships/hyperlink" Target="https://safelives.org.uk/sites/default/files/resources/HO%20Information%20APVA.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irp.cdn-website.com/fa6ebd65/files/uploaded/Child+to+Parent+Abuse+Parent+Survey.pdf" TargetMode="External"/><Relationship Id="rId20" Type="http://schemas.openxmlformats.org/officeDocument/2006/relationships/hyperlink" Target="https://www.london.gov.uk/press-releases/mayoral/mayors-new-research-into-child-to-parent-violence" TargetMode="External"/><Relationship Id="rId1" Type="http://schemas.openxmlformats.org/officeDocument/2006/relationships/customXml" Target="../customXml/item1.xml"/><Relationship Id="rId6" Type="http://schemas.openxmlformats.org/officeDocument/2006/relationships/hyperlink" Target="https://www.cps.gov.uk/legal-guidance/stalking-or-harassment" TargetMode="External"/><Relationship Id="rId11" Type="http://schemas.openxmlformats.org/officeDocument/2006/relationships/hyperlink" Target="https://www.college.police.uk/app/detention-and-custody/detainee-care/children-and-young-persons"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brighton.ac.uk/research/groups/social-science-policy/research-projects/responding-to-child-to-parent-violence.aspx" TargetMode="External"/><Relationship Id="rId23" Type="http://schemas.openxmlformats.org/officeDocument/2006/relationships/hyperlink" Target="https://welshwomensaid.org.uk/wp-content/uploads/2022/12/Live-Fear-Free-Privacy-Notice.pdf" TargetMode="External"/><Relationship Id="rId10" Type="http://schemas.openxmlformats.org/officeDocument/2006/relationships/hyperlink" Target="https://assets-hmicfrs.justiceinspectorates.gov.uk/uploads/2014/03/south-wales-approach-to-tackling-domestic-abuse.pdf" TargetMode="External"/><Relationship Id="rId19" Type="http://schemas.openxmlformats.org/officeDocument/2006/relationships/hyperlink" Target="https://www.ons.gov.uk/peoplepopulationandcommunity/crimeandjustice/bulletins/domesticabuseinenglandandwales/yearendingmarch2018" TargetMode="External"/><Relationship Id="rId4" Type="http://schemas.openxmlformats.org/officeDocument/2006/relationships/webSettings" Target="webSettings.xml"/><Relationship Id="rId9" Type="http://schemas.openxmlformats.org/officeDocument/2006/relationships/hyperlink" Target="https://www.gov.wales/sites/default/files/statistics-and-research/2020-03/evaluability-assessment-of-the-live-fear-free-helpline_0.pdf" TargetMode="External"/><Relationship Id="rId14" Type="http://schemas.openxmlformats.org/officeDocument/2006/relationships/hyperlink" Target="https://post.parliament.uk/research-briefings/post-pn-0577/" TargetMode="External"/><Relationship Id="rId22" Type="http://schemas.openxmlformats.org/officeDocument/2006/relationships/hyperlink" Target="https://library.college.police.uk/docs/college-of-policing/Risk-led-policing-2-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24E428-995C-4251-9328-ED336F722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11</Pages>
  <Words>3661</Words>
  <Characters>20870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Harding,Jamie swp8230</dc:creator>
  <cp:keywords/>
  <dc:description/>
  <cp:lastModifiedBy>Harding,Jamie swp8230</cp:lastModifiedBy>
  <cp:revision>74</cp:revision>
  <dcterms:created xsi:type="dcterms:W3CDTF">2023-10-15T14:51:00Z</dcterms:created>
  <dcterms:modified xsi:type="dcterms:W3CDTF">2023-10-15T19:08:00Z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2023-09-15T10:03:25Z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10128ccc-717d-49cc-bc03-445041550a21</vt:lpwstr>
  </property>
  <property fmtid="{D5CDD505-2E9C-101B-9397-08002B2CF9AE}" pid="8" name="MSIP_Label_66cf8fe5-b7b7-4df7-b38d-1c61ac2f6639_ContentBits">
    <vt:lpwstr>0</vt:lpwstr>
  </property>
</Properties>
</file>