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0915B" w14:textId="68F64000" w:rsidR="34E5AF60" w:rsidRDefault="34E5AF60"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241C22D0" w:rsidR="33572C6E" w:rsidRDefault="7908378C" w:rsidP="33572C6E">
            <w:pPr>
              <w:ind w:right="237"/>
              <w:rPr>
                <w:b/>
                <w:bCs/>
                <w:color w:val="auto"/>
                <w:sz w:val="32"/>
                <w:szCs w:val="32"/>
              </w:rPr>
            </w:pPr>
            <w:r w:rsidRPr="33572C6E">
              <w:rPr>
                <w:b/>
                <w:bCs/>
                <w:color w:val="auto"/>
                <w:sz w:val="32"/>
                <w:szCs w:val="32"/>
              </w:rPr>
              <w:t xml:space="preserve">Learner name: </w:t>
            </w:r>
            <w:r w:rsidR="008D6CBD">
              <w:rPr>
                <w:b/>
                <w:bCs/>
                <w:color w:val="auto"/>
                <w:sz w:val="32"/>
                <w:szCs w:val="32"/>
              </w:rPr>
              <w:t>Georgia Edwards</w:t>
            </w:r>
          </w:p>
          <w:p w14:paraId="66704BD8" w14:textId="77777777" w:rsidR="008D6CBD" w:rsidRDefault="008D6CBD" w:rsidP="33572C6E">
            <w:pPr>
              <w:ind w:right="237"/>
              <w:rPr>
                <w:b/>
                <w:bCs/>
                <w:color w:val="auto"/>
                <w:sz w:val="32"/>
                <w:szCs w:val="32"/>
              </w:rPr>
            </w:pPr>
          </w:p>
          <w:p w14:paraId="7883A53E" w14:textId="53881538" w:rsidR="7908378C" w:rsidRDefault="7908378C" w:rsidP="33572C6E">
            <w:pPr>
              <w:ind w:right="237"/>
              <w:rPr>
                <w:b/>
                <w:bCs/>
                <w:color w:val="auto"/>
                <w:sz w:val="32"/>
                <w:szCs w:val="32"/>
              </w:rPr>
            </w:pPr>
            <w:r w:rsidRPr="33572C6E">
              <w:rPr>
                <w:b/>
                <w:bCs/>
                <w:color w:val="auto"/>
                <w:sz w:val="32"/>
                <w:szCs w:val="32"/>
              </w:rPr>
              <w:t>Learner’s University Registration Number:</w:t>
            </w:r>
            <w:r w:rsidR="008D6CBD">
              <w:rPr>
                <w:b/>
                <w:bCs/>
                <w:color w:val="auto"/>
                <w:sz w:val="32"/>
                <w:szCs w:val="32"/>
              </w:rPr>
              <w:t xml:space="preserve"> </w:t>
            </w:r>
          </w:p>
          <w:p w14:paraId="26A2E481" w14:textId="77777777" w:rsidR="000902DD" w:rsidRDefault="000902DD" w:rsidP="33572C6E">
            <w:pPr>
              <w:ind w:right="237"/>
              <w:rPr>
                <w:b/>
                <w:bCs/>
                <w:color w:val="auto"/>
                <w:sz w:val="32"/>
                <w:szCs w:val="32"/>
              </w:rPr>
            </w:pPr>
          </w:p>
          <w:p w14:paraId="1C077D58" w14:textId="4CF0F8DD" w:rsidR="000902DD" w:rsidRDefault="000902DD" w:rsidP="33572C6E">
            <w:pPr>
              <w:ind w:right="237"/>
              <w:rPr>
                <w:b/>
                <w:bCs/>
                <w:color w:val="auto"/>
                <w:sz w:val="32"/>
                <w:szCs w:val="32"/>
              </w:rPr>
            </w:pPr>
            <w:r>
              <w:rPr>
                <w:b/>
                <w:bCs/>
                <w:color w:val="auto"/>
                <w:sz w:val="32"/>
                <w:szCs w:val="32"/>
              </w:rPr>
              <w:t>2031225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0917D27" w:rsidR="00190913"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787B1D40" w14:textId="77777777" w:rsidR="001A4025" w:rsidRPr="00E676F7" w:rsidRDefault="001A4025" w:rsidP="00340E9A">
      <w:pPr>
        <w:overflowPunct/>
        <w:autoSpaceDE/>
        <w:autoSpaceDN/>
        <w:adjustRightInd/>
        <w:ind w:right="237"/>
        <w:textAlignment w:val="auto"/>
        <w:rPr>
          <w:b/>
          <w:color w:val="auto"/>
          <w:sz w:val="40"/>
          <w:szCs w:val="56"/>
        </w:rPr>
      </w:pPr>
    </w:p>
    <w:p w14:paraId="01AF2F4E" w14:textId="77777777" w:rsidR="00A3273B" w:rsidRPr="00E676F7" w:rsidRDefault="00A3273B" w:rsidP="00340E9A">
      <w:pPr>
        <w:overflowPunct/>
        <w:autoSpaceDE/>
        <w:autoSpaceDN/>
        <w:adjustRightInd/>
        <w:ind w:right="237"/>
        <w:textAlignment w:val="auto"/>
        <w:rPr>
          <w:b/>
          <w:i/>
          <w:color w:val="auto"/>
          <w:sz w:val="24"/>
        </w:rPr>
      </w:pPr>
    </w:p>
    <w:p w14:paraId="5CCC668D" w14:textId="77777777" w:rsidR="001A4025" w:rsidRDefault="00190913" w:rsidP="001A4025">
      <w:pPr>
        <w:overflowPunct/>
        <w:autoSpaceDE/>
        <w:autoSpaceDN/>
        <w:adjustRightInd/>
        <w:ind w:right="237"/>
        <w:textAlignment w:val="auto"/>
        <w:rPr>
          <w:b/>
          <w:bCs/>
          <w:i/>
          <w:iCs/>
          <w:color w:val="auto"/>
          <w:sz w:val="24"/>
          <w:szCs w:val="24"/>
        </w:rPr>
      </w:pPr>
      <w:r w:rsidRPr="45B99DA0">
        <w:rPr>
          <w:b/>
          <w:bCs/>
          <w:i/>
          <w:iCs/>
          <w:color w:val="auto"/>
          <w:sz w:val="24"/>
          <w:szCs w:val="24"/>
        </w:rPr>
        <w:t>Module title: Policing in the</w:t>
      </w:r>
      <w:r w:rsidR="001A4025">
        <w:rPr>
          <w:b/>
          <w:bCs/>
          <w:i/>
          <w:iCs/>
          <w:color w:val="auto"/>
          <w:sz w:val="24"/>
          <w:szCs w:val="24"/>
        </w:rPr>
        <w:t xml:space="preserve"> </w:t>
      </w:r>
      <w:r w:rsidRPr="45B99DA0">
        <w:rPr>
          <w:b/>
          <w:bCs/>
          <w:i/>
          <w:iCs/>
          <w:color w:val="auto"/>
          <w:sz w:val="24"/>
          <w:szCs w:val="24"/>
        </w:rPr>
        <w:t xml:space="preserve">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59251953" w14:textId="77777777" w:rsidR="001A4025" w:rsidRPr="001A4025" w:rsidRDefault="001A4025" w:rsidP="001A4025">
      <w:pPr>
        <w:rPr>
          <w:sz w:val="24"/>
        </w:rPr>
      </w:pPr>
    </w:p>
    <w:p w14:paraId="7C62BE35" w14:textId="77777777" w:rsidR="001A4025" w:rsidRDefault="001A4025" w:rsidP="001A4025">
      <w:pPr>
        <w:overflowPunct/>
        <w:autoSpaceDE/>
        <w:autoSpaceDN/>
        <w:adjustRightInd/>
        <w:ind w:right="237"/>
        <w:textAlignment w:val="auto"/>
        <w:rPr>
          <w:b/>
          <w:bCs/>
          <w:i/>
          <w:iCs/>
          <w:color w:val="auto"/>
          <w:sz w:val="24"/>
          <w:szCs w:val="24"/>
        </w:rPr>
      </w:pPr>
    </w:p>
    <w:p w14:paraId="6D58F4AD" w14:textId="7328010B" w:rsidR="0010312C" w:rsidRPr="001A4025" w:rsidRDefault="00F139CF" w:rsidP="001A4025">
      <w:pPr>
        <w:overflowPunct/>
        <w:autoSpaceDE/>
        <w:autoSpaceDN/>
        <w:adjustRightInd/>
        <w:ind w:right="237"/>
        <w:textAlignment w:val="auto"/>
        <w:rPr>
          <w:b/>
          <w:bCs/>
          <w:i/>
          <w:iCs/>
          <w:color w:val="auto"/>
          <w:sz w:val="24"/>
          <w:szCs w:val="24"/>
        </w:rPr>
      </w:pPr>
      <w:r w:rsidRPr="00E676F7">
        <w:rPr>
          <w:b/>
          <w:sz w:val="24"/>
          <w:szCs w:val="24"/>
        </w:rPr>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09FA9BBA" w:rsidR="3EFE5FE8" w:rsidRDefault="000902DD" w:rsidP="3EFE5FE8">
      <w:pPr>
        <w:jc w:val="both"/>
        <w:rPr>
          <w:rStyle w:val="Hyperlink"/>
          <w:rFonts w:eastAsia="Arial"/>
          <w:sz w:val="24"/>
          <w:szCs w:val="24"/>
        </w:rPr>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6E34D90D" w14:textId="7905655A" w:rsidR="001A4025" w:rsidRDefault="001A4025" w:rsidP="3EFE5FE8">
      <w:pPr>
        <w:jc w:val="both"/>
        <w:rPr>
          <w:rStyle w:val="Hyperlink"/>
          <w:rFonts w:eastAsia="Arial"/>
          <w:sz w:val="24"/>
          <w:szCs w:val="24"/>
        </w:rPr>
      </w:pPr>
    </w:p>
    <w:p w14:paraId="5F0E1B04" w14:textId="77777777" w:rsidR="006565AC" w:rsidRDefault="006565AC" w:rsidP="3EFE5FE8">
      <w:pPr>
        <w:jc w:val="both"/>
        <w:rPr>
          <w:rStyle w:val="Hyperlink"/>
          <w:rFonts w:eastAsia="Arial"/>
          <w:sz w:val="24"/>
          <w:szCs w:val="24"/>
        </w:rPr>
      </w:pPr>
    </w:p>
    <w:p w14:paraId="1A2F4192" w14:textId="77777777" w:rsidR="001A4025" w:rsidRPr="00E676F7" w:rsidRDefault="001A4025" w:rsidP="3EFE5FE8">
      <w:pPr>
        <w:jc w:val="both"/>
      </w:pPr>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5F4CCD4A" w14:textId="091E6DDF" w:rsidR="000325D9" w:rsidRPr="001A4025" w:rsidRDefault="000325D9" w:rsidP="001A4025">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 xml:space="preserve">responsibility you must not rely on the assessor or anyone else to pick up any confidentiality breaches as this is your </w:t>
      </w:r>
      <w:r w:rsidR="00920E5B" w:rsidRPr="386E26D2">
        <w:rPr>
          <w:b/>
          <w:bCs/>
          <w:i/>
          <w:iCs/>
          <w:sz w:val="24"/>
          <w:szCs w:val="24"/>
        </w:rPr>
        <w:lastRenderedPageBreak/>
        <w:t>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7156A3DB" w14:textId="45B6C7D3" w:rsidR="004B600B" w:rsidRPr="001A4025" w:rsidRDefault="004B600B" w:rsidP="001A4025">
      <w:pPr>
        <w:ind w:right="237"/>
        <w:rPr>
          <w:b/>
          <w:sz w:val="24"/>
          <w:szCs w:val="24"/>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lastRenderedPageBreak/>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4BBC525A" w14:textId="62348221" w:rsidR="5B843AF0" w:rsidRDefault="5B843AF0" w:rsidP="5B843AF0">
      <w:pPr>
        <w:ind w:right="237"/>
        <w:jc w:val="both"/>
        <w:rPr>
          <w:rFonts w:eastAsia="Arial"/>
          <w:color w:val="000000" w:themeColor="text1"/>
          <w:sz w:val="24"/>
          <w:szCs w:val="24"/>
        </w:rPr>
      </w:pPr>
    </w:p>
    <w:p w14:paraId="71D6E93D" w14:textId="77777777" w:rsidR="001A4025" w:rsidRPr="00E676F7" w:rsidRDefault="001A4025" w:rsidP="001A4025">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CBEADA3" w14:textId="77777777" w:rsidR="001A4025" w:rsidRPr="00E676F7" w:rsidRDefault="001A4025" w:rsidP="001A4025">
      <w:pPr>
        <w:ind w:right="237"/>
        <w:jc w:val="both"/>
        <w:rPr>
          <w:rFonts w:eastAsia="Arial"/>
          <w:color w:val="000000" w:themeColor="text1"/>
          <w:sz w:val="24"/>
          <w:szCs w:val="24"/>
        </w:rPr>
      </w:pPr>
    </w:p>
    <w:p w14:paraId="1A183663" w14:textId="28013048" w:rsidR="001A4025" w:rsidRPr="008D6CBD" w:rsidRDefault="001A4025" w:rsidP="00CF7CE2">
      <w:pPr>
        <w:spacing w:line="360" w:lineRule="auto"/>
        <w:ind w:right="531"/>
        <w:jc w:val="both"/>
        <w:rPr>
          <w:rFonts w:ascii="Times New Roman" w:eastAsia="Calibri" w:hAnsi="Times New Roman" w:cs="Times New Roman"/>
          <w:sz w:val="24"/>
          <w:szCs w:val="24"/>
        </w:rPr>
      </w:pPr>
      <w:r w:rsidRPr="008D6CBD">
        <w:rPr>
          <w:rFonts w:ascii="Times New Roman" w:eastAsia="Calibri" w:hAnsi="Times New Roman" w:cs="Times New Roman"/>
          <w:sz w:val="24"/>
          <w:szCs w:val="24"/>
        </w:rPr>
        <w:t>Working with partner agencies and using the tools and services that agencies provide is an imperative aspect of the job of being a response office</w:t>
      </w:r>
      <w:r w:rsidR="00D8730F">
        <w:rPr>
          <w:rFonts w:ascii="Times New Roman" w:eastAsia="Calibri" w:hAnsi="Times New Roman" w:cs="Times New Roman"/>
          <w:sz w:val="24"/>
          <w:szCs w:val="24"/>
        </w:rPr>
        <w:t>r</w:t>
      </w:r>
      <w:r w:rsidR="0015786F">
        <w:rPr>
          <w:rFonts w:ascii="Times New Roman" w:eastAsia="Calibri" w:hAnsi="Times New Roman" w:cs="Times New Roman"/>
          <w:sz w:val="24"/>
          <w:szCs w:val="24"/>
        </w:rPr>
        <w:t xml:space="preserve"> </w:t>
      </w:r>
      <w:r w:rsidR="0015786F" w:rsidRPr="0015786F">
        <w:rPr>
          <w:rFonts w:ascii="Times New Roman" w:eastAsia="Calibri" w:hAnsi="Times New Roman" w:cs="Times New Roman"/>
          <w:sz w:val="24"/>
          <w:szCs w:val="24"/>
        </w:rPr>
        <w:t>(McCarthy &amp; O'Neill, 2014)</w:t>
      </w:r>
      <w:r w:rsidR="0015786F">
        <w:rPr>
          <w:rFonts w:ascii="Times New Roman" w:eastAsia="Calibri" w:hAnsi="Times New Roman" w:cs="Times New Roman"/>
          <w:sz w:val="24"/>
          <w:szCs w:val="24"/>
        </w:rPr>
        <w:t>.</w:t>
      </w:r>
      <w:r w:rsidRPr="008D6CBD">
        <w:rPr>
          <w:rFonts w:ascii="Times New Roman" w:eastAsia="Calibri" w:hAnsi="Times New Roman" w:cs="Times New Roman"/>
          <w:sz w:val="24"/>
          <w:szCs w:val="24"/>
        </w:rPr>
        <w:t xml:space="preserve"> This is especially true when it comes to tackling crime and providing victims the support, they need to be able to move forward and reduce the risk of being victimised again. Within this section, I will be discussing an incident in which I played a significant role regarding supporting a victim of crime whilst utilising services and assistance from partner agencies and different sectors within the force to also ensure repeat victimisation would not continue to arise. In conjunction with this topic, I will also be exploring the factors that may influence repeat offending and what actions I took in relation to this incident to prevent this.</w:t>
      </w:r>
    </w:p>
    <w:p w14:paraId="2DEB2438" w14:textId="77777777" w:rsidR="001A4025" w:rsidRPr="008D6CBD" w:rsidRDefault="001A4025" w:rsidP="00CF7CE2">
      <w:pPr>
        <w:spacing w:line="360" w:lineRule="auto"/>
        <w:ind w:right="531"/>
        <w:jc w:val="both"/>
        <w:rPr>
          <w:rFonts w:ascii="Times New Roman" w:eastAsia="Calibri" w:hAnsi="Times New Roman" w:cs="Times New Roman"/>
          <w:sz w:val="24"/>
          <w:szCs w:val="24"/>
        </w:rPr>
      </w:pPr>
    </w:p>
    <w:p w14:paraId="30D95149" w14:textId="77777777" w:rsidR="001A4025" w:rsidRPr="008D6CBD" w:rsidRDefault="001A4025" w:rsidP="00CF7CE2">
      <w:pPr>
        <w:spacing w:line="360" w:lineRule="auto"/>
        <w:ind w:right="531"/>
        <w:jc w:val="both"/>
        <w:rPr>
          <w:rFonts w:ascii="Times New Roman" w:eastAsia="Calibri" w:hAnsi="Times New Roman" w:cs="Times New Roman"/>
          <w:sz w:val="24"/>
          <w:szCs w:val="24"/>
        </w:rPr>
      </w:pPr>
      <w:r w:rsidRPr="008D6CBD">
        <w:rPr>
          <w:rFonts w:ascii="Times New Roman" w:eastAsia="Calibri" w:hAnsi="Times New Roman" w:cs="Times New Roman"/>
          <w:sz w:val="24"/>
          <w:szCs w:val="24"/>
        </w:rPr>
        <w:t xml:space="preserve">The incident I will be referring to throughout this task, was an occurrence whereby an owner of a shop was subjected to racially aggravated verbal abuse and theft. The owner of the shop decided to call police, as a male who regularly attended his shop, was continuing to steal from him and racially abuse him. When receiving the details of the </w:t>
      </w:r>
      <w:r w:rsidRPr="008D6CBD">
        <w:rPr>
          <w:rFonts w:ascii="Times New Roman" w:eastAsia="Calibri" w:hAnsi="Times New Roman" w:cs="Times New Roman"/>
          <w:sz w:val="24"/>
          <w:szCs w:val="24"/>
        </w:rPr>
        <w:lastRenderedPageBreak/>
        <w:t xml:space="preserve">call, it was clear to me that this was not the first time this person had been a victim of a crime of this nature and that we were potentially looking at a repeat offender too. </w:t>
      </w:r>
    </w:p>
    <w:p w14:paraId="1C10284D" w14:textId="711246D1" w:rsidR="001A4025" w:rsidRPr="008D6CBD" w:rsidRDefault="001A4025" w:rsidP="00CF7CE2">
      <w:pPr>
        <w:spacing w:line="360" w:lineRule="auto"/>
        <w:ind w:right="531"/>
        <w:jc w:val="both"/>
        <w:rPr>
          <w:rFonts w:ascii="Times New Roman" w:eastAsia="Calibri" w:hAnsi="Times New Roman" w:cs="Times New Roman"/>
          <w:sz w:val="24"/>
          <w:szCs w:val="24"/>
        </w:rPr>
      </w:pPr>
      <w:r w:rsidRPr="008D6CBD">
        <w:rPr>
          <w:rFonts w:ascii="Times New Roman" w:eastAsia="Calibri" w:hAnsi="Times New Roman" w:cs="Times New Roman"/>
          <w:sz w:val="24"/>
          <w:szCs w:val="24"/>
        </w:rPr>
        <w:t>On arrival at scene, it was bought to my attention that the victim struggled with his English language</w:t>
      </w:r>
      <w:r w:rsidR="0015786F">
        <w:rPr>
          <w:rFonts w:ascii="Times New Roman" w:eastAsia="Calibri" w:hAnsi="Times New Roman" w:cs="Times New Roman"/>
          <w:sz w:val="24"/>
          <w:szCs w:val="24"/>
        </w:rPr>
        <w:t xml:space="preserve">. Language barriers can not only prevent victims from reporting crime, but also effects the way in which key details are passed to officers, making it harder for officers to gather evidence and provide the most appropriate protection for victims (Shah </w:t>
      </w:r>
      <w:r w:rsidR="0015786F">
        <w:rPr>
          <w:rFonts w:ascii="Times New Roman" w:eastAsia="Calibri" w:hAnsi="Times New Roman" w:cs="Times New Roman"/>
          <w:i/>
          <w:iCs/>
          <w:sz w:val="24"/>
          <w:szCs w:val="24"/>
        </w:rPr>
        <w:t xml:space="preserve">et al, </w:t>
      </w:r>
      <w:r w:rsidR="0015786F">
        <w:rPr>
          <w:rFonts w:ascii="Times New Roman" w:eastAsia="Calibri" w:hAnsi="Times New Roman" w:cs="Times New Roman"/>
          <w:sz w:val="24"/>
          <w:szCs w:val="24"/>
        </w:rPr>
        <w:t>2007).</w:t>
      </w:r>
      <w:r w:rsidR="00BB160A">
        <w:rPr>
          <w:rFonts w:ascii="Times New Roman" w:eastAsia="Calibri" w:hAnsi="Times New Roman" w:cs="Times New Roman"/>
          <w:sz w:val="24"/>
          <w:szCs w:val="24"/>
        </w:rPr>
        <w:t xml:space="preserve"> </w:t>
      </w:r>
      <w:r w:rsidRPr="008D6CBD">
        <w:rPr>
          <w:rFonts w:ascii="Times New Roman" w:eastAsia="Calibri" w:hAnsi="Times New Roman" w:cs="Times New Roman"/>
          <w:sz w:val="24"/>
          <w:szCs w:val="24"/>
        </w:rPr>
        <w:t xml:space="preserve"> For that reason, I knew it was very important that I took my time in asking questions to try and comprehend what had occurred to ensure no detail was miscommunicated, </w:t>
      </w:r>
      <w:r w:rsidR="0015786F" w:rsidRPr="008D6CBD">
        <w:rPr>
          <w:rFonts w:ascii="Times New Roman" w:eastAsia="Calibri" w:hAnsi="Times New Roman" w:cs="Times New Roman"/>
          <w:sz w:val="24"/>
          <w:szCs w:val="24"/>
        </w:rPr>
        <w:t>to</w:t>
      </w:r>
      <w:r w:rsidRPr="008D6CBD">
        <w:rPr>
          <w:rFonts w:ascii="Times New Roman" w:eastAsia="Calibri" w:hAnsi="Times New Roman" w:cs="Times New Roman"/>
          <w:sz w:val="24"/>
          <w:szCs w:val="24"/>
        </w:rPr>
        <w:t xml:space="preserve"> resolve this situation effectively.</w:t>
      </w:r>
      <w:r w:rsidR="00BB160A">
        <w:rPr>
          <w:rFonts w:ascii="Times New Roman" w:eastAsia="Calibri" w:hAnsi="Times New Roman" w:cs="Times New Roman"/>
          <w:sz w:val="24"/>
          <w:szCs w:val="24"/>
        </w:rPr>
        <w:t xml:space="preserve"> I was able to facilitate effective communication by allowing his </w:t>
      </w:r>
      <w:r w:rsidR="00BB160A" w:rsidRPr="008D6CBD">
        <w:rPr>
          <w:rFonts w:ascii="Times New Roman" w:eastAsia="Calibri" w:hAnsi="Times New Roman" w:cs="Times New Roman"/>
          <w:sz w:val="24"/>
          <w:szCs w:val="24"/>
        </w:rPr>
        <w:t>brother</w:t>
      </w:r>
      <w:r w:rsidR="00BB160A">
        <w:rPr>
          <w:rFonts w:ascii="Times New Roman" w:eastAsia="Calibri" w:hAnsi="Times New Roman" w:cs="Times New Roman"/>
          <w:sz w:val="24"/>
          <w:szCs w:val="24"/>
        </w:rPr>
        <w:t xml:space="preserve"> to be</w:t>
      </w:r>
      <w:r w:rsidR="00BB160A" w:rsidRPr="008D6CBD">
        <w:rPr>
          <w:rFonts w:ascii="Times New Roman" w:eastAsia="Calibri" w:hAnsi="Times New Roman" w:cs="Times New Roman"/>
          <w:sz w:val="24"/>
          <w:szCs w:val="24"/>
        </w:rPr>
        <w:t xml:space="preserve"> present to provide him help with regards to translation</w:t>
      </w:r>
      <w:r w:rsidR="00BB160A">
        <w:rPr>
          <w:rFonts w:ascii="Times New Roman" w:eastAsia="Calibri" w:hAnsi="Times New Roman" w:cs="Times New Roman"/>
          <w:sz w:val="24"/>
          <w:szCs w:val="24"/>
        </w:rPr>
        <w:t>.</w:t>
      </w:r>
      <w:r w:rsidR="00986E62">
        <w:rPr>
          <w:rFonts w:ascii="Times New Roman" w:eastAsia="Calibri" w:hAnsi="Times New Roman" w:cs="Times New Roman"/>
          <w:sz w:val="24"/>
          <w:szCs w:val="24"/>
        </w:rPr>
        <w:t xml:space="preserve"> Critically assessing that decision, to keep it professional I could </w:t>
      </w:r>
      <w:r w:rsidR="003972FA">
        <w:rPr>
          <w:rFonts w:ascii="Times New Roman" w:eastAsia="Calibri" w:hAnsi="Times New Roman" w:cs="Times New Roman"/>
          <w:sz w:val="24"/>
          <w:szCs w:val="24"/>
        </w:rPr>
        <w:t>have</w:t>
      </w:r>
      <w:r w:rsidR="00986E62">
        <w:rPr>
          <w:rFonts w:ascii="Times New Roman" w:eastAsia="Calibri" w:hAnsi="Times New Roman" w:cs="Times New Roman"/>
          <w:sz w:val="24"/>
          <w:szCs w:val="24"/>
        </w:rPr>
        <w:t xml:space="preserve"> used the services of language line. However, I believe I made the right decision at the time, as having a family member present allowed the victim to feel more comfortable during a difficult time. </w:t>
      </w:r>
      <w:r w:rsidR="00BB160A">
        <w:rPr>
          <w:rFonts w:ascii="Times New Roman" w:eastAsia="Calibri" w:hAnsi="Times New Roman" w:cs="Times New Roman"/>
          <w:sz w:val="24"/>
          <w:szCs w:val="24"/>
        </w:rPr>
        <w:t xml:space="preserve"> </w:t>
      </w:r>
      <w:r w:rsidRPr="008D6CBD">
        <w:rPr>
          <w:rFonts w:ascii="Times New Roman" w:eastAsia="Calibri" w:hAnsi="Times New Roman" w:cs="Times New Roman"/>
          <w:sz w:val="24"/>
          <w:szCs w:val="24"/>
        </w:rPr>
        <w:t xml:space="preserve">When speaking with the victim, it was made clear to me that the same male had been attending the shop on a regular basis to steal items such as alcohol, whilst racially abusing the victim. It was also explained to me that this racial abuse would continue out on the street when the victim tried to get the male to leave the store. On hearing this information, I knew I was looking at the offence of theft, as the male had </w:t>
      </w:r>
      <w:r w:rsidRPr="008D6CBD">
        <w:rPr>
          <w:rFonts w:ascii="Times New Roman" w:hAnsi="Times New Roman" w:cs="Times New Roman"/>
          <w:sz w:val="24"/>
          <w:szCs w:val="24"/>
          <w:shd w:val="clear" w:color="auto" w:fill="FFFFFF"/>
        </w:rPr>
        <w:t>dishonestly appropriated property belonging to the victim with the intention of permanently depriving him of it</w:t>
      </w:r>
      <w:r w:rsidRPr="008D6CBD">
        <w:rPr>
          <w:rFonts w:ascii="Times New Roman" w:eastAsia="Calibri" w:hAnsi="Times New Roman" w:cs="Times New Roman"/>
          <w:sz w:val="24"/>
          <w:szCs w:val="24"/>
        </w:rPr>
        <w:t xml:space="preserve"> and racially aggravated public order (Theft Act, 1968).</w:t>
      </w:r>
    </w:p>
    <w:p w14:paraId="32E6D017" w14:textId="77777777" w:rsidR="001A4025" w:rsidRPr="008D6CBD" w:rsidRDefault="001A4025" w:rsidP="00CF7CE2">
      <w:pPr>
        <w:spacing w:line="360" w:lineRule="auto"/>
        <w:ind w:right="531"/>
        <w:jc w:val="both"/>
        <w:rPr>
          <w:rFonts w:ascii="Times New Roman" w:eastAsia="Calibri" w:hAnsi="Times New Roman" w:cs="Times New Roman"/>
          <w:sz w:val="24"/>
          <w:szCs w:val="24"/>
        </w:rPr>
      </w:pPr>
    </w:p>
    <w:p w14:paraId="5BC9CC15" w14:textId="77777777" w:rsidR="001A4025" w:rsidRPr="008D6CBD" w:rsidRDefault="001A4025" w:rsidP="00CF7CE2">
      <w:pPr>
        <w:pStyle w:val="legclearfix"/>
        <w:shd w:val="clear" w:color="auto" w:fill="FFFFFF"/>
        <w:spacing w:before="0" w:beforeAutospacing="0" w:after="120" w:afterAutospacing="0" w:line="360" w:lineRule="auto"/>
        <w:jc w:val="both"/>
        <w:rPr>
          <w:color w:val="000000"/>
        </w:rPr>
      </w:pPr>
      <w:r w:rsidRPr="008D6CBD">
        <w:rPr>
          <w:rFonts w:eastAsia="Calibri"/>
        </w:rPr>
        <w:t>With regards to the public order aspect, it is stated that</w:t>
      </w:r>
      <w:r w:rsidRPr="008D6CBD">
        <w:rPr>
          <w:rStyle w:val="legds"/>
          <w:color w:val="000000"/>
        </w:rPr>
        <w:t xml:space="preserve"> a person is guilty of an offence of racially aggravated public order, if he commits;</w:t>
      </w:r>
    </w:p>
    <w:p w14:paraId="67A737A4" w14:textId="77777777" w:rsidR="001A4025" w:rsidRPr="008D6CBD" w:rsidRDefault="001A4025" w:rsidP="00CF7CE2">
      <w:pPr>
        <w:pStyle w:val="legclearfix"/>
        <w:shd w:val="clear" w:color="auto" w:fill="FFFFFF"/>
        <w:spacing w:before="0" w:beforeAutospacing="0" w:after="120" w:afterAutospacing="0" w:line="360" w:lineRule="auto"/>
        <w:jc w:val="both"/>
        <w:rPr>
          <w:color w:val="000000"/>
        </w:rPr>
      </w:pPr>
      <w:r w:rsidRPr="008D6CBD">
        <w:rPr>
          <w:rStyle w:val="legds"/>
          <w:color w:val="000000"/>
        </w:rPr>
        <w:t>(a)an offence under section 4 of the Public Order Act 1986 (fear or provocation of violence);</w:t>
      </w:r>
    </w:p>
    <w:p w14:paraId="150E6BA4" w14:textId="77777777" w:rsidR="001A4025" w:rsidRPr="008D6CBD" w:rsidRDefault="001A4025" w:rsidP="00CF7CE2">
      <w:pPr>
        <w:pStyle w:val="legclearfix"/>
        <w:shd w:val="clear" w:color="auto" w:fill="FFFFFF"/>
        <w:spacing w:before="0" w:beforeAutospacing="0" w:after="120" w:afterAutospacing="0" w:line="360" w:lineRule="auto"/>
        <w:jc w:val="both"/>
        <w:rPr>
          <w:color w:val="000000"/>
        </w:rPr>
      </w:pPr>
      <w:r w:rsidRPr="008D6CBD">
        <w:rPr>
          <w:rStyle w:val="legds"/>
          <w:color w:val="000000"/>
        </w:rPr>
        <w:t>(b)an offence under section 4A of that Act (intentional harassment, alarm or distress); or</w:t>
      </w:r>
    </w:p>
    <w:p w14:paraId="65443CFB" w14:textId="77777777" w:rsidR="001A4025" w:rsidRPr="008D6CBD" w:rsidRDefault="001A4025" w:rsidP="00CF7CE2">
      <w:pPr>
        <w:pStyle w:val="legclearfix"/>
        <w:shd w:val="clear" w:color="auto" w:fill="FFFFFF"/>
        <w:spacing w:before="0" w:beforeAutospacing="0" w:after="120" w:afterAutospacing="0" w:line="360" w:lineRule="auto"/>
        <w:jc w:val="both"/>
        <w:rPr>
          <w:color w:val="000000"/>
        </w:rPr>
      </w:pPr>
      <w:r w:rsidRPr="008D6CBD">
        <w:rPr>
          <w:rStyle w:val="legds"/>
          <w:color w:val="000000"/>
        </w:rPr>
        <w:t xml:space="preserve">(c)an offence under section 5 of that Act (harassment, alarm or distress), </w:t>
      </w:r>
      <w:r w:rsidRPr="008D6CBD">
        <w:rPr>
          <w:color w:val="000000"/>
        </w:rPr>
        <w:t>which is </w:t>
      </w:r>
      <w:r w:rsidRPr="008D6CBD">
        <w:rPr>
          <w:rStyle w:val="legaddition"/>
          <w:color w:val="000000"/>
        </w:rPr>
        <w:t>racially or religiously aggravated</w:t>
      </w:r>
      <w:r w:rsidRPr="008D6CBD">
        <w:rPr>
          <w:rStyle w:val="legchangedelimiter"/>
          <w:b/>
          <w:bCs/>
          <w:color w:val="000000"/>
        </w:rPr>
        <w:t xml:space="preserve"> </w:t>
      </w:r>
      <w:r w:rsidRPr="008D6CBD">
        <w:rPr>
          <w:color w:val="000000"/>
        </w:rPr>
        <w:t>for the purposes of this section.</w:t>
      </w:r>
    </w:p>
    <w:p w14:paraId="05E45130" w14:textId="77777777" w:rsidR="001A4025" w:rsidRPr="008D6CBD" w:rsidRDefault="001A4025" w:rsidP="00CF7CE2">
      <w:pPr>
        <w:pStyle w:val="legclearfix"/>
        <w:shd w:val="clear" w:color="auto" w:fill="FFFFFF"/>
        <w:spacing w:before="0" w:beforeAutospacing="0" w:after="120" w:afterAutospacing="0" w:line="360" w:lineRule="auto"/>
        <w:jc w:val="both"/>
        <w:rPr>
          <w:color w:val="000000"/>
        </w:rPr>
      </w:pPr>
      <w:r w:rsidRPr="008D6CBD">
        <w:rPr>
          <w:color w:val="000000"/>
        </w:rPr>
        <w:tab/>
      </w:r>
      <w:r w:rsidRPr="008D6CBD">
        <w:rPr>
          <w:color w:val="000000"/>
        </w:rPr>
        <w:tab/>
      </w:r>
      <w:r w:rsidRPr="008D6CBD">
        <w:rPr>
          <w:color w:val="000000"/>
        </w:rPr>
        <w:tab/>
      </w:r>
      <w:r w:rsidRPr="008D6CBD">
        <w:rPr>
          <w:color w:val="000000"/>
        </w:rPr>
        <w:tab/>
      </w:r>
      <w:r w:rsidRPr="008D6CBD">
        <w:rPr>
          <w:color w:val="000000"/>
        </w:rPr>
        <w:tab/>
      </w:r>
      <w:r w:rsidRPr="008D6CBD">
        <w:rPr>
          <w:color w:val="000000"/>
        </w:rPr>
        <w:tab/>
      </w:r>
      <w:r w:rsidRPr="008D6CBD">
        <w:rPr>
          <w:color w:val="000000"/>
        </w:rPr>
        <w:tab/>
        <w:t>(Crime and Disorder Act, 1998).</w:t>
      </w:r>
    </w:p>
    <w:p w14:paraId="230B5669" w14:textId="77777777" w:rsidR="001A4025" w:rsidRPr="008D6CBD" w:rsidRDefault="001A4025" w:rsidP="00CF7CE2">
      <w:pPr>
        <w:pStyle w:val="legclearfix"/>
        <w:shd w:val="clear" w:color="auto" w:fill="FFFFFF"/>
        <w:spacing w:before="0" w:beforeAutospacing="0" w:after="120" w:afterAutospacing="0" w:line="360" w:lineRule="auto"/>
        <w:jc w:val="both"/>
        <w:rPr>
          <w:color w:val="000000"/>
        </w:rPr>
      </w:pPr>
      <w:r w:rsidRPr="008D6CBD">
        <w:rPr>
          <w:color w:val="000000"/>
        </w:rPr>
        <w:tab/>
      </w:r>
      <w:r w:rsidRPr="008D6CBD">
        <w:rPr>
          <w:color w:val="000000"/>
        </w:rPr>
        <w:tab/>
      </w:r>
      <w:r w:rsidRPr="008D6CBD">
        <w:rPr>
          <w:color w:val="000000"/>
        </w:rPr>
        <w:tab/>
      </w:r>
      <w:r w:rsidRPr="008D6CBD">
        <w:rPr>
          <w:color w:val="000000"/>
        </w:rPr>
        <w:tab/>
      </w:r>
      <w:r w:rsidRPr="008D6CBD">
        <w:rPr>
          <w:color w:val="000000"/>
        </w:rPr>
        <w:tab/>
      </w:r>
      <w:r w:rsidRPr="008D6CBD">
        <w:rPr>
          <w:color w:val="000000"/>
        </w:rPr>
        <w:tab/>
      </w:r>
    </w:p>
    <w:p w14:paraId="50A0CE14" w14:textId="58343A22" w:rsidR="00BB160A" w:rsidRDefault="001A4025" w:rsidP="00CF7CE2">
      <w:pPr>
        <w:spacing w:line="360" w:lineRule="auto"/>
        <w:ind w:right="531"/>
        <w:jc w:val="both"/>
        <w:rPr>
          <w:rFonts w:ascii="Times New Roman" w:eastAsia="Calibri" w:hAnsi="Times New Roman" w:cs="Times New Roman"/>
          <w:sz w:val="24"/>
          <w:szCs w:val="24"/>
        </w:rPr>
      </w:pPr>
      <w:r w:rsidRPr="008D6CBD">
        <w:rPr>
          <w:rFonts w:ascii="Times New Roman" w:eastAsia="Calibri" w:hAnsi="Times New Roman" w:cs="Times New Roman"/>
          <w:sz w:val="24"/>
          <w:szCs w:val="24"/>
        </w:rPr>
        <w:t xml:space="preserve">When discussing the incident with the victim, I was presented with my first issue. Due to the fear of repercussions, the victim did not want to peruse any police action and did not want to make a formal complaint. </w:t>
      </w:r>
      <w:r w:rsidR="00BB160A">
        <w:rPr>
          <w:rFonts w:ascii="Times New Roman" w:eastAsia="Calibri" w:hAnsi="Times New Roman" w:cs="Times New Roman"/>
          <w:sz w:val="24"/>
          <w:szCs w:val="24"/>
        </w:rPr>
        <w:t>Research suggests that victims often</w:t>
      </w:r>
      <w:r w:rsidR="00596550">
        <w:rPr>
          <w:rFonts w:ascii="Times New Roman" w:eastAsia="Calibri" w:hAnsi="Times New Roman" w:cs="Times New Roman"/>
          <w:sz w:val="24"/>
          <w:szCs w:val="24"/>
        </w:rPr>
        <w:t xml:space="preserve"> </w:t>
      </w:r>
      <w:r w:rsidR="00BB160A">
        <w:rPr>
          <w:rFonts w:ascii="Times New Roman" w:eastAsia="Calibri" w:hAnsi="Times New Roman" w:cs="Times New Roman"/>
          <w:sz w:val="24"/>
          <w:szCs w:val="24"/>
        </w:rPr>
        <w:t xml:space="preserve">worry about </w:t>
      </w:r>
      <w:r w:rsidR="00BB160A">
        <w:rPr>
          <w:rFonts w:ascii="Times New Roman" w:eastAsia="Calibri" w:hAnsi="Times New Roman" w:cs="Times New Roman"/>
          <w:sz w:val="24"/>
          <w:szCs w:val="24"/>
        </w:rPr>
        <w:lastRenderedPageBreak/>
        <w:t xml:space="preserve">reporting crime </w:t>
      </w:r>
      <w:r w:rsidR="00596550">
        <w:rPr>
          <w:rFonts w:ascii="Times New Roman" w:eastAsia="Calibri" w:hAnsi="Times New Roman" w:cs="Times New Roman"/>
          <w:sz w:val="24"/>
          <w:szCs w:val="24"/>
        </w:rPr>
        <w:t>due to the fear of being re-victimised and that amongst all crime, those victim of hate related crimes, this fear can be heightened (Culotta, 2005).</w:t>
      </w:r>
    </w:p>
    <w:p w14:paraId="00FC0085" w14:textId="77777777" w:rsidR="00BB160A" w:rsidRDefault="00BB160A" w:rsidP="00CF7CE2">
      <w:pPr>
        <w:spacing w:line="360" w:lineRule="auto"/>
        <w:ind w:right="531"/>
        <w:jc w:val="both"/>
        <w:rPr>
          <w:rFonts w:ascii="Times New Roman" w:eastAsia="Calibri" w:hAnsi="Times New Roman" w:cs="Times New Roman"/>
          <w:sz w:val="24"/>
          <w:szCs w:val="24"/>
        </w:rPr>
      </w:pPr>
    </w:p>
    <w:p w14:paraId="04FEC7ED" w14:textId="440EA5D0" w:rsidR="001A4025" w:rsidRPr="008D6CBD" w:rsidRDefault="001A4025" w:rsidP="00CF7CE2">
      <w:pPr>
        <w:spacing w:line="360" w:lineRule="auto"/>
        <w:ind w:right="531"/>
        <w:jc w:val="both"/>
        <w:rPr>
          <w:rFonts w:ascii="Times New Roman" w:eastAsia="Calibri" w:hAnsi="Times New Roman" w:cs="Times New Roman"/>
          <w:sz w:val="24"/>
          <w:szCs w:val="24"/>
        </w:rPr>
      </w:pPr>
      <w:r w:rsidRPr="008D6CBD">
        <w:rPr>
          <w:rFonts w:ascii="Times New Roman" w:eastAsia="Calibri" w:hAnsi="Times New Roman" w:cs="Times New Roman"/>
          <w:sz w:val="24"/>
          <w:szCs w:val="24"/>
        </w:rPr>
        <w:t xml:space="preserve">Although, I did my best to highlight the fact that the perpetrator had done this before and would most likely return to do it again if he was not stopped, the victim’s decision could not be swayed. It was at this moment, I knew that I had to do everything I could besides take legal action, to ensure the safety and wellbeing of this victim, as well as looking at ways I could prevent this from re occurring. </w:t>
      </w:r>
    </w:p>
    <w:p w14:paraId="3D48710A" w14:textId="29657020" w:rsidR="001A4025" w:rsidRPr="008D6CBD" w:rsidRDefault="001A4025" w:rsidP="00CF7CE2">
      <w:pPr>
        <w:spacing w:line="360" w:lineRule="auto"/>
        <w:ind w:right="531"/>
        <w:jc w:val="both"/>
        <w:rPr>
          <w:rFonts w:ascii="Times New Roman" w:eastAsia="Calibri" w:hAnsi="Times New Roman" w:cs="Times New Roman"/>
          <w:sz w:val="24"/>
          <w:szCs w:val="24"/>
        </w:rPr>
      </w:pPr>
      <w:r w:rsidRPr="008D6CBD">
        <w:rPr>
          <w:rFonts w:ascii="Times New Roman" w:eastAsia="Calibri" w:hAnsi="Times New Roman" w:cs="Times New Roman"/>
          <w:sz w:val="24"/>
          <w:szCs w:val="24"/>
        </w:rPr>
        <w:t xml:space="preserve">This is when I knew the use of partner agencies and the involvement of relevant persons would be extremely useful to me, to help provide the victim the support I knew was necessary moving forward. </w:t>
      </w:r>
      <w:r w:rsidR="003972FA">
        <w:rPr>
          <w:rFonts w:ascii="Times New Roman" w:eastAsia="Calibri" w:hAnsi="Times New Roman" w:cs="Times New Roman"/>
          <w:sz w:val="24"/>
          <w:szCs w:val="24"/>
        </w:rPr>
        <w:t xml:space="preserve">On reflection, I could have revisited the victim at a later date when emotions had settled to potentially of had a chance of the victim wanting to make a complaint. However, knowing the victim had refused police action on previous occasions, I believed I made the right decision at the time not dwelling on his decision and involving agencies immediately, to reduce the risk of him being victimised again. </w:t>
      </w:r>
    </w:p>
    <w:p w14:paraId="1F257157" w14:textId="77777777" w:rsidR="001A4025" w:rsidRPr="008D6CBD" w:rsidRDefault="001A4025" w:rsidP="00CF7CE2">
      <w:pPr>
        <w:spacing w:line="360" w:lineRule="auto"/>
        <w:ind w:right="531"/>
        <w:jc w:val="both"/>
        <w:rPr>
          <w:rFonts w:ascii="Times New Roman" w:eastAsia="Calibri" w:hAnsi="Times New Roman" w:cs="Times New Roman"/>
          <w:sz w:val="24"/>
          <w:szCs w:val="24"/>
        </w:rPr>
      </w:pPr>
    </w:p>
    <w:p w14:paraId="2E025106" w14:textId="38DF5630"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eastAsia="Calibri" w:hAnsi="Times New Roman" w:cs="Times New Roman"/>
          <w:sz w:val="24"/>
          <w:szCs w:val="24"/>
        </w:rPr>
        <w:t>Statistics show that racially aggravated crimes in the UK were up by 12% in 2021 compared to the previous year and that racially motivated hate crime was amongst the highest recorded type of hate crime (</w:t>
      </w:r>
      <w:r w:rsidRPr="008D6CBD">
        <w:rPr>
          <w:rFonts w:ascii="Times New Roman" w:hAnsi="Times New Roman" w:cs="Times New Roman"/>
          <w:sz w:val="24"/>
          <w:szCs w:val="24"/>
        </w:rPr>
        <w:t xml:space="preserve">Stop Hate UK, 2022). This </w:t>
      </w:r>
      <w:r w:rsidR="00D8730F">
        <w:rPr>
          <w:rFonts w:ascii="Times New Roman" w:hAnsi="Times New Roman" w:cs="Times New Roman"/>
          <w:sz w:val="24"/>
          <w:szCs w:val="24"/>
        </w:rPr>
        <w:t xml:space="preserve">along </w:t>
      </w:r>
      <w:r w:rsidRPr="008D6CBD">
        <w:rPr>
          <w:rFonts w:ascii="Times New Roman" w:hAnsi="Times New Roman" w:cs="Times New Roman"/>
          <w:sz w:val="24"/>
          <w:szCs w:val="24"/>
        </w:rPr>
        <w:t xml:space="preserve">with the fact that hate crimes are </w:t>
      </w:r>
      <w:r w:rsidRPr="008D6CBD">
        <w:rPr>
          <w:rFonts w:ascii="Times New Roman" w:hAnsi="Times New Roman" w:cs="Times New Roman"/>
          <w:spacing w:val="3"/>
          <w:sz w:val="24"/>
          <w:szCs w:val="24"/>
        </w:rPr>
        <w:t xml:space="preserve">likely to involve repeated victimisation, I knew it was important for me to still inform partner agencies who could offer advice and support to the victim, even though we were not pursuing any legal action </w:t>
      </w:r>
      <w:r w:rsidRPr="008D6CBD">
        <w:rPr>
          <w:rFonts w:ascii="Times New Roman" w:hAnsi="Times New Roman" w:cs="Times New Roman"/>
          <w:sz w:val="24"/>
          <w:szCs w:val="24"/>
        </w:rPr>
        <w:t>(</w:t>
      </w:r>
      <w:r w:rsidRPr="008D6CBD">
        <w:rPr>
          <w:rFonts w:ascii="Times New Roman" w:hAnsi="Times New Roman" w:cs="Times New Roman"/>
          <w:iCs/>
          <w:sz w:val="24"/>
          <w:szCs w:val="24"/>
        </w:rPr>
        <w:t>College of Policing,</w:t>
      </w:r>
      <w:r w:rsidRPr="008D6CBD">
        <w:rPr>
          <w:rFonts w:ascii="Times New Roman" w:hAnsi="Times New Roman" w:cs="Times New Roman"/>
          <w:sz w:val="24"/>
          <w:szCs w:val="24"/>
        </w:rPr>
        <w:t xml:space="preserve"> 2022)</w:t>
      </w:r>
      <w:r w:rsidR="00596550">
        <w:rPr>
          <w:rFonts w:ascii="Times New Roman" w:hAnsi="Times New Roman" w:cs="Times New Roman"/>
          <w:sz w:val="24"/>
          <w:szCs w:val="24"/>
        </w:rPr>
        <w:t xml:space="preserve">. Moreover, I was aware that if the correct help was not provided to the victim, the element of hate crime could go </w:t>
      </w:r>
      <w:r w:rsidR="00524786">
        <w:rPr>
          <w:rFonts w:ascii="Times New Roman" w:hAnsi="Times New Roman" w:cs="Times New Roman"/>
          <w:sz w:val="24"/>
          <w:szCs w:val="24"/>
        </w:rPr>
        <w:t>unrecognised,</w:t>
      </w:r>
      <w:r w:rsidR="00596550">
        <w:rPr>
          <w:rFonts w:ascii="Times New Roman" w:hAnsi="Times New Roman" w:cs="Times New Roman"/>
          <w:sz w:val="24"/>
          <w:szCs w:val="24"/>
        </w:rPr>
        <w:t xml:space="preserve"> leaving the victim feeling unsupported </w:t>
      </w:r>
      <w:r w:rsidR="00046A6B" w:rsidRPr="00046A6B">
        <w:rPr>
          <w:rFonts w:ascii="Times New Roman" w:hAnsi="Times New Roman" w:cs="Times New Roman"/>
          <w:sz w:val="24"/>
          <w:szCs w:val="24"/>
        </w:rPr>
        <w:t>(Fitch-Bartlett &amp; Healy, 2022)</w:t>
      </w:r>
      <w:r w:rsidR="00046A6B">
        <w:rPr>
          <w:rFonts w:ascii="Times New Roman" w:hAnsi="Times New Roman" w:cs="Times New Roman"/>
          <w:sz w:val="24"/>
          <w:szCs w:val="24"/>
        </w:rPr>
        <w:t xml:space="preserve">. Hence, </w:t>
      </w:r>
      <w:r w:rsidRPr="008D6CBD">
        <w:rPr>
          <w:rFonts w:ascii="Times New Roman" w:hAnsi="Times New Roman" w:cs="Times New Roman"/>
          <w:sz w:val="24"/>
          <w:szCs w:val="24"/>
        </w:rPr>
        <w:t xml:space="preserve">I knew I needed to use a multi-agency work approach. As an officer, I will often interact with partner agencies in order to make referrals and receive advice (College Of Policing, 2022). As a result of this incident, I submitted a public protection notification (PPN) on behalf of the victim. A PPN allows any safeguarding concerns an officer has, to be recorded, reviewed by the Public Protection Unit (PPU) and shared with relevant partner agencies to be able to provide the victim with support and safe-guarding measures to be put in place (South Wales Police, 2008). By submitting this, it allowed me to know that the victim would receive ongoing support from partner agencies, even when I had dealt with the immediate matter. Research shows that sharing information or even the lack of, were key issues with regards to the failings of several high profile and </w:t>
      </w:r>
      <w:r w:rsidRPr="008D6CBD">
        <w:rPr>
          <w:rFonts w:ascii="Times New Roman" w:hAnsi="Times New Roman" w:cs="Times New Roman"/>
          <w:sz w:val="24"/>
          <w:szCs w:val="24"/>
        </w:rPr>
        <w:lastRenderedPageBreak/>
        <w:t>tragic cases (Home Office, 2009)</w:t>
      </w:r>
      <w:r w:rsidR="00046A6B">
        <w:rPr>
          <w:rFonts w:ascii="Times New Roman" w:hAnsi="Times New Roman" w:cs="Times New Roman"/>
          <w:sz w:val="24"/>
          <w:szCs w:val="24"/>
        </w:rPr>
        <w:t>, and that sharing data with agencies that have the common goal of reducing crime, would be beneficial for all parties involved (Pickering and Fox, 2022).</w:t>
      </w:r>
    </w:p>
    <w:p w14:paraId="3ED762BB" w14:textId="77777777"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With regards to continuing support for the victim to ensure re victimisation did not reoccur, I knew it was imperative to talk to our neighbourhood policing team (NPT). NPT listen and work with the public, partner agencies and more to help reduce crime which increases safety in the community and protects the vulnerable (South Yorkshire Police, 2022).</w:t>
      </w:r>
    </w:p>
    <w:p w14:paraId="67F3683D" w14:textId="77777777"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By using well researched strategies, which is a process called evidence-based policing, NPT can make rational decisions and decisions based on research when it comes to solving issues within the community (IACP, 2022).</w:t>
      </w:r>
    </w:p>
    <w:p w14:paraId="7FF2D0DC" w14:textId="6D4A54C8"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 xml:space="preserve">In addition to this, I </w:t>
      </w:r>
      <w:r w:rsidR="00567335">
        <w:rPr>
          <w:rFonts w:ascii="Times New Roman" w:hAnsi="Times New Roman" w:cs="Times New Roman"/>
          <w:sz w:val="24"/>
          <w:szCs w:val="24"/>
        </w:rPr>
        <w:t>k</w:t>
      </w:r>
      <w:r w:rsidRPr="008D6CBD">
        <w:rPr>
          <w:rFonts w:ascii="Times New Roman" w:hAnsi="Times New Roman" w:cs="Times New Roman"/>
          <w:sz w:val="24"/>
          <w:szCs w:val="24"/>
        </w:rPr>
        <w:t xml:space="preserve">new that using my local NPT would be the most appropriate and effective approach to support my victim, as I </w:t>
      </w:r>
      <w:r w:rsidR="00567335">
        <w:rPr>
          <w:rFonts w:ascii="Times New Roman" w:hAnsi="Times New Roman" w:cs="Times New Roman"/>
          <w:sz w:val="24"/>
          <w:szCs w:val="24"/>
        </w:rPr>
        <w:t xml:space="preserve">aware </w:t>
      </w:r>
      <w:r w:rsidRPr="008D6CBD">
        <w:rPr>
          <w:rFonts w:ascii="Times New Roman" w:hAnsi="Times New Roman" w:cs="Times New Roman"/>
          <w:sz w:val="24"/>
          <w:szCs w:val="24"/>
        </w:rPr>
        <w:t xml:space="preserve">that NPT had the time and resources to keep in regular contact with the victim to provide ongoing advice and to manage any further issues, to continue to prevent him being victimised again. </w:t>
      </w:r>
    </w:p>
    <w:p w14:paraId="21438CEC" w14:textId="77777777"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Although working with partner agencies is a very important tool with regards to supporting and managing victims, I do believe that using different local policing teams is the most effective as I can keep in regular contact with them easily and vice versa, so they are able to make me aware of any further issues, as well as them being able to have regular face to face contact with the victim whilst on mobile patrol in the area. The importance of this aspect is confirmed in recent research completed by The Police Foundation in 2020, which revealed that public prefer to see police on the street as it increases communication and helps them with any ongoing issues, however they feel that recently police have withdrawn from this.</w:t>
      </w:r>
    </w:p>
    <w:p w14:paraId="3781FD19" w14:textId="77777777" w:rsidR="001A4025" w:rsidRPr="008D6CBD" w:rsidRDefault="001A4025" w:rsidP="00CF7CE2">
      <w:pPr>
        <w:spacing w:line="360" w:lineRule="auto"/>
        <w:ind w:right="531"/>
        <w:jc w:val="both"/>
        <w:rPr>
          <w:rFonts w:ascii="Times New Roman" w:hAnsi="Times New Roman" w:cs="Times New Roman"/>
          <w:sz w:val="24"/>
          <w:szCs w:val="24"/>
        </w:rPr>
      </w:pPr>
    </w:p>
    <w:p w14:paraId="10D766E0" w14:textId="77777777"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A crucial aspect of managing victims is to remember that risk assessment is a dynamic process which can change constantly, and therefore needs to be revised frequently to make sure that any implementations or plans put in place are still appropriate and are still helping to reduce crime and revictimization (National Police Chief’s Council NPCC, 2020).</w:t>
      </w:r>
    </w:p>
    <w:p w14:paraId="7D2DCA0C" w14:textId="7F16C6A9"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In this situation, by using evidence-based policing and understanding what environmental and situational factors were allowing the opportunity for this crime to be committed, I knew that we needed to make it harder for the perpetrator to continue to use this particular shop and owner as their target</w:t>
      </w:r>
      <w:r w:rsidR="008D43D6">
        <w:rPr>
          <w:rFonts w:ascii="Times New Roman" w:hAnsi="Times New Roman" w:cs="Times New Roman"/>
          <w:sz w:val="24"/>
          <w:szCs w:val="24"/>
        </w:rPr>
        <w:t xml:space="preserve"> (Lum and Koper, 2015).</w:t>
      </w:r>
      <w:r w:rsidRPr="008D6CBD">
        <w:rPr>
          <w:rFonts w:ascii="Times New Roman" w:hAnsi="Times New Roman" w:cs="Times New Roman"/>
          <w:sz w:val="24"/>
          <w:szCs w:val="24"/>
        </w:rPr>
        <w:t xml:space="preserve"> This process is called target </w:t>
      </w:r>
      <w:r w:rsidRPr="008D6CBD">
        <w:rPr>
          <w:rFonts w:ascii="Times New Roman" w:hAnsi="Times New Roman" w:cs="Times New Roman"/>
          <w:sz w:val="24"/>
          <w:szCs w:val="24"/>
        </w:rPr>
        <w:lastRenderedPageBreak/>
        <w:t>hardening, which makes it more difficult for a perpetrator to be “invited” to commit crime due to lack of aspects such as security or deterrents (Clarke et al., 1984). Therefore, the suggestions of installing a good CCTV system and alarm system were given. Research by College of Policing in 2015, showed that property crime decreased by 14% in places that had CCTV compared to those that did not, by increasing offender</w:t>
      </w:r>
      <w:r w:rsidR="008D43D6">
        <w:rPr>
          <w:rFonts w:ascii="Times New Roman" w:hAnsi="Times New Roman" w:cs="Times New Roman"/>
          <w:sz w:val="24"/>
          <w:szCs w:val="24"/>
        </w:rPr>
        <w:t>’</w:t>
      </w:r>
      <w:r w:rsidRPr="008D6CBD">
        <w:rPr>
          <w:rFonts w:ascii="Times New Roman" w:hAnsi="Times New Roman" w:cs="Times New Roman"/>
          <w:sz w:val="24"/>
          <w:szCs w:val="24"/>
        </w:rPr>
        <w:t>s risk of getting caught or at least their perception of it, therefore overall reducing their rate of reoffending (College of Policing, 2015).</w:t>
      </w:r>
    </w:p>
    <w:p w14:paraId="33BD78A4" w14:textId="66123AD8" w:rsidR="001A4025" w:rsidRPr="008D6CBD" w:rsidRDefault="00AF3763" w:rsidP="00CF7CE2">
      <w:pPr>
        <w:spacing w:line="360" w:lineRule="auto"/>
        <w:ind w:right="531"/>
        <w:jc w:val="both"/>
        <w:rPr>
          <w:rFonts w:ascii="Times New Roman" w:hAnsi="Times New Roman" w:cs="Times New Roman"/>
          <w:sz w:val="24"/>
          <w:szCs w:val="24"/>
        </w:rPr>
      </w:pPr>
      <w:r>
        <w:rPr>
          <w:rFonts w:ascii="Times New Roman" w:hAnsi="Times New Roman" w:cs="Times New Roman"/>
          <w:sz w:val="24"/>
          <w:szCs w:val="24"/>
        </w:rPr>
        <w:t>When</w:t>
      </w:r>
      <w:r w:rsidR="001A4025" w:rsidRPr="008D6CBD">
        <w:rPr>
          <w:rFonts w:ascii="Times New Roman" w:hAnsi="Times New Roman" w:cs="Times New Roman"/>
          <w:sz w:val="24"/>
          <w:szCs w:val="24"/>
        </w:rPr>
        <w:t xml:space="preserve"> gathering all the evidence, it was clear that this shop was being targeted and </w:t>
      </w:r>
      <w:r w:rsidR="007776CD" w:rsidRPr="008D6CBD">
        <w:rPr>
          <w:rFonts w:ascii="Times New Roman" w:hAnsi="Times New Roman" w:cs="Times New Roman"/>
          <w:sz w:val="24"/>
          <w:szCs w:val="24"/>
        </w:rPr>
        <w:t>night-time</w:t>
      </w:r>
      <w:r w:rsidR="00524786">
        <w:rPr>
          <w:rFonts w:ascii="Times New Roman" w:hAnsi="Times New Roman" w:cs="Times New Roman"/>
          <w:sz w:val="24"/>
          <w:szCs w:val="24"/>
        </w:rPr>
        <w:t xml:space="preserve">, which is the most common time for crimes to occur </w:t>
      </w:r>
      <w:r w:rsidR="00524786" w:rsidRPr="00524786">
        <w:rPr>
          <w:rFonts w:ascii="Times New Roman" w:hAnsi="Times New Roman" w:cs="Times New Roman"/>
          <w:sz w:val="24"/>
          <w:szCs w:val="24"/>
        </w:rPr>
        <w:t>(Elkin, 2019)</w:t>
      </w:r>
      <w:r w:rsidR="00524786">
        <w:rPr>
          <w:rFonts w:ascii="Times New Roman" w:hAnsi="Times New Roman" w:cs="Times New Roman"/>
          <w:sz w:val="24"/>
          <w:szCs w:val="24"/>
        </w:rPr>
        <w:t>.</w:t>
      </w:r>
      <w:r w:rsidR="001A4025" w:rsidRPr="008D6CBD">
        <w:rPr>
          <w:rFonts w:ascii="Times New Roman" w:hAnsi="Times New Roman" w:cs="Times New Roman"/>
          <w:sz w:val="24"/>
          <w:szCs w:val="24"/>
        </w:rPr>
        <w:t xml:space="preserve"> Due to this information, it was decided that the shop would operate through a serving window at night, allowing the shop owner to lock the front door, preventing people from entering the store.</w:t>
      </w:r>
    </w:p>
    <w:p w14:paraId="103BA02A" w14:textId="6AFA51D1"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Although, I like to involve the work of other agencies, to be able to fully support victims of crime, it is essential that I complete the necessary administration and updates, to ensure a particular case is handled correctly.</w:t>
      </w:r>
      <w:r w:rsidR="00524786">
        <w:rPr>
          <w:rFonts w:ascii="Times New Roman" w:hAnsi="Times New Roman" w:cs="Times New Roman"/>
          <w:sz w:val="24"/>
          <w:szCs w:val="24"/>
        </w:rPr>
        <w:t xml:space="preserve"> As a result of officers failing to complete relevant paperwork and appropriately report hate crimes, victims can often feel disappointed </w:t>
      </w:r>
      <w:r w:rsidR="00524786" w:rsidRPr="00524786">
        <w:rPr>
          <w:rFonts w:ascii="Times New Roman" w:hAnsi="Times New Roman" w:cs="Times New Roman"/>
          <w:sz w:val="24"/>
          <w:szCs w:val="24"/>
        </w:rPr>
        <w:t>(Balboni &amp; McDevitt, 2001)</w:t>
      </w:r>
      <w:r w:rsidR="00524786">
        <w:rPr>
          <w:rFonts w:ascii="Times New Roman" w:hAnsi="Times New Roman" w:cs="Times New Roman"/>
          <w:sz w:val="24"/>
          <w:szCs w:val="24"/>
        </w:rPr>
        <w:t>.</w:t>
      </w:r>
      <w:r w:rsidRPr="008D6CBD">
        <w:rPr>
          <w:rFonts w:ascii="Times New Roman" w:hAnsi="Times New Roman" w:cs="Times New Roman"/>
          <w:sz w:val="24"/>
          <w:szCs w:val="24"/>
        </w:rPr>
        <w:t xml:space="preserve"> For example, as part of an update on this situation, even though I knew that the victim did not want to support police action, I completed the Hate Crime Action Plan as all forces in England and Wales are required to record any hate incidents or crimes (HM Government</w:t>
      </w:r>
      <w:r w:rsidR="007776CD">
        <w:rPr>
          <w:rFonts w:ascii="Times New Roman" w:hAnsi="Times New Roman" w:cs="Times New Roman"/>
          <w:sz w:val="24"/>
          <w:szCs w:val="24"/>
        </w:rPr>
        <w:t>,</w:t>
      </w:r>
      <w:r w:rsidRPr="008D6CBD">
        <w:rPr>
          <w:rFonts w:ascii="Times New Roman" w:hAnsi="Times New Roman" w:cs="Times New Roman"/>
          <w:sz w:val="24"/>
          <w:szCs w:val="24"/>
        </w:rPr>
        <w:t xml:space="preserve"> 2016). This report included a risk assessment as well as showing what actions I had taken to reduce and manage potential risks. By completing this, it automatically allowed all relevant persons and agencies to be made aware of this case, to ensure the appropriate management and support was given to the victim. </w:t>
      </w:r>
    </w:p>
    <w:p w14:paraId="5A7C3343" w14:textId="77777777" w:rsidR="001A4025" w:rsidRPr="008D6CBD" w:rsidRDefault="001A4025" w:rsidP="00CF7CE2">
      <w:pPr>
        <w:spacing w:line="360" w:lineRule="auto"/>
        <w:ind w:right="531"/>
        <w:jc w:val="both"/>
        <w:rPr>
          <w:rFonts w:ascii="Times New Roman" w:hAnsi="Times New Roman" w:cs="Times New Roman"/>
          <w:sz w:val="24"/>
          <w:szCs w:val="24"/>
        </w:rPr>
      </w:pPr>
    </w:p>
    <w:p w14:paraId="4BFB5C17" w14:textId="3A1C2D02"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 xml:space="preserve">In conclusion, although the victim of this case did not want to support police action, I believe I still played a significant role in relation to providing the victim with the necessary support. By utilising a range of services provided by partner agencies and professional teams within the police, I was able to suitably advise the victim on ways he could reduce the risk of reoffending or being the victim of the same crime again, by implementing target hardening tools such as installing alarms and CCTV systems. In addition to this, by communicating with my local neighbourhood policing team, this allowed us to use evidence based policing and researched strategies to apply the most appropriate and effective action plan to fully support the victim moving forward. This </w:t>
      </w:r>
      <w:r w:rsidRPr="008D6CBD">
        <w:rPr>
          <w:rFonts w:ascii="Times New Roman" w:hAnsi="Times New Roman" w:cs="Times New Roman"/>
          <w:sz w:val="24"/>
          <w:szCs w:val="24"/>
        </w:rPr>
        <w:lastRenderedPageBreak/>
        <w:t xml:space="preserve">allowed me to have satisfaction, that the victim would receive ongoing support from police, even when I had closed this incident due to the victim not wanting to take official police action with regards to the perpetrator. </w:t>
      </w:r>
    </w:p>
    <w:p w14:paraId="65F78A81" w14:textId="77777777" w:rsidR="001A4025" w:rsidRPr="008D6CBD" w:rsidRDefault="001A4025" w:rsidP="00CF7CE2">
      <w:pPr>
        <w:spacing w:line="360" w:lineRule="auto"/>
        <w:ind w:right="531"/>
        <w:jc w:val="both"/>
        <w:rPr>
          <w:rFonts w:ascii="Times New Roman" w:hAnsi="Times New Roman" w:cs="Times New Roman"/>
          <w:sz w:val="24"/>
          <w:szCs w:val="24"/>
        </w:rPr>
      </w:pPr>
    </w:p>
    <w:p w14:paraId="259AD087" w14:textId="2DA27FB0" w:rsidR="001A4025" w:rsidRPr="008D6CBD" w:rsidRDefault="001A4025" w:rsidP="00CF7CE2">
      <w:pPr>
        <w:spacing w:line="360" w:lineRule="auto"/>
        <w:ind w:right="531"/>
        <w:jc w:val="both"/>
        <w:rPr>
          <w:rFonts w:ascii="Times New Roman" w:hAnsi="Times New Roman" w:cs="Times New Roman"/>
          <w:sz w:val="24"/>
          <w:szCs w:val="24"/>
        </w:rPr>
      </w:pPr>
      <w:r w:rsidRPr="008D6CBD">
        <w:rPr>
          <w:rFonts w:ascii="Times New Roman" w:hAnsi="Times New Roman" w:cs="Times New Roman"/>
          <w:sz w:val="24"/>
          <w:szCs w:val="24"/>
        </w:rPr>
        <w:t xml:space="preserve">When revisiting the victim a few months later, it was noted that after taking advice regarding CCTV systems and operating through a server window at night, the victim had not had any further issues. So, it is imperative to remember that all police interaction with victims will impact their perception of police, and although this time the victim did not feel confident enough in police to fully support action, hopefully due to the positive interaction with police and the encouraging outcome, if there ever was to be a next time, the victim would have full confidence in us to be able to support them through whatever decision they made. </w:t>
      </w:r>
    </w:p>
    <w:p w14:paraId="3F3E8CD5" w14:textId="77777777" w:rsidR="001A4025" w:rsidRPr="008D6CBD" w:rsidRDefault="001A4025" w:rsidP="001A4025">
      <w:pPr>
        <w:spacing w:line="360" w:lineRule="auto"/>
        <w:ind w:right="531"/>
        <w:jc w:val="both"/>
        <w:rPr>
          <w:rFonts w:ascii="Times New Roman" w:hAnsi="Times New Roman" w:cs="Times New Roman"/>
          <w:sz w:val="24"/>
          <w:szCs w:val="24"/>
        </w:rPr>
      </w:pPr>
    </w:p>
    <w:p w14:paraId="5DAD8D49" w14:textId="77777777" w:rsidR="001A4025" w:rsidRPr="008D6CBD" w:rsidRDefault="001A4025" w:rsidP="001A4025">
      <w:pPr>
        <w:spacing w:line="360" w:lineRule="auto"/>
        <w:ind w:left="3600" w:right="531" w:firstLine="720"/>
        <w:jc w:val="both"/>
        <w:rPr>
          <w:rFonts w:ascii="Times New Roman" w:hAnsi="Times New Roman" w:cs="Times New Roman"/>
          <w:sz w:val="24"/>
          <w:szCs w:val="24"/>
        </w:rPr>
      </w:pPr>
    </w:p>
    <w:p w14:paraId="6612156A" w14:textId="2B1C47A5" w:rsidR="001A4025" w:rsidRPr="008D6CBD" w:rsidRDefault="001A4025" w:rsidP="001A4025">
      <w:pPr>
        <w:spacing w:line="360" w:lineRule="auto"/>
        <w:ind w:left="5760" w:right="531"/>
        <w:jc w:val="both"/>
        <w:rPr>
          <w:rFonts w:ascii="Times New Roman" w:hAnsi="Times New Roman" w:cs="Times New Roman"/>
          <w:sz w:val="24"/>
          <w:szCs w:val="24"/>
        </w:rPr>
      </w:pPr>
      <w:r w:rsidRPr="008D6CBD">
        <w:rPr>
          <w:rFonts w:ascii="Times New Roman" w:hAnsi="Times New Roman" w:cs="Times New Roman"/>
          <w:sz w:val="24"/>
          <w:szCs w:val="24"/>
        </w:rPr>
        <w:t xml:space="preserve">WORD COUNT: </w:t>
      </w:r>
      <w:r w:rsidR="00D01225">
        <w:rPr>
          <w:rFonts w:ascii="Times New Roman" w:hAnsi="Times New Roman" w:cs="Times New Roman"/>
          <w:sz w:val="24"/>
          <w:szCs w:val="24"/>
        </w:rPr>
        <w:t>2</w:t>
      </w:r>
      <w:r w:rsidR="009945C7">
        <w:rPr>
          <w:rFonts w:ascii="Times New Roman" w:hAnsi="Times New Roman" w:cs="Times New Roman"/>
          <w:sz w:val="24"/>
          <w:szCs w:val="24"/>
        </w:rPr>
        <w:t>116</w:t>
      </w:r>
    </w:p>
    <w:p w14:paraId="137104EE" w14:textId="77777777" w:rsidR="001A4025" w:rsidRPr="00E676F7" w:rsidRDefault="001A4025"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52FB0921" w14:textId="3CCEFAF6" w:rsidR="69F7424F" w:rsidRPr="001A4025" w:rsidRDefault="00E676F7" w:rsidP="001A4025">
      <w:pPr>
        <w:overflowPunct/>
        <w:autoSpaceDE/>
        <w:autoSpaceDN/>
        <w:adjustRightInd/>
        <w:textAlignment w:val="auto"/>
        <w:rPr>
          <w:b/>
          <w:bCs/>
          <w:sz w:val="24"/>
          <w:szCs w:val="24"/>
        </w:rPr>
      </w:pPr>
      <w:r w:rsidRPr="5CE196A1">
        <w:rPr>
          <w:b/>
          <w:bCs/>
          <w:sz w:val="24"/>
          <w:szCs w:val="24"/>
        </w:rPr>
        <w:br w:type="page"/>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62431C9B" w:rsidR="005C76DE" w:rsidRDefault="005C76DE" w:rsidP="5CE196A1">
      <w:pPr>
        <w:ind w:right="237"/>
        <w:jc w:val="both"/>
        <w:rPr>
          <w:b/>
          <w:bCs/>
          <w:sz w:val="24"/>
          <w:szCs w:val="24"/>
        </w:rPr>
      </w:pPr>
      <w:r w:rsidRPr="5CE196A1">
        <w:rPr>
          <w:b/>
          <w:bCs/>
          <w:sz w:val="24"/>
          <w:szCs w:val="24"/>
        </w:rPr>
        <w:t>ANSWER:</w:t>
      </w:r>
    </w:p>
    <w:p w14:paraId="43AD4518" w14:textId="69407AF0" w:rsidR="001A4025" w:rsidRDefault="001A4025" w:rsidP="5CE196A1">
      <w:pPr>
        <w:ind w:right="237"/>
        <w:jc w:val="both"/>
        <w:rPr>
          <w:b/>
          <w:bCs/>
          <w:sz w:val="24"/>
          <w:szCs w:val="24"/>
        </w:rPr>
      </w:pPr>
    </w:p>
    <w:p w14:paraId="03ABD9BB" w14:textId="09D195C2"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Domestic abuse is on the rise and contributes to the majority of calls made to police</w:t>
      </w:r>
      <w:r w:rsidR="000B42D0">
        <w:rPr>
          <w:rFonts w:ascii="Times New Roman" w:eastAsia="Calibri" w:hAnsi="Times New Roman" w:cs="Times New Roman"/>
          <w:sz w:val="24"/>
          <w:szCs w:val="24"/>
        </w:rPr>
        <w:t xml:space="preserve"> and it is often suggested that seriousness and regularity of abuse worsens over time </w:t>
      </w:r>
      <w:r w:rsidR="000B42D0" w:rsidRPr="000B42D0">
        <w:rPr>
          <w:rFonts w:ascii="Times New Roman" w:eastAsia="Calibri" w:hAnsi="Times New Roman" w:cs="Times New Roman"/>
          <w:sz w:val="24"/>
          <w:szCs w:val="24"/>
        </w:rPr>
        <w:t>(Bland &amp; Ariel, 2015)</w:t>
      </w:r>
      <w:r w:rsidR="000B42D0">
        <w:rPr>
          <w:rFonts w:ascii="Times New Roman" w:eastAsia="Calibri" w:hAnsi="Times New Roman" w:cs="Times New Roman"/>
          <w:sz w:val="24"/>
          <w:szCs w:val="24"/>
        </w:rPr>
        <w:t>.</w:t>
      </w:r>
      <w:r w:rsidRPr="00CB76F5">
        <w:rPr>
          <w:rFonts w:ascii="Times New Roman" w:eastAsia="Calibri" w:hAnsi="Times New Roman" w:cs="Times New Roman"/>
          <w:sz w:val="24"/>
          <w:szCs w:val="24"/>
        </w:rPr>
        <w:t xml:space="preserve"> This fact is confirmed in research by Stripe in 2020, which showed that in England and Wales in the year ending March 2020, the police recorded 1,288,018 domestic abuse related incidents, an increase of 4% from the previous year</w:t>
      </w:r>
      <w:r w:rsidR="00556B2B">
        <w:rPr>
          <w:rFonts w:ascii="Times New Roman" w:eastAsia="Calibri" w:hAnsi="Times New Roman" w:cs="Times New Roman"/>
          <w:sz w:val="24"/>
          <w:szCs w:val="24"/>
        </w:rPr>
        <w:t xml:space="preserve"> (Stripe, 2020).</w:t>
      </w:r>
      <w:r w:rsidRPr="00CB76F5">
        <w:rPr>
          <w:rFonts w:ascii="Times New Roman" w:eastAsia="Calibri" w:hAnsi="Times New Roman" w:cs="Times New Roman"/>
          <w:sz w:val="24"/>
          <w:szCs w:val="24"/>
        </w:rPr>
        <w:t xml:space="preserve"> However, it is important to remember that unfortunately</w:t>
      </w:r>
      <w:r w:rsidR="00556B2B">
        <w:rPr>
          <w:rFonts w:ascii="Times New Roman" w:eastAsia="Calibri" w:hAnsi="Times New Roman" w:cs="Times New Roman"/>
          <w:sz w:val="24"/>
          <w:szCs w:val="24"/>
        </w:rPr>
        <w:t>,</w:t>
      </w:r>
      <w:r w:rsidRPr="00CB76F5">
        <w:rPr>
          <w:rFonts w:ascii="Times New Roman" w:eastAsia="Calibri" w:hAnsi="Times New Roman" w:cs="Times New Roman"/>
          <w:sz w:val="24"/>
          <w:szCs w:val="24"/>
        </w:rPr>
        <w:t xml:space="preserve"> a lot of domestic related incidents go unreported due to </w:t>
      </w:r>
      <w:r w:rsidR="000B42D0" w:rsidRPr="00CB76F5">
        <w:rPr>
          <w:rFonts w:ascii="Times New Roman" w:eastAsia="Calibri" w:hAnsi="Times New Roman" w:cs="Times New Roman"/>
          <w:sz w:val="24"/>
          <w:szCs w:val="24"/>
        </w:rPr>
        <w:t>several</w:t>
      </w:r>
      <w:r w:rsidRPr="00CB76F5">
        <w:rPr>
          <w:rFonts w:ascii="Times New Roman" w:eastAsia="Calibri" w:hAnsi="Times New Roman" w:cs="Times New Roman"/>
          <w:sz w:val="24"/>
          <w:szCs w:val="24"/>
        </w:rPr>
        <w:t xml:space="preserve"> factors, therefore it is imperative when attending domestic calls, we do everything we can as police to ensure effective policing in challenging situations, to ensure the appropriate support is provided to victims</w:t>
      </w:r>
      <w:r w:rsidR="000B42D0">
        <w:rPr>
          <w:rFonts w:ascii="Times New Roman" w:eastAsia="Calibri" w:hAnsi="Times New Roman" w:cs="Times New Roman"/>
          <w:sz w:val="24"/>
          <w:szCs w:val="24"/>
        </w:rPr>
        <w:t xml:space="preserve"> </w:t>
      </w:r>
      <w:r w:rsidR="000B42D0" w:rsidRPr="000B42D0">
        <w:rPr>
          <w:rFonts w:ascii="Times New Roman" w:eastAsia="Calibri" w:hAnsi="Times New Roman" w:cs="Times New Roman"/>
          <w:sz w:val="24"/>
          <w:szCs w:val="24"/>
        </w:rPr>
        <w:t>(Strang et al., 2014)</w:t>
      </w:r>
      <w:r w:rsidR="000B42D0">
        <w:rPr>
          <w:rFonts w:ascii="Times New Roman" w:eastAsia="Calibri" w:hAnsi="Times New Roman" w:cs="Times New Roman"/>
          <w:sz w:val="24"/>
          <w:szCs w:val="24"/>
        </w:rPr>
        <w:t>.</w:t>
      </w:r>
      <w:r w:rsidRPr="00CB76F5">
        <w:rPr>
          <w:rFonts w:ascii="Times New Roman" w:eastAsia="Calibri" w:hAnsi="Times New Roman" w:cs="Times New Roman"/>
          <w:sz w:val="24"/>
          <w:szCs w:val="24"/>
        </w:rPr>
        <w:t xml:space="preserve"> In this task I will be discussing a complex domestic abuse incident I attended and the challenges I faced when trying to deal with the situation and the strategies I developed to ensure the most effective policing was used.</w:t>
      </w:r>
    </w:p>
    <w:p w14:paraId="72CC7E12"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hAnsi="Times New Roman" w:cs="Times New Roman"/>
          <w:noProof/>
          <w:sz w:val="24"/>
          <w:szCs w:val="24"/>
        </w:rPr>
        <w:drawing>
          <wp:anchor distT="0" distB="0" distL="114300" distR="114300" simplePos="0" relativeHeight="251659264" behindDoc="0" locked="0" layoutInCell="1" allowOverlap="1" wp14:anchorId="7AA60EAE" wp14:editId="4F8E3241">
            <wp:simplePos x="0" y="0"/>
            <wp:positionH relativeFrom="margin">
              <wp:align>right</wp:align>
            </wp:positionH>
            <wp:positionV relativeFrom="paragraph">
              <wp:posOffset>208915</wp:posOffset>
            </wp:positionV>
            <wp:extent cx="5731510" cy="2505710"/>
            <wp:effectExtent l="0" t="0" r="2540" b="8890"/>
            <wp:wrapSquare wrapText="bothSides"/>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505710"/>
                    </a:xfrm>
                    <a:prstGeom prst="rect">
                      <a:avLst/>
                    </a:prstGeom>
                  </pic:spPr>
                </pic:pic>
              </a:graphicData>
            </a:graphic>
          </wp:anchor>
        </w:drawing>
      </w:r>
    </w:p>
    <w:p w14:paraId="2A0D8003" w14:textId="77777777" w:rsidR="001A4025" w:rsidRPr="00CB76F5" w:rsidRDefault="001A4025" w:rsidP="00CB76F5">
      <w:pPr>
        <w:jc w:val="both"/>
        <w:rPr>
          <w:rFonts w:ascii="Times New Roman" w:hAnsi="Times New Roman" w:cs="Times New Roman"/>
          <w:sz w:val="24"/>
          <w:szCs w:val="24"/>
        </w:rPr>
      </w:pPr>
    </w:p>
    <w:p w14:paraId="62F4B626" w14:textId="77777777" w:rsidR="001A4025" w:rsidRPr="00CB76F5" w:rsidRDefault="001A4025" w:rsidP="00CB76F5">
      <w:pPr>
        <w:jc w:val="both"/>
        <w:rPr>
          <w:rFonts w:ascii="Times New Roman" w:hAnsi="Times New Roman" w:cs="Times New Roman"/>
        </w:rPr>
      </w:pPr>
      <w:r w:rsidRPr="00CB76F5">
        <w:rPr>
          <w:rFonts w:ascii="Times New Roman" w:hAnsi="Times New Roman" w:cs="Times New Roman"/>
        </w:rPr>
        <w:t>Figure 1: Prevalence of domestic abuse in the last year for adults aged 16 to 59 years. England and Wales, year ending March 2005 to year ending March 2018 (Office for National Statistics, 2018, p.5).</w:t>
      </w:r>
    </w:p>
    <w:p w14:paraId="60FCBF72" w14:textId="77777777" w:rsidR="001A4025" w:rsidRPr="00CB76F5" w:rsidRDefault="001A4025" w:rsidP="00CB76F5">
      <w:pPr>
        <w:jc w:val="both"/>
        <w:rPr>
          <w:rFonts w:ascii="Times New Roman" w:hAnsi="Times New Roman" w:cs="Times New Roman"/>
          <w:sz w:val="24"/>
          <w:szCs w:val="24"/>
        </w:rPr>
      </w:pPr>
    </w:p>
    <w:p w14:paraId="29BD59FC"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5B496AFA" w14:textId="3FD0519C"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 xml:space="preserve">Whilst on duty, I received a call to attend a property whereby a male had called in stating that he was stuck in his property and that his partner would not let him out and that he was being controlled and abused by his partner. Immediately, I took note of the fact a male had called in. Although research suggests that of every three domestic abuse cases in the UK, one of those is male, it was a rare occurrence for myself to receive a call regarding domestic abuse from a male. This is also since 51% of males do not confide in </w:t>
      </w:r>
      <w:r w:rsidRPr="00CB76F5">
        <w:rPr>
          <w:rFonts w:ascii="Times New Roman" w:eastAsia="Calibri" w:hAnsi="Times New Roman" w:cs="Times New Roman"/>
          <w:sz w:val="24"/>
          <w:szCs w:val="24"/>
        </w:rPr>
        <w:lastRenderedPageBreak/>
        <w:t xml:space="preserve">anyone about abuse they are </w:t>
      </w:r>
      <w:r w:rsidR="00556B2B" w:rsidRPr="00CB76F5">
        <w:rPr>
          <w:rFonts w:ascii="Times New Roman" w:eastAsia="Calibri" w:hAnsi="Times New Roman" w:cs="Times New Roman"/>
          <w:sz w:val="24"/>
          <w:szCs w:val="24"/>
        </w:rPr>
        <w:t>enduring</w:t>
      </w:r>
      <w:r w:rsidRPr="00CB76F5">
        <w:rPr>
          <w:rFonts w:ascii="Times New Roman" w:eastAsia="Calibri" w:hAnsi="Times New Roman" w:cs="Times New Roman"/>
          <w:sz w:val="24"/>
          <w:szCs w:val="24"/>
        </w:rPr>
        <w:t xml:space="preserve"> due to aspects such as embarrassment or shame (Tsui et al., 2010). </w:t>
      </w:r>
    </w:p>
    <w:p w14:paraId="2A99EE9C" w14:textId="79114664"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 xml:space="preserve">On arrival at scene, I found two distressed parties, who were both in such a high emotional state, it was very difficult to grasp a full understanding of the situation. However, immediately I noticed that there were two very young children within the property, and I knew that I needed to keep them at the forefront of my mind </w:t>
      </w:r>
      <w:r w:rsidR="00EF23B8">
        <w:rPr>
          <w:rFonts w:ascii="Times New Roman" w:eastAsia="Calibri" w:hAnsi="Times New Roman" w:cs="Times New Roman"/>
          <w:sz w:val="24"/>
          <w:szCs w:val="24"/>
        </w:rPr>
        <w:t xml:space="preserve">regarding </w:t>
      </w:r>
      <w:r w:rsidRPr="00CB76F5">
        <w:rPr>
          <w:rFonts w:ascii="Times New Roman" w:eastAsia="Calibri" w:hAnsi="Times New Roman" w:cs="Times New Roman"/>
          <w:sz w:val="24"/>
          <w:szCs w:val="24"/>
        </w:rPr>
        <w:t xml:space="preserve">the decisions I made when resolving the situation. </w:t>
      </w:r>
    </w:p>
    <w:p w14:paraId="71CF41D7" w14:textId="1BCFC1D9" w:rsidR="00430EE0"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It was decided that both parties would be spoken to separately to ensure they had an equal opportunity to speak without feeling any pressure from the other person involved.</w:t>
      </w:r>
      <w:r w:rsidR="00430EE0">
        <w:rPr>
          <w:rFonts w:ascii="Times New Roman" w:eastAsia="Calibri" w:hAnsi="Times New Roman" w:cs="Times New Roman"/>
          <w:sz w:val="24"/>
          <w:szCs w:val="24"/>
        </w:rPr>
        <w:t xml:space="preserve"> Research also suggests that people are more likely to discuss domestic related abuse when directly asked and when away from anyone involved </w:t>
      </w:r>
      <w:r w:rsidR="00430EE0" w:rsidRPr="00430EE0">
        <w:rPr>
          <w:rFonts w:ascii="Times New Roman" w:eastAsia="Calibri" w:hAnsi="Times New Roman" w:cs="Times New Roman"/>
          <w:sz w:val="24"/>
          <w:szCs w:val="24"/>
        </w:rPr>
        <w:t>(Hayden et al., 1997)</w:t>
      </w:r>
      <w:r w:rsidR="00430EE0">
        <w:rPr>
          <w:rFonts w:ascii="Times New Roman" w:eastAsia="Calibri" w:hAnsi="Times New Roman" w:cs="Times New Roman"/>
          <w:sz w:val="24"/>
          <w:szCs w:val="24"/>
        </w:rPr>
        <w:t>.</w:t>
      </w:r>
    </w:p>
    <w:p w14:paraId="0C4C61E6" w14:textId="77777777" w:rsidR="00430EE0" w:rsidRDefault="00430EE0" w:rsidP="00CB76F5">
      <w:pPr>
        <w:spacing w:line="360" w:lineRule="auto"/>
        <w:ind w:right="531"/>
        <w:jc w:val="both"/>
        <w:rPr>
          <w:rFonts w:ascii="Times New Roman" w:eastAsia="Calibri" w:hAnsi="Times New Roman" w:cs="Times New Roman"/>
          <w:sz w:val="24"/>
          <w:szCs w:val="24"/>
        </w:rPr>
      </w:pPr>
    </w:p>
    <w:p w14:paraId="6E639ED3" w14:textId="20A67EC6" w:rsidR="001A4025" w:rsidRPr="00CB76F5" w:rsidRDefault="00430EE0" w:rsidP="00CB76F5">
      <w:pPr>
        <w:spacing w:line="360" w:lineRule="auto"/>
        <w:ind w:right="531"/>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It is reported that the reasons males do not disclose domestic abuse, is due to their belief that police would not take any action </w:t>
      </w:r>
      <w:r w:rsidR="007B014D" w:rsidRPr="007B014D">
        <w:rPr>
          <w:rFonts w:ascii="Times New Roman" w:eastAsia="Calibri" w:hAnsi="Times New Roman" w:cs="Times New Roman"/>
          <w:sz w:val="24"/>
          <w:szCs w:val="24"/>
        </w:rPr>
        <w:t>(Drijber et al., 2012)</w:t>
      </w:r>
      <w:r w:rsidR="007B014D">
        <w:rPr>
          <w:rFonts w:ascii="Times New Roman" w:eastAsia="Calibri" w:hAnsi="Times New Roman" w:cs="Times New Roman"/>
          <w:sz w:val="24"/>
          <w:szCs w:val="24"/>
        </w:rPr>
        <w:t xml:space="preserve">. </w:t>
      </w:r>
      <w:r w:rsidR="001A4025" w:rsidRPr="00CB76F5">
        <w:rPr>
          <w:rFonts w:ascii="Times New Roman" w:eastAsia="Calibri" w:hAnsi="Times New Roman" w:cs="Times New Roman"/>
          <w:sz w:val="24"/>
          <w:szCs w:val="24"/>
        </w:rPr>
        <w:t xml:space="preserve">When speaking with the male who reported the incident, he confided in me that he had recently been released from jail in relation to previous domestic issues and believed that I would not help or take him seriously regarding the abuse he now was receiving from his partner because of this. I reassured the male that regardless of his background, that if he was a victim of domestic abuse that I was there to help him. Roughly only 1 in 6 men, so 15%, will openly tell police that they are a victim of domestic abuse, so I knew it was imperative that I made the male feel comfortable and that he could trust that I would take everything he said seriously (Brooks, 2020). </w:t>
      </w:r>
    </w:p>
    <w:p w14:paraId="7ED101C7" w14:textId="31092A75"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 xml:space="preserve">Part of making a victim feel fully understood, especially in this </w:t>
      </w:r>
      <w:r w:rsidR="00EF23B8" w:rsidRPr="00CB76F5">
        <w:rPr>
          <w:rFonts w:ascii="Times New Roman" w:eastAsia="Calibri" w:hAnsi="Times New Roman" w:cs="Times New Roman"/>
          <w:sz w:val="24"/>
          <w:szCs w:val="24"/>
        </w:rPr>
        <w:t>incident</w:t>
      </w:r>
      <w:r w:rsidRPr="00CB76F5">
        <w:rPr>
          <w:rFonts w:ascii="Times New Roman" w:eastAsia="Calibri" w:hAnsi="Times New Roman" w:cs="Times New Roman"/>
          <w:sz w:val="24"/>
          <w:szCs w:val="24"/>
        </w:rPr>
        <w:t xml:space="preserve"> where the victim had previous for being a domestic abuse perpetrator, was making sure that I was not bias in any decision I made, this was the first challenged I faced. Unconscious bias naturally occurs, however it is important in my role as an officer to build good relationships with victim through quality communication and making sure I minimise any personal biases or preconceptions, to encourage disclosure of abuse (College Of Policing, 2021). Once the victim felt comfortable with me, he disclosed that since his release from jail, his partner had been controlling everything he did, including his finances, when he could go out and who he could talk to. He also stated that if he did not obey these rules, that his partner would lash out and assault him. On hearing this information, I knew I was looking at the offences of, domestic related common assault, and coercive and controlling behaviour. </w:t>
      </w:r>
    </w:p>
    <w:p w14:paraId="333E3CAF"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lastRenderedPageBreak/>
        <w:t>With regards to coercive or controlling behaviour, the Serious Crime Act, 2015 defines the offence as;</w:t>
      </w:r>
    </w:p>
    <w:p w14:paraId="75AAD61F"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A person (A) commits an offence if—</w:t>
      </w:r>
    </w:p>
    <w:p w14:paraId="35E54738"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(a)A repeatedly or continuously engages in behaviour towards another person (B) that is controlling or coercive,</w:t>
      </w:r>
    </w:p>
    <w:p w14:paraId="37E9EECF"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(b)at the time of the behaviour, A and B are personally connected,</w:t>
      </w:r>
    </w:p>
    <w:p w14:paraId="247B4F45"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(c)the behaviour has a serious effect on B, and</w:t>
      </w:r>
    </w:p>
    <w:p w14:paraId="299CDC44"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01BADA26"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(d)A knows or ought to know that the behaviour will have a serious effect on B.</w:t>
      </w:r>
    </w:p>
    <w:p w14:paraId="784F952E"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(2)A and B are “personally connected” if—</w:t>
      </w:r>
    </w:p>
    <w:p w14:paraId="201AFA74"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(a)A is in an intimate personal relationship with B, or</w:t>
      </w:r>
    </w:p>
    <w:p w14:paraId="4606FE8B"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(b)A and B live together and—</w:t>
      </w:r>
    </w:p>
    <w:p w14:paraId="15600280"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(i)they are members of the same family, or</w:t>
      </w:r>
    </w:p>
    <w:p w14:paraId="1F4CA079"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(ii)they have previously been in an intimate personal relationship with each other.</w:t>
      </w:r>
    </w:p>
    <w:p w14:paraId="59B50FBB"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r>
    </w:p>
    <w:p w14:paraId="1229679B"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r>
      <w:r w:rsidRPr="00CB76F5">
        <w:rPr>
          <w:rFonts w:ascii="Times New Roman" w:eastAsia="Calibri" w:hAnsi="Times New Roman" w:cs="Times New Roman"/>
          <w:sz w:val="24"/>
          <w:szCs w:val="24"/>
        </w:rPr>
        <w:tab/>
        <w:t>(Serious Crime Act, 2015)</w:t>
      </w:r>
    </w:p>
    <w:p w14:paraId="597863A6"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7A93B5F0" w14:textId="66813341" w:rsidR="001A402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The first step I needed to take with the male being a victim of crime, was to ensure that he received full support from the police. I made sure I explained to him the support that would be given to him moving forward regarding aspects such as submitting a public protection notification (PPN) which would allow relevant agencies to engage with him to offer him the relevant support and management he needed</w:t>
      </w:r>
      <w:r w:rsidR="002C57DC">
        <w:rPr>
          <w:rFonts w:ascii="Times New Roman" w:eastAsia="Calibri" w:hAnsi="Times New Roman" w:cs="Times New Roman"/>
          <w:sz w:val="24"/>
          <w:szCs w:val="24"/>
        </w:rPr>
        <w:t xml:space="preserve"> and </w:t>
      </w:r>
      <w:r w:rsidRPr="00CB76F5">
        <w:rPr>
          <w:rFonts w:ascii="Times New Roman" w:eastAsia="Calibri" w:hAnsi="Times New Roman" w:cs="Times New Roman"/>
          <w:sz w:val="24"/>
          <w:szCs w:val="24"/>
        </w:rPr>
        <w:t>to work through the issues he was currently facing</w:t>
      </w:r>
      <w:r w:rsidR="002C57DC">
        <w:rPr>
          <w:rFonts w:ascii="Times New Roman" w:eastAsia="Calibri" w:hAnsi="Times New Roman" w:cs="Times New Roman"/>
          <w:sz w:val="24"/>
          <w:szCs w:val="24"/>
        </w:rPr>
        <w:t>.</w:t>
      </w:r>
      <w:r w:rsidR="006E74EB">
        <w:rPr>
          <w:rFonts w:ascii="Times New Roman" w:eastAsia="Calibri" w:hAnsi="Times New Roman" w:cs="Times New Roman"/>
          <w:sz w:val="24"/>
          <w:szCs w:val="24"/>
        </w:rPr>
        <w:t xml:space="preserve"> </w:t>
      </w:r>
      <w:r w:rsidR="002C57DC">
        <w:rPr>
          <w:rFonts w:ascii="Times New Roman" w:eastAsia="Calibri" w:hAnsi="Times New Roman" w:cs="Times New Roman"/>
          <w:sz w:val="24"/>
          <w:szCs w:val="24"/>
        </w:rPr>
        <w:t xml:space="preserve">Furthermore, it is </w:t>
      </w:r>
      <w:r w:rsidR="006E74EB">
        <w:rPr>
          <w:rFonts w:ascii="Times New Roman" w:eastAsia="Calibri" w:hAnsi="Times New Roman" w:cs="Times New Roman"/>
          <w:sz w:val="24"/>
          <w:szCs w:val="24"/>
        </w:rPr>
        <w:t>suggested</w:t>
      </w:r>
      <w:r w:rsidR="002C57DC">
        <w:rPr>
          <w:rFonts w:ascii="Times New Roman" w:eastAsia="Calibri" w:hAnsi="Times New Roman" w:cs="Times New Roman"/>
          <w:sz w:val="24"/>
          <w:szCs w:val="24"/>
        </w:rPr>
        <w:t xml:space="preserve"> that a victim or witness is more likely to disclose information and have a more accurate recall of events, if they feel that they have build a rapport with the person they are speaking to</w:t>
      </w:r>
      <w:r w:rsidR="006E74EB">
        <w:rPr>
          <w:rFonts w:ascii="Times New Roman" w:eastAsia="Calibri" w:hAnsi="Times New Roman" w:cs="Times New Roman"/>
          <w:sz w:val="24"/>
          <w:szCs w:val="24"/>
        </w:rPr>
        <w:t xml:space="preserve"> (Vallano and Compo, 2011).</w:t>
      </w:r>
      <w:r w:rsidR="002C57DC">
        <w:rPr>
          <w:rFonts w:ascii="Times New Roman" w:eastAsia="Calibri" w:hAnsi="Times New Roman" w:cs="Times New Roman"/>
          <w:sz w:val="24"/>
          <w:szCs w:val="24"/>
        </w:rPr>
        <w:t xml:space="preserve"> </w:t>
      </w:r>
      <w:r w:rsidR="006E74EB">
        <w:rPr>
          <w:rFonts w:ascii="Times New Roman" w:eastAsia="Calibri" w:hAnsi="Times New Roman" w:cs="Times New Roman"/>
          <w:sz w:val="24"/>
          <w:szCs w:val="24"/>
        </w:rPr>
        <w:t xml:space="preserve">To ensure we achieved best evidence, I provided </w:t>
      </w:r>
      <w:r w:rsidRPr="00CB76F5">
        <w:rPr>
          <w:rFonts w:ascii="Times New Roman" w:eastAsia="Calibri" w:hAnsi="Times New Roman" w:cs="Times New Roman"/>
          <w:sz w:val="24"/>
          <w:szCs w:val="24"/>
        </w:rPr>
        <w:t xml:space="preserve">him with my contact information to ensure communication with myself was easily accessible </w:t>
      </w:r>
      <w:r w:rsidR="006E74EB">
        <w:rPr>
          <w:rFonts w:ascii="Times New Roman" w:eastAsia="Calibri" w:hAnsi="Times New Roman" w:cs="Times New Roman"/>
          <w:sz w:val="24"/>
          <w:szCs w:val="24"/>
        </w:rPr>
        <w:t>in case he wanted to discuss the matter further.</w:t>
      </w:r>
    </w:p>
    <w:p w14:paraId="059825A6" w14:textId="77777777" w:rsidR="006E74EB" w:rsidRPr="00CB76F5" w:rsidRDefault="006E74EB" w:rsidP="00CB76F5">
      <w:pPr>
        <w:spacing w:line="360" w:lineRule="auto"/>
        <w:ind w:right="531"/>
        <w:jc w:val="both"/>
        <w:rPr>
          <w:rFonts w:ascii="Times New Roman" w:eastAsia="Calibri" w:hAnsi="Times New Roman" w:cs="Times New Roman"/>
          <w:sz w:val="24"/>
          <w:szCs w:val="24"/>
        </w:rPr>
      </w:pPr>
    </w:p>
    <w:p w14:paraId="0FB7A1D7"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Whilst speaking with the victim, I could hear the female involved becoming more agitated and aggressive towards my colleagues. Due to this, I knew I needed to steer my attention away from the victim temporarily to ensure the safety of everyone involved. When making this decision, I made sure the victim understood why and that we would be able to continue our conversation once the immediate issue had been resolved.</w:t>
      </w:r>
    </w:p>
    <w:p w14:paraId="12C86D14"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2E0D660B" w14:textId="644055EA"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When approaching the female involved, I could immediately tell her aggressive behaviour had increased and she was acting erratically. The female’s behaviour was concerning to me as she had started to act in a way which I would only describe as abnormal, with no reason behind it. Due to this, I face</w:t>
      </w:r>
      <w:r w:rsidR="00EF23B8">
        <w:rPr>
          <w:rFonts w:ascii="Times New Roman" w:eastAsia="Calibri" w:hAnsi="Times New Roman" w:cs="Times New Roman"/>
          <w:sz w:val="24"/>
          <w:szCs w:val="24"/>
        </w:rPr>
        <w:t>d</w:t>
      </w:r>
      <w:r w:rsidRPr="00CB76F5">
        <w:rPr>
          <w:rFonts w:ascii="Times New Roman" w:eastAsia="Calibri" w:hAnsi="Times New Roman" w:cs="Times New Roman"/>
          <w:sz w:val="24"/>
          <w:szCs w:val="24"/>
        </w:rPr>
        <w:t xml:space="preserve"> the next challenge that this incident threw at me, as I began to believe that the female was suffering from a mental health episode. Although I knew the victim had disclosed to me that the female had assaulted him, I needed to prioritise the health and safety of the female, and everyone involved to ensure no further injury was caused. By using effective communication skills, I was able to bring the behaviour of the female down to a level where I was able to offer her my help. I decided it would be beneficial for the female to be taken to the crisis team for a mental health evaluation, so she could receive the relevant professional help she needed, which would also allow her to be removed from the house, which would in turn help safeguard the victim for the time being, whilst an appropriate plan was put in place. </w:t>
      </w:r>
      <w:r w:rsidR="002A4A96">
        <w:rPr>
          <w:rFonts w:ascii="Times New Roman" w:eastAsia="Calibri" w:hAnsi="Times New Roman" w:cs="Times New Roman"/>
          <w:sz w:val="24"/>
          <w:szCs w:val="24"/>
        </w:rPr>
        <w:t xml:space="preserve">Although, I could </w:t>
      </w:r>
      <w:r w:rsidR="008744D9">
        <w:rPr>
          <w:rFonts w:ascii="Times New Roman" w:eastAsia="Calibri" w:hAnsi="Times New Roman" w:cs="Times New Roman"/>
          <w:sz w:val="24"/>
          <w:szCs w:val="24"/>
        </w:rPr>
        <w:t>have</w:t>
      </w:r>
      <w:r w:rsidR="002A4A96">
        <w:rPr>
          <w:rFonts w:ascii="Times New Roman" w:eastAsia="Calibri" w:hAnsi="Times New Roman" w:cs="Times New Roman"/>
          <w:sz w:val="24"/>
          <w:szCs w:val="24"/>
        </w:rPr>
        <w:t xml:space="preserve"> arrested the female</w:t>
      </w:r>
      <w:r w:rsidR="00060CEA">
        <w:rPr>
          <w:rFonts w:ascii="Times New Roman" w:eastAsia="Calibri" w:hAnsi="Times New Roman" w:cs="Times New Roman"/>
          <w:sz w:val="24"/>
          <w:szCs w:val="24"/>
        </w:rPr>
        <w:t xml:space="preserve"> at the time,</w:t>
      </w:r>
      <w:r w:rsidR="003343F3">
        <w:rPr>
          <w:rFonts w:ascii="Times New Roman" w:eastAsia="Calibri" w:hAnsi="Times New Roman" w:cs="Times New Roman"/>
          <w:sz w:val="24"/>
          <w:szCs w:val="24"/>
        </w:rPr>
        <w:t xml:space="preserve"> </w:t>
      </w:r>
      <w:r w:rsidRPr="00CB76F5">
        <w:rPr>
          <w:rFonts w:ascii="Times New Roman" w:eastAsia="Calibri" w:hAnsi="Times New Roman" w:cs="Times New Roman"/>
          <w:sz w:val="24"/>
          <w:szCs w:val="24"/>
        </w:rPr>
        <w:t>I</w:t>
      </w:r>
      <w:r w:rsidR="00060CEA">
        <w:rPr>
          <w:rFonts w:ascii="Times New Roman" w:eastAsia="Calibri" w:hAnsi="Times New Roman" w:cs="Times New Roman"/>
          <w:sz w:val="24"/>
          <w:szCs w:val="24"/>
        </w:rPr>
        <w:t xml:space="preserve"> also</w:t>
      </w:r>
      <w:r w:rsidRPr="00CB76F5">
        <w:rPr>
          <w:rFonts w:ascii="Times New Roman" w:eastAsia="Calibri" w:hAnsi="Times New Roman" w:cs="Times New Roman"/>
          <w:sz w:val="24"/>
          <w:szCs w:val="24"/>
        </w:rPr>
        <w:t xml:space="preserve"> knew that the </w:t>
      </w:r>
      <w:r w:rsidR="00EF23B8" w:rsidRPr="00CB76F5">
        <w:rPr>
          <w:rFonts w:ascii="Times New Roman" w:eastAsia="Calibri" w:hAnsi="Times New Roman" w:cs="Times New Roman"/>
          <w:sz w:val="24"/>
          <w:szCs w:val="24"/>
        </w:rPr>
        <w:t>female’s</w:t>
      </w:r>
      <w:r w:rsidRPr="00CB76F5">
        <w:rPr>
          <w:rFonts w:ascii="Times New Roman" w:eastAsia="Calibri" w:hAnsi="Times New Roman" w:cs="Times New Roman"/>
          <w:sz w:val="24"/>
          <w:szCs w:val="24"/>
        </w:rPr>
        <w:t xml:space="preserve"> involvement in the matter</w:t>
      </w:r>
      <w:r w:rsidR="00EF23B8">
        <w:rPr>
          <w:rFonts w:ascii="Times New Roman" w:eastAsia="Calibri" w:hAnsi="Times New Roman" w:cs="Times New Roman"/>
          <w:sz w:val="24"/>
          <w:szCs w:val="24"/>
        </w:rPr>
        <w:t xml:space="preserve"> could</w:t>
      </w:r>
      <w:r w:rsidRPr="00CB76F5">
        <w:rPr>
          <w:rFonts w:ascii="Times New Roman" w:eastAsia="Calibri" w:hAnsi="Times New Roman" w:cs="Times New Roman"/>
          <w:sz w:val="24"/>
          <w:szCs w:val="24"/>
        </w:rPr>
        <w:t xml:space="preserve"> be progressed slow time, via strategies such as a voluntary attendance interview, if it was necessary</w:t>
      </w:r>
      <w:r w:rsidR="00060CEA">
        <w:rPr>
          <w:rFonts w:ascii="Times New Roman" w:eastAsia="Calibri" w:hAnsi="Times New Roman" w:cs="Times New Roman"/>
          <w:sz w:val="24"/>
          <w:szCs w:val="24"/>
        </w:rPr>
        <w:t xml:space="preserve">. </w:t>
      </w:r>
      <w:r w:rsidR="0003062D">
        <w:rPr>
          <w:rFonts w:ascii="Times New Roman" w:eastAsia="Calibri" w:hAnsi="Times New Roman" w:cs="Times New Roman"/>
          <w:sz w:val="24"/>
          <w:szCs w:val="24"/>
        </w:rPr>
        <w:t>Critically assessing my decision upon reflection, c</w:t>
      </w:r>
      <w:r w:rsidR="00060CEA">
        <w:rPr>
          <w:rFonts w:ascii="Times New Roman" w:eastAsia="Calibri" w:hAnsi="Times New Roman" w:cs="Times New Roman"/>
          <w:sz w:val="24"/>
          <w:szCs w:val="24"/>
        </w:rPr>
        <w:t xml:space="preserve">onsidering, recent research that suggested around 25% of persons with mental health disorders had been arrested by police at some point in their life rather than receiving necessary treatment, </w:t>
      </w:r>
      <w:r w:rsidR="00EF23B8">
        <w:rPr>
          <w:rFonts w:ascii="Times New Roman" w:eastAsia="Calibri" w:hAnsi="Times New Roman" w:cs="Times New Roman"/>
          <w:sz w:val="24"/>
          <w:szCs w:val="24"/>
        </w:rPr>
        <w:t>I believed that arresting her at scene</w:t>
      </w:r>
      <w:r w:rsidR="00060CEA">
        <w:rPr>
          <w:rFonts w:ascii="Times New Roman" w:eastAsia="Calibri" w:hAnsi="Times New Roman" w:cs="Times New Roman"/>
          <w:sz w:val="24"/>
          <w:szCs w:val="24"/>
        </w:rPr>
        <w:t xml:space="preserve"> </w:t>
      </w:r>
      <w:r w:rsidR="00EF23B8">
        <w:rPr>
          <w:rFonts w:ascii="Times New Roman" w:eastAsia="Calibri" w:hAnsi="Times New Roman" w:cs="Times New Roman"/>
          <w:sz w:val="24"/>
          <w:szCs w:val="24"/>
        </w:rPr>
        <w:t>would have worsened her condition</w:t>
      </w:r>
      <w:r w:rsidR="003343F3">
        <w:rPr>
          <w:rFonts w:ascii="Times New Roman" w:eastAsia="Calibri" w:hAnsi="Times New Roman" w:cs="Times New Roman"/>
          <w:sz w:val="24"/>
          <w:szCs w:val="24"/>
        </w:rPr>
        <w:t xml:space="preserve"> </w:t>
      </w:r>
      <w:r w:rsidR="00060CEA">
        <w:rPr>
          <w:rFonts w:ascii="Times New Roman" w:eastAsia="Calibri" w:hAnsi="Times New Roman" w:cs="Times New Roman"/>
          <w:sz w:val="24"/>
          <w:szCs w:val="24"/>
        </w:rPr>
        <w:t>and may have prevented her from seeking professional mental health assistance (Livington, 2016).</w:t>
      </w:r>
      <w:r w:rsidR="0003062D">
        <w:rPr>
          <w:rFonts w:ascii="Times New Roman" w:eastAsia="Calibri" w:hAnsi="Times New Roman" w:cs="Times New Roman"/>
          <w:sz w:val="24"/>
          <w:szCs w:val="24"/>
        </w:rPr>
        <w:t xml:space="preserve"> </w:t>
      </w:r>
    </w:p>
    <w:p w14:paraId="53107C4D"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3A7D7AAD" w14:textId="61D8CF50"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 xml:space="preserve">When the female had left the property with other officers, I was able to fully concentrate on safeguarding all persons involved. As mentioned previously, within this household during this incident were 2 young children. Due to not being able to fully ensure that the male victim had not played a part in the incident, I faced the challenge of finding somewhere the children could go as a temporary safeguarding measure. Once </w:t>
      </w:r>
      <w:r w:rsidR="005A3445">
        <w:rPr>
          <w:rFonts w:ascii="Times New Roman" w:eastAsia="Calibri" w:hAnsi="Times New Roman" w:cs="Times New Roman"/>
          <w:sz w:val="24"/>
          <w:szCs w:val="24"/>
        </w:rPr>
        <w:t>a</w:t>
      </w:r>
      <w:r w:rsidRPr="00CB76F5">
        <w:rPr>
          <w:rFonts w:ascii="Times New Roman" w:eastAsia="Calibri" w:hAnsi="Times New Roman" w:cs="Times New Roman"/>
          <w:sz w:val="24"/>
          <w:szCs w:val="24"/>
        </w:rPr>
        <w:t xml:space="preserve"> suitable place with family was found, I knew that I needed to involve relevant agencies, as witnessing domestic abuse as a child can cause adverse effects, therefore I contacted social services. A study looking into the affect domestic incidents on children, suggested that 43% of all domestic violence crimes had children in the household, and that 95% of those children experienced sensory exposure to the violence (Fusco &amp; Fantuzzo, 2009). In addition to this, 227,108 child protection referrals were made as a result of domestic </w:t>
      </w:r>
      <w:r w:rsidRPr="00CB76F5">
        <w:rPr>
          <w:rFonts w:ascii="Times New Roman" w:eastAsia="Calibri" w:hAnsi="Times New Roman" w:cs="Times New Roman"/>
          <w:sz w:val="24"/>
          <w:szCs w:val="24"/>
        </w:rPr>
        <w:lastRenderedPageBreak/>
        <w:t xml:space="preserve">abuse related incidents in the year ending March 2020 in England and Wales (Stripe, 2020). By contacting relevant agencies, this made them aware of the family and the ongoing issues they were facing, allowing me to feel confident that the children involved would be safeguarded by professional strategies put in place by social services. </w:t>
      </w:r>
    </w:p>
    <w:p w14:paraId="7AD81D7B"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4FEFE155" w14:textId="210C21CB"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 xml:space="preserve">Once all the other aspects of the call were dealt with, the victim was able to have my full undivided attention. Due to the emotional distressed caused to the victim </w:t>
      </w:r>
      <w:r w:rsidR="002C1962" w:rsidRPr="00CB76F5">
        <w:rPr>
          <w:rFonts w:ascii="Times New Roman" w:eastAsia="Calibri" w:hAnsi="Times New Roman" w:cs="Times New Roman"/>
          <w:sz w:val="24"/>
          <w:szCs w:val="24"/>
        </w:rPr>
        <w:t>because of</w:t>
      </w:r>
      <w:r w:rsidRPr="00CB76F5">
        <w:rPr>
          <w:rFonts w:ascii="Times New Roman" w:eastAsia="Calibri" w:hAnsi="Times New Roman" w:cs="Times New Roman"/>
          <w:sz w:val="24"/>
          <w:szCs w:val="24"/>
        </w:rPr>
        <w:t xml:space="preserve"> the incident, it was clear to me that the victim was in no fit state to provide a statement nor be pushed to make a decision on how he wanted to progress the matter. However, I still retained in my mind, how essential it was to get the victims full support in progressing this case</w:t>
      </w:r>
      <w:r w:rsidR="00E54E22">
        <w:rPr>
          <w:rFonts w:ascii="Times New Roman" w:eastAsia="Calibri" w:hAnsi="Times New Roman" w:cs="Times New Roman"/>
          <w:sz w:val="24"/>
          <w:szCs w:val="24"/>
        </w:rPr>
        <w:t xml:space="preserve"> if I was to bring justice to the victim as well as tackle the gender stereotyping surrounding male abuse victims. This fact, is supported by research which implied that around 63% of men received higher sentences for the same crimes than women (Starr, 2012).</w:t>
      </w:r>
      <w:r w:rsidRPr="00CB76F5">
        <w:rPr>
          <w:rFonts w:ascii="Times New Roman" w:eastAsia="Calibri" w:hAnsi="Times New Roman" w:cs="Times New Roman"/>
          <w:sz w:val="24"/>
          <w:szCs w:val="24"/>
        </w:rPr>
        <w:t xml:space="preserve">I decided it was best to offer the victim a lift to a suitable family member, where he could take some time to relax and talk to family, before I would revisit him to talk to him about the next steps. </w:t>
      </w:r>
    </w:p>
    <w:p w14:paraId="40A45837"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7BD903C1" w14:textId="3F1C1F2B" w:rsidR="001A4025" w:rsidRPr="00CB76F5" w:rsidRDefault="001A4025" w:rsidP="00CB76F5">
      <w:pPr>
        <w:spacing w:line="360" w:lineRule="auto"/>
        <w:ind w:right="531"/>
        <w:jc w:val="both"/>
        <w:rPr>
          <w:rFonts w:ascii="Times New Roman" w:eastAsia="Calibri" w:hAnsi="Times New Roman" w:cs="Times New Roman"/>
          <w:sz w:val="24"/>
          <w:szCs w:val="24"/>
        </w:rPr>
      </w:pPr>
      <w:r w:rsidRPr="00CB76F5">
        <w:rPr>
          <w:rFonts w:ascii="Times New Roman" w:eastAsia="Calibri" w:hAnsi="Times New Roman" w:cs="Times New Roman"/>
          <w:sz w:val="24"/>
          <w:szCs w:val="24"/>
        </w:rPr>
        <w:t xml:space="preserve">On revisiting the victim, I faced my next challenge in resolving this incident. The victim had decided that he did not want to progress the matter and make a formal complaint, as he was worried about attending court to give evidence. By making the victim aware that I fully sympathised with his situation, I explained the approaches and strategies police can take with regards to attending court to give evidence. Special Measures are provisions that can be put in place to help victims in court, to provide evidence without fear or distress and to take part in court proceedings to the best of their ability (GOV.UK, 2022). After discussing particular special measures such as giving evidence behind screens or via video link, as well as discussing the fact </w:t>
      </w:r>
      <w:r w:rsidR="00EF23B8" w:rsidRPr="00CB76F5">
        <w:rPr>
          <w:rFonts w:ascii="Times New Roman" w:eastAsia="Calibri" w:hAnsi="Times New Roman" w:cs="Times New Roman"/>
          <w:sz w:val="24"/>
          <w:szCs w:val="24"/>
        </w:rPr>
        <w:t>that he</w:t>
      </w:r>
      <w:r w:rsidRPr="00CB76F5">
        <w:rPr>
          <w:rFonts w:ascii="Times New Roman" w:eastAsia="Calibri" w:hAnsi="Times New Roman" w:cs="Times New Roman"/>
          <w:sz w:val="24"/>
          <w:szCs w:val="24"/>
        </w:rPr>
        <w:t xml:space="preserve"> now was on the other side of criminal proceedings as a victim, not a perpetrator, the victim eventually decided to provide police with a formal statement, which allowed me to fully progress the matter, which is currently ongoing. </w:t>
      </w:r>
      <w:r w:rsidR="00C9683D">
        <w:rPr>
          <w:rFonts w:ascii="Times New Roman" w:eastAsia="Calibri" w:hAnsi="Times New Roman" w:cs="Times New Roman"/>
          <w:sz w:val="24"/>
          <w:szCs w:val="24"/>
        </w:rPr>
        <w:t>On reflection, it could be argued that I could have got an initial account from the victim at the time of the incident to ensure I had enough evidence to progress th</w:t>
      </w:r>
      <w:r w:rsidR="00657323">
        <w:rPr>
          <w:rFonts w:ascii="Times New Roman" w:eastAsia="Calibri" w:hAnsi="Times New Roman" w:cs="Times New Roman"/>
          <w:sz w:val="24"/>
          <w:szCs w:val="24"/>
        </w:rPr>
        <w:t xml:space="preserve">e </w:t>
      </w:r>
      <w:r w:rsidR="00C9683D">
        <w:rPr>
          <w:rFonts w:ascii="Times New Roman" w:eastAsia="Calibri" w:hAnsi="Times New Roman" w:cs="Times New Roman"/>
          <w:sz w:val="24"/>
          <w:szCs w:val="24"/>
        </w:rPr>
        <w:t xml:space="preserve">matter victimless if it had come to that. However, I believe I made the right decision as I feel that pushing the victim to talk to me whilst in an emotional state would not </w:t>
      </w:r>
      <w:r w:rsidR="00657323">
        <w:rPr>
          <w:rFonts w:ascii="Times New Roman" w:eastAsia="Calibri" w:hAnsi="Times New Roman" w:cs="Times New Roman"/>
          <w:sz w:val="24"/>
          <w:szCs w:val="24"/>
        </w:rPr>
        <w:t>have</w:t>
      </w:r>
      <w:r w:rsidR="00C9683D">
        <w:rPr>
          <w:rFonts w:ascii="Times New Roman" w:eastAsia="Calibri" w:hAnsi="Times New Roman" w:cs="Times New Roman"/>
          <w:sz w:val="24"/>
          <w:szCs w:val="24"/>
        </w:rPr>
        <w:t xml:space="preserve"> achieved best evidence and may have caused him to shut off completely. </w:t>
      </w:r>
    </w:p>
    <w:p w14:paraId="4F71F1C8"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61556A6F" w14:textId="1E9A3D35" w:rsidR="001A4025" w:rsidRPr="00CB76F5" w:rsidRDefault="001A4025" w:rsidP="00CB76F5">
      <w:pPr>
        <w:spacing w:line="360" w:lineRule="auto"/>
        <w:ind w:right="531"/>
        <w:jc w:val="both"/>
        <w:rPr>
          <w:rFonts w:ascii="Times New Roman" w:hAnsi="Times New Roman" w:cs="Times New Roman"/>
          <w:sz w:val="24"/>
          <w:szCs w:val="24"/>
        </w:rPr>
      </w:pPr>
      <w:r w:rsidRPr="00CB76F5">
        <w:rPr>
          <w:rFonts w:ascii="Times New Roman" w:eastAsia="Calibri" w:hAnsi="Times New Roman" w:cs="Times New Roman"/>
          <w:sz w:val="24"/>
          <w:szCs w:val="24"/>
        </w:rPr>
        <w:lastRenderedPageBreak/>
        <w:t xml:space="preserve">Although, as this incident unfolded it left me facing many challenges, I believe I dealt with the situation to the best of my ability. I was able to overcome the challenges by utilising many policing strategies I had learnt and involved relevant agencies to be able to police the situation effectively. In addition to this, I believe I was able to provide the victim with the support he needed to be able to feel comfortable and confident enough to pursue a formal complaint, allowing us to work towards reducing a bias opinion </w:t>
      </w:r>
      <w:r w:rsidR="00B8487F">
        <w:rPr>
          <w:rFonts w:ascii="Times New Roman" w:eastAsia="Calibri" w:hAnsi="Times New Roman" w:cs="Times New Roman"/>
          <w:sz w:val="24"/>
          <w:szCs w:val="24"/>
        </w:rPr>
        <w:t xml:space="preserve">of domestic abuse being heteronormative, </w:t>
      </w:r>
      <w:r w:rsidRPr="00CB76F5">
        <w:rPr>
          <w:rFonts w:ascii="Times New Roman" w:eastAsia="Calibri" w:hAnsi="Times New Roman" w:cs="Times New Roman"/>
          <w:sz w:val="24"/>
          <w:szCs w:val="24"/>
        </w:rPr>
        <w:t>when it comes to males being victims of domestic abuse from women, to hopefully increase the reports made to the police in the future</w:t>
      </w:r>
      <w:r w:rsidR="00B8487F">
        <w:rPr>
          <w:rFonts w:ascii="Times New Roman" w:eastAsia="Calibri" w:hAnsi="Times New Roman" w:cs="Times New Roman"/>
          <w:sz w:val="24"/>
          <w:szCs w:val="24"/>
        </w:rPr>
        <w:t xml:space="preserve"> </w:t>
      </w:r>
      <w:r w:rsidR="00B8487F" w:rsidRPr="00B8487F">
        <w:rPr>
          <w:rFonts w:ascii="Times New Roman" w:eastAsia="Calibri" w:hAnsi="Times New Roman" w:cs="Times New Roman"/>
          <w:sz w:val="24"/>
          <w:szCs w:val="24"/>
        </w:rPr>
        <w:t>(Wallace et al., 2019)</w:t>
      </w:r>
      <w:r w:rsidR="00B8487F">
        <w:rPr>
          <w:rFonts w:ascii="Times New Roman" w:eastAsia="Calibri" w:hAnsi="Times New Roman" w:cs="Times New Roman"/>
          <w:sz w:val="24"/>
          <w:szCs w:val="24"/>
        </w:rPr>
        <w:t xml:space="preserve">. </w:t>
      </w:r>
    </w:p>
    <w:p w14:paraId="24E109EE" w14:textId="77777777" w:rsidR="001A4025" w:rsidRPr="00CB76F5" w:rsidRDefault="001A4025" w:rsidP="00CB76F5">
      <w:pPr>
        <w:spacing w:line="360" w:lineRule="auto"/>
        <w:ind w:right="531"/>
        <w:jc w:val="both"/>
        <w:rPr>
          <w:rFonts w:ascii="Times New Roman" w:eastAsia="Calibri" w:hAnsi="Times New Roman" w:cs="Times New Roman"/>
          <w:sz w:val="24"/>
          <w:szCs w:val="24"/>
        </w:rPr>
      </w:pPr>
    </w:p>
    <w:p w14:paraId="6846AEA0" w14:textId="0007F62C" w:rsidR="001A4025" w:rsidRPr="00CB76F5" w:rsidRDefault="001A4025" w:rsidP="00CB76F5">
      <w:pPr>
        <w:ind w:left="5040" w:firstLine="720"/>
        <w:jc w:val="both"/>
        <w:rPr>
          <w:rFonts w:ascii="Times New Roman" w:hAnsi="Times New Roman" w:cs="Times New Roman"/>
          <w:sz w:val="24"/>
          <w:szCs w:val="24"/>
        </w:rPr>
      </w:pPr>
      <w:r w:rsidRPr="00CB76F5">
        <w:rPr>
          <w:rFonts w:ascii="Times New Roman" w:hAnsi="Times New Roman" w:cs="Times New Roman"/>
          <w:sz w:val="24"/>
          <w:szCs w:val="24"/>
        </w:rPr>
        <w:t xml:space="preserve">WORD COUNT : </w:t>
      </w:r>
      <w:r w:rsidR="005B391B">
        <w:rPr>
          <w:rFonts w:ascii="Times New Roman" w:hAnsi="Times New Roman" w:cs="Times New Roman"/>
          <w:sz w:val="24"/>
          <w:szCs w:val="24"/>
        </w:rPr>
        <w:t>2</w:t>
      </w:r>
      <w:r w:rsidR="00C16A51">
        <w:rPr>
          <w:rFonts w:ascii="Times New Roman" w:hAnsi="Times New Roman" w:cs="Times New Roman"/>
          <w:sz w:val="24"/>
          <w:szCs w:val="24"/>
        </w:rPr>
        <w:t>130</w:t>
      </w:r>
    </w:p>
    <w:p w14:paraId="69B9457E" w14:textId="77777777" w:rsidR="001A4025" w:rsidRPr="00E676F7" w:rsidRDefault="001A4025"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10EAFA53" w14:textId="77777777" w:rsidR="00CB76F5" w:rsidRDefault="00CB76F5" w:rsidP="001A4025">
      <w:pPr>
        <w:ind w:right="237"/>
        <w:rPr>
          <w:b/>
          <w:bCs/>
          <w:color w:val="000000" w:themeColor="text1"/>
          <w:sz w:val="28"/>
          <w:szCs w:val="28"/>
          <w:u w:val="single"/>
        </w:rPr>
      </w:pPr>
    </w:p>
    <w:p w14:paraId="7A0156B5" w14:textId="77777777" w:rsidR="00CB76F5" w:rsidRDefault="00CB76F5" w:rsidP="001A4025">
      <w:pPr>
        <w:ind w:right="237"/>
        <w:rPr>
          <w:b/>
          <w:bCs/>
          <w:color w:val="000000" w:themeColor="text1"/>
          <w:sz w:val="28"/>
          <w:szCs w:val="28"/>
          <w:u w:val="single"/>
        </w:rPr>
      </w:pPr>
    </w:p>
    <w:p w14:paraId="5B34BC6D" w14:textId="77777777" w:rsidR="00CB76F5" w:rsidRDefault="00CB76F5" w:rsidP="001A4025">
      <w:pPr>
        <w:ind w:right="237"/>
        <w:rPr>
          <w:b/>
          <w:bCs/>
          <w:color w:val="000000" w:themeColor="text1"/>
          <w:sz w:val="28"/>
          <w:szCs w:val="28"/>
          <w:u w:val="single"/>
        </w:rPr>
      </w:pPr>
    </w:p>
    <w:p w14:paraId="1C74805E" w14:textId="77777777" w:rsidR="00CB76F5" w:rsidRDefault="00CB76F5" w:rsidP="001A4025">
      <w:pPr>
        <w:ind w:right="237"/>
        <w:rPr>
          <w:b/>
          <w:bCs/>
          <w:color w:val="000000" w:themeColor="text1"/>
          <w:sz w:val="28"/>
          <w:szCs w:val="28"/>
          <w:u w:val="single"/>
        </w:rPr>
      </w:pPr>
    </w:p>
    <w:p w14:paraId="474F7511" w14:textId="77777777" w:rsidR="00CB76F5" w:rsidRDefault="00CB76F5" w:rsidP="001A4025">
      <w:pPr>
        <w:ind w:right="237"/>
        <w:rPr>
          <w:b/>
          <w:bCs/>
          <w:color w:val="000000" w:themeColor="text1"/>
          <w:sz w:val="28"/>
          <w:szCs w:val="28"/>
          <w:u w:val="single"/>
        </w:rPr>
      </w:pPr>
    </w:p>
    <w:p w14:paraId="27DE5509" w14:textId="77777777" w:rsidR="00CB76F5" w:rsidRDefault="00CB76F5" w:rsidP="001A4025">
      <w:pPr>
        <w:ind w:right="237"/>
        <w:rPr>
          <w:b/>
          <w:bCs/>
          <w:color w:val="000000" w:themeColor="text1"/>
          <w:sz w:val="28"/>
          <w:szCs w:val="28"/>
          <w:u w:val="single"/>
        </w:rPr>
      </w:pPr>
    </w:p>
    <w:p w14:paraId="662BFE37" w14:textId="77777777" w:rsidR="00CB76F5" w:rsidRDefault="00CB76F5" w:rsidP="001A4025">
      <w:pPr>
        <w:ind w:right="237"/>
        <w:rPr>
          <w:b/>
          <w:bCs/>
          <w:color w:val="000000" w:themeColor="text1"/>
          <w:sz w:val="28"/>
          <w:szCs w:val="28"/>
          <w:u w:val="single"/>
        </w:rPr>
      </w:pPr>
    </w:p>
    <w:p w14:paraId="4B9A4D11" w14:textId="77777777" w:rsidR="00CB76F5" w:rsidRDefault="00CB76F5" w:rsidP="001A4025">
      <w:pPr>
        <w:ind w:right="237"/>
        <w:rPr>
          <w:b/>
          <w:bCs/>
          <w:color w:val="000000" w:themeColor="text1"/>
          <w:sz w:val="28"/>
          <w:szCs w:val="28"/>
          <w:u w:val="single"/>
        </w:rPr>
      </w:pPr>
    </w:p>
    <w:p w14:paraId="75BCEC1C" w14:textId="77777777" w:rsidR="00CB76F5" w:rsidRDefault="00CB76F5" w:rsidP="001A4025">
      <w:pPr>
        <w:ind w:right="237"/>
        <w:rPr>
          <w:b/>
          <w:bCs/>
          <w:color w:val="000000" w:themeColor="text1"/>
          <w:sz w:val="28"/>
          <w:szCs w:val="28"/>
          <w:u w:val="single"/>
        </w:rPr>
      </w:pPr>
    </w:p>
    <w:p w14:paraId="7BD67BF3" w14:textId="77777777" w:rsidR="00CB76F5" w:rsidRDefault="00CB76F5" w:rsidP="001A4025">
      <w:pPr>
        <w:ind w:right="237"/>
        <w:rPr>
          <w:b/>
          <w:bCs/>
          <w:color w:val="000000" w:themeColor="text1"/>
          <w:sz w:val="28"/>
          <w:szCs w:val="28"/>
          <w:u w:val="single"/>
        </w:rPr>
      </w:pPr>
    </w:p>
    <w:p w14:paraId="28863224" w14:textId="77777777" w:rsidR="00CB76F5" w:rsidRDefault="00CB76F5" w:rsidP="001A4025">
      <w:pPr>
        <w:ind w:right="237"/>
        <w:rPr>
          <w:b/>
          <w:bCs/>
          <w:color w:val="000000" w:themeColor="text1"/>
          <w:sz w:val="28"/>
          <w:szCs w:val="28"/>
          <w:u w:val="single"/>
        </w:rPr>
      </w:pPr>
    </w:p>
    <w:p w14:paraId="58688FC0" w14:textId="77777777" w:rsidR="00CB76F5" w:rsidRDefault="00CB76F5" w:rsidP="001A4025">
      <w:pPr>
        <w:ind w:right="237"/>
        <w:rPr>
          <w:b/>
          <w:bCs/>
          <w:color w:val="000000" w:themeColor="text1"/>
          <w:sz w:val="28"/>
          <w:szCs w:val="28"/>
          <w:u w:val="single"/>
        </w:rPr>
      </w:pPr>
    </w:p>
    <w:p w14:paraId="73090237" w14:textId="77777777" w:rsidR="00CB76F5" w:rsidRDefault="00CB76F5" w:rsidP="001A4025">
      <w:pPr>
        <w:ind w:right="237"/>
        <w:rPr>
          <w:b/>
          <w:bCs/>
          <w:color w:val="000000" w:themeColor="text1"/>
          <w:sz w:val="28"/>
          <w:szCs w:val="28"/>
          <w:u w:val="single"/>
        </w:rPr>
      </w:pPr>
    </w:p>
    <w:p w14:paraId="0DE847B5" w14:textId="77777777" w:rsidR="00CB76F5" w:rsidRDefault="00CB76F5" w:rsidP="001A4025">
      <w:pPr>
        <w:ind w:right="237"/>
        <w:rPr>
          <w:b/>
          <w:bCs/>
          <w:color w:val="000000" w:themeColor="text1"/>
          <w:sz w:val="28"/>
          <w:szCs w:val="28"/>
          <w:u w:val="single"/>
        </w:rPr>
      </w:pPr>
    </w:p>
    <w:p w14:paraId="41D278CE" w14:textId="34B9FBD0" w:rsidR="00CB76F5" w:rsidRDefault="00CB76F5" w:rsidP="001A4025">
      <w:pPr>
        <w:ind w:right="237"/>
        <w:rPr>
          <w:b/>
          <w:bCs/>
          <w:color w:val="000000" w:themeColor="text1"/>
          <w:sz w:val="28"/>
          <w:szCs w:val="28"/>
          <w:u w:val="single"/>
        </w:rPr>
      </w:pPr>
    </w:p>
    <w:p w14:paraId="5DFE1E85" w14:textId="78E5CADA" w:rsidR="00CF7CE2" w:rsidRDefault="00CF7CE2" w:rsidP="001A4025">
      <w:pPr>
        <w:ind w:right="237"/>
        <w:rPr>
          <w:b/>
          <w:bCs/>
          <w:color w:val="000000" w:themeColor="text1"/>
          <w:sz w:val="28"/>
          <w:szCs w:val="28"/>
          <w:u w:val="single"/>
        </w:rPr>
      </w:pPr>
    </w:p>
    <w:p w14:paraId="22A3F4AC" w14:textId="06EE3E7C" w:rsidR="00CF7CE2" w:rsidRDefault="00CF7CE2" w:rsidP="001A4025">
      <w:pPr>
        <w:ind w:right="237"/>
        <w:rPr>
          <w:b/>
          <w:bCs/>
          <w:color w:val="000000" w:themeColor="text1"/>
          <w:sz w:val="28"/>
          <w:szCs w:val="28"/>
          <w:u w:val="single"/>
        </w:rPr>
      </w:pPr>
    </w:p>
    <w:p w14:paraId="7CDFBFE9" w14:textId="2ED23592" w:rsidR="00CF7CE2" w:rsidRDefault="00CF7CE2" w:rsidP="001A4025">
      <w:pPr>
        <w:ind w:right="237"/>
        <w:rPr>
          <w:b/>
          <w:bCs/>
          <w:color w:val="000000" w:themeColor="text1"/>
          <w:sz w:val="28"/>
          <w:szCs w:val="28"/>
          <w:u w:val="single"/>
        </w:rPr>
      </w:pPr>
    </w:p>
    <w:p w14:paraId="515DF97B" w14:textId="1D38BC8D" w:rsidR="00CF7CE2" w:rsidRDefault="00CF7CE2" w:rsidP="001A4025">
      <w:pPr>
        <w:ind w:right="237"/>
        <w:rPr>
          <w:b/>
          <w:bCs/>
          <w:color w:val="000000" w:themeColor="text1"/>
          <w:sz w:val="28"/>
          <w:szCs w:val="28"/>
          <w:u w:val="single"/>
        </w:rPr>
      </w:pPr>
    </w:p>
    <w:p w14:paraId="24A63109" w14:textId="16B3E882" w:rsidR="00CF7CE2" w:rsidRDefault="00CF7CE2" w:rsidP="001A4025">
      <w:pPr>
        <w:ind w:right="237"/>
        <w:rPr>
          <w:b/>
          <w:bCs/>
          <w:color w:val="000000" w:themeColor="text1"/>
          <w:sz w:val="28"/>
          <w:szCs w:val="28"/>
          <w:u w:val="single"/>
        </w:rPr>
      </w:pPr>
    </w:p>
    <w:p w14:paraId="0EEB8C96" w14:textId="7D7D034C" w:rsidR="00CF7CE2" w:rsidRDefault="00CF7CE2" w:rsidP="001A4025">
      <w:pPr>
        <w:ind w:right="237"/>
        <w:rPr>
          <w:b/>
          <w:bCs/>
          <w:color w:val="000000" w:themeColor="text1"/>
          <w:sz w:val="28"/>
          <w:szCs w:val="28"/>
          <w:u w:val="single"/>
        </w:rPr>
      </w:pPr>
    </w:p>
    <w:p w14:paraId="3FF46C47" w14:textId="1EEAA867" w:rsidR="00CF7CE2" w:rsidRDefault="00CF7CE2" w:rsidP="001A4025">
      <w:pPr>
        <w:ind w:right="237"/>
        <w:rPr>
          <w:b/>
          <w:bCs/>
          <w:color w:val="000000" w:themeColor="text1"/>
          <w:sz w:val="28"/>
          <w:szCs w:val="28"/>
          <w:u w:val="single"/>
        </w:rPr>
      </w:pPr>
    </w:p>
    <w:p w14:paraId="2B4B2B45" w14:textId="7DC7C437" w:rsidR="00CF7CE2" w:rsidRDefault="00CF7CE2" w:rsidP="001A4025">
      <w:pPr>
        <w:ind w:right="237"/>
        <w:rPr>
          <w:b/>
          <w:bCs/>
          <w:color w:val="000000" w:themeColor="text1"/>
          <w:sz w:val="28"/>
          <w:szCs w:val="28"/>
          <w:u w:val="single"/>
        </w:rPr>
      </w:pPr>
    </w:p>
    <w:p w14:paraId="73BF5D20" w14:textId="0F648B3D" w:rsidR="00CF7CE2" w:rsidRDefault="00CF7CE2" w:rsidP="001A4025">
      <w:pPr>
        <w:ind w:right="237"/>
        <w:rPr>
          <w:b/>
          <w:bCs/>
          <w:color w:val="000000" w:themeColor="text1"/>
          <w:sz w:val="28"/>
          <w:szCs w:val="28"/>
          <w:u w:val="single"/>
        </w:rPr>
      </w:pPr>
    </w:p>
    <w:p w14:paraId="1F3E6B52" w14:textId="38A7D932" w:rsidR="00CF7CE2" w:rsidRDefault="00CF7CE2" w:rsidP="001A4025">
      <w:pPr>
        <w:ind w:right="237"/>
        <w:rPr>
          <w:b/>
          <w:bCs/>
          <w:color w:val="000000" w:themeColor="text1"/>
          <w:sz w:val="28"/>
          <w:szCs w:val="28"/>
          <w:u w:val="single"/>
        </w:rPr>
      </w:pPr>
    </w:p>
    <w:p w14:paraId="1072EB8C" w14:textId="77777777" w:rsidR="00CB76F5" w:rsidRDefault="00CB76F5" w:rsidP="001A4025">
      <w:pPr>
        <w:ind w:right="237"/>
        <w:rPr>
          <w:b/>
          <w:bCs/>
          <w:color w:val="000000" w:themeColor="text1"/>
          <w:sz w:val="28"/>
          <w:szCs w:val="28"/>
          <w:u w:val="single"/>
        </w:rPr>
      </w:pPr>
    </w:p>
    <w:p w14:paraId="0FDD2BA5" w14:textId="77777777" w:rsidR="00CB76F5" w:rsidRDefault="00CB76F5" w:rsidP="001A4025">
      <w:pPr>
        <w:ind w:right="237"/>
        <w:rPr>
          <w:b/>
          <w:bCs/>
          <w:color w:val="000000" w:themeColor="text1"/>
          <w:sz w:val="28"/>
          <w:szCs w:val="28"/>
          <w:u w:val="single"/>
        </w:rPr>
      </w:pPr>
    </w:p>
    <w:p w14:paraId="440C1242" w14:textId="23C32131" w:rsidR="00025650" w:rsidRPr="00E676F7" w:rsidRDefault="16967356" w:rsidP="001A4025">
      <w:pPr>
        <w:ind w:right="237"/>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7B60F8ED" w:rsidR="00025650" w:rsidRDefault="00025650" w:rsidP="0FF883D4">
      <w:pPr>
        <w:ind w:right="237"/>
        <w:jc w:val="both"/>
        <w:rPr>
          <w:b/>
          <w:bCs/>
          <w:color w:val="000000" w:themeColor="text1"/>
          <w:sz w:val="24"/>
          <w:szCs w:val="24"/>
        </w:rPr>
      </w:pPr>
    </w:p>
    <w:p w14:paraId="523AA690" w14:textId="2F14D5EE" w:rsidR="006E7ED4" w:rsidRDefault="006E7ED4" w:rsidP="0FF883D4">
      <w:pPr>
        <w:ind w:right="237"/>
        <w:jc w:val="both"/>
        <w:rPr>
          <w:b/>
          <w:bCs/>
          <w:color w:val="000000" w:themeColor="text1"/>
          <w:sz w:val="24"/>
          <w:szCs w:val="24"/>
        </w:rPr>
      </w:pPr>
    </w:p>
    <w:p w14:paraId="4D5FC95A" w14:textId="6EBC5CE1" w:rsidR="006E7ED4" w:rsidRDefault="006E7ED4" w:rsidP="0FF883D4">
      <w:pPr>
        <w:ind w:right="237"/>
        <w:jc w:val="both"/>
        <w:rPr>
          <w:b/>
          <w:bCs/>
          <w:color w:val="000000" w:themeColor="text1"/>
          <w:sz w:val="24"/>
          <w:szCs w:val="24"/>
        </w:rPr>
      </w:pPr>
    </w:p>
    <w:p w14:paraId="4B44261D" w14:textId="1077027A" w:rsidR="006E7ED4" w:rsidRDefault="006E7ED4" w:rsidP="0FF883D4">
      <w:pPr>
        <w:ind w:right="237"/>
        <w:jc w:val="both"/>
        <w:rPr>
          <w:b/>
          <w:bCs/>
          <w:color w:val="000000" w:themeColor="text1"/>
          <w:sz w:val="24"/>
          <w:szCs w:val="24"/>
        </w:rPr>
      </w:pPr>
    </w:p>
    <w:p w14:paraId="40A6B0ED" w14:textId="55DE4D30" w:rsidR="006E7ED4" w:rsidRDefault="006E7ED4" w:rsidP="0FF883D4">
      <w:pPr>
        <w:ind w:right="237"/>
        <w:jc w:val="both"/>
        <w:rPr>
          <w:b/>
          <w:bCs/>
          <w:color w:val="000000" w:themeColor="text1"/>
          <w:sz w:val="24"/>
          <w:szCs w:val="24"/>
        </w:rPr>
      </w:pPr>
    </w:p>
    <w:p w14:paraId="4C440327" w14:textId="6839CB67" w:rsidR="006E7ED4" w:rsidRDefault="006E7ED4" w:rsidP="0FF883D4">
      <w:pPr>
        <w:ind w:right="237"/>
        <w:jc w:val="both"/>
        <w:rPr>
          <w:b/>
          <w:bCs/>
          <w:color w:val="000000" w:themeColor="text1"/>
          <w:sz w:val="24"/>
          <w:szCs w:val="24"/>
        </w:rPr>
      </w:pPr>
    </w:p>
    <w:p w14:paraId="0C3D1F43" w14:textId="1FE515F3" w:rsidR="006E7ED4" w:rsidRDefault="006E7ED4" w:rsidP="0FF883D4">
      <w:pPr>
        <w:ind w:right="237"/>
        <w:jc w:val="both"/>
        <w:rPr>
          <w:b/>
          <w:bCs/>
          <w:color w:val="000000" w:themeColor="text1"/>
          <w:sz w:val="24"/>
          <w:szCs w:val="24"/>
        </w:rPr>
      </w:pPr>
    </w:p>
    <w:p w14:paraId="3287BF21" w14:textId="356B4E62" w:rsidR="006E7ED4" w:rsidRDefault="006E7ED4" w:rsidP="0FF883D4">
      <w:pPr>
        <w:ind w:right="237"/>
        <w:jc w:val="both"/>
        <w:rPr>
          <w:b/>
          <w:bCs/>
          <w:color w:val="000000" w:themeColor="text1"/>
          <w:sz w:val="24"/>
          <w:szCs w:val="24"/>
        </w:rPr>
      </w:pPr>
    </w:p>
    <w:p w14:paraId="70AAE62E" w14:textId="77777777" w:rsidR="006E7ED4" w:rsidRPr="00E676F7" w:rsidRDefault="006E7ED4" w:rsidP="0FF883D4">
      <w:pPr>
        <w:ind w:right="237"/>
        <w:jc w:val="both"/>
        <w:rPr>
          <w:b/>
          <w:bCs/>
          <w:color w:val="000000" w:themeColor="text1"/>
          <w:sz w:val="24"/>
          <w:szCs w:val="24"/>
        </w:rPr>
      </w:pPr>
    </w:p>
    <w:p w14:paraId="561F33B2" w14:textId="4244A05E" w:rsidR="00025650" w:rsidRPr="00E676F7" w:rsidRDefault="00025650" w:rsidP="00951D26">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A45066C" w:rsidR="0FF883D4" w:rsidRDefault="5CE196A1" w:rsidP="5CE196A1">
      <w:r w:rsidRPr="5CE196A1">
        <w:rPr>
          <w:rFonts w:eastAsia="Arial"/>
          <w:b/>
          <w:bCs/>
          <w:color w:val="000000" w:themeColor="text1"/>
          <w:sz w:val="24"/>
          <w:szCs w:val="24"/>
        </w:rPr>
        <w:t xml:space="preserve">Signed: </w:t>
      </w:r>
      <w:r w:rsidR="001A4025">
        <w:rPr>
          <w:rFonts w:eastAsia="Arial"/>
          <w:b/>
          <w:bCs/>
          <w:color w:val="000000" w:themeColor="text1"/>
          <w:sz w:val="24"/>
          <w:szCs w:val="24"/>
        </w:rPr>
        <w:t>Georgia Edwards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712E0A5" w:rsidR="0FF883D4" w:rsidRDefault="000902DD" w:rsidP="5CE196A1">
      <w:pPr>
        <w:ind w:left="2880" w:right="225" w:firstLine="720"/>
        <w:rPr>
          <w:b/>
          <w:bCs/>
          <w:sz w:val="24"/>
          <w:szCs w:val="24"/>
          <w:lang w:eastAsia="zh-TW"/>
        </w:rPr>
        <w:sectPr w:rsidR="0FF883D4"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Pr>
          <w:b/>
          <w:bCs/>
          <w:sz w:val="24"/>
          <w:szCs w:val="24"/>
          <w:lang w:eastAsia="zh-TW"/>
        </w:rPr>
        <w:t>03/02/2023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514330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92BDD28" w14:textId="77777777" w:rsidR="00CF7CE2" w:rsidRPr="00CF7CE2" w:rsidRDefault="00CF7CE2" w:rsidP="000902DD">
      <w:pPr>
        <w:keepNext/>
        <w:spacing w:before="240" w:after="60"/>
        <w:ind w:right="237"/>
        <w:rPr>
          <w:rFonts w:ascii="Times New Roman" w:hAnsi="Times New Roman" w:cs="Times New Roman"/>
          <w:sz w:val="22"/>
          <w:szCs w:val="22"/>
        </w:rPr>
      </w:pPr>
    </w:p>
    <w:p w14:paraId="52D042F0" w14:textId="3609810A" w:rsidR="00CF7CE2" w:rsidRPr="000902DD" w:rsidRDefault="00CF7CE2" w:rsidP="000902DD">
      <w:pPr>
        <w:ind w:right="531"/>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Balboni, J.M. and McDevitt, J. (2001) “Hate crime reporting: Understanding police officer perceptions, departmental protocol, and the role of the victim is there such a thing as a ‘Love’ crime?,” Justice Research and Policy, 3(1), pp. 1–27. Available at: </w:t>
      </w:r>
      <w:hyperlink r:id="rId22" w:history="1">
        <w:r w:rsidRPr="000902DD">
          <w:rPr>
            <w:rStyle w:val="Hyperlink"/>
            <w:rFonts w:ascii="Times New Roman" w:hAnsi="Times New Roman" w:cs="Times New Roman"/>
            <w:color w:val="auto"/>
            <w:sz w:val="24"/>
            <w:szCs w:val="24"/>
            <w:u w:val="none"/>
          </w:rPr>
          <w:t>https://doi.org/10.3818/jrp.3.1.2001.1</w:t>
        </w:r>
      </w:hyperlink>
      <w:r w:rsidRPr="000902DD">
        <w:rPr>
          <w:rFonts w:ascii="Times New Roman" w:hAnsi="Times New Roman" w:cs="Times New Roman"/>
          <w:color w:val="auto"/>
          <w:sz w:val="24"/>
          <w:szCs w:val="24"/>
        </w:rPr>
        <w:t>.</w:t>
      </w:r>
    </w:p>
    <w:p w14:paraId="25A8205F" w14:textId="77777777" w:rsidR="00CF7CE2" w:rsidRPr="000902DD" w:rsidRDefault="00CF7CE2" w:rsidP="000902DD">
      <w:pPr>
        <w:ind w:right="531"/>
        <w:rPr>
          <w:rFonts w:ascii="Times New Roman" w:hAnsi="Times New Roman" w:cs="Times New Roman"/>
          <w:color w:val="auto"/>
          <w:sz w:val="24"/>
          <w:szCs w:val="24"/>
        </w:rPr>
      </w:pPr>
    </w:p>
    <w:p w14:paraId="1AA4D140" w14:textId="3DEE97C8" w:rsidR="00CF7CE2" w:rsidRPr="000902DD" w:rsidRDefault="00CF7CE2" w:rsidP="000902DD">
      <w:pPr>
        <w:keepNext/>
        <w:spacing w:before="240" w:after="60"/>
        <w:ind w:right="237"/>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Bland, M. and Ariel, B. (2015) “Targeting escalation in reported domestic abuse,” International Criminal Justice Review, 25(1), pp. 30–53. Available at: </w:t>
      </w:r>
      <w:hyperlink r:id="rId23" w:history="1">
        <w:r w:rsidRPr="000902DD">
          <w:rPr>
            <w:rStyle w:val="Hyperlink"/>
            <w:rFonts w:ascii="Times New Roman" w:hAnsi="Times New Roman" w:cs="Times New Roman"/>
            <w:color w:val="auto"/>
            <w:sz w:val="24"/>
            <w:szCs w:val="24"/>
            <w:u w:val="none"/>
          </w:rPr>
          <w:t>https://doi.org/10.1177/1057567715574382</w:t>
        </w:r>
      </w:hyperlink>
      <w:r w:rsidRPr="000902DD">
        <w:rPr>
          <w:rFonts w:ascii="Times New Roman" w:hAnsi="Times New Roman" w:cs="Times New Roman"/>
          <w:color w:val="auto"/>
          <w:sz w:val="24"/>
          <w:szCs w:val="24"/>
        </w:rPr>
        <w:t>.</w:t>
      </w:r>
    </w:p>
    <w:p w14:paraId="0541A123" w14:textId="77777777" w:rsidR="00CF7CE2" w:rsidRPr="000902DD" w:rsidRDefault="00CF7CE2" w:rsidP="000902DD">
      <w:pPr>
        <w:keepNext/>
        <w:spacing w:before="240" w:after="60"/>
        <w:ind w:right="237"/>
        <w:rPr>
          <w:rFonts w:ascii="Times New Roman" w:hAnsi="Times New Roman" w:cs="Times New Roman"/>
          <w:color w:val="auto"/>
          <w:sz w:val="24"/>
          <w:szCs w:val="24"/>
        </w:rPr>
      </w:pPr>
    </w:p>
    <w:p w14:paraId="3FFC327B" w14:textId="41CF6826" w:rsidR="00CF7CE2" w:rsidRPr="000902DD" w:rsidRDefault="00CF7CE2" w:rsidP="000902DD">
      <w:pPr>
        <w:pStyle w:val="NormalWeb"/>
      </w:pPr>
      <w:r w:rsidRPr="000902DD">
        <w:t xml:space="preserve">Brooks, M (2020) </w:t>
      </w:r>
      <w:r w:rsidRPr="000902DD">
        <w:rPr>
          <w:i/>
          <w:iCs/>
        </w:rPr>
        <w:t xml:space="preserve">ManKind Initiative - Male victims of domestic abuse and partner abuse:50 key facts. </w:t>
      </w:r>
      <w:r w:rsidRPr="000902DD">
        <w:t xml:space="preserve">Available at: </w:t>
      </w:r>
      <w:hyperlink r:id="rId24" w:history="1">
        <w:r w:rsidRPr="000902DD">
          <w:rPr>
            <w:rStyle w:val="Hyperlink"/>
            <w:color w:val="auto"/>
            <w:u w:val="none"/>
          </w:rPr>
          <w:t>https://www.mankind.org.uk/wp-content/uploads/2020/03/50-Key-Facts-about-Male-Victims-of-Domestic-Abuse-and-Partner-Abuse-March-2020-final.pdf</w:t>
        </w:r>
      </w:hyperlink>
      <w:r w:rsidRPr="000902DD">
        <w:t xml:space="preserve"> (Accessed: 28 December, 2022)</w:t>
      </w:r>
    </w:p>
    <w:p w14:paraId="4CDB48A1" w14:textId="77777777" w:rsidR="00CF7CE2" w:rsidRPr="000902DD" w:rsidRDefault="00CF7CE2" w:rsidP="000902DD">
      <w:pPr>
        <w:pStyle w:val="NormalWeb"/>
      </w:pPr>
    </w:p>
    <w:p w14:paraId="4929754B" w14:textId="137E25A1" w:rsidR="00CF7CE2" w:rsidRPr="000902DD" w:rsidRDefault="00CF7CE2" w:rsidP="000902DD">
      <w:pPr>
        <w:pStyle w:val="NormalWeb"/>
        <w:ind w:left="567" w:hanging="567"/>
      </w:pPr>
      <w:r w:rsidRPr="000902DD">
        <w:t>Clarke, R. and Hope, T. (1984) “Target-Hardening: How Much of an Answer?,” in Coping with burglary: Research Perspectives on policy. Boston: Kluwer-Nijhoff Pub., pp. 29–44.</w:t>
      </w:r>
    </w:p>
    <w:p w14:paraId="69763C7F" w14:textId="77777777" w:rsidR="00CF7CE2" w:rsidRPr="000902DD" w:rsidRDefault="00CF7CE2" w:rsidP="000902DD">
      <w:pPr>
        <w:pStyle w:val="NormalWeb"/>
        <w:ind w:left="567" w:hanging="567"/>
      </w:pPr>
    </w:p>
    <w:p w14:paraId="5685AB91" w14:textId="77FBB803" w:rsidR="00CF7CE2" w:rsidRPr="000902DD" w:rsidRDefault="00CF7CE2" w:rsidP="000902DD">
      <w:pPr>
        <w:pStyle w:val="NormalWeb"/>
      </w:pPr>
      <w:r w:rsidRPr="000902DD">
        <w:t>College of Policing (2015) Closed-Circuit Television (CCTV), College of Policing. Available at: https://www.college.police.uk/research/crime-reduction-toolkit/cctv (Accessed: December 28, 2022).</w:t>
      </w:r>
    </w:p>
    <w:p w14:paraId="0ECF502A" w14:textId="77777777" w:rsidR="00CF7CE2" w:rsidRPr="000902DD" w:rsidRDefault="00CF7CE2" w:rsidP="000902DD">
      <w:pPr>
        <w:pStyle w:val="NormalWeb"/>
      </w:pPr>
    </w:p>
    <w:p w14:paraId="6113B40A" w14:textId="42432583" w:rsidR="00CF7CE2" w:rsidRPr="000902DD" w:rsidRDefault="00CF7CE2" w:rsidP="000902DD">
      <w:pPr>
        <w:pStyle w:val="NormalWeb"/>
      </w:pPr>
      <w:r w:rsidRPr="000902DD">
        <w:t>College Of Policing (2021) Communication, College of Policing. Available at: https://www.college.police.uk/guidance/vulnerability-related-risks/communication (Accessed: December 28, 2022).</w:t>
      </w:r>
    </w:p>
    <w:p w14:paraId="2502ECA8" w14:textId="77777777" w:rsidR="00CF7CE2" w:rsidRPr="000902DD" w:rsidRDefault="00CF7CE2" w:rsidP="000902DD">
      <w:pPr>
        <w:pStyle w:val="NormalWeb"/>
      </w:pPr>
    </w:p>
    <w:p w14:paraId="4BEEBFB8" w14:textId="7C3DA93E" w:rsidR="00CF7CE2" w:rsidRPr="000902DD" w:rsidRDefault="00CF7CE2" w:rsidP="000902DD">
      <w:pPr>
        <w:pStyle w:val="NormalWeb"/>
        <w:ind w:left="567" w:hanging="567"/>
      </w:pPr>
      <w:r w:rsidRPr="000902DD">
        <w:t>College of Policing (2022)</w:t>
      </w:r>
      <w:r w:rsidRPr="000902DD">
        <w:rPr>
          <w:i/>
          <w:iCs/>
        </w:rPr>
        <w:t xml:space="preserve"> Hate crime</w:t>
      </w:r>
      <w:r w:rsidRPr="000902DD">
        <w:t xml:space="preserve">. Available at: https://www.college.police.uk/app/major-investigation-and-public-protection/hate-crime (Accessed: November 10, 2022). </w:t>
      </w:r>
    </w:p>
    <w:p w14:paraId="6492A2E9" w14:textId="6880BA5B" w:rsidR="00CF7CE2" w:rsidRPr="000902DD" w:rsidRDefault="00CF7CE2" w:rsidP="000902DD">
      <w:pPr>
        <w:pStyle w:val="NormalWeb"/>
        <w:ind w:left="567" w:hanging="567"/>
      </w:pPr>
    </w:p>
    <w:p w14:paraId="2D7A1C9C" w14:textId="77777777" w:rsidR="00CF7CE2" w:rsidRPr="000902DD" w:rsidRDefault="00CF7CE2" w:rsidP="000902DD">
      <w:pPr>
        <w:pStyle w:val="NormalWeb"/>
        <w:ind w:left="567" w:hanging="567"/>
      </w:pPr>
    </w:p>
    <w:p w14:paraId="213DD8C0" w14:textId="0A40F9C7" w:rsidR="00CF7CE2" w:rsidRDefault="00CF7CE2" w:rsidP="000902DD">
      <w:pPr>
        <w:pStyle w:val="NormalWeb"/>
        <w:ind w:left="567" w:hanging="567"/>
      </w:pPr>
      <w:r w:rsidRPr="000902DD">
        <w:t xml:space="preserve">College Of Policing (2022) </w:t>
      </w:r>
      <w:r w:rsidRPr="000902DD">
        <w:rPr>
          <w:i/>
          <w:iCs/>
        </w:rPr>
        <w:t xml:space="preserve">Recognising and responding to vulnerability related risks: </w:t>
      </w:r>
      <w:r w:rsidRPr="000902DD">
        <w:t xml:space="preserve">Available at: https://assets.college.police.uk/s3fs-public/2021-11/Recognising-responding-vulnerability-related-risks-guidelines.pdf (Accessed: November 10, 2022). </w:t>
      </w:r>
    </w:p>
    <w:p w14:paraId="79BB06FB" w14:textId="77777777" w:rsidR="000902DD" w:rsidRPr="000902DD" w:rsidRDefault="000902DD" w:rsidP="000902DD">
      <w:pPr>
        <w:pStyle w:val="NormalWeb"/>
        <w:ind w:left="567" w:hanging="567"/>
      </w:pPr>
    </w:p>
    <w:p w14:paraId="5CB10E99" w14:textId="77777777" w:rsidR="00CF7CE2" w:rsidRPr="000902DD" w:rsidRDefault="00CF7CE2" w:rsidP="000902DD">
      <w:pPr>
        <w:pStyle w:val="NormalWeb"/>
        <w:ind w:left="567" w:hanging="567"/>
      </w:pPr>
      <w:r w:rsidRPr="000902DD">
        <w:t xml:space="preserve">Crime and disorder act 1998 (1998) </w:t>
      </w:r>
      <w:r w:rsidRPr="000902DD">
        <w:rPr>
          <w:i/>
          <w:iCs/>
        </w:rPr>
        <w:t>Legislation.gov.uk</w:t>
      </w:r>
      <w:r w:rsidRPr="000902DD">
        <w:t xml:space="preserve">. Statute Law Database. Available at: https://www.legislation.gov.uk/ukpga/1998/37/section/31 (Accessed: November 10, 2022). </w:t>
      </w:r>
      <w:r w:rsidRPr="000902DD">
        <w:br/>
      </w:r>
    </w:p>
    <w:p w14:paraId="0F89DD0D" w14:textId="40A8678F" w:rsidR="00CF7CE2" w:rsidRPr="000902DD" w:rsidRDefault="00CF7CE2" w:rsidP="000902DD">
      <w:pPr>
        <w:keepNext/>
        <w:spacing w:before="240" w:after="60"/>
        <w:ind w:right="237"/>
        <w:rPr>
          <w:rFonts w:ascii="Times New Roman" w:hAnsi="Times New Roman" w:cs="Times New Roman"/>
          <w:sz w:val="24"/>
          <w:szCs w:val="24"/>
        </w:rPr>
      </w:pPr>
      <w:r w:rsidRPr="000902DD">
        <w:rPr>
          <w:rFonts w:ascii="Times New Roman" w:hAnsi="Times New Roman" w:cs="Times New Roman"/>
          <w:sz w:val="24"/>
          <w:szCs w:val="24"/>
        </w:rPr>
        <w:t>Culotta, K.A., 2005. Why victims hate to report: Factors affecting victim reporting in hate crime cases in Chicago. Kriminologija i Socijalna Integracija, 13, p.15.</w:t>
      </w:r>
    </w:p>
    <w:p w14:paraId="1799BF74" w14:textId="77777777" w:rsidR="00CF7CE2" w:rsidRPr="000902DD" w:rsidRDefault="00CF7CE2" w:rsidP="000902DD">
      <w:pPr>
        <w:keepNext/>
        <w:spacing w:before="240" w:after="60"/>
        <w:ind w:right="237"/>
        <w:rPr>
          <w:rFonts w:ascii="Times New Roman" w:hAnsi="Times New Roman" w:cs="Times New Roman"/>
          <w:sz w:val="24"/>
          <w:szCs w:val="24"/>
        </w:rPr>
      </w:pPr>
    </w:p>
    <w:p w14:paraId="36F1EA8E" w14:textId="00528B34" w:rsidR="00CF7CE2" w:rsidRPr="000902DD" w:rsidRDefault="00CF7CE2" w:rsidP="000902DD">
      <w:pPr>
        <w:keepNext/>
        <w:spacing w:before="240" w:after="60"/>
        <w:ind w:right="237"/>
        <w:rPr>
          <w:rFonts w:ascii="Times New Roman" w:hAnsi="Times New Roman" w:cs="Times New Roman"/>
          <w:sz w:val="24"/>
          <w:szCs w:val="24"/>
        </w:rPr>
      </w:pPr>
      <w:r w:rsidRPr="000902DD">
        <w:rPr>
          <w:rFonts w:ascii="Times New Roman" w:hAnsi="Times New Roman" w:cs="Times New Roman"/>
          <w:sz w:val="24"/>
          <w:szCs w:val="24"/>
        </w:rPr>
        <w:t>Drijber, B.C., Reijnders, U.J. and Ceelen, M., 2013. Male victims of domestic violence. Journal of family violence, 28, pp.173-178.</w:t>
      </w:r>
    </w:p>
    <w:p w14:paraId="79B2F6FF" w14:textId="77777777" w:rsidR="00CF7CE2" w:rsidRPr="000902DD" w:rsidRDefault="00CF7CE2" w:rsidP="000902DD">
      <w:pPr>
        <w:keepNext/>
        <w:spacing w:before="240" w:after="60"/>
        <w:ind w:right="237"/>
        <w:rPr>
          <w:rFonts w:ascii="Times New Roman" w:hAnsi="Times New Roman" w:cs="Times New Roman"/>
          <w:sz w:val="24"/>
          <w:szCs w:val="24"/>
        </w:rPr>
      </w:pPr>
    </w:p>
    <w:p w14:paraId="79C01137" w14:textId="61BA7BD0" w:rsidR="00CF7CE2" w:rsidRPr="000902DD" w:rsidRDefault="00CF7CE2" w:rsidP="000902DD">
      <w:pPr>
        <w:keepNext/>
        <w:spacing w:before="240" w:after="60"/>
        <w:ind w:right="237"/>
        <w:rPr>
          <w:rFonts w:ascii="Times New Roman" w:hAnsi="Times New Roman" w:cs="Times New Roman"/>
          <w:sz w:val="24"/>
          <w:szCs w:val="24"/>
        </w:rPr>
      </w:pPr>
      <w:r w:rsidRPr="000902DD">
        <w:rPr>
          <w:rFonts w:ascii="Times New Roman" w:hAnsi="Times New Roman" w:cs="Times New Roman"/>
          <w:sz w:val="24"/>
          <w:szCs w:val="24"/>
        </w:rPr>
        <w:t>Elkin, M. (2019) The nature of violent crime in England and Wales: Year Ending March 2018, The nature of violent crime in England and Wales - Office for National Statistics. Office for National Statistics. Available at: https://www.ons.gov.uk/peoplepopulationandcommunity/crimeandjustice/articles/thenatureofviolentcrimeinenglandandwales/yearendingmarch2018 (Accessed: February 2, 2023).</w:t>
      </w:r>
    </w:p>
    <w:p w14:paraId="4A2CC76F" w14:textId="77777777" w:rsidR="00CF7CE2" w:rsidRPr="000902DD" w:rsidRDefault="00CF7CE2" w:rsidP="000902DD">
      <w:pPr>
        <w:keepNext/>
        <w:spacing w:before="240" w:after="60"/>
        <w:ind w:right="237"/>
        <w:rPr>
          <w:rFonts w:ascii="Times New Roman" w:hAnsi="Times New Roman" w:cs="Times New Roman"/>
          <w:sz w:val="24"/>
          <w:szCs w:val="24"/>
        </w:rPr>
      </w:pPr>
    </w:p>
    <w:p w14:paraId="58615DB2" w14:textId="32EBC43E" w:rsidR="00CF7CE2" w:rsidRPr="000902DD" w:rsidRDefault="00CF7CE2" w:rsidP="000902DD">
      <w:pPr>
        <w:keepNext/>
        <w:spacing w:before="240" w:after="60"/>
        <w:ind w:right="237"/>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Fitch-Bartlett, H.C. and Healy, J. (2022) “Evaluating hate crime third party reporting services: Perspectives from voluntary advisors,” Safer Communities, 21(3), pp. 215–225. Available at: </w:t>
      </w:r>
      <w:hyperlink r:id="rId25" w:history="1">
        <w:r w:rsidRPr="000902DD">
          <w:rPr>
            <w:rStyle w:val="Hyperlink"/>
            <w:rFonts w:ascii="Times New Roman" w:hAnsi="Times New Roman" w:cs="Times New Roman"/>
            <w:color w:val="auto"/>
            <w:sz w:val="24"/>
            <w:szCs w:val="24"/>
            <w:u w:val="none"/>
          </w:rPr>
          <w:t>https://doi.org/10.1108/sc-04-2021-0012</w:t>
        </w:r>
      </w:hyperlink>
      <w:r w:rsidRPr="000902DD">
        <w:rPr>
          <w:rFonts w:ascii="Times New Roman" w:hAnsi="Times New Roman" w:cs="Times New Roman"/>
          <w:color w:val="auto"/>
          <w:sz w:val="24"/>
          <w:szCs w:val="24"/>
        </w:rPr>
        <w:t>.</w:t>
      </w:r>
    </w:p>
    <w:p w14:paraId="19D44CFA" w14:textId="77777777" w:rsidR="00CF7CE2" w:rsidRPr="000902DD" w:rsidRDefault="00CF7CE2" w:rsidP="000902DD">
      <w:pPr>
        <w:keepNext/>
        <w:spacing w:before="240" w:after="60"/>
        <w:ind w:right="237"/>
        <w:rPr>
          <w:rFonts w:ascii="Times New Roman" w:hAnsi="Times New Roman" w:cs="Times New Roman"/>
          <w:color w:val="auto"/>
          <w:sz w:val="24"/>
          <w:szCs w:val="24"/>
        </w:rPr>
      </w:pPr>
    </w:p>
    <w:p w14:paraId="2A54531A" w14:textId="0099CD1E" w:rsidR="00CF7CE2" w:rsidRPr="000902DD" w:rsidRDefault="00CF7CE2" w:rsidP="000902DD">
      <w:pPr>
        <w:pStyle w:val="NormalWeb"/>
      </w:pPr>
      <w:r w:rsidRPr="000902DD">
        <w:t xml:space="preserve">Fusco, R.A. and Fantuzzo, J.W. (2009) “Domestic Violence Crimes and children: A population-based investigation of direct sensory exposure and the nature of involvement,” Children and Youth Services Review, 31(2), pp. 249–256. Available at: </w:t>
      </w:r>
      <w:hyperlink r:id="rId26" w:history="1">
        <w:r w:rsidRPr="000902DD">
          <w:rPr>
            <w:rStyle w:val="Hyperlink"/>
            <w:color w:val="auto"/>
            <w:u w:val="none"/>
          </w:rPr>
          <w:t>https://doi.org/10.1016/j.childyouth.2008.07.017</w:t>
        </w:r>
      </w:hyperlink>
      <w:r w:rsidRPr="000902DD">
        <w:t>.</w:t>
      </w:r>
    </w:p>
    <w:p w14:paraId="0004D355" w14:textId="77B2FE98" w:rsidR="00CF7CE2" w:rsidRPr="000902DD" w:rsidRDefault="00CF7CE2" w:rsidP="000902DD">
      <w:pPr>
        <w:keepNext/>
        <w:spacing w:before="240" w:after="60"/>
        <w:ind w:right="237"/>
        <w:rPr>
          <w:rFonts w:ascii="Times New Roman" w:hAnsi="Times New Roman" w:cs="Times New Roman"/>
          <w:color w:val="auto"/>
          <w:sz w:val="24"/>
          <w:szCs w:val="24"/>
        </w:rPr>
      </w:pPr>
      <w:r w:rsidRPr="000902DD">
        <w:rPr>
          <w:rFonts w:ascii="Times New Roman" w:hAnsi="Times New Roman" w:cs="Times New Roman"/>
          <w:color w:val="auto"/>
          <w:sz w:val="24"/>
          <w:szCs w:val="24"/>
        </w:rPr>
        <w:t>Hayden, S.R., Barton, E.D. and Hayden, M., 1997. Domestic violence in the emergency department: how do women prefer to disclose and discuss the issues?. The Journal of emergency medicine, 15(4), pp.447-451.</w:t>
      </w:r>
    </w:p>
    <w:p w14:paraId="28DE090A" w14:textId="77777777" w:rsidR="00CF7CE2" w:rsidRPr="000902DD" w:rsidRDefault="00CF7CE2" w:rsidP="000902DD">
      <w:pPr>
        <w:keepNext/>
        <w:spacing w:before="240" w:after="60"/>
        <w:ind w:right="237"/>
        <w:rPr>
          <w:rFonts w:ascii="Times New Roman" w:hAnsi="Times New Roman" w:cs="Times New Roman"/>
          <w:color w:val="auto"/>
          <w:sz w:val="24"/>
          <w:szCs w:val="24"/>
        </w:rPr>
      </w:pPr>
    </w:p>
    <w:p w14:paraId="542C10E9" w14:textId="690D9195" w:rsidR="00CF7CE2" w:rsidRPr="000902DD" w:rsidRDefault="00CF7CE2" w:rsidP="000902DD">
      <w:pPr>
        <w:pStyle w:val="NormalWeb"/>
      </w:pPr>
      <w:r w:rsidRPr="000902DD">
        <w:t xml:space="preserve">HM Government (2016) </w:t>
      </w:r>
      <w:r w:rsidRPr="000902DD">
        <w:rPr>
          <w:i/>
          <w:iCs/>
        </w:rPr>
        <w:t xml:space="preserve">Action Against Hate, The UK Government’s plan for tackling hate crime – ‘two years on. </w:t>
      </w:r>
      <w:r w:rsidRPr="000902DD">
        <w:t xml:space="preserve">Available at: </w:t>
      </w:r>
      <w:hyperlink r:id="rId27" w:history="1">
        <w:r w:rsidRPr="000902DD">
          <w:rPr>
            <w:rStyle w:val="Hyperlink"/>
            <w:color w:val="auto"/>
            <w:u w:val="none"/>
          </w:rPr>
          <w:t>https://assets.publishing.service.gov.uk/government/uploads/system/uploads/attachment_data/file/748175/Hate_crime_refresh_2018_FINAL_WEB.PDF</w:t>
        </w:r>
      </w:hyperlink>
      <w:r w:rsidRPr="000902DD">
        <w:t xml:space="preserve"> (Accessed: 28 December, 2022). </w:t>
      </w:r>
    </w:p>
    <w:p w14:paraId="4896EFDF" w14:textId="77777777" w:rsidR="00CF7CE2" w:rsidRPr="000902DD" w:rsidRDefault="00CF7CE2" w:rsidP="000902DD">
      <w:pPr>
        <w:pStyle w:val="NormalWeb"/>
      </w:pPr>
    </w:p>
    <w:p w14:paraId="39919ADB" w14:textId="617D29AF" w:rsidR="00CF7CE2" w:rsidRPr="000902DD" w:rsidRDefault="00CF7CE2" w:rsidP="000902DD">
      <w:pPr>
        <w:pStyle w:val="NormalWeb"/>
        <w:ind w:left="567" w:hanging="567"/>
      </w:pPr>
      <w:r w:rsidRPr="000902DD">
        <w:t>Home Office (2009</w:t>
      </w:r>
      <w:r w:rsidRPr="000902DD">
        <w:rPr>
          <w:i/>
          <w:iCs/>
        </w:rPr>
        <w:t>) Protecting The public: Supporting The Police To Succeed</w:t>
      </w:r>
      <w:r w:rsidRPr="000902DD">
        <w:t xml:space="preserve">. Available at:  </w:t>
      </w:r>
      <w:hyperlink r:id="rId28" w:history="1">
        <w:r w:rsidRPr="000902DD">
          <w:rPr>
            <w:rStyle w:val="Hyperlink"/>
            <w:color w:val="auto"/>
            <w:u w:val="none"/>
          </w:rPr>
          <w:t>https://assets.publishing.service.gov.uk/government/uploads/system/uploads/attachment_data/file/229002/7749.pdf</w:t>
        </w:r>
      </w:hyperlink>
      <w:r w:rsidRPr="000902DD">
        <w:t xml:space="preserve"> (Accessed: 20 December 2022). </w:t>
      </w:r>
    </w:p>
    <w:p w14:paraId="19B4F917" w14:textId="77777777" w:rsidR="00CF7CE2" w:rsidRPr="000902DD" w:rsidRDefault="00CF7CE2" w:rsidP="000902DD">
      <w:pPr>
        <w:pStyle w:val="NormalWeb"/>
        <w:ind w:left="567" w:hanging="567"/>
      </w:pPr>
    </w:p>
    <w:p w14:paraId="21EE8D97" w14:textId="4EC4AB04" w:rsidR="00CF7CE2" w:rsidRPr="000902DD" w:rsidRDefault="00CF7CE2" w:rsidP="000902DD">
      <w:pPr>
        <w:pStyle w:val="NormalWeb"/>
        <w:ind w:left="567" w:hanging="567"/>
      </w:pPr>
      <w:r w:rsidRPr="000902DD">
        <w:t xml:space="preserve">IACP (2022) </w:t>
      </w:r>
      <w:r w:rsidRPr="000902DD">
        <w:rPr>
          <w:i/>
          <w:iCs/>
        </w:rPr>
        <w:t>Evidence-Based Polcing</w:t>
      </w:r>
      <w:r w:rsidRPr="000902DD">
        <w:t xml:space="preserve">. Available at: https://www.theiacp.org/sites/default/files/IACP_PI_EBP%20(1).pdf (Accessed: 28 December 2022). </w:t>
      </w:r>
    </w:p>
    <w:p w14:paraId="69E1931D" w14:textId="77777777" w:rsidR="00CF7CE2" w:rsidRPr="000902DD" w:rsidRDefault="00CF7CE2" w:rsidP="000902DD">
      <w:pPr>
        <w:pStyle w:val="NormalWeb"/>
        <w:ind w:left="567" w:hanging="567"/>
      </w:pPr>
    </w:p>
    <w:p w14:paraId="57BA9F03" w14:textId="0DD5B780" w:rsidR="00CF7CE2" w:rsidRPr="000902DD" w:rsidRDefault="00CF7CE2" w:rsidP="000902DD">
      <w:pPr>
        <w:keepNext/>
        <w:spacing w:before="240" w:after="60"/>
        <w:ind w:right="237"/>
        <w:rPr>
          <w:rFonts w:ascii="Times New Roman" w:hAnsi="Times New Roman" w:cs="Times New Roman"/>
          <w:sz w:val="24"/>
          <w:szCs w:val="24"/>
        </w:rPr>
      </w:pPr>
      <w:r w:rsidRPr="000902DD">
        <w:rPr>
          <w:rFonts w:ascii="Times New Roman" w:hAnsi="Times New Roman" w:cs="Times New Roman"/>
          <w:sz w:val="24"/>
          <w:szCs w:val="24"/>
        </w:rPr>
        <w:t>Livingston, J.D., 2016. Contact between police and people with mental disorders: A review of rates. Psychiatric services, 67(8), pp.850-857.</w:t>
      </w:r>
    </w:p>
    <w:p w14:paraId="5AED558E" w14:textId="77777777" w:rsidR="00CF7CE2" w:rsidRPr="000902DD" w:rsidRDefault="00CF7CE2" w:rsidP="000902DD">
      <w:pPr>
        <w:keepNext/>
        <w:spacing w:before="240" w:after="60"/>
        <w:ind w:right="237"/>
        <w:rPr>
          <w:rFonts w:ascii="Times New Roman" w:hAnsi="Times New Roman" w:cs="Times New Roman"/>
          <w:sz w:val="24"/>
          <w:szCs w:val="24"/>
        </w:rPr>
      </w:pPr>
    </w:p>
    <w:p w14:paraId="2D732908" w14:textId="5DF8214B" w:rsidR="00CF7CE2" w:rsidRPr="000902DD" w:rsidRDefault="00CF7CE2" w:rsidP="000902DD">
      <w:pPr>
        <w:keepNext/>
        <w:spacing w:before="240" w:after="60"/>
        <w:ind w:right="237"/>
        <w:rPr>
          <w:rFonts w:ascii="Times New Roman" w:hAnsi="Times New Roman" w:cs="Times New Roman"/>
          <w:sz w:val="24"/>
          <w:szCs w:val="24"/>
        </w:rPr>
      </w:pPr>
      <w:r w:rsidRPr="000902DD">
        <w:rPr>
          <w:rFonts w:ascii="Times New Roman" w:hAnsi="Times New Roman" w:cs="Times New Roman"/>
          <w:sz w:val="24"/>
          <w:szCs w:val="24"/>
        </w:rPr>
        <w:t>Lum, C. and Koper, C.S., 2015. Evidence-based policing. Critical Issues in Policing: Contemporary Readings, pp.260-274.</w:t>
      </w:r>
    </w:p>
    <w:p w14:paraId="13222BFE" w14:textId="77777777" w:rsidR="00CF7CE2" w:rsidRPr="000902DD" w:rsidRDefault="00CF7CE2" w:rsidP="000902DD">
      <w:pPr>
        <w:keepNext/>
        <w:spacing w:before="240" w:after="60"/>
        <w:ind w:right="237"/>
        <w:rPr>
          <w:rFonts w:ascii="Times New Roman" w:hAnsi="Times New Roman" w:cs="Times New Roman"/>
          <w:sz w:val="24"/>
          <w:szCs w:val="24"/>
        </w:rPr>
      </w:pPr>
    </w:p>
    <w:p w14:paraId="35F9E3CF" w14:textId="20FE5869" w:rsidR="00CF7CE2" w:rsidRPr="000902DD" w:rsidRDefault="00CF7CE2" w:rsidP="000902DD">
      <w:pPr>
        <w:keepNext/>
        <w:spacing w:before="240" w:after="60"/>
        <w:ind w:right="237"/>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McCarthy, D. and O'Neill, M. (2014) “The police and partnership working: Reflections on recent research,” Policing, 8(3), pp. 243–253. Available at: </w:t>
      </w:r>
      <w:hyperlink r:id="rId29" w:history="1">
        <w:r w:rsidRPr="000902DD">
          <w:rPr>
            <w:rStyle w:val="Hyperlink"/>
            <w:rFonts w:ascii="Times New Roman" w:hAnsi="Times New Roman" w:cs="Times New Roman"/>
            <w:color w:val="auto"/>
            <w:sz w:val="24"/>
            <w:szCs w:val="24"/>
            <w:u w:val="none"/>
          </w:rPr>
          <w:t>https://doi.org/10.1093/police/pau022</w:t>
        </w:r>
      </w:hyperlink>
      <w:r w:rsidRPr="000902DD">
        <w:rPr>
          <w:rFonts w:ascii="Times New Roman" w:hAnsi="Times New Roman" w:cs="Times New Roman"/>
          <w:color w:val="auto"/>
          <w:sz w:val="24"/>
          <w:szCs w:val="24"/>
        </w:rPr>
        <w:t>.</w:t>
      </w:r>
    </w:p>
    <w:p w14:paraId="58928345" w14:textId="77777777" w:rsidR="00CF7CE2" w:rsidRPr="000902DD" w:rsidRDefault="00CF7CE2" w:rsidP="000902DD">
      <w:pPr>
        <w:keepNext/>
        <w:spacing w:before="240" w:after="60"/>
        <w:ind w:right="237"/>
        <w:rPr>
          <w:rFonts w:ascii="Times New Roman" w:hAnsi="Times New Roman" w:cs="Times New Roman"/>
          <w:color w:val="auto"/>
          <w:sz w:val="24"/>
          <w:szCs w:val="24"/>
        </w:rPr>
      </w:pPr>
    </w:p>
    <w:p w14:paraId="4EA5561D" w14:textId="07C2C0B7" w:rsidR="00CF7CE2" w:rsidRPr="000902DD" w:rsidRDefault="00CF7CE2" w:rsidP="000902DD">
      <w:pPr>
        <w:pStyle w:val="NormalWeb"/>
        <w:ind w:left="567" w:hanging="567"/>
      </w:pPr>
      <w:bookmarkStart w:id="1" w:name="_Hlk123126989"/>
      <w:r w:rsidRPr="000902DD">
        <w:t xml:space="preserve">National Police Chief’s Council NPCC (2020) </w:t>
      </w:r>
      <w:bookmarkEnd w:id="1"/>
      <w:r w:rsidRPr="000902DD">
        <w:rPr>
          <w:i/>
          <w:iCs/>
        </w:rPr>
        <w:t>Family liaison practice advice - Risk management and assessment</w:t>
      </w:r>
      <w:r w:rsidRPr="000902DD">
        <w:t xml:space="preserve">. Available at: </w:t>
      </w:r>
      <w:hyperlink r:id="rId30" w:anchor=":~:text=Risk%20assessment%20and%20management%20is%20a%20dynamic%20process,of%20further%20victimisation.%20Risk%20Assessment%20%E2%80%93%20FLO%20deployments" w:history="1">
        <w:r w:rsidRPr="000902DD">
          <w:rPr>
            <w:rStyle w:val="Hyperlink"/>
            <w:color w:val="auto"/>
            <w:u w:val="none"/>
          </w:rPr>
          <w:t>https://library.college.police.uk/docs/NPCC/6_Practice_Advice_Risk_Assessment.pdf#:~:text=Risk%20assessment%20and%20management%20is%20a%20dynamic%20process,of%20further%20victimisation.%20Risk%20Assessment%20%E2%80%93%20FLO%20deployments</w:t>
        </w:r>
      </w:hyperlink>
      <w:r w:rsidRPr="000902DD">
        <w:t xml:space="preserve"> (Accessed: 28 December, 2022).</w:t>
      </w:r>
    </w:p>
    <w:p w14:paraId="5567ED5E" w14:textId="77777777" w:rsidR="00CF7CE2" w:rsidRPr="000902DD" w:rsidRDefault="00CF7CE2" w:rsidP="000902DD">
      <w:pPr>
        <w:pStyle w:val="NormalWeb"/>
        <w:ind w:left="567" w:hanging="567"/>
      </w:pPr>
    </w:p>
    <w:p w14:paraId="7E5E7650" w14:textId="77777777" w:rsidR="000902DD" w:rsidRDefault="00CF7CE2" w:rsidP="000902DD">
      <w:pPr>
        <w:pStyle w:val="NormalWeb"/>
      </w:pPr>
      <w:r w:rsidRPr="000902DD">
        <w:t xml:space="preserve">Officer for National Statistics (2018) </w:t>
      </w:r>
      <w:r w:rsidRPr="000902DD">
        <w:rPr>
          <w:i/>
          <w:iCs/>
        </w:rPr>
        <w:t xml:space="preserve">Domestic abuse: findings from the Crime Survey for England and Wales: year ending March 2018. </w:t>
      </w:r>
      <w:r w:rsidRPr="000902DD">
        <w:t>Available at: https://backup.ons.gov.uk/wp-content/uploads/sites/3/2018/11/Domestic-abuse-findings-from-the-Crime-Survey-for-England-and-Wales-year-ending-March-2018.pdf  (Accessed: 28 December, 2022).</w:t>
      </w:r>
    </w:p>
    <w:p w14:paraId="267AA30A" w14:textId="77777777" w:rsidR="000902DD" w:rsidRDefault="000902DD" w:rsidP="000902DD">
      <w:pPr>
        <w:pStyle w:val="NormalWeb"/>
      </w:pPr>
    </w:p>
    <w:p w14:paraId="38D44FC5" w14:textId="49CD8801" w:rsidR="00CF7CE2" w:rsidRPr="000902DD" w:rsidRDefault="00CF7CE2" w:rsidP="000902DD">
      <w:pPr>
        <w:pStyle w:val="NormalWeb"/>
      </w:pPr>
      <w:r w:rsidRPr="000902DD">
        <w:t>Pickering, J.C. and Fox, A.M., 2022. Enabling Collaboration and Communication Across Law Enforcement Jurisdictions: Data Sharing in a Multiagency Partnership. Criminal Justice Policy Review, 33(7), pp.732-755.</w:t>
      </w:r>
    </w:p>
    <w:p w14:paraId="702A09FF" w14:textId="4404FF13" w:rsidR="00CF7CE2" w:rsidRPr="000902DD" w:rsidRDefault="00CF7CE2" w:rsidP="000902DD">
      <w:pPr>
        <w:pStyle w:val="NormalWeb"/>
      </w:pPr>
      <w:r w:rsidRPr="000902DD">
        <w:lastRenderedPageBreak/>
        <w:t>Serious crime act (2015) Legislation.gov.uk. Queen's Printer of Acts of Parliament. Available at: https://www.legislation.gov.uk/ukpga/2015/9/section/76/enacted (Accessed: December 28, 2022).</w:t>
      </w:r>
    </w:p>
    <w:p w14:paraId="0332F16E" w14:textId="77777777" w:rsidR="00CF7CE2" w:rsidRPr="000902DD" w:rsidRDefault="00CF7CE2" w:rsidP="000902DD">
      <w:pPr>
        <w:pStyle w:val="NormalWeb"/>
      </w:pPr>
    </w:p>
    <w:p w14:paraId="17CE6A4F" w14:textId="1D0810BE" w:rsidR="00CF7CE2" w:rsidRPr="000902DD" w:rsidRDefault="00CF7CE2" w:rsidP="000902DD">
      <w:pPr>
        <w:pStyle w:val="NormalWeb"/>
        <w:ind w:left="567" w:hanging="567"/>
        <w:rPr>
          <w:rFonts w:eastAsia="Calibri"/>
        </w:rPr>
      </w:pPr>
      <w:r w:rsidRPr="000902DD">
        <w:rPr>
          <w:rFonts w:eastAsia="Calibri"/>
        </w:rPr>
        <w:t>Shah, S., Rahman, I. and Khashu, A., 2007. Overcoming language barriers. Solutions for law enforcement, pp.1-17</w:t>
      </w:r>
    </w:p>
    <w:p w14:paraId="59770351" w14:textId="77777777" w:rsidR="00CF7CE2" w:rsidRPr="000902DD" w:rsidRDefault="00CF7CE2" w:rsidP="000902DD">
      <w:pPr>
        <w:pStyle w:val="NormalWeb"/>
        <w:ind w:left="567" w:hanging="567"/>
      </w:pPr>
    </w:p>
    <w:p w14:paraId="353C81C8" w14:textId="52F70A05" w:rsidR="00CF7CE2" w:rsidRPr="000902DD" w:rsidRDefault="00CF7CE2" w:rsidP="000902DD">
      <w:pPr>
        <w:spacing w:after="240" w:line="360" w:lineRule="auto"/>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South Wales Police (2008). </w:t>
      </w:r>
      <w:r w:rsidRPr="000902DD">
        <w:rPr>
          <w:rFonts w:ascii="Times New Roman" w:hAnsi="Times New Roman" w:cs="Times New Roman"/>
          <w:i/>
          <w:iCs/>
          <w:color w:val="auto"/>
          <w:sz w:val="24"/>
          <w:szCs w:val="24"/>
        </w:rPr>
        <w:t>Adults at Risk</w:t>
      </w:r>
      <w:r w:rsidRPr="000902DD">
        <w:rPr>
          <w:rFonts w:ascii="Times New Roman" w:hAnsi="Times New Roman" w:cs="Times New Roman"/>
          <w:color w:val="auto"/>
          <w:sz w:val="24"/>
          <w:szCs w:val="24"/>
        </w:rPr>
        <w:t>., p.5. Available at: https://www.south-wales.police.uk/SysSiteAssets/media/downloads/south-wales/about-us/policies-and-procedures/english/adults-at-risk---english.pdf [Accessed 22 Dec. 2022].</w:t>
      </w:r>
    </w:p>
    <w:p w14:paraId="44709923" w14:textId="6D4B96FE" w:rsidR="00CF7CE2" w:rsidRPr="000902DD" w:rsidRDefault="00CF7CE2" w:rsidP="000902DD">
      <w:pPr>
        <w:pStyle w:val="NormalWeb"/>
        <w:ind w:left="567" w:hanging="567"/>
      </w:pPr>
      <w:r w:rsidRPr="000902DD">
        <w:t xml:space="preserve">South Yorkshire Police (2022) </w:t>
      </w:r>
      <w:r w:rsidRPr="000902DD">
        <w:rPr>
          <w:i/>
          <w:iCs/>
        </w:rPr>
        <w:t>Your neighbourhood policing team, South Yorkshire Police.</w:t>
      </w:r>
      <w:r w:rsidRPr="000902DD">
        <w:t xml:space="preserve"> Available at: https://www.southyorks.police.uk/contact-us/your-neighbourhood-policing-team/ (Accessed: December 28, 2022).</w:t>
      </w:r>
    </w:p>
    <w:p w14:paraId="07EC771A" w14:textId="77777777" w:rsidR="00CF7CE2" w:rsidRPr="000902DD" w:rsidRDefault="00CF7CE2" w:rsidP="000902DD">
      <w:pPr>
        <w:pStyle w:val="NormalWeb"/>
        <w:ind w:left="567" w:hanging="567"/>
      </w:pPr>
    </w:p>
    <w:p w14:paraId="2EAFB93E" w14:textId="15A1D86B" w:rsidR="00CF7CE2" w:rsidRPr="000902DD" w:rsidRDefault="00CF7CE2" w:rsidP="000902DD">
      <w:pPr>
        <w:pStyle w:val="NormalWeb"/>
      </w:pPr>
      <w:r w:rsidRPr="000902DD">
        <w:t>Special measures in civil proceedings (2022) GOV.UK. Available at: https://www.gov.uk/government/publications/domestic-abuse-bill-2020-factsheets/special-measures-in-civil-proceeding (Accessed: December 28, 2022).</w:t>
      </w:r>
    </w:p>
    <w:p w14:paraId="7CF84EA5" w14:textId="77777777" w:rsidR="00CF7CE2" w:rsidRPr="000902DD" w:rsidRDefault="00CF7CE2" w:rsidP="000902DD">
      <w:pPr>
        <w:pStyle w:val="NormalWeb"/>
      </w:pPr>
    </w:p>
    <w:p w14:paraId="26625E16" w14:textId="5CEDFE9C" w:rsidR="00CF7CE2" w:rsidRPr="000902DD" w:rsidRDefault="00CF7CE2" w:rsidP="000902DD">
      <w:pPr>
        <w:keepNext/>
        <w:spacing w:before="240" w:after="60"/>
        <w:ind w:right="237"/>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Starr, S.B. (2012) “Estimating gender disparities in federal criminal cases,” SSRN Electronic Journal [Preprint]. Available at: </w:t>
      </w:r>
      <w:hyperlink r:id="rId31" w:history="1">
        <w:r w:rsidRPr="000902DD">
          <w:rPr>
            <w:rStyle w:val="Hyperlink"/>
            <w:rFonts w:ascii="Times New Roman" w:hAnsi="Times New Roman" w:cs="Times New Roman"/>
            <w:color w:val="auto"/>
            <w:sz w:val="24"/>
            <w:szCs w:val="24"/>
            <w:u w:val="none"/>
          </w:rPr>
          <w:t>https://doi.org/10.2139/ssrn.2144002</w:t>
        </w:r>
      </w:hyperlink>
      <w:r w:rsidRPr="000902DD">
        <w:rPr>
          <w:rFonts w:ascii="Times New Roman" w:hAnsi="Times New Roman" w:cs="Times New Roman"/>
          <w:color w:val="auto"/>
          <w:sz w:val="24"/>
          <w:szCs w:val="24"/>
        </w:rPr>
        <w:t>.</w:t>
      </w:r>
    </w:p>
    <w:p w14:paraId="314D8B74" w14:textId="77777777" w:rsidR="00CF7CE2" w:rsidRPr="000902DD" w:rsidRDefault="00CF7CE2" w:rsidP="000902DD">
      <w:pPr>
        <w:keepNext/>
        <w:spacing w:before="240" w:after="60"/>
        <w:ind w:right="237"/>
        <w:rPr>
          <w:rFonts w:ascii="Times New Roman" w:hAnsi="Times New Roman" w:cs="Times New Roman"/>
          <w:color w:val="auto"/>
          <w:sz w:val="24"/>
          <w:szCs w:val="24"/>
        </w:rPr>
      </w:pPr>
    </w:p>
    <w:p w14:paraId="26C02E50" w14:textId="06EBA062" w:rsidR="00CF7CE2" w:rsidRPr="000902DD" w:rsidRDefault="00CF7CE2" w:rsidP="000902DD">
      <w:pPr>
        <w:pStyle w:val="NormalWeb"/>
        <w:ind w:left="567" w:hanging="567"/>
      </w:pPr>
      <w:r w:rsidRPr="000902DD">
        <w:t xml:space="preserve">Stop Hate UK (2022) </w:t>
      </w:r>
      <w:r w:rsidRPr="000902DD">
        <w:rPr>
          <w:i/>
          <w:iCs/>
        </w:rPr>
        <w:t>Racism in the UK</w:t>
      </w:r>
      <w:r w:rsidRPr="000902DD">
        <w:t xml:space="preserve">. Available at: https://www.stophateuk.org/about-hate-crime/racism-in-the-uk/ (Accessed: November 10, 2022). </w:t>
      </w:r>
    </w:p>
    <w:p w14:paraId="18748EC5" w14:textId="77777777" w:rsidR="00CF7CE2" w:rsidRPr="000902DD" w:rsidRDefault="00CF7CE2" w:rsidP="000902DD">
      <w:pPr>
        <w:pStyle w:val="NormalWeb"/>
        <w:ind w:left="567" w:hanging="567"/>
      </w:pPr>
    </w:p>
    <w:p w14:paraId="35BD6F02" w14:textId="4A95D3C3" w:rsidR="00CF7CE2" w:rsidRPr="000902DD" w:rsidRDefault="00CF7CE2" w:rsidP="000902DD">
      <w:pPr>
        <w:keepNext/>
        <w:spacing w:before="240" w:after="60"/>
        <w:ind w:right="237"/>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Strang, H., Neyroud, P. and Sherman, L. (2014) “Tracking the evidence for a 'mythical number': Do UK domestic abuse victims suffer an average of 35 assaults before someone calls the police?,” Policing, 8(2), pp. 222–228. Available at: </w:t>
      </w:r>
      <w:hyperlink r:id="rId32" w:history="1">
        <w:r w:rsidRPr="000902DD">
          <w:rPr>
            <w:rStyle w:val="Hyperlink"/>
            <w:rFonts w:ascii="Times New Roman" w:hAnsi="Times New Roman" w:cs="Times New Roman"/>
            <w:color w:val="auto"/>
            <w:sz w:val="24"/>
            <w:szCs w:val="24"/>
            <w:u w:val="none"/>
          </w:rPr>
          <w:t>https://doi.org/10.1093/police/pau016</w:t>
        </w:r>
      </w:hyperlink>
      <w:r w:rsidRPr="000902DD">
        <w:rPr>
          <w:rFonts w:ascii="Times New Roman" w:hAnsi="Times New Roman" w:cs="Times New Roman"/>
          <w:color w:val="auto"/>
          <w:sz w:val="24"/>
          <w:szCs w:val="24"/>
        </w:rPr>
        <w:t>.</w:t>
      </w:r>
    </w:p>
    <w:p w14:paraId="0CFCA29D" w14:textId="77777777" w:rsidR="000902DD" w:rsidRPr="000902DD" w:rsidRDefault="000902DD" w:rsidP="000902DD">
      <w:pPr>
        <w:keepNext/>
        <w:spacing w:before="240" w:after="60"/>
        <w:ind w:right="237"/>
        <w:rPr>
          <w:rFonts w:ascii="Times New Roman" w:hAnsi="Times New Roman" w:cs="Times New Roman"/>
          <w:color w:val="auto"/>
          <w:sz w:val="24"/>
          <w:szCs w:val="24"/>
        </w:rPr>
      </w:pPr>
    </w:p>
    <w:p w14:paraId="3F585F31" w14:textId="52D84A9F" w:rsidR="00CF7CE2" w:rsidRPr="000902DD" w:rsidRDefault="00CF7CE2" w:rsidP="000902DD">
      <w:pPr>
        <w:pStyle w:val="NormalWeb"/>
      </w:pPr>
      <w:r w:rsidRPr="000902DD">
        <w:t>Stripe, N. (2020) Domestic abuse and the criminal justice system, England and Wales: November 2020, Domestic abuse and the criminal justice system, England and Wales - Office for National Statistics. Office for National Statistics. Available at: https://www.ons.gov.uk/peoplepopulationandcommunity/crimeandjustice/articles/domesticabuseandthecriminaljusticesystemenglandandwales/november2020 (Accessed: December 28, 2022).</w:t>
      </w:r>
    </w:p>
    <w:p w14:paraId="4EB39B97" w14:textId="77777777" w:rsidR="00CF7CE2" w:rsidRPr="000902DD" w:rsidRDefault="00CF7CE2" w:rsidP="000902DD">
      <w:pPr>
        <w:pStyle w:val="NormalWeb"/>
      </w:pPr>
    </w:p>
    <w:p w14:paraId="3C48AEDF" w14:textId="5B64C3EC" w:rsidR="00CF7CE2" w:rsidRPr="000902DD" w:rsidRDefault="00CF7CE2" w:rsidP="000902DD">
      <w:pPr>
        <w:pStyle w:val="NormalWeb"/>
        <w:ind w:left="567" w:hanging="567"/>
      </w:pPr>
      <w:r w:rsidRPr="000902DD">
        <w:t>The Police Foundation (2020) The public want the police to be more visible and to focus on core tasks, according to New Research, The Police Foundation. Available at: https://www.police-foundation.org.uk/news/the-public-want-the-police-to-be-more-visible-and-to-focus-on-core-tasks-according-to-new-research/ (Accessed: December 28, 2022).</w:t>
      </w:r>
    </w:p>
    <w:p w14:paraId="43BD2D4B" w14:textId="77777777" w:rsidR="00CF7CE2" w:rsidRPr="000902DD" w:rsidRDefault="00CF7CE2" w:rsidP="000902DD">
      <w:pPr>
        <w:pStyle w:val="NormalWeb"/>
        <w:ind w:left="567" w:hanging="567"/>
      </w:pPr>
    </w:p>
    <w:p w14:paraId="4B697335" w14:textId="77777777" w:rsidR="00CF7CE2" w:rsidRPr="000902DD" w:rsidRDefault="00CF7CE2" w:rsidP="000902DD">
      <w:pPr>
        <w:pStyle w:val="NormalWeb"/>
        <w:ind w:left="567" w:hanging="567"/>
      </w:pPr>
      <w:r w:rsidRPr="000902DD">
        <w:t xml:space="preserve">Theft act 1968 (1968) </w:t>
      </w:r>
      <w:r w:rsidRPr="000902DD">
        <w:rPr>
          <w:i/>
          <w:iCs/>
        </w:rPr>
        <w:t>Legislation.gov.uk</w:t>
      </w:r>
      <w:r w:rsidRPr="000902DD">
        <w:t xml:space="preserve">. Statute Law Database. Available at: https://www.legislation.gov.uk/ukpga/1968/60/crossheading/definition-of-theft (Accessed: November 10, 2022). </w:t>
      </w:r>
    </w:p>
    <w:p w14:paraId="27759C0F" w14:textId="4B7F7A0D" w:rsidR="00CF7CE2" w:rsidRPr="000902DD" w:rsidRDefault="00CF7CE2" w:rsidP="000902DD">
      <w:pPr>
        <w:pStyle w:val="NormalWeb"/>
      </w:pPr>
      <w:r w:rsidRPr="000902DD">
        <w:t xml:space="preserve">Tsui, V., Cheung, M. and Leung, P. (2010) “Help-seeking among male victims of partner abuse: Men's Hard Times,” Journal of Community Psychology, 38(6), pp. 769–780. Available at: </w:t>
      </w:r>
      <w:hyperlink r:id="rId33" w:history="1">
        <w:r w:rsidRPr="000902DD">
          <w:rPr>
            <w:rStyle w:val="Hyperlink"/>
            <w:color w:val="auto"/>
            <w:u w:val="none"/>
          </w:rPr>
          <w:t>https://doi.org/10.1002/jcop.20394</w:t>
        </w:r>
      </w:hyperlink>
      <w:r w:rsidRPr="000902DD">
        <w:t>.</w:t>
      </w:r>
    </w:p>
    <w:p w14:paraId="747A1C76" w14:textId="77777777" w:rsidR="00CF7CE2" w:rsidRPr="000902DD" w:rsidRDefault="00CF7CE2" w:rsidP="000902DD">
      <w:pPr>
        <w:pStyle w:val="NormalWeb"/>
      </w:pPr>
    </w:p>
    <w:p w14:paraId="65F0C330" w14:textId="0BA2CF9C" w:rsidR="00CF7CE2" w:rsidRPr="000902DD" w:rsidRDefault="00CF7CE2" w:rsidP="000902DD">
      <w:pPr>
        <w:keepNext/>
        <w:spacing w:before="240" w:after="60"/>
        <w:ind w:right="237"/>
        <w:rPr>
          <w:rFonts w:ascii="Times New Roman" w:hAnsi="Times New Roman" w:cs="Times New Roman"/>
          <w:sz w:val="24"/>
          <w:szCs w:val="24"/>
        </w:rPr>
      </w:pPr>
      <w:r w:rsidRPr="000902DD">
        <w:rPr>
          <w:rFonts w:ascii="Times New Roman" w:hAnsi="Times New Roman" w:cs="Times New Roman"/>
          <w:sz w:val="24"/>
          <w:szCs w:val="24"/>
        </w:rPr>
        <w:t>Vallano, J.P. and Compo, N.S., 2011. A comfortable witness is a good witness: Rapport‐building and susceptibility to misinformation in an investigative mock‐crime interview. Applied cognitive psychology, 25(6), pp.960-970.</w:t>
      </w:r>
    </w:p>
    <w:p w14:paraId="00034727" w14:textId="77777777" w:rsidR="00CF7CE2" w:rsidRPr="000902DD" w:rsidRDefault="00CF7CE2" w:rsidP="000902DD">
      <w:pPr>
        <w:keepNext/>
        <w:spacing w:before="240" w:after="60"/>
        <w:ind w:right="237"/>
        <w:rPr>
          <w:rFonts w:ascii="Times New Roman" w:hAnsi="Times New Roman" w:cs="Times New Roman"/>
          <w:sz w:val="24"/>
          <w:szCs w:val="24"/>
        </w:rPr>
      </w:pPr>
    </w:p>
    <w:p w14:paraId="607CFD2D" w14:textId="77777777" w:rsidR="00CF7CE2" w:rsidRPr="000902DD" w:rsidRDefault="00CF7CE2" w:rsidP="000902DD">
      <w:pPr>
        <w:keepNext/>
        <w:spacing w:before="240" w:after="60"/>
        <w:ind w:right="237"/>
        <w:rPr>
          <w:rFonts w:ascii="Times New Roman" w:hAnsi="Times New Roman" w:cs="Times New Roman"/>
          <w:color w:val="auto"/>
          <w:sz w:val="24"/>
          <w:szCs w:val="24"/>
        </w:rPr>
      </w:pPr>
      <w:r w:rsidRPr="000902DD">
        <w:rPr>
          <w:rFonts w:ascii="Times New Roman" w:hAnsi="Times New Roman" w:cs="Times New Roman"/>
          <w:color w:val="auto"/>
          <w:sz w:val="24"/>
          <w:szCs w:val="24"/>
        </w:rPr>
        <w:t xml:space="preserve">Wallace, S. et al. (2019) “Men who experience domestic abuse: A service perspective,” Journal of Aggression, Conflict and Peace Research, 11(2), pp. 127–137. Available at: </w:t>
      </w:r>
      <w:hyperlink r:id="rId34" w:history="1">
        <w:r w:rsidRPr="000902DD">
          <w:rPr>
            <w:rStyle w:val="Hyperlink"/>
            <w:rFonts w:ascii="Times New Roman" w:hAnsi="Times New Roman" w:cs="Times New Roman"/>
            <w:color w:val="auto"/>
            <w:sz w:val="24"/>
            <w:szCs w:val="24"/>
            <w:u w:val="none"/>
          </w:rPr>
          <w:t>https://doi.org/10.1108/jacpr-03-2018-0353</w:t>
        </w:r>
      </w:hyperlink>
      <w:r w:rsidRPr="000902DD">
        <w:rPr>
          <w:rFonts w:ascii="Times New Roman" w:hAnsi="Times New Roman" w:cs="Times New Roman"/>
          <w:color w:val="auto"/>
          <w:sz w:val="24"/>
          <w:szCs w:val="24"/>
        </w:rPr>
        <w:t>.</w:t>
      </w:r>
    </w:p>
    <w:p w14:paraId="6BECF6CB" w14:textId="7CC4C36D" w:rsidR="00060CEA" w:rsidRPr="000902DD" w:rsidRDefault="00060CEA" w:rsidP="00CF7CE2">
      <w:pPr>
        <w:keepNext/>
        <w:spacing w:before="240" w:after="60"/>
        <w:ind w:right="237"/>
        <w:rPr>
          <w:rFonts w:ascii="Times New Roman" w:hAnsi="Times New Roman" w:cs="Times New Roman"/>
          <w:sz w:val="24"/>
          <w:szCs w:val="24"/>
        </w:rPr>
      </w:pPr>
    </w:p>
    <w:p w14:paraId="238A2C34" w14:textId="77777777" w:rsidR="00060CEA" w:rsidRDefault="00060CEA" w:rsidP="00CF7CE2">
      <w:pPr>
        <w:keepNext/>
        <w:spacing w:before="240" w:after="60"/>
        <w:ind w:right="237"/>
      </w:pPr>
    </w:p>
    <w:p w14:paraId="17E63E47" w14:textId="77777777" w:rsidR="006E74EB" w:rsidRDefault="006E74EB" w:rsidP="00EA28F1">
      <w:pPr>
        <w:keepNext/>
        <w:spacing w:before="240" w:after="60"/>
        <w:ind w:right="237"/>
        <w:jc w:val="both"/>
      </w:pPr>
    </w:p>
    <w:p w14:paraId="15A3BBE6" w14:textId="77777777" w:rsidR="00430EE0" w:rsidRDefault="00430EE0" w:rsidP="00EA28F1">
      <w:pPr>
        <w:keepNext/>
        <w:spacing w:before="240" w:after="60"/>
        <w:ind w:right="237"/>
        <w:jc w:val="both"/>
      </w:pPr>
    </w:p>
    <w:p w14:paraId="731C4B3B" w14:textId="77777777" w:rsidR="000B42D0" w:rsidRDefault="000B42D0" w:rsidP="00EA28F1">
      <w:pPr>
        <w:keepNext/>
        <w:spacing w:before="240" w:after="60"/>
        <w:ind w:right="237"/>
        <w:jc w:val="both"/>
      </w:pPr>
    </w:p>
    <w:p w14:paraId="269C42A9" w14:textId="1925E637" w:rsidR="000B42D0" w:rsidRDefault="000B42D0" w:rsidP="00EA28F1">
      <w:pPr>
        <w:keepNext/>
        <w:spacing w:before="240" w:after="60"/>
        <w:ind w:right="237"/>
        <w:jc w:val="both"/>
      </w:pPr>
    </w:p>
    <w:p w14:paraId="5DFD9ACE" w14:textId="77777777" w:rsidR="000B42D0" w:rsidRDefault="000B42D0" w:rsidP="00EA28F1">
      <w:pPr>
        <w:keepNext/>
        <w:spacing w:before="240" w:after="60"/>
        <w:ind w:right="237"/>
        <w:jc w:val="both"/>
      </w:pPr>
    </w:p>
    <w:p w14:paraId="39FE2032" w14:textId="77777777" w:rsidR="00524786" w:rsidRDefault="00524786" w:rsidP="00EA28F1">
      <w:pPr>
        <w:keepNext/>
        <w:spacing w:before="240" w:after="60"/>
        <w:ind w:right="237"/>
        <w:jc w:val="both"/>
      </w:pPr>
    </w:p>
    <w:p w14:paraId="7A7DB1B9" w14:textId="77777777" w:rsidR="008D43D6" w:rsidRDefault="008D43D6" w:rsidP="00EA28F1">
      <w:pPr>
        <w:keepNext/>
        <w:spacing w:before="240" w:after="60"/>
        <w:ind w:right="237"/>
        <w:jc w:val="both"/>
      </w:pPr>
    </w:p>
    <w:p w14:paraId="4A6A7831" w14:textId="77777777" w:rsidR="00046A6B" w:rsidRDefault="00046A6B" w:rsidP="00EA28F1">
      <w:pPr>
        <w:keepNext/>
        <w:spacing w:before="240" w:after="60"/>
        <w:ind w:right="237"/>
        <w:jc w:val="both"/>
      </w:pPr>
    </w:p>
    <w:sectPr w:rsidR="00046A6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F14F9" w14:textId="77777777" w:rsidR="001A4025" w:rsidRDefault="001A40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49CFD" w14:textId="77777777" w:rsidR="001A4025" w:rsidRDefault="001A4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F5BA5" w14:textId="77777777" w:rsidR="001A4025" w:rsidRDefault="001A40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4DA20" w14:textId="77777777" w:rsidR="001A4025" w:rsidRDefault="001A40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ED960" w14:textId="77777777" w:rsidR="001A4025" w:rsidRDefault="001A4025">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660CFDA"/>
    <w:lvl w:ilvl="0" w:tplc="9BACAA30">
      <w:start w:val="1"/>
      <w:numFmt w:val="decimal"/>
      <w:lvlText w:val="%1."/>
      <w:lvlJc w:val="left"/>
      <w:pPr>
        <w:ind w:left="720" w:hanging="360"/>
      </w:pPr>
    </w:lvl>
    <w:lvl w:ilvl="1" w:tplc="67E64932">
      <w:start w:val="1"/>
      <w:numFmt w:val="lowerLetter"/>
      <w:lvlText w:val="%2."/>
      <w:lvlJc w:val="left"/>
      <w:pPr>
        <w:ind w:left="1440" w:hanging="360"/>
      </w:pPr>
    </w:lvl>
    <w:lvl w:ilvl="2" w:tplc="72E6611A">
      <w:start w:val="1"/>
      <w:numFmt w:val="lowerRoman"/>
      <w:lvlText w:val="%3."/>
      <w:lvlJc w:val="right"/>
      <w:pPr>
        <w:ind w:left="2160" w:hanging="180"/>
      </w:pPr>
    </w:lvl>
    <w:lvl w:ilvl="3" w:tplc="B22852DC">
      <w:start w:val="1"/>
      <w:numFmt w:val="decimal"/>
      <w:lvlText w:val="%4."/>
      <w:lvlJc w:val="left"/>
      <w:pPr>
        <w:ind w:left="2880" w:hanging="360"/>
      </w:pPr>
    </w:lvl>
    <w:lvl w:ilvl="4" w:tplc="1B144CA0">
      <w:start w:val="1"/>
      <w:numFmt w:val="lowerLetter"/>
      <w:lvlText w:val="%5."/>
      <w:lvlJc w:val="left"/>
      <w:pPr>
        <w:ind w:left="3600" w:hanging="360"/>
      </w:pPr>
    </w:lvl>
    <w:lvl w:ilvl="5" w:tplc="0B3C7CE8">
      <w:start w:val="1"/>
      <w:numFmt w:val="lowerRoman"/>
      <w:lvlText w:val="%6."/>
      <w:lvlJc w:val="right"/>
      <w:pPr>
        <w:ind w:left="4320" w:hanging="180"/>
      </w:pPr>
    </w:lvl>
    <w:lvl w:ilvl="6" w:tplc="4D040F28">
      <w:start w:val="1"/>
      <w:numFmt w:val="decimal"/>
      <w:lvlText w:val="%7."/>
      <w:lvlJc w:val="left"/>
      <w:pPr>
        <w:ind w:left="5040" w:hanging="360"/>
      </w:pPr>
    </w:lvl>
    <w:lvl w:ilvl="7" w:tplc="B5203500">
      <w:start w:val="1"/>
      <w:numFmt w:val="lowerLetter"/>
      <w:lvlText w:val="%8."/>
      <w:lvlJc w:val="left"/>
      <w:pPr>
        <w:ind w:left="5760" w:hanging="360"/>
      </w:pPr>
    </w:lvl>
    <w:lvl w:ilvl="8" w:tplc="BA16983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FF4DDCE"/>
    <w:lvl w:ilvl="0" w:tplc="EC1CA048">
      <w:start w:val="1"/>
      <w:numFmt w:val="decimal"/>
      <w:lvlText w:val="%1."/>
      <w:lvlJc w:val="left"/>
      <w:pPr>
        <w:ind w:left="720" w:hanging="360"/>
      </w:pPr>
    </w:lvl>
    <w:lvl w:ilvl="1" w:tplc="960CB934">
      <w:start w:val="1"/>
      <w:numFmt w:val="decimal"/>
      <w:lvlText w:val="%2."/>
      <w:lvlJc w:val="left"/>
      <w:pPr>
        <w:ind w:left="1440" w:hanging="360"/>
      </w:pPr>
    </w:lvl>
    <w:lvl w:ilvl="2" w:tplc="A972E906">
      <w:start w:val="1"/>
      <w:numFmt w:val="lowerRoman"/>
      <w:lvlText w:val="%3."/>
      <w:lvlJc w:val="right"/>
      <w:pPr>
        <w:ind w:left="2160" w:hanging="180"/>
      </w:pPr>
    </w:lvl>
    <w:lvl w:ilvl="3" w:tplc="2788EDBC">
      <w:start w:val="1"/>
      <w:numFmt w:val="decimal"/>
      <w:lvlText w:val="%4."/>
      <w:lvlJc w:val="left"/>
      <w:pPr>
        <w:ind w:left="2880" w:hanging="360"/>
      </w:pPr>
    </w:lvl>
    <w:lvl w:ilvl="4" w:tplc="E03280AE">
      <w:start w:val="1"/>
      <w:numFmt w:val="lowerLetter"/>
      <w:lvlText w:val="%5."/>
      <w:lvlJc w:val="left"/>
      <w:pPr>
        <w:ind w:left="3600" w:hanging="360"/>
      </w:pPr>
    </w:lvl>
    <w:lvl w:ilvl="5" w:tplc="16A40030">
      <w:start w:val="1"/>
      <w:numFmt w:val="lowerRoman"/>
      <w:lvlText w:val="%6."/>
      <w:lvlJc w:val="right"/>
      <w:pPr>
        <w:ind w:left="4320" w:hanging="180"/>
      </w:pPr>
    </w:lvl>
    <w:lvl w:ilvl="6" w:tplc="894A79E4">
      <w:start w:val="1"/>
      <w:numFmt w:val="decimal"/>
      <w:lvlText w:val="%7."/>
      <w:lvlJc w:val="left"/>
      <w:pPr>
        <w:ind w:left="5040" w:hanging="360"/>
      </w:pPr>
    </w:lvl>
    <w:lvl w:ilvl="7" w:tplc="8D9886F6">
      <w:start w:val="1"/>
      <w:numFmt w:val="lowerLetter"/>
      <w:lvlText w:val="%8."/>
      <w:lvlJc w:val="left"/>
      <w:pPr>
        <w:ind w:left="5760" w:hanging="360"/>
      </w:pPr>
    </w:lvl>
    <w:lvl w:ilvl="8" w:tplc="014E82F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62D"/>
    <w:rsid w:val="0003088B"/>
    <w:rsid w:val="000325D9"/>
    <w:rsid w:val="000372B2"/>
    <w:rsid w:val="0004079F"/>
    <w:rsid w:val="00045B87"/>
    <w:rsid w:val="00045C07"/>
    <w:rsid w:val="00046A6B"/>
    <w:rsid w:val="00055D43"/>
    <w:rsid w:val="00056FAC"/>
    <w:rsid w:val="00057751"/>
    <w:rsid w:val="00060CEA"/>
    <w:rsid w:val="00062E39"/>
    <w:rsid w:val="0006580E"/>
    <w:rsid w:val="00080E58"/>
    <w:rsid w:val="00083D99"/>
    <w:rsid w:val="00084EA6"/>
    <w:rsid w:val="00085699"/>
    <w:rsid w:val="00087891"/>
    <w:rsid w:val="000902DD"/>
    <w:rsid w:val="00091F52"/>
    <w:rsid w:val="00092970"/>
    <w:rsid w:val="00092BC7"/>
    <w:rsid w:val="00093720"/>
    <w:rsid w:val="000938E6"/>
    <w:rsid w:val="00093B3C"/>
    <w:rsid w:val="0009488C"/>
    <w:rsid w:val="00095C1B"/>
    <w:rsid w:val="00096DEA"/>
    <w:rsid w:val="000A4240"/>
    <w:rsid w:val="000A469A"/>
    <w:rsid w:val="000B1E96"/>
    <w:rsid w:val="000B42D0"/>
    <w:rsid w:val="000C378F"/>
    <w:rsid w:val="000C6892"/>
    <w:rsid w:val="000C6FFE"/>
    <w:rsid w:val="000D0BB6"/>
    <w:rsid w:val="000D6100"/>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786F"/>
    <w:rsid w:val="001608C4"/>
    <w:rsid w:val="00171418"/>
    <w:rsid w:val="00190913"/>
    <w:rsid w:val="001961CF"/>
    <w:rsid w:val="001A402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4A96"/>
    <w:rsid w:val="002A5604"/>
    <w:rsid w:val="002B1701"/>
    <w:rsid w:val="002B23C3"/>
    <w:rsid w:val="002B443A"/>
    <w:rsid w:val="002B5B35"/>
    <w:rsid w:val="002C1962"/>
    <w:rsid w:val="002C256A"/>
    <w:rsid w:val="002C496D"/>
    <w:rsid w:val="002C57DC"/>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43F3"/>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2FA"/>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0EE0"/>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318"/>
    <w:rsid w:val="00510D6A"/>
    <w:rsid w:val="00513C7D"/>
    <w:rsid w:val="005169D1"/>
    <w:rsid w:val="00521123"/>
    <w:rsid w:val="00521221"/>
    <w:rsid w:val="00524786"/>
    <w:rsid w:val="00536FA9"/>
    <w:rsid w:val="005414F4"/>
    <w:rsid w:val="00546187"/>
    <w:rsid w:val="005463F1"/>
    <w:rsid w:val="00556B2B"/>
    <w:rsid w:val="00557D77"/>
    <w:rsid w:val="00562EAA"/>
    <w:rsid w:val="00563B58"/>
    <w:rsid w:val="005640C4"/>
    <w:rsid w:val="00564C53"/>
    <w:rsid w:val="0056684C"/>
    <w:rsid w:val="00567335"/>
    <w:rsid w:val="00574A0C"/>
    <w:rsid w:val="00576E4C"/>
    <w:rsid w:val="0057780F"/>
    <w:rsid w:val="00581E0A"/>
    <w:rsid w:val="00582870"/>
    <w:rsid w:val="00586D89"/>
    <w:rsid w:val="005916B8"/>
    <w:rsid w:val="00593D00"/>
    <w:rsid w:val="00596550"/>
    <w:rsid w:val="005A1B4C"/>
    <w:rsid w:val="005A1BA3"/>
    <w:rsid w:val="005A3445"/>
    <w:rsid w:val="005A545C"/>
    <w:rsid w:val="005B391B"/>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5AC"/>
    <w:rsid w:val="00657323"/>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4EB"/>
    <w:rsid w:val="006E795F"/>
    <w:rsid w:val="006E7ED4"/>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76CD"/>
    <w:rsid w:val="00784EC4"/>
    <w:rsid w:val="007872F2"/>
    <w:rsid w:val="007874BC"/>
    <w:rsid w:val="007908E0"/>
    <w:rsid w:val="00793EB3"/>
    <w:rsid w:val="00794205"/>
    <w:rsid w:val="00797012"/>
    <w:rsid w:val="007A1F6A"/>
    <w:rsid w:val="007B014D"/>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4D9"/>
    <w:rsid w:val="00880539"/>
    <w:rsid w:val="008859E8"/>
    <w:rsid w:val="0088737B"/>
    <w:rsid w:val="00892716"/>
    <w:rsid w:val="00893067"/>
    <w:rsid w:val="008933DE"/>
    <w:rsid w:val="00895FCE"/>
    <w:rsid w:val="00897F3E"/>
    <w:rsid w:val="008A1BA8"/>
    <w:rsid w:val="008A21B4"/>
    <w:rsid w:val="008A4576"/>
    <w:rsid w:val="008B07DE"/>
    <w:rsid w:val="008B1EDB"/>
    <w:rsid w:val="008B28E7"/>
    <w:rsid w:val="008C14C7"/>
    <w:rsid w:val="008C2FFB"/>
    <w:rsid w:val="008C6EEA"/>
    <w:rsid w:val="008D43D6"/>
    <w:rsid w:val="008D5813"/>
    <w:rsid w:val="008D634E"/>
    <w:rsid w:val="008D6CBD"/>
    <w:rsid w:val="008D778A"/>
    <w:rsid w:val="008F22BD"/>
    <w:rsid w:val="009079BD"/>
    <w:rsid w:val="00912BD9"/>
    <w:rsid w:val="00916CFB"/>
    <w:rsid w:val="00920E5B"/>
    <w:rsid w:val="009249F8"/>
    <w:rsid w:val="00926436"/>
    <w:rsid w:val="0093018C"/>
    <w:rsid w:val="00932CCA"/>
    <w:rsid w:val="00951D26"/>
    <w:rsid w:val="009544C0"/>
    <w:rsid w:val="00954FA4"/>
    <w:rsid w:val="00956AE9"/>
    <w:rsid w:val="00964CC6"/>
    <w:rsid w:val="00986E62"/>
    <w:rsid w:val="00991FDA"/>
    <w:rsid w:val="009927A1"/>
    <w:rsid w:val="009945C7"/>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3763"/>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87F"/>
    <w:rsid w:val="00B84A89"/>
    <w:rsid w:val="00B92BEF"/>
    <w:rsid w:val="00B9689A"/>
    <w:rsid w:val="00BA074B"/>
    <w:rsid w:val="00BA1FFA"/>
    <w:rsid w:val="00BA2666"/>
    <w:rsid w:val="00BA7FF1"/>
    <w:rsid w:val="00BB06CB"/>
    <w:rsid w:val="00BB160A"/>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16A51"/>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2B4"/>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683D"/>
    <w:rsid w:val="00CA2745"/>
    <w:rsid w:val="00CA3593"/>
    <w:rsid w:val="00CA7F4F"/>
    <w:rsid w:val="00CB258E"/>
    <w:rsid w:val="00CB3C8F"/>
    <w:rsid w:val="00CB75CE"/>
    <w:rsid w:val="00CB76F5"/>
    <w:rsid w:val="00CC02F1"/>
    <w:rsid w:val="00CC11A6"/>
    <w:rsid w:val="00CC135E"/>
    <w:rsid w:val="00CD5D3F"/>
    <w:rsid w:val="00CF1E90"/>
    <w:rsid w:val="00CF3DB3"/>
    <w:rsid w:val="00CF7CE2"/>
    <w:rsid w:val="00D01225"/>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30F"/>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54E2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23B8"/>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legclearfix">
    <w:name w:val="legclearfix"/>
    <w:basedOn w:val="Normal"/>
    <w:rsid w:val="001A40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1A4025"/>
  </w:style>
  <w:style w:type="character" w:customStyle="1" w:styleId="legchangedelimiter">
    <w:name w:val="legchangedelimiter"/>
    <w:basedOn w:val="DefaultParagraphFont"/>
    <w:rsid w:val="001A4025"/>
  </w:style>
  <w:style w:type="character" w:customStyle="1" w:styleId="legaddition">
    <w:name w:val="legaddition"/>
    <w:basedOn w:val="DefaultParagraphFont"/>
    <w:rsid w:val="001A4025"/>
  </w:style>
  <w:style w:type="paragraph" w:styleId="NormalWeb">
    <w:name w:val="Normal (Web)"/>
    <w:basedOn w:val="Normal"/>
    <w:uiPriority w:val="99"/>
    <w:unhideWhenUsed/>
    <w:rsid w:val="001A40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578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doi.org/10.1016/j.childyouth.2008.07.017" TargetMode="External"/><Relationship Id="rId21" Type="http://schemas.openxmlformats.org/officeDocument/2006/relationships/footer" Target="footer3.xml"/><Relationship Id="rId34" Type="http://schemas.openxmlformats.org/officeDocument/2006/relationships/hyperlink" Target="https://doi.org/10.1108/jacpr-03-2018-035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doi.org/10.1108/sc-04-2021-0012" TargetMode="External"/><Relationship Id="rId33" Type="http://schemas.openxmlformats.org/officeDocument/2006/relationships/hyperlink" Target="https://doi.org/10.1002/jcop.20394"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doi.org/10.1093/police/pau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nkind.org.uk/wp-content/uploads/2020/03/50-Key-Facts-about-Male-Victims-of-Domestic-Abuse-and-Partner-Abuse-March-2020-final.pdf" TargetMode="External"/><Relationship Id="rId32" Type="http://schemas.openxmlformats.org/officeDocument/2006/relationships/hyperlink" Target="https://doi.org/10.1093/police/pau016"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doi.org/10.1177/1057567715574382" TargetMode="External"/><Relationship Id="rId28" Type="http://schemas.openxmlformats.org/officeDocument/2006/relationships/hyperlink" Target="https://assets.publishing.service.gov.uk/government/uploads/system/uploads/attachment_data/file/229002/7749.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doi.org/10.2139/ssrn.214400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oi.org/10.3818/jrp.3.1.2001.1" TargetMode="External"/><Relationship Id="rId27" Type="http://schemas.openxmlformats.org/officeDocument/2006/relationships/hyperlink" Target="https://assets.publishing.service.gov.uk/government/uploads/system/uploads/attachment_data/file/748175/Hate_crime_refresh_2018_FINAL_WEB.PDF" TargetMode="External"/><Relationship Id="rId30" Type="http://schemas.openxmlformats.org/officeDocument/2006/relationships/hyperlink" Target="https://library.college.police.uk/docs/NPCC/6_Practice_Advice_Risk_Assessment.pdf"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28</Pages>
  <Words>6862</Words>
  <Characters>40134</Characters>
  <Application>Microsoft Office Word</Application>
  <DocSecurity>0</DocSecurity>
  <Lines>334</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Edwards,Georgia swp6985</cp:lastModifiedBy>
  <cp:revision>100</cp:revision>
  <cp:lastPrinted>2014-08-26T08:55:00Z</cp:lastPrinted>
  <dcterms:created xsi:type="dcterms:W3CDTF">2019-02-14T13:20:00Z</dcterms:created>
  <dcterms:modified xsi:type="dcterms:W3CDTF">2023-02-03T04:38:00Z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2022-12-28T19:13:08Z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9f03293f-8118-45b7-9d00-977ad77d8b53</vt:lpwstr>
  </property>
  <property fmtid="{D5CDD505-2E9C-101B-9397-08002B2CF9AE}" pid="9" name="MSIP_Label_66cf8fe5-b7b7-4df7-b38d-1c61ac2f6639_ContentBits">
    <vt:lpwstr>0</vt:lpwstr>
  </property>
</Properties>
</file>