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12D8198" w:rsidR="7908378C" w:rsidRDefault="7908378C" w:rsidP="33572C6E">
            <w:pPr>
              <w:ind w:right="237"/>
              <w:rPr>
                <w:b/>
                <w:bCs/>
                <w:color w:val="auto"/>
                <w:sz w:val="32"/>
                <w:szCs w:val="32"/>
              </w:rPr>
            </w:pPr>
            <w:r w:rsidRPr="33572C6E">
              <w:rPr>
                <w:b/>
                <w:bCs/>
                <w:color w:val="auto"/>
                <w:sz w:val="32"/>
                <w:szCs w:val="32"/>
              </w:rPr>
              <w:t>Learner name: ___</w:t>
            </w:r>
            <w:r w:rsidR="0001550C">
              <w:rPr>
                <w:b/>
                <w:bCs/>
                <w:color w:val="auto"/>
                <w:sz w:val="32"/>
                <w:szCs w:val="32"/>
              </w:rPr>
              <w:t>KELLY            SMITH</w:t>
            </w:r>
            <w:r w:rsidRPr="33572C6E">
              <w:rPr>
                <w:b/>
                <w:bCs/>
                <w:color w:val="auto"/>
                <w:sz w:val="32"/>
                <w:szCs w:val="32"/>
              </w:rPr>
              <w:t>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10CDB5F" w:rsidR="7908378C" w:rsidRDefault="7908378C" w:rsidP="33572C6E">
            <w:pPr>
              <w:ind w:right="237"/>
              <w:rPr>
                <w:b/>
                <w:bCs/>
                <w:color w:val="auto"/>
                <w:sz w:val="32"/>
                <w:szCs w:val="32"/>
              </w:rPr>
            </w:pPr>
            <w:r w:rsidRPr="33572C6E">
              <w:rPr>
                <w:b/>
                <w:bCs/>
                <w:color w:val="auto"/>
                <w:sz w:val="32"/>
                <w:szCs w:val="32"/>
              </w:rPr>
              <w:t>________________________</w:t>
            </w:r>
            <w:r w:rsidR="0001550C">
              <w:rPr>
                <w:b/>
                <w:bCs/>
                <w:color w:val="auto"/>
                <w:sz w:val="32"/>
                <w:szCs w:val="32"/>
              </w:rPr>
              <w:t>2245866</w:t>
            </w:r>
            <w:r w:rsidRPr="33572C6E">
              <w:rPr>
                <w:b/>
                <w:bCs/>
                <w:color w:val="auto"/>
                <w:sz w:val="32"/>
                <w:szCs w:val="32"/>
              </w:rPr>
              <w:t>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678B8BF6" w14:textId="128CAB71" w:rsidR="004F628B" w:rsidRDefault="004F628B" w:rsidP="5B843AF0">
      <w:pPr>
        <w:ind w:right="237"/>
        <w:jc w:val="both"/>
        <w:rPr>
          <w:rFonts w:eastAsia="Arial"/>
          <w:color w:val="000000" w:themeColor="text1"/>
          <w:sz w:val="24"/>
          <w:szCs w:val="24"/>
        </w:rPr>
      </w:pPr>
      <w:r>
        <w:rPr>
          <w:rFonts w:eastAsia="Arial"/>
          <w:color w:val="000000" w:themeColor="text1"/>
          <w:sz w:val="24"/>
          <w:szCs w:val="24"/>
        </w:rPr>
        <w:t>I responded to a report from a member of the public regarding their concerns for their grandmother. They reported that their grandmother had been subjected to abuse from their husband for several years, and that they believed it was worsening. The abuse was mental, emotional and occasionally physical, which had caused their granddaughter to be concerned over the safety of their grandmother. These concerns were worsened by the health issues their grandmother had, such as heart and back problems, which could potentially be exacerbated by the abuse the grandmother was reportedly being subjected to.</w:t>
      </w:r>
      <w:r w:rsidR="008768A0">
        <w:rPr>
          <w:rFonts w:eastAsia="Arial"/>
          <w:color w:val="000000" w:themeColor="text1"/>
          <w:sz w:val="24"/>
          <w:szCs w:val="24"/>
        </w:rPr>
        <w:t xml:space="preserve"> The grandmother and her husband were also both in their 80s, and the husband also had health issues.</w:t>
      </w:r>
    </w:p>
    <w:p w14:paraId="29EA4B66" w14:textId="3180BE4B" w:rsidR="008D78BB" w:rsidRDefault="008D78BB" w:rsidP="5B843AF0">
      <w:pPr>
        <w:ind w:right="237"/>
        <w:jc w:val="both"/>
        <w:rPr>
          <w:rFonts w:eastAsia="Arial"/>
          <w:color w:val="000000" w:themeColor="text1"/>
          <w:sz w:val="24"/>
          <w:szCs w:val="24"/>
        </w:rPr>
      </w:pPr>
      <w:r>
        <w:rPr>
          <w:rFonts w:eastAsia="Arial"/>
          <w:color w:val="000000" w:themeColor="text1"/>
          <w:sz w:val="24"/>
          <w:szCs w:val="24"/>
        </w:rPr>
        <w:t>Prior to my attendance to this incident, I carefully considered the N</w:t>
      </w:r>
      <w:r w:rsidR="00570610">
        <w:rPr>
          <w:rFonts w:eastAsia="Arial"/>
          <w:color w:val="000000" w:themeColor="text1"/>
          <w:sz w:val="24"/>
          <w:szCs w:val="24"/>
        </w:rPr>
        <w:t xml:space="preserve">ational </w:t>
      </w:r>
      <w:r>
        <w:rPr>
          <w:rFonts w:eastAsia="Arial"/>
          <w:color w:val="000000" w:themeColor="text1"/>
          <w:sz w:val="24"/>
          <w:szCs w:val="24"/>
        </w:rPr>
        <w:t>D</w:t>
      </w:r>
      <w:r w:rsidR="00281E14">
        <w:rPr>
          <w:rFonts w:eastAsia="Arial"/>
          <w:color w:val="000000" w:themeColor="text1"/>
          <w:sz w:val="24"/>
          <w:szCs w:val="24"/>
        </w:rPr>
        <w:t xml:space="preserve">ecision </w:t>
      </w:r>
      <w:r>
        <w:rPr>
          <w:rFonts w:eastAsia="Arial"/>
          <w:color w:val="000000" w:themeColor="text1"/>
          <w:sz w:val="24"/>
          <w:szCs w:val="24"/>
        </w:rPr>
        <w:t>M</w:t>
      </w:r>
      <w:r w:rsidR="00281E14">
        <w:rPr>
          <w:rFonts w:eastAsia="Arial"/>
          <w:color w:val="000000" w:themeColor="text1"/>
          <w:sz w:val="24"/>
          <w:szCs w:val="24"/>
        </w:rPr>
        <w:t xml:space="preserve">odel, </w:t>
      </w:r>
      <w:r>
        <w:rPr>
          <w:rFonts w:eastAsia="Arial"/>
          <w:color w:val="000000" w:themeColor="text1"/>
          <w:sz w:val="24"/>
          <w:szCs w:val="24"/>
        </w:rPr>
        <w:t>(</w:t>
      </w:r>
      <w:r w:rsidR="00281E14">
        <w:rPr>
          <w:rFonts w:eastAsia="Arial"/>
          <w:color w:val="000000" w:themeColor="text1"/>
          <w:sz w:val="24"/>
          <w:szCs w:val="24"/>
        </w:rPr>
        <w:t xml:space="preserve">NDM, </w:t>
      </w:r>
      <w:r w:rsidR="00570610">
        <w:rPr>
          <w:rFonts w:eastAsia="Arial"/>
          <w:color w:val="000000" w:themeColor="text1"/>
          <w:sz w:val="24"/>
          <w:szCs w:val="24"/>
        </w:rPr>
        <w:t>College of Policing, 2013</w:t>
      </w:r>
      <w:r>
        <w:rPr>
          <w:rFonts w:eastAsia="Arial"/>
          <w:color w:val="000000" w:themeColor="text1"/>
          <w:sz w:val="24"/>
          <w:szCs w:val="24"/>
        </w:rPr>
        <w:t xml:space="preserve">), </w:t>
      </w:r>
      <w:r w:rsidR="00570610">
        <w:rPr>
          <w:rFonts w:eastAsia="Arial"/>
          <w:color w:val="000000" w:themeColor="text1"/>
          <w:sz w:val="24"/>
          <w:szCs w:val="24"/>
        </w:rPr>
        <w:t>a tool used by police to identify which actions will potentially be the most effective and appropriate to take, after taking into account the information available, options, and risks involved.</w:t>
      </w:r>
      <w:r w:rsidR="00281E14">
        <w:rPr>
          <w:rFonts w:eastAsia="Arial"/>
          <w:color w:val="000000" w:themeColor="text1"/>
          <w:sz w:val="24"/>
          <w:szCs w:val="24"/>
        </w:rPr>
        <w:t xml:space="preserve"> On this occasion, I used the NDM to identify</w:t>
      </w:r>
      <w:r>
        <w:rPr>
          <w:rFonts w:eastAsia="Arial"/>
          <w:color w:val="000000" w:themeColor="text1"/>
          <w:sz w:val="24"/>
          <w:szCs w:val="24"/>
        </w:rPr>
        <w:t xml:space="preserve"> initial steps which were likely to be needed on arrival</w:t>
      </w:r>
      <w:r w:rsidR="00281E14">
        <w:rPr>
          <w:rFonts w:eastAsia="Arial"/>
          <w:color w:val="000000" w:themeColor="text1"/>
          <w:sz w:val="24"/>
          <w:szCs w:val="24"/>
        </w:rPr>
        <w:t>, realising that I would need to use the NDM dynamically, and dynamically risk assess the situation</w:t>
      </w:r>
      <w:r>
        <w:rPr>
          <w:rFonts w:eastAsia="Arial"/>
          <w:color w:val="000000" w:themeColor="text1"/>
          <w:sz w:val="24"/>
          <w:szCs w:val="24"/>
        </w:rPr>
        <w:t xml:space="preserve">. I </w:t>
      </w:r>
      <w:r w:rsidR="00281E14">
        <w:rPr>
          <w:rFonts w:eastAsia="Arial"/>
          <w:color w:val="000000" w:themeColor="text1"/>
          <w:sz w:val="24"/>
          <w:szCs w:val="24"/>
        </w:rPr>
        <w:t xml:space="preserve">also </w:t>
      </w:r>
      <w:r>
        <w:rPr>
          <w:rFonts w:eastAsia="Arial"/>
          <w:color w:val="000000" w:themeColor="text1"/>
          <w:sz w:val="24"/>
          <w:szCs w:val="24"/>
        </w:rPr>
        <w:t>considered the Gwent police policy of positive action at domestic incidents, and the policy of Right Person, Right Care. The Right Person, Right Care policy identifies the role of the police at incidents, and how far their duty and level of care extends, as well as identifying partner agencies who could potentially offer the most effective care to the individuals involved</w:t>
      </w:r>
      <w:r w:rsidR="00570610">
        <w:rPr>
          <w:rFonts w:eastAsia="Arial"/>
          <w:color w:val="000000" w:themeColor="text1"/>
          <w:sz w:val="24"/>
          <w:szCs w:val="24"/>
        </w:rPr>
        <w:t xml:space="preserve"> (College of Policing, 2023).</w:t>
      </w:r>
      <w:r>
        <w:rPr>
          <w:rFonts w:eastAsia="Arial"/>
          <w:color w:val="000000" w:themeColor="text1"/>
          <w:sz w:val="24"/>
          <w:szCs w:val="24"/>
        </w:rPr>
        <w:t xml:space="preserve"> As abuse </w:t>
      </w:r>
      <w:r w:rsidR="00570610">
        <w:rPr>
          <w:rFonts w:eastAsia="Arial"/>
          <w:color w:val="000000" w:themeColor="text1"/>
          <w:sz w:val="24"/>
          <w:szCs w:val="24"/>
        </w:rPr>
        <w:t>had been</w:t>
      </w:r>
      <w:r>
        <w:rPr>
          <w:rFonts w:eastAsia="Arial"/>
          <w:color w:val="000000" w:themeColor="text1"/>
          <w:sz w:val="24"/>
          <w:szCs w:val="24"/>
        </w:rPr>
        <w:t xml:space="preserve"> reported, which included violent abuse, I agreed that a police response was the most effective initial response, but that Social Services would also likely have a role to play in the longer-term. </w:t>
      </w:r>
    </w:p>
    <w:p w14:paraId="431EFBC9" w14:textId="0F660AF9" w:rsidR="004F628B" w:rsidRDefault="004F628B"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When I attended the address of the grandmother, I was accompanied by a colleague who had been a police officer for several years, and I was grateful for their experience. I was aware of the potential risks, when attending the address; it would be important to separate both parties, for their safety, but also to obtain the level of disclosure we needed to assess the situation, which would likely not be possible if the grandmother and husband were together, and one party felt intimidated by the other. I was also aware </w:t>
      </w:r>
      <w:r w:rsidR="008C6B4A">
        <w:rPr>
          <w:rFonts w:eastAsia="Arial"/>
          <w:color w:val="000000" w:themeColor="text1"/>
          <w:sz w:val="24"/>
          <w:szCs w:val="24"/>
        </w:rPr>
        <w:t xml:space="preserve">that attending the address would make the husband aware of the report to the </w:t>
      </w:r>
      <w:r w:rsidR="00FE5DD5">
        <w:rPr>
          <w:rFonts w:eastAsia="Arial"/>
          <w:color w:val="000000" w:themeColor="text1"/>
          <w:sz w:val="24"/>
          <w:szCs w:val="24"/>
        </w:rPr>
        <w:t>police and</w:t>
      </w:r>
      <w:r w:rsidR="008C6B4A">
        <w:rPr>
          <w:rFonts w:eastAsia="Arial"/>
          <w:color w:val="000000" w:themeColor="text1"/>
          <w:sz w:val="24"/>
          <w:szCs w:val="24"/>
        </w:rPr>
        <w:t xml:space="preserve"> could raise the risk of harm to the grandmother after police had left.</w:t>
      </w:r>
    </w:p>
    <w:p w14:paraId="0C505DBA" w14:textId="65F04CB4" w:rsidR="008C6B4A" w:rsidRDefault="008C6B4A" w:rsidP="5B843AF0">
      <w:pPr>
        <w:ind w:right="237"/>
        <w:jc w:val="both"/>
        <w:rPr>
          <w:rFonts w:eastAsia="Arial"/>
          <w:color w:val="000000" w:themeColor="text1"/>
          <w:sz w:val="24"/>
          <w:szCs w:val="24"/>
        </w:rPr>
      </w:pPr>
      <w:r>
        <w:rPr>
          <w:rFonts w:eastAsia="Arial"/>
          <w:color w:val="000000" w:themeColor="text1"/>
          <w:sz w:val="24"/>
          <w:szCs w:val="24"/>
        </w:rPr>
        <w:t xml:space="preserve">As my colleague and I approached the address, I could clearly see the grandmother outside gardening in the front garden. After greeting her and getting a brief initial disclosure, I remained with her while my colleague entered the address and spoke to the husband. </w:t>
      </w:r>
    </w:p>
    <w:p w14:paraId="0B3ED2BA" w14:textId="1FFEE5C0" w:rsidR="008C6B4A" w:rsidRDefault="008C6B4A" w:rsidP="5B843AF0">
      <w:pPr>
        <w:ind w:right="237"/>
        <w:jc w:val="both"/>
        <w:rPr>
          <w:rFonts w:eastAsia="Arial"/>
          <w:color w:val="000000" w:themeColor="text1"/>
          <w:sz w:val="24"/>
          <w:szCs w:val="24"/>
        </w:rPr>
      </w:pPr>
      <w:r>
        <w:rPr>
          <w:rFonts w:eastAsia="Arial"/>
          <w:color w:val="000000" w:themeColor="text1"/>
          <w:sz w:val="24"/>
          <w:szCs w:val="24"/>
        </w:rPr>
        <w:t xml:space="preserve">The grandmother confirmed the initial report, and that her husband had physically assaulted her on a number of occasions. However, she also disclosed that her husband had been diagnosed with dementia the previous year, and that she believed his behaviour had been affected by this dementia, as it had noticeably worsened since the diagnosis. </w:t>
      </w:r>
    </w:p>
    <w:p w14:paraId="4DE43B7D" w14:textId="30D25AF8" w:rsidR="008C6B4A" w:rsidRDefault="008C6B4A" w:rsidP="5B843AF0">
      <w:pPr>
        <w:ind w:right="237"/>
        <w:jc w:val="both"/>
        <w:rPr>
          <w:rFonts w:eastAsia="Arial"/>
          <w:color w:val="000000" w:themeColor="text1"/>
          <w:sz w:val="24"/>
          <w:szCs w:val="24"/>
        </w:rPr>
      </w:pPr>
      <w:r>
        <w:rPr>
          <w:rFonts w:eastAsia="Arial"/>
          <w:color w:val="000000" w:themeColor="text1"/>
          <w:sz w:val="24"/>
          <w:szCs w:val="24"/>
        </w:rPr>
        <w:t>I used the NDM to assess the situation and decide on the best course of action for the situation. My colleague and I discussed our options</w:t>
      </w:r>
      <w:r w:rsidR="006E692F">
        <w:rPr>
          <w:rFonts w:eastAsia="Arial"/>
          <w:color w:val="000000" w:themeColor="text1"/>
          <w:sz w:val="24"/>
          <w:szCs w:val="24"/>
        </w:rPr>
        <w:t xml:space="preserve">; </w:t>
      </w:r>
      <w:r>
        <w:rPr>
          <w:rFonts w:eastAsia="Arial"/>
          <w:color w:val="000000" w:themeColor="text1"/>
          <w:sz w:val="24"/>
          <w:szCs w:val="24"/>
        </w:rPr>
        <w:t>ordinarily, after a disclos</w:t>
      </w:r>
      <w:r w:rsidR="00FE5DD5">
        <w:rPr>
          <w:rFonts w:eastAsia="Arial"/>
          <w:color w:val="000000" w:themeColor="text1"/>
          <w:sz w:val="24"/>
          <w:szCs w:val="24"/>
        </w:rPr>
        <w:t>u</w:t>
      </w:r>
      <w:r>
        <w:rPr>
          <w:rFonts w:eastAsia="Arial"/>
          <w:color w:val="000000" w:themeColor="text1"/>
          <w:sz w:val="24"/>
          <w:szCs w:val="24"/>
        </w:rPr>
        <w:t xml:space="preserve">re of domestic abuse and assault, </w:t>
      </w:r>
      <w:r w:rsidR="006E692F">
        <w:rPr>
          <w:rFonts w:eastAsia="Arial"/>
          <w:color w:val="000000" w:themeColor="text1"/>
          <w:sz w:val="24"/>
          <w:szCs w:val="24"/>
        </w:rPr>
        <w:t xml:space="preserve">Positive Action would be taken and </w:t>
      </w:r>
      <w:r>
        <w:rPr>
          <w:rFonts w:eastAsia="Arial"/>
          <w:color w:val="000000" w:themeColor="text1"/>
          <w:sz w:val="24"/>
          <w:szCs w:val="24"/>
        </w:rPr>
        <w:t xml:space="preserve">a suspect would be arrested and taken into police custody; however, due to the </w:t>
      </w:r>
      <w:r w:rsidR="006E692F">
        <w:rPr>
          <w:rFonts w:eastAsia="Arial"/>
          <w:color w:val="000000" w:themeColor="text1"/>
          <w:sz w:val="24"/>
          <w:szCs w:val="24"/>
        </w:rPr>
        <w:t>dementia diagnosis, we</w:t>
      </w:r>
      <w:r>
        <w:rPr>
          <w:rFonts w:eastAsia="Arial"/>
          <w:color w:val="000000" w:themeColor="text1"/>
          <w:sz w:val="24"/>
          <w:szCs w:val="24"/>
        </w:rPr>
        <w:t xml:space="preserve"> both agreed that</w:t>
      </w:r>
      <w:r w:rsidR="006E692F">
        <w:rPr>
          <w:rFonts w:eastAsia="Arial"/>
          <w:color w:val="000000" w:themeColor="text1"/>
          <w:sz w:val="24"/>
          <w:szCs w:val="24"/>
        </w:rPr>
        <w:t xml:space="preserve"> custody would not be the right place for the husband at that time. We </w:t>
      </w:r>
      <w:r w:rsidR="000729ED">
        <w:rPr>
          <w:rFonts w:eastAsia="Arial"/>
          <w:color w:val="000000" w:themeColor="text1"/>
          <w:sz w:val="24"/>
          <w:szCs w:val="24"/>
        </w:rPr>
        <w:t>c</w:t>
      </w:r>
      <w:r w:rsidR="006E692F">
        <w:rPr>
          <w:rFonts w:eastAsia="Arial"/>
          <w:color w:val="000000" w:themeColor="text1"/>
          <w:sz w:val="24"/>
          <w:szCs w:val="24"/>
        </w:rPr>
        <w:t xml:space="preserve">ould not be certain how severe the dementia was, or the level of care he would need. The husband may become distressed at being in custody, due to his dementia. It was also a very temporary solution to a problem which obviously needed considerable intervention. </w:t>
      </w:r>
      <w:r w:rsidR="000729ED">
        <w:rPr>
          <w:rFonts w:eastAsia="Arial"/>
          <w:color w:val="000000" w:themeColor="text1"/>
          <w:sz w:val="24"/>
          <w:szCs w:val="24"/>
        </w:rPr>
        <w:t>I was grateful for the fact that the victim was supportive of police action, as often I find in domestic situations that this is not the case, and officers must pursue an evidence-led prosecution, which in my experience means that, without victim support and evidence, are more likely not to succeed, as there is a lack of evidence. I find these incidents frustrating, as I find myself watching an escalating pattern of behaviour, despite attempting to safeguard the involved parties.</w:t>
      </w:r>
    </w:p>
    <w:p w14:paraId="2F4B51F1" w14:textId="3F6431C7" w:rsidR="00FE5DD5" w:rsidRDefault="00FE5DD5" w:rsidP="5B843AF0">
      <w:pPr>
        <w:ind w:right="237"/>
        <w:jc w:val="both"/>
        <w:rPr>
          <w:rFonts w:eastAsia="Arial"/>
          <w:color w:val="000000" w:themeColor="text1"/>
          <w:sz w:val="24"/>
          <w:szCs w:val="24"/>
        </w:rPr>
      </w:pPr>
      <w:r>
        <w:rPr>
          <w:rFonts w:eastAsia="Arial"/>
          <w:color w:val="000000" w:themeColor="text1"/>
          <w:sz w:val="24"/>
          <w:szCs w:val="24"/>
        </w:rPr>
        <w:t>The grandmother stated that she did not wish to make a complaint, due to her husband’s dementia. She signed a negative pocket notebook entry to evidence this. I then asked if she would like to complete a Domestic Abuse Risk Assessment, and explained what it was to her, explaining that it would enable us to more accurately assess her situation and needs. She agreed, and I completed this with her in private. I then provided her with relevant safety advice, encouraging her to call the police, in the event of further incident</w:t>
      </w:r>
      <w:r w:rsidR="00B35205">
        <w:rPr>
          <w:rFonts w:eastAsia="Arial"/>
          <w:color w:val="000000" w:themeColor="text1"/>
          <w:sz w:val="24"/>
          <w:szCs w:val="24"/>
        </w:rPr>
        <w:t>s</w:t>
      </w:r>
      <w:r>
        <w:rPr>
          <w:rFonts w:eastAsia="Arial"/>
          <w:color w:val="000000" w:themeColor="text1"/>
          <w:sz w:val="24"/>
          <w:szCs w:val="24"/>
        </w:rPr>
        <w:t>; if she felt unable to call the police herself, she should contact her family, who would do this for her. I encouraged her to keep in contact with her family, to ensure that they were aware of the situation.</w:t>
      </w:r>
    </w:p>
    <w:p w14:paraId="71AE3081" w14:textId="3A3E7C9F" w:rsidR="006E692F" w:rsidRDefault="006E692F" w:rsidP="5B843AF0">
      <w:pPr>
        <w:ind w:right="237"/>
        <w:jc w:val="both"/>
        <w:rPr>
          <w:rFonts w:eastAsia="Arial"/>
          <w:color w:val="000000" w:themeColor="text1"/>
          <w:sz w:val="24"/>
          <w:szCs w:val="24"/>
        </w:rPr>
      </w:pPr>
      <w:r>
        <w:rPr>
          <w:rFonts w:eastAsia="Arial"/>
          <w:color w:val="000000" w:themeColor="text1"/>
          <w:sz w:val="24"/>
          <w:szCs w:val="24"/>
        </w:rPr>
        <w:t xml:space="preserve">After discussing the options with my sergeant, it was agreed that, before considering taking the suspect to custody, we would attempt to remove him from the address and take him to a family member’s home. On discussing this with the grandmother, she stated that the options for her husband were limited, due to the family being aware of his behaviour, so she would rather go to her daughter’s address for the night and leave him in their home. </w:t>
      </w:r>
    </w:p>
    <w:p w14:paraId="254A99F1" w14:textId="7F146891" w:rsidR="008768A0" w:rsidRDefault="006E692F"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The grandmother’s daughter and granddaughter came to pick her up, and the situation was discussed with them. It was agreed that a multi-agency response was needed; the husband’s mental health team would need to be contacted to request a new mental health assessment, after their concerns were shared with </w:t>
      </w:r>
      <w:r w:rsidR="008768A0">
        <w:rPr>
          <w:rFonts w:eastAsia="Arial"/>
          <w:color w:val="000000" w:themeColor="text1"/>
          <w:sz w:val="24"/>
          <w:szCs w:val="24"/>
        </w:rPr>
        <w:t>t</w:t>
      </w:r>
      <w:r>
        <w:rPr>
          <w:rFonts w:eastAsia="Arial"/>
          <w:color w:val="000000" w:themeColor="text1"/>
          <w:sz w:val="24"/>
          <w:szCs w:val="24"/>
        </w:rPr>
        <w:t xml:space="preserve">he team. </w:t>
      </w:r>
      <w:r w:rsidR="008768A0">
        <w:rPr>
          <w:rFonts w:eastAsia="Arial"/>
          <w:color w:val="000000" w:themeColor="text1"/>
          <w:sz w:val="24"/>
          <w:szCs w:val="24"/>
        </w:rPr>
        <w:t xml:space="preserve">I felt that his mental health and capacity needed to be assessed before an interview would be appropriate; it would be necessary to use the information gained from an assessment to determine what action would be appropriate. </w:t>
      </w:r>
      <w:r w:rsidR="00060FAD">
        <w:rPr>
          <w:rFonts w:eastAsia="Arial"/>
          <w:color w:val="000000" w:themeColor="text1"/>
          <w:sz w:val="24"/>
          <w:szCs w:val="24"/>
        </w:rPr>
        <w:t xml:space="preserve">I considered the Mental Capacity Act (2005), and although I considered that the husband needed a mental health assessment, my colleague and I agreed that he seemed to have reasonable capacity to take care of himself, at least in the short-term, and we would not need to utilise our policing powers under this act on this occasion. </w:t>
      </w:r>
    </w:p>
    <w:p w14:paraId="199079C5" w14:textId="6378FC3B" w:rsidR="007F62DC" w:rsidRDefault="007F62DC" w:rsidP="5B843AF0">
      <w:pPr>
        <w:ind w:right="237"/>
        <w:jc w:val="both"/>
        <w:rPr>
          <w:rFonts w:eastAsia="Arial"/>
          <w:color w:val="000000" w:themeColor="text1"/>
          <w:sz w:val="24"/>
          <w:szCs w:val="24"/>
        </w:rPr>
      </w:pPr>
      <w:r>
        <w:rPr>
          <w:rFonts w:eastAsia="Arial"/>
          <w:color w:val="000000" w:themeColor="text1"/>
          <w:sz w:val="24"/>
          <w:szCs w:val="24"/>
        </w:rPr>
        <w:t xml:space="preserve">I identified the need to contact </w:t>
      </w:r>
      <w:r w:rsidR="006E692F">
        <w:rPr>
          <w:rFonts w:eastAsia="Arial"/>
          <w:color w:val="000000" w:themeColor="text1"/>
          <w:sz w:val="24"/>
          <w:szCs w:val="24"/>
        </w:rPr>
        <w:t>Social Services</w:t>
      </w:r>
      <w:r>
        <w:rPr>
          <w:rFonts w:eastAsia="Arial"/>
          <w:color w:val="000000" w:themeColor="text1"/>
          <w:sz w:val="24"/>
          <w:szCs w:val="24"/>
        </w:rPr>
        <w:t>, to inform them of the incident and make them aware of the risks to the individuals involved</w:t>
      </w:r>
      <w:r w:rsidR="006E692F">
        <w:rPr>
          <w:rFonts w:eastAsia="Arial"/>
          <w:color w:val="000000" w:themeColor="text1"/>
          <w:sz w:val="24"/>
          <w:szCs w:val="24"/>
        </w:rPr>
        <w:t xml:space="preserve">. I </w:t>
      </w:r>
      <w:r>
        <w:rPr>
          <w:rFonts w:eastAsia="Arial"/>
          <w:color w:val="000000" w:themeColor="text1"/>
          <w:sz w:val="24"/>
          <w:szCs w:val="24"/>
        </w:rPr>
        <w:t xml:space="preserve">decided that I </w:t>
      </w:r>
      <w:r w:rsidR="006E692F">
        <w:rPr>
          <w:rFonts w:eastAsia="Arial"/>
          <w:color w:val="000000" w:themeColor="text1"/>
          <w:sz w:val="24"/>
          <w:szCs w:val="24"/>
        </w:rPr>
        <w:t>would submit a Public Protection Notice</w:t>
      </w:r>
      <w:r w:rsidR="00FE5DD5">
        <w:rPr>
          <w:rFonts w:eastAsia="Arial"/>
          <w:color w:val="000000" w:themeColor="text1"/>
          <w:sz w:val="24"/>
          <w:szCs w:val="24"/>
        </w:rPr>
        <w:t xml:space="preserve"> (PPN)</w:t>
      </w:r>
      <w:r w:rsidR="006E692F">
        <w:rPr>
          <w:rFonts w:eastAsia="Arial"/>
          <w:color w:val="000000" w:themeColor="text1"/>
          <w:sz w:val="24"/>
          <w:szCs w:val="24"/>
        </w:rPr>
        <w:t xml:space="preserve"> to Social Services on my return to the police station. In this, I would describe the incident and the situation, while voicing my observations and concerns.</w:t>
      </w:r>
      <w:r>
        <w:rPr>
          <w:rFonts w:eastAsia="Arial"/>
          <w:color w:val="000000" w:themeColor="text1"/>
          <w:sz w:val="24"/>
          <w:szCs w:val="24"/>
        </w:rPr>
        <w:t xml:space="preserve"> Submitting a PPN to Social Services also enabled me to share the details of the DASH with Social Services, so that they could also assess the risks, as well as the attending officer’s feelings on the situation. I find that by doing this, I am able to better personalise my findings on the situation and make my own recommendations </w:t>
      </w:r>
      <w:r w:rsidR="00991036">
        <w:rPr>
          <w:rFonts w:eastAsia="Arial"/>
          <w:color w:val="000000" w:themeColor="text1"/>
          <w:sz w:val="24"/>
          <w:szCs w:val="24"/>
        </w:rPr>
        <w:t xml:space="preserve">on how the situation can be managed, from a policing perspective, but also utilising a multi-agency approach. I find that often, Social Services involvement can help to deal with underlying issues, which can cause individuals to become repeat offenders or victims. </w:t>
      </w:r>
      <w:r w:rsidR="00152CC1">
        <w:rPr>
          <w:rFonts w:eastAsia="Arial"/>
          <w:color w:val="000000" w:themeColor="text1"/>
          <w:sz w:val="24"/>
          <w:szCs w:val="24"/>
        </w:rPr>
        <w:t>Social Services play a vital role in safeguarding vulnerable individuals</w:t>
      </w:r>
      <w:r w:rsidR="001E5AC7">
        <w:rPr>
          <w:rFonts w:eastAsia="Arial"/>
          <w:color w:val="000000" w:themeColor="text1"/>
          <w:sz w:val="24"/>
          <w:szCs w:val="24"/>
        </w:rPr>
        <w:t xml:space="preserve">, </w:t>
      </w:r>
      <w:r w:rsidR="001E5AC7">
        <w:rPr>
          <w:rFonts w:eastAsia="Arial"/>
          <w:color w:val="000000" w:themeColor="text1"/>
          <w:sz w:val="24"/>
          <w:szCs w:val="24"/>
        </w:rPr>
        <w:t>although academics note that they have not always taken the most effective approaches; however, this seems to have fuelled a change in Social Service’s approaches, and some level of reform has been implemented to increase effectiveness</w:t>
      </w:r>
      <w:r w:rsidR="001E5AC7">
        <w:rPr>
          <w:rFonts w:eastAsia="Arial"/>
          <w:color w:val="000000" w:themeColor="text1"/>
          <w:sz w:val="24"/>
          <w:szCs w:val="24"/>
        </w:rPr>
        <w:t xml:space="preserve">. Their services often become more effective when they work together with other public serving organisations, which includes a multi-agency response, in which different public service providers can play a role in safeguarding vulnerable individuals, thus lowering the risk harm to them and protecting them, in a proactive approach (Shamsad, 2020). </w:t>
      </w:r>
    </w:p>
    <w:p w14:paraId="56966635" w14:textId="77777777" w:rsidR="00991036" w:rsidRDefault="00991036" w:rsidP="5B843AF0">
      <w:pPr>
        <w:ind w:right="237"/>
        <w:jc w:val="both"/>
        <w:rPr>
          <w:rFonts w:eastAsia="Arial"/>
          <w:color w:val="000000" w:themeColor="text1"/>
          <w:sz w:val="24"/>
          <w:szCs w:val="24"/>
        </w:rPr>
      </w:pPr>
    </w:p>
    <w:p w14:paraId="48E88451" w14:textId="7FCE60DD" w:rsidR="006E692F" w:rsidRDefault="006E692F" w:rsidP="5B843AF0">
      <w:pPr>
        <w:ind w:right="237"/>
        <w:jc w:val="both"/>
        <w:rPr>
          <w:rFonts w:eastAsia="Arial"/>
          <w:color w:val="000000" w:themeColor="text1"/>
          <w:sz w:val="24"/>
          <w:szCs w:val="24"/>
        </w:rPr>
      </w:pPr>
      <w:r>
        <w:rPr>
          <w:rFonts w:eastAsia="Arial"/>
          <w:color w:val="000000" w:themeColor="text1"/>
          <w:sz w:val="24"/>
          <w:szCs w:val="24"/>
        </w:rPr>
        <w:t xml:space="preserve"> However, </w:t>
      </w:r>
      <w:r w:rsidR="008D78BB">
        <w:rPr>
          <w:rFonts w:eastAsia="Arial"/>
          <w:color w:val="000000" w:themeColor="text1"/>
          <w:sz w:val="24"/>
          <w:szCs w:val="24"/>
        </w:rPr>
        <w:t xml:space="preserve">on this occasion, </w:t>
      </w:r>
      <w:r>
        <w:rPr>
          <w:rFonts w:eastAsia="Arial"/>
          <w:color w:val="000000" w:themeColor="text1"/>
          <w:sz w:val="24"/>
          <w:szCs w:val="24"/>
        </w:rPr>
        <w:t xml:space="preserve">as it was a Friday evening, I was aware that Social Services would likely not </w:t>
      </w:r>
      <w:r w:rsidR="00FE5DD5">
        <w:rPr>
          <w:rFonts w:eastAsia="Arial"/>
          <w:color w:val="000000" w:themeColor="text1"/>
          <w:sz w:val="24"/>
          <w:szCs w:val="24"/>
        </w:rPr>
        <w:t>see the PPN until they returned to duty on Monday. I</w:t>
      </w:r>
      <w:r w:rsidR="008D78BB">
        <w:rPr>
          <w:rFonts w:eastAsia="Arial"/>
          <w:color w:val="000000" w:themeColor="text1"/>
          <w:sz w:val="24"/>
          <w:szCs w:val="24"/>
        </w:rPr>
        <w:t xml:space="preserve"> utilised the NDM, to make effective decisions which would help to safeguard those involved in the short-term, in anticipation of Social Services taking action which would be more effective in the longer term at a later time. With this in mind, I</w:t>
      </w:r>
      <w:r w:rsidR="00FE5DD5">
        <w:rPr>
          <w:rFonts w:eastAsia="Arial"/>
          <w:color w:val="000000" w:themeColor="text1"/>
          <w:sz w:val="24"/>
          <w:szCs w:val="24"/>
        </w:rPr>
        <w:t xml:space="preserve"> requested that the grandmother remain with her daughter until at least the Monday, in order to ensure her safety until intervention could be arranged. It was also necessary to arrange for a family member to check in with the husband, to offer him whatever care he needed, in the interim; it was disclosed by the grandmother that he was able to look after himself to some extent, if his clothes were laid out ready for him and his meals were made for him. His son agreed to oversee his care, during this time.</w:t>
      </w:r>
      <w:r w:rsidR="008D78BB">
        <w:rPr>
          <w:rFonts w:eastAsia="Arial"/>
          <w:color w:val="000000" w:themeColor="text1"/>
          <w:sz w:val="24"/>
          <w:szCs w:val="24"/>
        </w:rPr>
        <w:t xml:space="preserve"> As per the Gwent Police Policy, </w:t>
      </w:r>
    </w:p>
    <w:p w14:paraId="0F9C9D43" w14:textId="4A34B368" w:rsidR="00E42783" w:rsidRDefault="00FE5DD5" w:rsidP="5B843AF0">
      <w:pPr>
        <w:ind w:right="237"/>
        <w:jc w:val="both"/>
        <w:rPr>
          <w:rFonts w:eastAsia="Arial"/>
          <w:color w:val="000000" w:themeColor="text1"/>
          <w:sz w:val="24"/>
          <w:szCs w:val="24"/>
        </w:rPr>
      </w:pPr>
      <w:r>
        <w:rPr>
          <w:rFonts w:eastAsia="Arial"/>
          <w:color w:val="000000" w:themeColor="text1"/>
          <w:sz w:val="24"/>
          <w:szCs w:val="24"/>
        </w:rPr>
        <w:t xml:space="preserve">On my return to the station, I completed the paperwork and also tasked the occurrence to the Public Protection Unit of Gwent Police, to make them aware of the situation, as they would offer a level of service better suited to the needs of the vulnerable individuals involved. </w:t>
      </w:r>
      <w:r w:rsidR="00CF435C">
        <w:rPr>
          <w:rFonts w:eastAsia="Arial"/>
          <w:color w:val="000000" w:themeColor="text1"/>
          <w:sz w:val="24"/>
          <w:szCs w:val="24"/>
        </w:rPr>
        <w:t>I considered the importance of p</w:t>
      </w:r>
      <w:r>
        <w:rPr>
          <w:rFonts w:eastAsia="Arial"/>
          <w:color w:val="000000" w:themeColor="text1"/>
          <w:sz w:val="24"/>
          <w:szCs w:val="24"/>
        </w:rPr>
        <w:t>rotect</w:t>
      </w:r>
      <w:r w:rsidR="00CF435C">
        <w:rPr>
          <w:rFonts w:eastAsia="Arial"/>
          <w:color w:val="000000" w:themeColor="text1"/>
          <w:sz w:val="24"/>
          <w:szCs w:val="24"/>
        </w:rPr>
        <w:t xml:space="preserve">ing </w:t>
      </w:r>
      <w:r w:rsidR="00B35205">
        <w:rPr>
          <w:rFonts w:eastAsia="Arial"/>
          <w:color w:val="000000" w:themeColor="text1"/>
          <w:sz w:val="24"/>
          <w:szCs w:val="24"/>
        </w:rPr>
        <w:t>the husband</w:t>
      </w:r>
      <w:r>
        <w:rPr>
          <w:rFonts w:eastAsia="Arial"/>
          <w:color w:val="000000" w:themeColor="text1"/>
          <w:sz w:val="24"/>
          <w:szCs w:val="24"/>
        </w:rPr>
        <w:t>, as well as wife</w:t>
      </w:r>
      <w:r w:rsidR="00CF435C">
        <w:rPr>
          <w:rFonts w:eastAsia="Arial"/>
          <w:color w:val="000000" w:themeColor="text1"/>
          <w:sz w:val="24"/>
          <w:szCs w:val="24"/>
        </w:rPr>
        <w:t xml:space="preserve">, as they were both </w:t>
      </w:r>
      <w:r w:rsidR="005176FD">
        <w:rPr>
          <w:rFonts w:eastAsia="Arial"/>
          <w:color w:val="000000" w:themeColor="text1"/>
          <w:sz w:val="24"/>
          <w:szCs w:val="24"/>
        </w:rPr>
        <w:t>vulnerable. This</w:t>
      </w:r>
      <w:r w:rsidR="00B31392">
        <w:rPr>
          <w:rFonts w:eastAsia="Arial"/>
          <w:color w:val="000000" w:themeColor="text1"/>
          <w:sz w:val="24"/>
          <w:szCs w:val="24"/>
        </w:rPr>
        <w:t xml:space="preserve"> was a new </w:t>
      </w:r>
      <w:r w:rsidR="00B31392">
        <w:rPr>
          <w:rFonts w:eastAsia="Arial"/>
          <w:color w:val="000000" w:themeColor="text1"/>
          <w:sz w:val="24"/>
          <w:szCs w:val="24"/>
        </w:rPr>
        <w:lastRenderedPageBreak/>
        <w:t>experience for me, as on previous incidents it had been the victim who was considered the vulnerable party; however, the suspect was also on this occasion, due to his diagnosis.</w:t>
      </w:r>
      <w:r w:rsidR="00CF435C">
        <w:rPr>
          <w:rFonts w:eastAsia="Arial"/>
          <w:color w:val="000000" w:themeColor="text1"/>
          <w:sz w:val="24"/>
          <w:szCs w:val="24"/>
        </w:rPr>
        <w:t xml:space="preserve"> I </w:t>
      </w:r>
      <w:r w:rsidR="00B31392">
        <w:rPr>
          <w:rFonts w:eastAsia="Arial"/>
          <w:color w:val="000000" w:themeColor="text1"/>
          <w:sz w:val="24"/>
          <w:szCs w:val="24"/>
        </w:rPr>
        <w:t>was</w:t>
      </w:r>
      <w:r w:rsidR="00CF435C">
        <w:rPr>
          <w:rFonts w:eastAsia="Arial"/>
          <w:color w:val="000000" w:themeColor="text1"/>
          <w:sz w:val="24"/>
          <w:szCs w:val="24"/>
        </w:rPr>
        <w:t xml:space="preserve"> aware that the Public Protection Unit are able to offer A</w:t>
      </w:r>
      <w:r w:rsidR="004A0D32">
        <w:rPr>
          <w:rFonts w:eastAsia="Arial"/>
          <w:color w:val="000000" w:themeColor="text1"/>
          <w:sz w:val="24"/>
          <w:szCs w:val="24"/>
        </w:rPr>
        <w:t xml:space="preserve">chieving </w:t>
      </w:r>
      <w:r w:rsidR="00CF435C">
        <w:rPr>
          <w:rFonts w:eastAsia="Arial"/>
          <w:color w:val="000000" w:themeColor="text1"/>
          <w:sz w:val="24"/>
          <w:szCs w:val="24"/>
        </w:rPr>
        <w:t>B</w:t>
      </w:r>
      <w:r w:rsidR="004A0D32">
        <w:rPr>
          <w:rFonts w:eastAsia="Arial"/>
          <w:color w:val="000000" w:themeColor="text1"/>
          <w:sz w:val="24"/>
          <w:szCs w:val="24"/>
        </w:rPr>
        <w:t xml:space="preserve">est </w:t>
      </w:r>
      <w:r w:rsidR="00CF435C">
        <w:rPr>
          <w:rFonts w:eastAsia="Arial"/>
          <w:color w:val="000000" w:themeColor="text1"/>
          <w:sz w:val="24"/>
          <w:szCs w:val="24"/>
        </w:rPr>
        <w:t>E</w:t>
      </w:r>
      <w:r w:rsidR="004A0D32">
        <w:rPr>
          <w:rFonts w:eastAsia="Arial"/>
          <w:color w:val="000000" w:themeColor="text1"/>
          <w:sz w:val="24"/>
          <w:szCs w:val="24"/>
        </w:rPr>
        <w:t>vidence (ABE)</w:t>
      </w:r>
      <w:r w:rsidR="00CF435C">
        <w:rPr>
          <w:rFonts w:eastAsia="Arial"/>
          <w:color w:val="000000" w:themeColor="text1"/>
          <w:sz w:val="24"/>
          <w:szCs w:val="24"/>
        </w:rPr>
        <w:t xml:space="preserve"> interviews</w:t>
      </w:r>
      <w:r w:rsidR="00A11EBE">
        <w:rPr>
          <w:rFonts w:eastAsia="Arial"/>
          <w:color w:val="000000" w:themeColor="text1"/>
          <w:sz w:val="24"/>
          <w:szCs w:val="24"/>
        </w:rPr>
        <w:t xml:space="preserve"> to vulnerable victims and witnesses</w:t>
      </w:r>
      <w:r w:rsidR="00CF435C">
        <w:rPr>
          <w:rFonts w:eastAsia="Arial"/>
          <w:color w:val="000000" w:themeColor="text1"/>
          <w:sz w:val="24"/>
          <w:szCs w:val="24"/>
        </w:rPr>
        <w:t>, which are more suitable for vulnerable people, and in a more comfortable environment.</w:t>
      </w:r>
      <w:r w:rsidR="004A0D32">
        <w:rPr>
          <w:rFonts w:eastAsia="Arial"/>
          <w:color w:val="000000" w:themeColor="text1"/>
          <w:sz w:val="24"/>
          <w:szCs w:val="24"/>
        </w:rPr>
        <w:t xml:space="preserve"> The Ministry of Justice (2022) stated in their guidance report for ABE that it promotes a strongly victim-centred approach, taking into account the individual’s trauma, and that when utilised it is an effective method to gaining the best evidence possible, to achieve a positive outcome whilst caring for the individual.</w:t>
      </w:r>
    </w:p>
    <w:p w14:paraId="356F5238" w14:textId="3894E1CC" w:rsidR="007F62DC" w:rsidRDefault="00E42783" w:rsidP="5B843AF0">
      <w:pPr>
        <w:ind w:right="237"/>
        <w:jc w:val="both"/>
        <w:rPr>
          <w:rFonts w:eastAsia="Arial"/>
          <w:color w:val="000000" w:themeColor="text1"/>
          <w:sz w:val="24"/>
          <w:szCs w:val="24"/>
        </w:rPr>
      </w:pPr>
      <w:r>
        <w:rPr>
          <w:rFonts w:eastAsia="Arial"/>
          <w:color w:val="000000" w:themeColor="text1"/>
          <w:sz w:val="24"/>
          <w:szCs w:val="24"/>
        </w:rPr>
        <w:t xml:space="preserve">In this report, the Ministry of Justice (2022) defines a vulnerable person as </w:t>
      </w:r>
      <w:r w:rsidR="007F62DC">
        <w:rPr>
          <w:rFonts w:eastAsia="Arial"/>
          <w:color w:val="000000" w:themeColor="text1"/>
          <w:sz w:val="24"/>
          <w:szCs w:val="24"/>
        </w:rPr>
        <w:t>being either a child or an adult who has:</w:t>
      </w:r>
    </w:p>
    <w:p w14:paraId="1E3A4DB9" w14:textId="0E175E02" w:rsidR="007F62DC" w:rsidRDefault="007F62DC" w:rsidP="5B843AF0">
      <w:pPr>
        <w:ind w:right="237"/>
        <w:jc w:val="both"/>
        <w:rPr>
          <w:rFonts w:eastAsia="Arial"/>
          <w:color w:val="000000" w:themeColor="text1"/>
          <w:sz w:val="24"/>
          <w:szCs w:val="24"/>
        </w:rPr>
      </w:pPr>
      <w:r>
        <w:rPr>
          <w:rFonts w:eastAsia="Arial"/>
          <w:color w:val="000000" w:themeColor="text1"/>
          <w:sz w:val="24"/>
          <w:szCs w:val="24"/>
        </w:rPr>
        <w:t>“a mental disorder, learning disability or physical disorder/disability that is likely to have an impact on the quality of their evidence” (Ministry of Justice, 2022).</w:t>
      </w:r>
      <w:r w:rsidR="00281E14">
        <w:rPr>
          <w:rFonts w:eastAsia="Arial"/>
          <w:color w:val="000000" w:themeColor="text1"/>
          <w:sz w:val="24"/>
          <w:szCs w:val="24"/>
        </w:rPr>
        <w:t xml:space="preserve"> </w:t>
      </w:r>
    </w:p>
    <w:p w14:paraId="0BAE3426" w14:textId="1033495A" w:rsidR="00FE5DD5" w:rsidRDefault="004A0D32" w:rsidP="5B843AF0">
      <w:pPr>
        <w:ind w:right="237"/>
        <w:jc w:val="both"/>
        <w:rPr>
          <w:rFonts w:eastAsia="Arial"/>
          <w:color w:val="000000" w:themeColor="text1"/>
          <w:sz w:val="24"/>
          <w:szCs w:val="24"/>
        </w:rPr>
      </w:pPr>
      <w:r>
        <w:rPr>
          <w:rFonts w:eastAsia="Arial"/>
          <w:color w:val="000000" w:themeColor="text1"/>
          <w:sz w:val="24"/>
          <w:szCs w:val="24"/>
        </w:rPr>
        <w:t xml:space="preserve"> Whilst pursuing an </w:t>
      </w:r>
      <w:r w:rsidR="00E42783">
        <w:rPr>
          <w:rFonts w:eastAsia="Arial"/>
          <w:color w:val="000000" w:themeColor="text1"/>
          <w:sz w:val="24"/>
          <w:szCs w:val="24"/>
        </w:rPr>
        <w:t>A</w:t>
      </w:r>
      <w:r>
        <w:rPr>
          <w:rFonts w:eastAsia="Arial"/>
          <w:color w:val="000000" w:themeColor="text1"/>
          <w:sz w:val="24"/>
          <w:szCs w:val="24"/>
        </w:rPr>
        <w:t xml:space="preserve">BE interview is reportedly the best method, it is, in my experience, sometimes a process which takes longer than the conventional, standard approach, with </w:t>
      </w:r>
      <w:r w:rsidR="00E42783">
        <w:rPr>
          <w:rFonts w:eastAsia="Arial"/>
          <w:color w:val="000000" w:themeColor="text1"/>
          <w:sz w:val="24"/>
          <w:szCs w:val="24"/>
        </w:rPr>
        <w:t xml:space="preserve">the investigative process often having to be delayed until an ABE-trained interviewer is sourced and available to be scheduled in to conduct the outstanding actions. This also does not allow for continuity in the </w:t>
      </w:r>
      <w:r w:rsidR="00A11EBE">
        <w:rPr>
          <w:rFonts w:eastAsia="Arial"/>
          <w:color w:val="000000" w:themeColor="text1"/>
          <w:sz w:val="24"/>
          <w:szCs w:val="24"/>
        </w:rPr>
        <w:t>care of the victim or witness; this can be important to a victim, as a familiar face can offer reassuranc</w:t>
      </w:r>
      <w:r w:rsidR="000729ED">
        <w:rPr>
          <w:rFonts w:eastAsia="Arial"/>
          <w:color w:val="000000" w:themeColor="text1"/>
          <w:sz w:val="24"/>
          <w:szCs w:val="24"/>
        </w:rPr>
        <w:t>e.</w:t>
      </w:r>
      <w:r w:rsidR="00A11EBE">
        <w:rPr>
          <w:rFonts w:eastAsia="Arial"/>
          <w:color w:val="000000" w:themeColor="text1"/>
          <w:sz w:val="24"/>
          <w:szCs w:val="24"/>
        </w:rPr>
        <w:t xml:space="preserve"> However, experts state that taking a victim-centred, trauma led approach is likely lead to more positive case outcomes, as evidence is of greater quality</w:t>
      </w:r>
      <w:r w:rsidR="007F62DC">
        <w:rPr>
          <w:rFonts w:eastAsia="Arial"/>
          <w:color w:val="000000" w:themeColor="text1"/>
          <w:sz w:val="24"/>
          <w:szCs w:val="24"/>
        </w:rPr>
        <w:t>,</w:t>
      </w:r>
      <w:r w:rsidR="00A11EBE">
        <w:rPr>
          <w:rFonts w:eastAsia="Arial"/>
          <w:color w:val="000000" w:themeColor="text1"/>
          <w:sz w:val="24"/>
          <w:szCs w:val="24"/>
        </w:rPr>
        <w:t xml:space="preserve"> suggesting that despite some delays, the ABE process is a worthwhile endeavour</w:t>
      </w:r>
      <w:r w:rsidR="007F62DC">
        <w:rPr>
          <w:rFonts w:eastAsia="Arial"/>
          <w:color w:val="000000" w:themeColor="text1"/>
          <w:sz w:val="24"/>
          <w:szCs w:val="24"/>
        </w:rPr>
        <w:t xml:space="preserve"> (Abraham and Clancey, 2024).</w:t>
      </w:r>
    </w:p>
    <w:p w14:paraId="2B4C35EB" w14:textId="77777777" w:rsidR="00CF435C" w:rsidRDefault="00CF435C" w:rsidP="5B843AF0">
      <w:pPr>
        <w:ind w:right="237"/>
        <w:jc w:val="both"/>
        <w:rPr>
          <w:rFonts w:eastAsia="Arial"/>
          <w:color w:val="000000" w:themeColor="text1"/>
          <w:sz w:val="24"/>
          <w:szCs w:val="24"/>
        </w:rPr>
      </w:pPr>
    </w:p>
    <w:p w14:paraId="4B587E53" w14:textId="2FE73377" w:rsidR="00CF435C" w:rsidRDefault="00CF435C" w:rsidP="00CF435C">
      <w:pPr>
        <w:ind w:right="237"/>
        <w:jc w:val="both"/>
        <w:rPr>
          <w:rFonts w:eastAsia="Arial"/>
          <w:color w:val="000000" w:themeColor="text1"/>
          <w:sz w:val="24"/>
          <w:szCs w:val="24"/>
        </w:rPr>
      </w:pPr>
      <w:r>
        <w:rPr>
          <w:rFonts w:eastAsia="Arial"/>
          <w:color w:val="000000" w:themeColor="text1"/>
          <w:sz w:val="24"/>
          <w:szCs w:val="24"/>
        </w:rPr>
        <w:t>I also decided to refer the couple for a MARAC meeting. MARAC meetings are meetings in which members of multiple agencies, such as social services and the NHS, come together to discuss cases and to identify risks, while trying to identify ways to mitiga</w:t>
      </w:r>
      <w:r w:rsidR="00B31392">
        <w:rPr>
          <w:rFonts w:eastAsia="Arial"/>
          <w:color w:val="000000" w:themeColor="text1"/>
          <w:sz w:val="24"/>
          <w:szCs w:val="24"/>
        </w:rPr>
        <w:t>te the risk to those involved.</w:t>
      </w:r>
      <w:r w:rsidR="005176FD">
        <w:rPr>
          <w:rFonts w:eastAsia="Arial"/>
          <w:color w:val="000000" w:themeColor="text1"/>
          <w:sz w:val="24"/>
          <w:szCs w:val="24"/>
        </w:rPr>
        <w:t xml:space="preserve"> </w:t>
      </w:r>
      <w:r w:rsidR="00281E14">
        <w:rPr>
          <w:rFonts w:eastAsia="Arial"/>
          <w:color w:val="000000" w:themeColor="text1"/>
          <w:sz w:val="24"/>
          <w:szCs w:val="24"/>
        </w:rPr>
        <w:t xml:space="preserve">In this case, I identified the agencies that needed to be involved as Social Services and the NHS. I considered that the council may also need to be involved, as it may become necessary to seek alternative housing for one of the involved parties. </w:t>
      </w:r>
      <w:r w:rsidR="000729ED">
        <w:rPr>
          <w:rFonts w:eastAsia="Arial"/>
          <w:color w:val="000000" w:themeColor="text1"/>
          <w:sz w:val="24"/>
          <w:szCs w:val="24"/>
        </w:rPr>
        <w:t>MARAC meetings seem to be an effective method, in my experience, of dealing with situations requiring a multiagency response, as it gives agencies the opportunity to communicate directly with one another to address the issue. I appreciate that I am able to make MARAC referrals myself, as I often feel otherwise that it takes many incidents to occur with the same individuals before Social Services take action.</w:t>
      </w:r>
      <w:r w:rsidR="008E2368">
        <w:rPr>
          <w:rFonts w:eastAsia="Arial"/>
          <w:color w:val="000000" w:themeColor="text1"/>
          <w:sz w:val="24"/>
          <w:szCs w:val="24"/>
        </w:rPr>
        <w:t xml:space="preserve"> Multi Agency Public Protection Arrangements (MAPPA) are also useful in preventing reoffending, by managing the behaviour of offenders and assisting in their rehabilitation. HM Inspectorate of Probation acknowledges the effectiveness of multi-agency working in reducing reoffending, provided the staff involved have effective risk assessment tools (</w:t>
      </w:r>
      <w:r w:rsidR="00DA3F96">
        <w:rPr>
          <w:rFonts w:eastAsia="Arial"/>
          <w:color w:val="000000" w:themeColor="text1"/>
          <w:sz w:val="24"/>
          <w:szCs w:val="24"/>
        </w:rPr>
        <w:t>HM Inspectorate of Probation 2021).</w:t>
      </w:r>
    </w:p>
    <w:p w14:paraId="598966D2" w14:textId="77777777" w:rsidR="00DA3F96" w:rsidRDefault="00DA3F96" w:rsidP="00CF435C">
      <w:pPr>
        <w:ind w:right="237"/>
        <w:jc w:val="both"/>
        <w:rPr>
          <w:rFonts w:eastAsia="Arial"/>
          <w:color w:val="000000" w:themeColor="text1"/>
          <w:sz w:val="24"/>
          <w:szCs w:val="24"/>
        </w:rPr>
      </w:pPr>
    </w:p>
    <w:p w14:paraId="43220743" w14:textId="28A46ACF" w:rsidR="00DA3F96" w:rsidRDefault="00DA3F96" w:rsidP="00CF435C">
      <w:pPr>
        <w:ind w:right="237"/>
        <w:jc w:val="both"/>
        <w:rPr>
          <w:rFonts w:eastAsia="Arial"/>
          <w:color w:val="000000" w:themeColor="text1"/>
          <w:sz w:val="24"/>
          <w:szCs w:val="24"/>
        </w:rPr>
      </w:pPr>
      <w:r>
        <w:rPr>
          <w:rFonts w:eastAsia="Arial"/>
          <w:color w:val="000000" w:themeColor="text1"/>
          <w:sz w:val="24"/>
          <w:szCs w:val="24"/>
        </w:rPr>
        <w:t>Academics seem to agree, in general, that provided the right tools are supplied, multi-agency working benefits all involved. I am inclined to support this theory, based on my own experience; I agree that different agencies have different roles to play, and while the police on response deal with immediate, emergency safety issues, a multi-agency response allows for longer term safeguarding, and the potential resolution of situations leading to the offending.</w:t>
      </w:r>
    </w:p>
    <w:p w14:paraId="5A8E828B" w14:textId="77777777" w:rsidR="00DA3F96" w:rsidRDefault="00DA3F96" w:rsidP="00CF435C">
      <w:pPr>
        <w:ind w:right="237"/>
        <w:jc w:val="both"/>
        <w:rPr>
          <w:rFonts w:eastAsia="Arial"/>
          <w:color w:val="000000" w:themeColor="text1"/>
          <w:sz w:val="24"/>
          <w:szCs w:val="24"/>
        </w:rPr>
      </w:pPr>
    </w:p>
    <w:p w14:paraId="6522082F" w14:textId="77777777" w:rsidR="00DA3F96" w:rsidRDefault="00DA3F96" w:rsidP="00CF435C">
      <w:pPr>
        <w:ind w:right="237"/>
        <w:jc w:val="both"/>
        <w:rPr>
          <w:rFonts w:eastAsia="Arial"/>
          <w:color w:val="000000" w:themeColor="text1"/>
          <w:sz w:val="24"/>
          <w:szCs w:val="24"/>
        </w:rPr>
      </w:pPr>
    </w:p>
    <w:p w14:paraId="692EED25" w14:textId="1DE582DA" w:rsidR="00DA3F96" w:rsidRPr="00DA3F96" w:rsidRDefault="00DA3F96" w:rsidP="00CF435C">
      <w:pPr>
        <w:ind w:right="237"/>
        <w:jc w:val="both"/>
        <w:rPr>
          <w:rFonts w:eastAsia="Arial"/>
          <w:b/>
          <w:bCs/>
          <w:color w:val="000000" w:themeColor="text1"/>
          <w:sz w:val="24"/>
          <w:szCs w:val="24"/>
        </w:rPr>
      </w:pPr>
      <w:r w:rsidRPr="00DA3F96">
        <w:rPr>
          <w:rFonts w:eastAsia="Arial"/>
          <w:b/>
          <w:bCs/>
          <w:color w:val="000000" w:themeColor="text1"/>
          <w:sz w:val="24"/>
          <w:szCs w:val="24"/>
        </w:rPr>
        <w:t>Word count: 2132 words</w:t>
      </w:r>
    </w:p>
    <w:p w14:paraId="3BDB6870" w14:textId="77777777" w:rsidR="00FC6554" w:rsidRDefault="00FC6554" w:rsidP="00CF435C">
      <w:pPr>
        <w:ind w:right="237"/>
        <w:jc w:val="both"/>
        <w:rPr>
          <w:rFonts w:eastAsia="Arial"/>
          <w:color w:val="000000" w:themeColor="text1"/>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0AE5C5A9" w14:textId="5F16522C" w:rsidR="00E10527" w:rsidRDefault="00E10527" w:rsidP="0FF883D4">
      <w:pPr>
        <w:ind w:right="237"/>
        <w:jc w:val="both"/>
        <w:rPr>
          <w:color w:val="000000" w:themeColor="text1"/>
          <w:sz w:val="24"/>
          <w:szCs w:val="24"/>
        </w:rPr>
      </w:pPr>
      <w:r>
        <w:rPr>
          <w:color w:val="000000" w:themeColor="text1"/>
          <w:sz w:val="24"/>
          <w:szCs w:val="24"/>
        </w:rPr>
        <w:t xml:space="preserve">I was involved in an investigation in which a female had reported that she had </w:t>
      </w:r>
      <w:r w:rsidR="0094172A">
        <w:rPr>
          <w:color w:val="000000" w:themeColor="text1"/>
          <w:sz w:val="24"/>
          <w:szCs w:val="24"/>
        </w:rPr>
        <w:t xml:space="preserve">been in a club to assist her partner’s friend with a promotional event. She </w:t>
      </w:r>
      <w:r w:rsidR="0094172A">
        <w:rPr>
          <w:color w:val="000000" w:themeColor="text1"/>
          <w:sz w:val="24"/>
          <w:szCs w:val="24"/>
        </w:rPr>
        <w:lastRenderedPageBreak/>
        <w:t xml:space="preserve">disclosed that she had consumed 2 small glasses of wine at the </w:t>
      </w:r>
      <w:r w:rsidR="000E1728">
        <w:rPr>
          <w:color w:val="000000" w:themeColor="text1"/>
          <w:sz w:val="24"/>
          <w:szCs w:val="24"/>
        </w:rPr>
        <w:t>event but</w:t>
      </w:r>
      <w:r w:rsidR="0094172A">
        <w:rPr>
          <w:color w:val="000000" w:themeColor="text1"/>
          <w:sz w:val="24"/>
          <w:szCs w:val="24"/>
        </w:rPr>
        <w:t xml:space="preserve"> had left one of her drinks unattended for 5-10 minutes while she went outside to vape. At approximately 0100hrs, she left the club in the company of her partner’s friend and the DJ, but had parted ways with them at the end of the street, where they had turned right and continued on their journey, while the female had turned left and continued down that road. However, she did not remember anything after turning down the road to the left. The next memory she had was waking up in a strange bed later in the morning. The female was in a house she did not </w:t>
      </w:r>
      <w:r w:rsidR="000E1728">
        <w:rPr>
          <w:color w:val="000000" w:themeColor="text1"/>
          <w:sz w:val="24"/>
          <w:szCs w:val="24"/>
        </w:rPr>
        <w:t>recognise and</w:t>
      </w:r>
      <w:r w:rsidR="0094172A">
        <w:rPr>
          <w:color w:val="000000" w:themeColor="text1"/>
          <w:sz w:val="24"/>
          <w:szCs w:val="24"/>
        </w:rPr>
        <w:t xml:space="preserve"> felt that she was still under the influence of something and not able to think clearly. She walked down the stairs and out of the </w:t>
      </w:r>
      <w:r w:rsidR="000E1728">
        <w:rPr>
          <w:color w:val="000000" w:themeColor="text1"/>
          <w:sz w:val="24"/>
          <w:szCs w:val="24"/>
        </w:rPr>
        <w:t>house and</w:t>
      </w:r>
      <w:r w:rsidR="0094172A">
        <w:rPr>
          <w:color w:val="000000" w:themeColor="text1"/>
          <w:sz w:val="24"/>
          <w:szCs w:val="24"/>
        </w:rPr>
        <w:t xml:space="preserve"> continued into NEWPORT CENTRE to her friend’s address. </w:t>
      </w:r>
    </w:p>
    <w:p w14:paraId="1A972648" w14:textId="34506557" w:rsidR="007120DA" w:rsidRDefault="007120DA" w:rsidP="0FF883D4">
      <w:pPr>
        <w:ind w:right="237"/>
        <w:jc w:val="both"/>
        <w:rPr>
          <w:color w:val="000000" w:themeColor="text1"/>
          <w:sz w:val="24"/>
          <w:szCs w:val="24"/>
        </w:rPr>
      </w:pPr>
      <w:r>
        <w:rPr>
          <w:color w:val="000000" w:themeColor="text1"/>
          <w:sz w:val="24"/>
          <w:szCs w:val="24"/>
        </w:rPr>
        <w:t>After considering the situation and using the NDM</w:t>
      </w:r>
      <w:r w:rsidR="00181528">
        <w:rPr>
          <w:color w:val="000000" w:themeColor="text1"/>
          <w:sz w:val="24"/>
          <w:szCs w:val="24"/>
        </w:rPr>
        <w:t xml:space="preserve"> (College of Policing, 2013)</w:t>
      </w:r>
      <w:r>
        <w:rPr>
          <w:color w:val="000000" w:themeColor="text1"/>
          <w:sz w:val="24"/>
          <w:szCs w:val="24"/>
        </w:rPr>
        <w:t>, I identified the</w:t>
      </w:r>
      <w:r w:rsidR="00FC6732">
        <w:rPr>
          <w:color w:val="000000" w:themeColor="text1"/>
          <w:sz w:val="24"/>
          <w:szCs w:val="24"/>
        </w:rPr>
        <w:t xml:space="preserve"> </w:t>
      </w:r>
      <w:r w:rsidR="00667794">
        <w:rPr>
          <w:color w:val="000000" w:themeColor="text1"/>
          <w:sz w:val="24"/>
          <w:szCs w:val="24"/>
        </w:rPr>
        <w:t>immediate actions</w:t>
      </w:r>
      <w:r w:rsidR="00FC6732">
        <w:rPr>
          <w:color w:val="000000" w:themeColor="text1"/>
          <w:sz w:val="24"/>
          <w:szCs w:val="24"/>
        </w:rPr>
        <w:t xml:space="preserve"> I needed to take, which included</w:t>
      </w:r>
      <w:r>
        <w:rPr>
          <w:color w:val="000000" w:themeColor="text1"/>
          <w:sz w:val="24"/>
          <w:szCs w:val="24"/>
        </w:rPr>
        <w:t xml:space="preserve"> golden hour enquiries. </w:t>
      </w:r>
      <w:r w:rsidR="00181528">
        <w:rPr>
          <w:color w:val="000000" w:themeColor="text1"/>
          <w:sz w:val="24"/>
          <w:szCs w:val="24"/>
        </w:rPr>
        <w:t>The Golden Hour Principle is the principle that fast action at an early stage can secure important material which could be evidence in an investigation, which may otherwise be lost (</w:t>
      </w:r>
      <w:r w:rsidR="000E1728">
        <w:rPr>
          <w:color w:val="000000" w:themeColor="text1"/>
          <w:sz w:val="24"/>
          <w:szCs w:val="24"/>
        </w:rPr>
        <w:t>College of Policing, 2013</w:t>
      </w:r>
      <w:r w:rsidR="00181528">
        <w:rPr>
          <w:color w:val="000000" w:themeColor="text1"/>
          <w:sz w:val="24"/>
          <w:szCs w:val="24"/>
        </w:rPr>
        <w:t>)</w:t>
      </w:r>
      <w:r w:rsidR="000E1728">
        <w:rPr>
          <w:color w:val="000000" w:themeColor="text1"/>
          <w:sz w:val="24"/>
          <w:szCs w:val="24"/>
        </w:rPr>
        <w:t>.</w:t>
      </w:r>
      <w:r w:rsidR="00181528">
        <w:rPr>
          <w:color w:val="000000" w:themeColor="text1"/>
          <w:sz w:val="24"/>
          <w:szCs w:val="24"/>
        </w:rPr>
        <w:t xml:space="preserve"> In this case, t</w:t>
      </w:r>
      <w:r>
        <w:rPr>
          <w:color w:val="000000" w:themeColor="text1"/>
          <w:sz w:val="24"/>
          <w:szCs w:val="24"/>
        </w:rPr>
        <w:t xml:space="preserve">hese included </w:t>
      </w:r>
      <w:r w:rsidR="00181528">
        <w:rPr>
          <w:color w:val="000000" w:themeColor="text1"/>
          <w:sz w:val="24"/>
          <w:szCs w:val="24"/>
        </w:rPr>
        <w:t xml:space="preserve">conducting </w:t>
      </w:r>
      <w:r>
        <w:rPr>
          <w:color w:val="000000" w:themeColor="text1"/>
          <w:sz w:val="24"/>
          <w:szCs w:val="24"/>
        </w:rPr>
        <w:t>CCTV and house-to-house enquiries,</w:t>
      </w:r>
      <w:r w:rsidR="00181528">
        <w:rPr>
          <w:color w:val="000000" w:themeColor="text1"/>
          <w:sz w:val="24"/>
          <w:szCs w:val="24"/>
        </w:rPr>
        <w:t xml:space="preserve"> collecting relevant </w:t>
      </w:r>
      <w:r>
        <w:rPr>
          <w:color w:val="000000" w:themeColor="text1"/>
          <w:sz w:val="24"/>
          <w:szCs w:val="24"/>
        </w:rPr>
        <w:t>forensic</w:t>
      </w:r>
      <w:r w:rsidR="00181528">
        <w:rPr>
          <w:color w:val="000000" w:themeColor="text1"/>
          <w:sz w:val="24"/>
          <w:szCs w:val="24"/>
        </w:rPr>
        <w:t xml:space="preserve"> samples</w:t>
      </w:r>
      <w:r>
        <w:rPr>
          <w:color w:val="000000" w:themeColor="text1"/>
          <w:sz w:val="24"/>
          <w:szCs w:val="24"/>
        </w:rPr>
        <w:t xml:space="preserve">, identifying and containing a scene, </w:t>
      </w:r>
      <w:r w:rsidR="00181528">
        <w:rPr>
          <w:color w:val="000000" w:themeColor="text1"/>
          <w:sz w:val="24"/>
          <w:szCs w:val="24"/>
        </w:rPr>
        <w:t xml:space="preserve">and identifying </w:t>
      </w:r>
      <w:r w:rsidR="004452EA">
        <w:rPr>
          <w:color w:val="000000" w:themeColor="text1"/>
          <w:sz w:val="24"/>
          <w:szCs w:val="24"/>
        </w:rPr>
        <w:t>any potential witnesses</w:t>
      </w:r>
      <w:r w:rsidR="00181528">
        <w:rPr>
          <w:color w:val="000000" w:themeColor="text1"/>
          <w:sz w:val="24"/>
          <w:szCs w:val="24"/>
        </w:rPr>
        <w:t>. It would also include obtaining a first account from the victim, to identify further lines of enquiry.</w:t>
      </w:r>
      <w:r w:rsidR="00BD1968">
        <w:rPr>
          <w:color w:val="000000" w:themeColor="text1"/>
          <w:sz w:val="24"/>
          <w:szCs w:val="24"/>
        </w:rPr>
        <w:t xml:space="preserve"> I considered the methods I could use to record the victim’s first account, and decided that I would take a witness interview booklet with me to record this, as it may</w:t>
      </w:r>
      <w:r w:rsidR="00D35ED9">
        <w:rPr>
          <w:color w:val="000000" w:themeColor="text1"/>
          <w:sz w:val="24"/>
          <w:szCs w:val="24"/>
        </w:rPr>
        <w:t xml:space="preserve"> be a traumatic time for the victim, and I would need to determine after meeting the victim whether she would need an Achieving Best Evidence interview from a trained officer, or if she would give a standard statement. This would be dependent on her identified needs, and which method would be likely to achieve the best evidence (Ministry of Justice, 2022).</w:t>
      </w:r>
    </w:p>
    <w:p w14:paraId="06438907" w14:textId="77777777" w:rsidR="00D35ED9" w:rsidRDefault="00D35ED9" w:rsidP="0FF883D4">
      <w:pPr>
        <w:ind w:right="237"/>
        <w:jc w:val="both"/>
        <w:rPr>
          <w:color w:val="000000" w:themeColor="text1"/>
          <w:sz w:val="24"/>
          <w:szCs w:val="24"/>
        </w:rPr>
      </w:pPr>
    </w:p>
    <w:p w14:paraId="06F0C2C2" w14:textId="3EA91E2B" w:rsidR="0094172A" w:rsidRDefault="0094172A" w:rsidP="0FF883D4">
      <w:pPr>
        <w:ind w:right="237"/>
        <w:jc w:val="both"/>
        <w:rPr>
          <w:color w:val="000000" w:themeColor="text1"/>
          <w:sz w:val="24"/>
          <w:szCs w:val="24"/>
        </w:rPr>
      </w:pPr>
      <w:r>
        <w:rPr>
          <w:color w:val="000000" w:themeColor="text1"/>
          <w:sz w:val="24"/>
          <w:szCs w:val="24"/>
        </w:rPr>
        <w:t xml:space="preserve">Before attending the address, I contacted the female to ensure that it was a </w:t>
      </w:r>
      <w:r w:rsidR="00D35ED9">
        <w:rPr>
          <w:color w:val="000000" w:themeColor="text1"/>
          <w:sz w:val="24"/>
          <w:szCs w:val="24"/>
        </w:rPr>
        <w:t>convenient</w:t>
      </w:r>
      <w:r>
        <w:rPr>
          <w:color w:val="000000" w:themeColor="text1"/>
          <w:sz w:val="24"/>
          <w:szCs w:val="24"/>
        </w:rPr>
        <w:t xml:space="preserve"> time to visit and take an initial account.</w:t>
      </w:r>
      <w:r w:rsidR="00D35ED9">
        <w:rPr>
          <w:color w:val="000000" w:themeColor="text1"/>
          <w:sz w:val="24"/>
          <w:szCs w:val="24"/>
        </w:rPr>
        <w:t xml:space="preserve"> I informed the victim that an immediate response was necessary in order to gather and preserve evidence. The victim was willing to be visited at that </w:t>
      </w:r>
      <w:r w:rsidR="00FC6554">
        <w:rPr>
          <w:color w:val="000000" w:themeColor="text1"/>
          <w:sz w:val="24"/>
          <w:szCs w:val="24"/>
        </w:rPr>
        <w:t>time and</w:t>
      </w:r>
      <w:r w:rsidR="00D35ED9">
        <w:rPr>
          <w:color w:val="000000" w:themeColor="text1"/>
          <w:sz w:val="24"/>
          <w:szCs w:val="24"/>
        </w:rPr>
        <w:t xml:space="preserve"> expressed that she was supportive of police action.</w:t>
      </w:r>
      <w:r>
        <w:rPr>
          <w:color w:val="000000" w:themeColor="text1"/>
          <w:sz w:val="24"/>
          <w:szCs w:val="24"/>
        </w:rPr>
        <w:t xml:space="preserve"> I took DNA swab kits, elimination kits </w:t>
      </w:r>
      <w:r w:rsidR="004452EA">
        <w:rPr>
          <w:color w:val="000000" w:themeColor="text1"/>
          <w:sz w:val="24"/>
          <w:szCs w:val="24"/>
        </w:rPr>
        <w:t>an</w:t>
      </w:r>
      <w:r>
        <w:rPr>
          <w:color w:val="000000" w:themeColor="text1"/>
          <w:sz w:val="24"/>
          <w:szCs w:val="24"/>
        </w:rPr>
        <w:t>d a urine sample kit</w:t>
      </w:r>
      <w:r w:rsidR="00D35ED9">
        <w:rPr>
          <w:color w:val="000000" w:themeColor="text1"/>
          <w:sz w:val="24"/>
          <w:szCs w:val="24"/>
        </w:rPr>
        <w:t xml:space="preserve"> with me, as I wanted to be prepared for any disclosures made to me</w:t>
      </w:r>
      <w:r w:rsidR="00B31392">
        <w:rPr>
          <w:color w:val="000000" w:themeColor="text1"/>
          <w:sz w:val="24"/>
          <w:szCs w:val="24"/>
        </w:rPr>
        <w:t xml:space="preserve">. </w:t>
      </w:r>
      <w:r w:rsidR="004452EA">
        <w:rPr>
          <w:color w:val="000000" w:themeColor="text1"/>
          <w:sz w:val="24"/>
          <w:szCs w:val="24"/>
        </w:rPr>
        <w:t>I also took evidence bags, including bags for clothing</w:t>
      </w:r>
      <w:r w:rsidR="00D35ED9">
        <w:rPr>
          <w:color w:val="000000" w:themeColor="text1"/>
          <w:sz w:val="24"/>
          <w:szCs w:val="24"/>
        </w:rPr>
        <w:t>, which could be a valuable exhibit</w:t>
      </w:r>
      <w:r w:rsidR="004452EA">
        <w:rPr>
          <w:color w:val="000000" w:themeColor="text1"/>
          <w:sz w:val="24"/>
          <w:szCs w:val="24"/>
        </w:rPr>
        <w:t>.</w:t>
      </w:r>
      <w:r w:rsidR="00181528">
        <w:rPr>
          <w:color w:val="000000" w:themeColor="text1"/>
          <w:sz w:val="24"/>
          <w:szCs w:val="24"/>
        </w:rPr>
        <w:t xml:space="preserve"> I also took a Witness Interview Booklet (WIB) to use to obtain the victim’s first account.</w:t>
      </w:r>
    </w:p>
    <w:p w14:paraId="3E223B23" w14:textId="5B280659" w:rsidR="00181528" w:rsidRDefault="00181528" w:rsidP="0FF883D4">
      <w:pPr>
        <w:ind w:right="237"/>
        <w:jc w:val="both"/>
        <w:rPr>
          <w:color w:val="000000" w:themeColor="text1"/>
          <w:sz w:val="24"/>
          <w:szCs w:val="24"/>
        </w:rPr>
      </w:pPr>
      <w:r>
        <w:rPr>
          <w:color w:val="000000" w:themeColor="text1"/>
          <w:sz w:val="24"/>
          <w:szCs w:val="24"/>
        </w:rPr>
        <w:t xml:space="preserve">On taking the female’s account, I identified CCTV opportunities from the area she had been in prior to having no memory of where she had been. I also found that she had a Smart watch, which had tagged a location visited the previous night on a particular road, which was right outside an address with a door matching the description of the door to the strange house the female remembered exiting that morning. </w:t>
      </w:r>
    </w:p>
    <w:p w14:paraId="3955E61B" w14:textId="3404962B" w:rsidR="00051A57" w:rsidRDefault="00051A57" w:rsidP="0FF883D4">
      <w:pPr>
        <w:ind w:right="237"/>
        <w:jc w:val="both"/>
        <w:rPr>
          <w:color w:val="000000" w:themeColor="text1"/>
          <w:sz w:val="24"/>
          <w:szCs w:val="24"/>
        </w:rPr>
      </w:pPr>
      <w:r>
        <w:rPr>
          <w:color w:val="000000" w:themeColor="text1"/>
          <w:sz w:val="24"/>
          <w:szCs w:val="24"/>
        </w:rPr>
        <w:t xml:space="preserve">I collected a urine sample using the correct collection kit, following the instructions to ensure that the sample was not contaminated. I labelled it with the relevant information for continuity. I then collected clothing worn the previous night, for potential DNA analysis, if this was considered necessary, as well as </w:t>
      </w:r>
      <w:r w:rsidR="00D35ED9">
        <w:rPr>
          <w:color w:val="000000" w:themeColor="text1"/>
          <w:sz w:val="24"/>
          <w:szCs w:val="24"/>
        </w:rPr>
        <w:t>asking</w:t>
      </w:r>
      <w:r>
        <w:rPr>
          <w:color w:val="000000" w:themeColor="text1"/>
          <w:sz w:val="24"/>
          <w:szCs w:val="24"/>
        </w:rPr>
        <w:t xml:space="preserve"> the female for a picture of the location details from the Smartwatch to be uploaded to NICE, the police visual evidence system. I liaised with the Detective Sergeant on duty, to ensure that I was collecting the correct materials and completing the correct actions.</w:t>
      </w:r>
      <w:r w:rsidR="00D35ED9">
        <w:rPr>
          <w:color w:val="000000" w:themeColor="text1"/>
          <w:sz w:val="24"/>
          <w:szCs w:val="24"/>
        </w:rPr>
        <w:t xml:space="preserve"> </w:t>
      </w:r>
      <w:r w:rsidR="004904C5">
        <w:rPr>
          <w:color w:val="000000" w:themeColor="text1"/>
          <w:sz w:val="24"/>
          <w:szCs w:val="24"/>
        </w:rPr>
        <w:t xml:space="preserve">It is vital to collect and preserve evidence correctly, to avoid any </w:t>
      </w:r>
      <w:r w:rsidR="004904C5">
        <w:rPr>
          <w:color w:val="000000" w:themeColor="text1"/>
          <w:sz w:val="24"/>
          <w:szCs w:val="24"/>
        </w:rPr>
        <w:lastRenderedPageBreak/>
        <w:t>contamination which may render the evidence unusable as evidence. This included collecting, sealing, storing and labelling the items correctly (Alketbi, 2023). This was something that I did not have much experience of in practice, as I had only collected evidence of this nature on one previous occasion, and this was the first occasion I was undertaking the task whilst unaccompanied. However, I had received theoretical training, and I found that I was able to undertake the task effectively, and considered it to be valuable practical experience, which will seed up the process in the future</w:t>
      </w:r>
      <w:r w:rsidR="008B34B0">
        <w:rPr>
          <w:color w:val="000000" w:themeColor="text1"/>
          <w:sz w:val="24"/>
          <w:szCs w:val="24"/>
        </w:rPr>
        <w:t>, as my lack of experience and having to navigate the process made it slower than would have been ideal.</w:t>
      </w:r>
    </w:p>
    <w:p w14:paraId="08FC397A" w14:textId="77777777" w:rsidR="004904C5" w:rsidRDefault="004904C5" w:rsidP="0FF883D4">
      <w:pPr>
        <w:ind w:right="237"/>
        <w:jc w:val="both"/>
        <w:rPr>
          <w:color w:val="000000" w:themeColor="text1"/>
          <w:sz w:val="24"/>
          <w:szCs w:val="24"/>
        </w:rPr>
      </w:pPr>
    </w:p>
    <w:p w14:paraId="55807BE4" w14:textId="2BFBA284" w:rsidR="00051A57" w:rsidRDefault="00051A57" w:rsidP="0FF883D4">
      <w:pPr>
        <w:ind w:right="237"/>
        <w:jc w:val="both"/>
        <w:rPr>
          <w:color w:val="000000" w:themeColor="text1"/>
          <w:sz w:val="24"/>
          <w:szCs w:val="24"/>
        </w:rPr>
      </w:pPr>
      <w:r>
        <w:rPr>
          <w:color w:val="000000" w:themeColor="text1"/>
          <w:sz w:val="24"/>
          <w:szCs w:val="24"/>
        </w:rPr>
        <w:t>On leaving the address, I booked the materials I had collected into the property system at the station and booked the items into the correct storage area, ensuring the urine sample was in the fridge to preserve it.</w:t>
      </w:r>
    </w:p>
    <w:p w14:paraId="3F13C9B4" w14:textId="18380ECD" w:rsidR="00144297" w:rsidRDefault="00051A57" w:rsidP="0FF883D4">
      <w:pPr>
        <w:ind w:right="237"/>
        <w:jc w:val="both"/>
        <w:rPr>
          <w:color w:val="000000" w:themeColor="text1"/>
          <w:sz w:val="24"/>
          <w:szCs w:val="24"/>
        </w:rPr>
      </w:pPr>
      <w:r>
        <w:rPr>
          <w:color w:val="000000" w:themeColor="text1"/>
          <w:sz w:val="24"/>
          <w:szCs w:val="24"/>
        </w:rPr>
        <w:t xml:space="preserve">Following these actions, I contacted the Newport CCTV office, to enquire as to whether their </w:t>
      </w:r>
      <w:r w:rsidR="008B34B0">
        <w:rPr>
          <w:color w:val="000000" w:themeColor="text1"/>
          <w:sz w:val="24"/>
          <w:szCs w:val="24"/>
        </w:rPr>
        <w:t>CCTV</w:t>
      </w:r>
      <w:r w:rsidR="000E1728">
        <w:rPr>
          <w:color w:val="000000" w:themeColor="text1"/>
          <w:sz w:val="24"/>
          <w:szCs w:val="24"/>
        </w:rPr>
        <w:t xml:space="preserve"> c</w:t>
      </w:r>
      <w:r>
        <w:rPr>
          <w:color w:val="000000" w:themeColor="text1"/>
          <w:sz w:val="24"/>
          <w:szCs w:val="24"/>
        </w:rPr>
        <w:t xml:space="preserve">overed the area the female last remembered being in. </w:t>
      </w:r>
      <w:r w:rsidR="008B34B0">
        <w:rPr>
          <w:color w:val="000000" w:themeColor="text1"/>
          <w:sz w:val="24"/>
          <w:szCs w:val="24"/>
        </w:rPr>
        <w:t>I did not have much success in these initial CCTV enquiries.</w:t>
      </w:r>
    </w:p>
    <w:p w14:paraId="3AADF6C4" w14:textId="359BF3CD" w:rsidR="006476C1" w:rsidRDefault="006A0F84" w:rsidP="0FF883D4">
      <w:pPr>
        <w:ind w:right="237"/>
        <w:jc w:val="both"/>
        <w:rPr>
          <w:color w:val="000000" w:themeColor="text1"/>
          <w:sz w:val="24"/>
          <w:szCs w:val="24"/>
        </w:rPr>
      </w:pPr>
      <w:r>
        <w:rPr>
          <w:color w:val="000000" w:themeColor="text1"/>
          <w:sz w:val="24"/>
          <w:szCs w:val="24"/>
        </w:rPr>
        <w:t xml:space="preserve">The victim appeared visibly upset, after recounting what had happened. I tried to imagine how I would feel if I was in the same situation as the victim, and expressed the empathy I was feeling for her, while attempting to reassure her. I considered the Policing Code of </w:t>
      </w:r>
      <w:r w:rsidR="00E944CA">
        <w:rPr>
          <w:color w:val="000000" w:themeColor="text1"/>
          <w:sz w:val="24"/>
          <w:szCs w:val="24"/>
        </w:rPr>
        <w:t>Ethics (2024)</w:t>
      </w:r>
      <w:r>
        <w:rPr>
          <w:color w:val="000000" w:themeColor="text1"/>
          <w:sz w:val="24"/>
          <w:szCs w:val="24"/>
        </w:rPr>
        <w:t xml:space="preserve"> and core Values, which include treating everyone with respect. I believe I treated the female with respect, and she seemed to feel at ease with me, which I feel </w:t>
      </w:r>
      <w:r w:rsidR="008B34B0">
        <w:rPr>
          <w:color w:val="000000" w:themeColor="text1"/>
          <w:sz w:val="24"/>
          <w:szCs w:val="24"/>
        </w:rPr>
        <w:t>encouraged her to be more open with her disclosures</w:t>
      </w:r>
      <w:r>
        <w:rPr>
          <w:color w:val="000000" w:themeColor="text1"/>
          <w:sz w:val="24"/>
          <w:szCs w:val="24"/>
        </w:rPr>
        <w:t xml:space="preserve"> </w:t>
      </w:r>
      <w:r w:rsidR="008B34B0">
        <w:rPr>
          <w:color w:val="000000" w:themeColor="text1"/>
          <w:sz w:val="24"/>
          <w:szCs w:val="24"/>
        </w:rPr>
        <w:t>regarding</w:t>
      </w:r>
      <w:r>
        <w:rPr>
          <w:color w:val="000000" w:themeColor="text1"/>
          <w:sz w:val="24"/>
          <w:szCs w:val="24"/>
        </w:rPr>
        <w:t xml:space="preserve"> her experience. </w:t>
      </w:r>
    </w:p>
    <w:p w14:paraId="54EC9295" w14:textId="23D744C6" w:rsidR="003633B6" w:rsidRDefault="003227F0" w:rsidP="0FF883D4">
      <w:pPr>
        <w:ind w:right="237"/>
        <w:jc w:val="both"/>
        <w:rPr>
          <w:color w:val="000000" w:themeColor="text1"/>
          <w:sz w:val="24"/>
          <w:szCs w:val="24"/>
        </w:rPr>
      </w:pPr>
      <w:r>
        <w:rPr>
          <w:color w:val="000000" w:themeColor="text1"/>
          <w:sz w:val="24"/>
          <w:szCs w:val="24"/>
        </w:rPr>
        <w:t>I</w:t>
      </w:r>
      <w:r w:rsidR="00FC6732">
        <w:rPr>
          <w:color w:val="000000" w:themeColor="text1"/>
          <w:sz w:val="24"/>
          <w:szCs w:val="24"/>
        </w:rPr>
        <w:t xml:space="preserve"> considered Gwent Police’s policy of Right Person, Right Care (College of Policing 2023), in addition to Gwent Police’s safeguarding policies, and decided that my role as initial responder included safeguarding the victim against further harm. I therefore</w:t>
      </w:r>
      <w:r>
        <w:rPr>
          <w:color w:val="000000" w:themeColor="text1"/>
          <w:sz w:val="24"/>
          <w:szCs w:val="24"/>
        </w:rPr>
        <w:t xml:space="preserve"> offered the female relevant safety advice, to suit her situation</w:t>
      </w:r>
      <w:r w:rsidR="00E944CA">
        <w:rPr>
          <w:color w:val="000000" w:themeColor="text1"/>
          <w:sz w:val="24"/>
          <w:szCs w:val="24"/>
        </w:rPr>
        <w:t>; this included not going out alone and to not leave drinks unattended in the future, as well as making a plan to not travel home alone following nights out. I am of the opinion that, while safety advice is a simple step to take, it can be extremely effective to help others to identify methods to protect themselves from harm and therefore from being a repeat victim</w:t>
      </w:r>
      <w:r w:rsidR="003633B6">
        <w:rPr>
          <w:color w:val="000000" w:themeColor="text1"/>
          <w:sz w:val="24"/>
          <w:szCs w:val="24"/>
        </w:rPr>
        <w:t xml:space="preserve">. I find it useful to utilise the reflective model of Gibbs (1988) in situations in which I feel that reflection may be useful to mitigate risk. This reflective model assists the user in reflecting on what has happened in concise steps, to analyse what has happened, including the related feelings and outcomes, and evaluating what was done and building an action plan for future development. In simplified terms, in this situation it could be used to identify what has happened, </w:t>
      </w:r>
      <w:r w:rsidR="000E1728">
        <w:rPr>
          <w:color w:val="000000" w:themeColor="text1"/>
          <w:sz w:val="24"/>
          <w:szCs w:val="24"/>
        </w:rPr>
        <w:t>and to evaluate these to identify actions to mitigate future risk.</w:t>
      </w:r>
    </w:p>
    <w:p w14:paraId="78D89747" w14:textId="77777777" w:rsidR="003633B6" w:rsidRDefault="003633B6" w:rsidP="0FF883D4">
      <w:pPr>
        <w:ind w:right="237"/>
        <w:jc w:val="both"/>
        <w:rPr>
          <w:color w:val="000000" w:themeColor="text1"/>
          <w:sz w:val="24"/>
          <w:szCs w:val="24"/>
        </w:rPr>
      </w:pPr>
    </w:p>
    <w:p w14:paraId="498EE2B5" w14:textId="1518010A" w:rsidR="006A0F84" w:rsidRDefault="00E944CA" w:rsidP="0FF883D4">
      <w:pPr>
        <w:ind w:right="237"/>
        <w:jc w:val="both"/>
        <w:rPr>
          <w:color w:val="000000" w:themeColor="text1"/>
          <w:sz w:val="24"/>
          <w:szCs w:val="24"/>
        </w:rPr>
      </w:pPr>
      <w:r>
        <w:rPr>
          <w:color w:val="000000" w:themeColor="text1"/>
          <w:sz w:val="24"/>
          <w:szCs w:val="24"/>
        </w:rPr>
        <w:t xml:space="preserve"> I feel that proactive approaches which help to prevent crimes and protect individuals are vital, and that action by the police should not be limited to reactive responses. I was made aware, at the very start of my policing career, that an aim of Gwent Police is to </w:t>
      </w:r>
      <w:r w:rsidR="003633B6">
        <w:rPr>
          <w:color w:val="000000" w:themeColor="text1"/>
          <w:sz w:val="24"/>
          <w:szCs w:val="24"/>
        </w:rPr>
        <w:t>prevent crime and protect the public (Gwent Police), and I am keen to help meet these goals. I also</w:t>
      </w:r>
      <w:r w:rsidR="003227F0">
        <w:rPr>
          <w:color w:val="000000" w:themeColor="text1"/>
          <w:sz w:val="24"/>
          <w:szCs w:val="24"/>
        </w:rPr>
        <w:t xml:space="preserve"> offered her fu</w:t>
      </w:r>
      <w:r w:rsidR="005176FD">
        <w:rPr>
          <w:color w:val="000000" w:themeColor="text1"/>
          <w:sz w:val="24"/>
          <w:szCs w:val="24"/>
        </w:rPr>
        <w:t>r</w:t>
      </w:r>
      <w:r w:rsidR="003227F0">
        <w:rPr>
          <w:color w:val="000000" w:themeColor="text1"/>
          <w:sz w:val="24"/>
          <w:szCs w:val="24"/>
        </w:rPr>
        <w:t>ther support from other agencies, such as charities.</w:t>
      </w:r>
      <w:r w:rsidR="003633B6">
        <w:rPr>
          <w:color w:val="000000" w:themeColor="text1"/>
          <w:sz w:val="24"/>
          <w:szCs w:val="24"/>
        </w:rPr>
        <w:t xml:space="preserve"> I have often, during my policing career, offered information for charities such as Mind, for mental health support, and housing support agencies; these seem to be well received by the public, and demonstrate an interest in assisting their situation and mitigating risk to them. Working with partner agencies </w:t>
      </w:r>
    </w:p>
    <w:p w14:paraId="4A54CC38" w14:textId="77777777" w:rsidR="006A0F84" w:rsidRDefault="006A0F84" w:rsidP="0FF883D4">
      <w:pPr>
        <w:ind w:right="237"/>
        <w:jc w:val="both"/>
        <w:rPr>
          <w:color w:val="000000" w:themeColor="text1"/>
          <w:sz w:val="24"/>
          <w:szCs w:val="24"/>
        </w:rPr>
      </w:pPr>
    </w:p>
    <w:p w14:paraId="74434D8D" w14:textId="5C785B17" w:rsidR="005176FD" w:rsidRDefault="005176FD" w:rsidP="0FF883D4">
      <w:pPr>
        <w:ind w:right="237"/>
        <w:jc w:val="both"/>
        <w:rPr>
          <w:color w:val="000000" w:themeColor="text1"/>
          <w:sz w:val="24"/>
          <w:szCs w:val="24"/>
        </w:rPr>
      </w:pPr>
      <w:r>
        <w:rPr>
          <w:color w:val="000000" w:themeColor="text1"/>
          <w:sz w:val="24"/>
          <w:szCs w:val="24"/>
        </w:rPr>
        <w:lastRenderedPageBreak/>
        <w:t xml:space="preserve">During the investigation, I used the NDM to dynamically assess the situation. I identified opportunities for evidence-gathering and prioritised actions </w:t>
      </w:r>
    </w:p>
    <w:p w14:paraId="0549E0DE" w14:textId="5E657298" w:rsidR="000E1728" w:rsidRDefault="00FC6732" w:rsidP="0FF883D4">
      <w:pPr>
        <w:ind w:right="237"/>
        <w:jc w:val="both"/>
        <w:rPr>
          <w:color w:val="000000" w:themeColor="text1"/>
          <w:sz w:val="24"/>
          <w:szCs w:val="24"/>
        </w:rPr>
      </w:pPr>
      <w:r>
        <w:rPr>
          <w:color w:val="000000" w:themeColor="text1"/>
          <w:sz w:val="24"/>
          <w:szCs w:val="24"/>
        </w:rPr>
        <w:t xml:space="preserve">I </w:t>
      </w:r>
      <w:r w:rsidR="006476C1">
        <w:rPr>
          <w:color w:val="000000" w:themeColor="text1"/>
          <w:sz w:val="24"/>
          <w:szCs w:val="24"/>
        </w:rPr>
        <w:t>also considered the Victim’s Code</w:t>
      </w:r>
      <w:r w:rsidR="006B26D1">
        <w:rPr>
          <w:color w:val="000000" w:themeColor="text1"/>
          <w:sz w:val="24"/>
          <w:szCs w:val="24"/>
        </w:rPr>
        <w:t xml:space="preserve"> of Practice</w:t>
      </w:r>
      <w:r w:rsidR="006476C1">
        <w:rPr>
          <w:color w:val="000000" w:themeColor="text1"/>
          <w:sz w:val="24"/>
          <w:szCs w:val="24"/>
        </w:rPr>
        <w:t xml:space="preserve"> (</w:t>
      </w:r>
      <w:r w:rsidR="006B26D1">
        <w:rPr>
          <w:color w:val="000000" w:themeColor="text1"/>
          <w:sz w:val="24"/>
          <w:szCs w:val="24"/>
        </w:rPr>
        <w:t>2020</w:t>
      </w:r>
      <w:r w:rsidR="006476C1">
        <w:rPr>
          <w:color w:val="000000" w:themeColor="text1"/>
          <w:sz w:val="24"/>
          <w:szCs w:val="24"/>
        </w:rPr>
        <w:t xml:space="preserve">), which states that victims are entitled to regular updates. Prior to leaving the address of the victim, I explained what the next steps would be in the investigation, and who she should expect to hear from and when. I ensured that she had my contact </w:t>
      </w:r>
      <w:r w:rsidR="004904C5">
        <w:rPr>
          <w:color w:val="000000" w:themeColor="text1"/>
          <w:sz w:val="24"/>
          <w:szCs w:val="24"/>
        </w:rPr>
        <w:t>details and</w:t>
      </w:r>
      <w:r w:rsidR="006476C1">
        <w:rPr>
          <w:color w:val="000000" w:themeColor="text1"/>
          <w:sz w:val="24"/>
          <w:szCs w:val="24"/>
        </w:rPr>
        <w:t xml:space="preserve"> told her that if she needed any questions answered, she could contact me and I would find answers for her.</w:t>
      </w:r>
      <w:r w:rsidR="000E1728">
        <w:rPr>
          <w:color w:val="000000" w:themeColor="text1"/>
          <w:sz w:val="24"/>
          <w:szCs w:val="24"/>
        </w:rPr>
        <w:t xml:space="preserve"> I also told her that if she remembered anything else relevant to the investigation, she should contact either myself or the next person who made contact with her. I was aware that</w:t>
      </w:r>
      <w:r w:rsidR="00D0519C">
        <w:rPr>
          <w:color w:val="000000" w:themeColor="text1"/>
          <w:sz w:val="24"/>
          <w:szCs w:val="24"/>
        </w:rPr>
        <w:t>, while academics have stated that it is beneficial to note down details of incidents soon after they happen, due to memory decay (Dilevski et al, 2022), in some instances it may be beneficial to allow them more time, as</w:t>
      </w:r>
      <w:r w:rsidR="000E1728">
        <w:rPr>
          <w:color w:val="000000" w:themeColor="text1"/>
          <w:sz w:val="24"/>
          <w:szCs w:val="24"/>
        </w:rPr>
        <w:t xml:space="preserve"> victims do not always immediately recall details of what has happened to them</w:t>
      </w:r>
      <w:r w:rsidR="00BD1968">
        <w:rPr>
          <w:color w:val="000000" w:themeColor="text1"/>
          <w:sz w:val="24"/>
          <w:szCs w:val="24"/>
        </w:rPr>
        <w:t xml:space="preserve"> </w:t>
      </w:r>
      <w:r w:rsidR="00D0519C">
        <w:rPr>
          <w:color w:val="000000" w:themeColor="text1"/>
          <w:sz w:val="24"/>
          <w:szCs w:val="24"/>
        </w:rPr>
        <w:t>in a linear way, and may need time to recall what has occurred and in what order, particularly when recalling traumatic events  (Hopper, 2018). I felt it was important to allow the victim time to recall details and add to her account at a later time, if necessary.</w:t>
      </w:r>
    </w:p>
    <w:p w14:paraId="1C639DB0" w14:textId="77777777" w:rsidR="00D0519C" w:rsidRDefault="00D0519C" w:rsidP="0FF883D4">
      <w:pPr>
        <w:ind w:right="237"/>
        <w:jc w:val="both"/>
        <w:rPr>
          <w:color w:val="000000" w:themeColor="text1"/>
          <w:sz w:val="24"/>
          <w:szCs w:val="24"/>
        </w:rPr>
      </w:pPr>
    </w:p>
    <w:p w14:paraId="60CBC700" w14:textId="046B86F9" w:rsidR="006476C1" w:rsidRDefault="006476C1" w:rsidP="0FF883D4">
      <w:pPr>
        <w:ind w:right="237"/>
        <w:jc w:val="both"/>
        <w:rPr>
          <w:color w:val="000000" w:themeColor="text1"/>
          <w:sz w:val="24"/>
          <w:szCs w:val="24"/>
        </w:rPr>
      </w:pPr>
      <w:r>
        <w:rPr>
          <w:color w:val="000000" w:themeColor="text1"/>
          <w:sz w:val="24"/>
          <w:szCs w:val="24"/>
        </w:rPr>
        <w:t xml:space="preserve"> I consider myself to be an empathetic </w:t>
      </w:r>
      <w:r w:rsidR="00BD1968">
        <w:rPr>
          <w:color w:val="000000" w:themeColor="text1"/>
          <w:sz w:val="24"/>
          <w:szCs w:val="24"/>
        </w:rPr>
        <w:t>person and</w:t>
      </w:r>
      <w:r>
        <w:rPr>
          <w:color w:val="000000" w:themeColor="text1"/>
          <w:sz w:val="24"/>
          <w:szCs w:val="24"/>
        </w:rPr>
        <w:t xml:space="preserve"> knew that I would hope for the same level of care and treatment, if I was in the same position. My main criticism of this process and my actions was that, although I had liaised with the on-duty Detective Sergeant throughout my part in the investigation, I was not able to give the victim anything more than a rough timeframe of when she would be </w:t>
      </w:r>
      <w:r w:rsidR="00FC6554">
        <w:rPr>
          <w:color w:val="000000" w:themeColor="text1"/>
          <w:sz w:val="24"/>
          <w:szCs w:val="24"/>
        </w:rPr>
        <w:t>contacted and</w:t>
      </w:r>
      <w:r>
        <w:rPr>
          <w:color w:val="000000" w:themeColor="text1"/>
          <w:sz w:val="24"/>
          <w:szCs w:val="24"/>
        </w:rPr>
        <w:t xml:space="preserve"> was not able to provide her with the name of who would be contacting her. I imagine that this anticipation of contact from another unknown person to further discuss an incident of a sensitive nature would have been quite daunting for the victim</w:t>
      </w:r>
      <w:r w:rsidR="00903140">
        <w:rPr>
          <w:color w:val="000000" w:themeColor="text1"/>
          <w:sz w:val="24"/>
          <w:szCs w:val="24"/>
        </w:rPr>
        <w:t>. The victim had displayed signs of self-</w:t>
      </w:r>
      <w:r w:rsidR="00FC6554">
        <w:rPr>
          <w:color w:val="000000" w:themeColor="text1"/>
          <w:sz w:val="24"/>
          <w:szCs w:val="24"/>
        </w:rPr>
        <w:t>blaming and</w:t>
      </w:r>
      <w:r w:rsidR="00903140">
        <w:rPr>
          <w:color w:val="000000" w:themeColor="text1"/>
          <w:sz w:val="24"/>
          <w:szCs w:val="24"/>
        </w:rPr>
        <w:t xml:space="preserve"> had expressed to me that she had felt that she had been stupid in her actions and had not been careful enough. Miller and Porter (1983) state that this behaviour is not uncommon in victims of crime, who often blame themselves for affording a perpetrator the occasion in which to commit the crime, not having done enough to prevent this from happening</w:t>
      </w:r>
      <w:r w:rsidR="00E2022C">
        <w:rPr>
          <w:color w:val="000000" w:themeColor="text1"/>
          <w:sz w:val="24"/>
          <w:szCs w:val="24"/>
        </w:rPr>
        <w:t>. Crime can often disrupt an individual’s belief that the world is a just place, in which things happen for a reason; victims can adopt the belief that their own actions are the reason they were targeted (Miller and Porter, 1983). Having been a victim of crime myself previously, I understand this, and feel that police officers have an important task, following crime, to reassure the public that there is justice, and that it will be sought on their behalf. I feel that this belief aligns with the Gwent Police’s aim to build positive relationships with the community, reassure the public, and increase their faith that they will prevent and tackle crime and keep the public safe (Gwent Police).</w:t>
      </w:r>
    </w:p>
    <w:p w14:paraId="595841CD" w14:textId="45FC4DB5" w:rsidR="004904C5" w:rsidRDefault="004904C5" w:rsidP="0FF883D4">
      <w:pPr>
        <w:ind w:right="237"/>
        <w:jc w:val="both"/>
        <w:rPr>
          <w:color w:val="000000" w:themeColor="text1"/>
          <w:sz w:val="24"/>
          <w:szCs w:val="24"/>
        </w:rPr>
      </w:pPr>
      <w:r>
        <w:rPr>
          <w:color w:val="000000" w:themeColor="text1"/>
          <w:sz w:val="24"/>
          <w:szCs w:val="24"/>
        </w:rPr>
        <w:t xml:space="preserve">Following the incident, I utilised the reflective cycle of Gibbs (1988). I have used this model may times </w:t>
      </w:r>
      <w:r w:rsidR="00FC6554">
        <w:rPr>
          <w:color w:val="000000" w:themeColor="text1"/>
          <w:sz w:val="24"/>
          <w:szCs w:val="24"/>
        </w:rPr>
        <w:t>previously and</w:t>
      </w:r>
      <w:r>
        <w:rPr>
          <w:color w:val="000000" w:themeColor="text1"/>
          <w:sz w:val="24"/>
          <w:szCs w:val="24"/>
        </w:rPr>
        <w:t xml:space="preserve"> have found it to be a useful tool in my personal development. </w:t>
      </w:r>
    </w:p>
    <w:p w14:paraId="005E2C30" w14:textId="1B5AC942" w:rsidR="004904C5" w:rsidRDefault="004904C5" w:rsidP="0FF883D4">
      <w:pPr>
        <w:ind w:right="237"/>
        <w:jc w:val="both"/>
        <w:rPr>
          <w:color w:val="000000" w:themeColor="text1"/>
          <w:sz w:val="24"/>
          <w:szCs w:val="24"/>
        </w:rPr>
      </w:pPr>
      <w:r>
        <w:rPr>
          <w:color w:val="000000" w:themeColor="text1"/>
          <w:sz w:val="24"/>
          <w:szCs w:val="24"/>
        </w:rPr>
        <w:t xml:space="preserve">Following the incident, I feel that I performed well in what I felt could have been quite a difficult situation, if I had been less prepared. I felt that I was able to portray some confidence in what I was doing and saying, despite my lack of experience, which I felt contributed in making the victim feel at ease and giving her a sense of trust in the police and their abilities in tackling crime. I felt that I was sensitive to the needs of the individual. I feel that I could have been more knowledgeable in the next steps of the investigation; I feel that with more knowledge and experience, </w:t>
      </w:r>
      <w:r>
        <w:rPr>
          <w:color w:val="000000" w:themeColor="text1"/>
          <w:sz w:val="24"/>
          <w:szCs w:val="24"/>
        </w:rPr>
        <w:lastRenderedPageBreak/>
        <w:t xml:space="preserve">I could have better informed the victim of the next steps of the investigation and given her more immediate answers. I would have liked to have played a role in the rest of the investigation, as I felt that this would have given me greater insight into complex investigations, which I have a considerable interest in, and I would have liked to have known how the </w:t>
      </w:r>
      <w:r w:rsidR="00FC6554">
        <w:rPr>
          <w:color w:val="000000" w:themeColor="text1"/>
          <w:sz w:val="24"/>
          <w:szCs w:val="24"/>
        </w:rPr>
        <w:t xml:space="preserve">evidence was used, in particular the information from the smart watch; I feel that my technological knowledge is somewhat lacking, and I am aiming to develop this in the future, so that I am able to further develop my policing career. </w:t>
      </w:r>
    </w:p>
    <w:p w14:paraId="1245C642" w14:textId="7D1496EF" w:rsidR="00FC6554" w:rsidRDefault="00FC6554" w:rsidP="0FF883D4">
      <w:pPr>
        <w:ind w:right="237"/>
        <w:jc w:val="both"/>
        <w:rPr>
          <w:color w:val="000000" w:themeColor="text1"/>
          <w:sz w:val="24"/>
          <w:szCs w:val="24"/>
        </w:rPr>
      </w:pPr>
      <w:r>
        <w:rPr>
          <w:color w:val="000000" w:themeColor="text1"/>
          <w:sz w:val="24"/>
          <w:szCs w:val="24"/>
        </w:rPr>
        <w:t>However, I feel positively about the experience, and believe that I am better able to identify the actions to take in an investigation of this nature, with less need for direction from the Detective Sergeant on duty regarding initial actions; I feel I am able to identify these actions myself.</w:t>
      </w:r>
    </w:p>
    <w:p w14:paraId="46DE8FD6" w14:textId="77777777" w:rsidR="006A0F84" w:rsidRDefault="006A0F84" w:rsidP="0FF883D4">
      <w:pPr>
        <w:ind w:right="237"/>
        <w:jc w:val="both"/>
        <w:rPr>
          <w:color w:val="000000" w:themeColor="text1"/>
          <w:sz w:val="24"/>
          <w:szCs w:val="24"/>
        </w:rPr>
      </w:pPr>
    </w:p>
    <w:p w14:paraId="12FA8A57" w14:textId="77777777" w:rsidR="006A0F84" w:rsidRDefault="006A0F8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617588FE" w:rsidR="00025650" w:rsidRPr="00E676F7" w:rsidRDefault="008E2368" w:rsidP="00340E9A">
      <w:pPr>
        <w:ind w:right="237"/>
        <w:jc w:val="both"/>
        <w:rPr>
          <w:b/>
          <w:sz w:val="24"/>
          <w:szCs w:val="24"/>
        </w:rPr>
      </w:pPr>
      <w:r>
        <w:rPr>
          <w:b/>
          <w:sz w:val="24"/>
          <w:szCs w:val="24"/>
        </w:rPr>
        <w:t>Word count:</w:t>
      </w:r>
      <w:r w:rsidR="00D0519C">
        <w:rPr>
          <w:b/>
          <w:sz w:val="24"/>
          <w:szCs w:val="24"/>
        </w:rPr>
        <w:t xml:space="preserve"> </w:t>
      </w:r>
      <w:r>
        <w:rPr>
          <w:b/>
          <w:sz w:val="24"/>
          <w:szCs w:val="24"/>
        </w:rPr>
        <w:t>2</w:t>
      </w:r>
      <w:r w:rsidR="00D0519C">
        <w:rPr>
          <w:b/>
          <w:sz w:val="24"/>
          <w:szCs w:val="24"/>
        </w:rPr>
        <w:t>119</w:t>
      </w:r>
      <w:r>
        <w:rPr>
          <w:b/>
          <w:sz w:val="24"/>
          <w:szCs w:val="24"/>
        </w:rPr>
        <w:t xml:space="preserve"> words</w:t>
      </w: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6C0CB44" w:rsidR="0FF883D4" w:rsidRDefault="5CE196A1" w:rsidP="5CE196A1">
      <w:r w:rsidRPr="5CE196A1">
        <w:rPr>
          <w:rFonts w:eastAsia="Arial"/>
          <w:b/>
          <w:bCs/>
          <w:color w:val="000000" w:themeColor="text1"/>
          <w:sz w:val="24"/>
          <w:szCs w:val="24"/>
        </w:rPr>
        <w:t xml:space="preserve">Signed: </w:t>
      </w:r>
      <w:r w:rsidR="005811ED">
        <w:rPr>
          <w:rFonts w:eastAsia="Arial"/>
          <w:b/>
          <w:bCs/>
          <w:color w:val="000000" w:themeColor="text1"/>
          <w:sz w:val="24"/>
          <w:szCs w:val="24"/>
        </w:rPr>
        <w:t>Kelly Smith</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54B47FE" w:rsidR="0FF883D4" w:rsidRDefault="005811ED"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28/10/2024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B963BF6" w14:textId="77777777" w:rsidR="005811ED" w:rsidRDefault="005811ED" w:rsidP="00EA28F1">
      <w:pPr>
        <w:keepNext/>
        <w:spacing w:before="240" w:after="60"/>
        <w:ind w:right="237"/>
        <w:jc w:val="both"/>
        <w:rPr>
          <w:sz w:val="24"/>
          <w:szCs w:val="24"/>
        </w:rPr>
      </w:pPr>
    </w:p>
    <w:p w14:paraId="279D50BA" w14:textId="77777777" w:rsidR="005811ED" w:rsidRDefault="005811ED" w:rsidP="00EA28F1">
      <w:pPr>
        <w:keepNext/>
        <w:spacing w:before="240" w:after="60"/>
        <w:ind w:right="237"/>
        <w:jc w:val="both"/>
        <w:rPr>
          <w:sz w:val="24"/>
          <w:szCs w:val="24"/>
        </w:rPr>
      </w:pPr>
    </w:p>
    <w:p w14:paraId="26BB1263" w14:textId="77777777" w:rsidR="00BB35AD" w:rsidRDefault="00BB35AD" w:rsidP="00BB35AD"/>
    <w:p w14:paraId="71BD1CA7" w14:textId="77777777" w:rsidR="00BB35AD" w:rsidRDefault="00BB35AD" w:rsidP="00BB35AD">
      <w:r w:rsidRPr="007456AD">
        <w:t xml:space="preserve">Abraham , L. and Clancey, L. (2024) ‘Victim-centered, trauma-informed policing helps victims and police while reducing crime’, </w:t>
      </w:r>
      <w:r w:rsidRPr="007456AD">
        <w:rPr>
          <w:i/>
          <w:iCs/>
        </w:rPr>
        <w:t>in depth</w:t>
      </w:r>
      <w:r w:rsidRPr="007456AD">
        <w:t xml:space="preserve">. CNA, 4 June. Available at: </w:t>
      </w:r>
      <w:hyperlink r:id="rId16" w:history="1">
        <w:r w:rsidRPr="007456AD">
          <w:rPr>
            <w:rStyle w:val="Hyperlink"/>
          </w:rPr>
          <w:t>https://www.cna.org/our-media/indepth/2024/06/victim-centered-policing</w:t>
        </w:r>
      </w:hyperlink>
      <w:r w:rsidRPr="007456AD">
        <w:t xml:space="preserve"> (Accessed: 20 October 2024). </w:t>
      </w:r>
    </w:p>
    <w:p w14:paraId="7F0137D0" w14:textId="77777777" w:rsidR="00BB35AD" w:rsidRPr="007456AD" w:rsidRDefault="00BB35AD" w:rsidP="00BB35AD">
      <w:pPr>
        <w:spacing w:after="160" w:line="259" w:lineRule="auto"/>
      </w:pPr>
    </w:p>
    <w:p w14:paraId="6CC71E38" w14:textId="77777777" w:rsidR="00BB35AD" w:rsidRPr="00AD1694" w:rsidRDefault="00BB35AD" w:rsidP="00BB35AD">
      <w:pPr>
        <w:spacing w:after="160"/>
      </w:pPr>
      <w:r>
        <w:t xml:space="preserve">Alketbi, K. (2023), </w:t>
      </w:r>
      <w:r>
        <w:rPr>
          <w:i/>
          <w:iCs/>
        </w:rPr>
        <w:t>T</w:t>
      </w:r>
      <w:r w:rsidRPr="00AD1694">
        <w:rPr>
          <w:i/>
          <w:iCs/>
        </w:rPr>
        <w:t>he chain of custody: Anti-contamination measures for trace DNA evidence.</w:t>
      </w:r>
      <w:r w:rsidRPr="00AD1694">
        <w:t> International Journal of Science and Research Archive, 08 (02). pp. 457-461.</w:t>
      </w:r>
    </w:p>
    <w:p w14:paraId="2DDF4DB2" w14:textId="77777777" w:rsidR="00BB35AD" w:rsidRDefault="00BB35AD" w:rsidP="00BB35AD"/>
    <w:p w14:paraId="6AB4692C" w14:textId="77777777" w:rsidR="00BB35AD" w:rsidRDefault="00BB35AD" w:rsidP="00BB35AD">
      <w:r w:rsidRPr="00174090">
        <w:t>College of Policing,</w:t>
      </w:r>
      <w:r w:rsidRPr="003A7E4A">
        <w:t xml:space="preserve"> (2024</w:t>
      </w:r>
      <w:r>
        <w:t>,</w:t>
      </w:r>
      <w:r w:rsidRPr="003A7E4A">
        <w:t xml:space="preserve">) </w:t>
      </w:r>
      <w:r>
        <w:rPr>
          <w:i/>
          <w:iCs/>
        </w:rPr>
        <w:t xml:space="preserve">Ethics, </w:t>
      </w:r>
      <w:r w:rsidRPr="003A7E4A">
        <w:t xml:space="preserve">Available at: </w:t>
      </w:r>
      <w:hyperlink r:id="rId17" w:history="1">
        <w:r w:rsidRPr="003A7E4A">
          <w:rPr>
            <w:rStyle w:val="Hyperlink"/>
          </w:rPr>
          <w:t>https://www.college.police.uk/ethics</w:t>
        </w:r>
      </w:hyperlink>
      <w:r w:rsidRPr="003A7E4A">
        <w:t xml:space="preserve"> (Accessed: 26 October 2024). </w:t>
      </w:r>
    </w:p>
    <w:p w14:paraId="2633B013" w14:textId="77777777" w:rsidR="00BB35AD" w:rsidRDefault="00BB35AD" w:rsidP="00BB35AD"/>
    <w:p w14:paraId="27F6A2BE" w14:textId="77777777" w:rsidR="00BB35AD" w:rsidRPr="00A60376" w:rsidRDefault="00BB35AD" w:rsidP="00BB35AD">
      <w:pPr>
        <w:spacing w:after="160" w:line="259" w:lineRule="auto"/>
      </w:pPr>
      <w:r w:rsidRPr="00A60376">
        <w:t>College of Policing</w:t>
      </w:r>
      <w:r w:rsidRPr="00A4614A">
        <w:t>,</w:t>
      </w:r>
      <w:r>
        <w:rPr>
          <w:i/>
          <w:iCs/>
        </w:rPr>
        <w:t xml:space="preserve"> (2013)</w:t>
      </w:r>
      <w:r>
        <w:t xml:space="preserve">, </w:t>
      </w:r>
      <w:r w:rsidRPr="00A60376">
        <w:t xml:space="preserve"> </w:t>
      </w:r>
      <w:r w:rsidRPr="00A60376">
        <w:rPr>
          <w:i/>
          <w:iCs/>
        </w:rPr>
        <w:t>Investigation process</w:t>
      </w:r>
      <w:r w:rsidRPr="00A60376">
        <w:t xml:space="preserve"> Available at: </w:t>
      </w:r>
      <w:hyperlink r:id="rId18" w:history="1">
        <w:r w:rsidRPr="00A60376">
          <w:rPr>
            <w:rStyle w:val="Hyperlink"/>
          </w:rPr>
          <w:t>https://www.college.police.uk/app/investigation/investigation-process</w:t>
        </w:r>
      </w:hyperlink>
      <w:r w:rsidRPr="00A60376">
        <w:t xml:space="preserve"> (Accessed: 26 October 2024). </w:t>
      </w:r>
    </w:p>
    <w:p w14:paraId="3BCE24B2" w14:textId="77777777" w:rsidR="00BB35AD" w:rsidRDefault="00BB35AD" w:rsidP="00BB35AD"/>
    <w:p w14:paraId="6E629A0D" w14:textId="77777777" w:rsidR="00BB35AD" w:rsidRPr="00BD3E89" w:rsidRDefault="00BB35AD" w:rsidP="00BB35AD">
      <w:pPr>
        <w:spacing w:after="160" w:line="259" w:lineRule="auto"/>
      </w:pPr>
      <w:r>
        <w:t>College of Policing,</w:t>
      </w:r>
      <w:r w:rsidRPr="00BD3E89">
        <w:t xml:space="preserve"> (2013)</w:t>
      </w:r>
      <w:r>
        <w:t xml:space="preserve"> </w:t>
      </w:r>
      <w:r w:rsidRPr="00BD3E89">
        <w:rPr>
          <w:i/>
          <w:iCs/>
        </w:rPr>
        <w:t>National decision model</w:t>
      </w:r>
      <w:r>
        <w:t xml:space="preserve">. </w:t>
      </w:r>
      <w:r w:rsidRPr="00BD3E89">
        <w:t xml:space="preserve">Available at: </w:t>
      </w:r>
      <w:hyperlink r:id="rId19" w:history="1">
        <w:r w:rsidRPr="00BD3E89">
          <w:rPr>
            <w:rStyle w:val="Hyperlink"/>
          </w:rPr>
          <w:t>https://www.college.police.uk/app/national-decision-model</w:t>
        </w:r>
      </w:hyperlink>
      <w:r w:rsidRPr="00BD3E89">
        <w:t xml:space="preserve"> (Accessed: 26 October 2024). </w:t>
      </w:r>
    </w:p>
    <w:p w14:paraId="57BCD94F" w14:textId="77777777" w:rsidR="00BB35AD" w:rsidRDefault="00BB35AD" w:rsidP="00BB35AD"/>
    <w:p w14:paraId="02E99DD2" w14:textId="77777777" w:rsidR="00BB35AD" w:rsidRDefault="00BB35AD" w:rsidP="00BB35AD"/>
    <w:p w14:paraId="575826E7" w14:textId="77777777" w:rsidR="00BB35AD" w:rsidRPr="00FC6259" w:rsidRDefault="00BB35AD" w:rsidP="00BB35AD">
      <w:pPr>
        <w:spacing w:after="160" w:line="259" w:lineRule="auto"/>
      </w:pPr>
      <w:r w:rsidRPr="00FC6259">
        <w:t>College of Policing</w:t>
      </w:r>
      <w:r>
        <w:t xml:space="preserve"> (2023), </w:t>
      </w:r>
      <w:r w:rsidRPr="00FC6259">
        <w:rPr>
          <w:i/>
          <w:iCs/>
        </w:rPr>
        <w:t>Policy considerations</w:t>
      </w:r>
      <w:r>
        <w:t>.</w:t>
      </w:r>
      <w:r w:rsidRPr="00FC6259">
        <w:t xml:space="preserve"> Available at: </w:t>
      </w:r>
      <w:hyperlink r:id="rId20" w:history="1">
        <w:r w:rsidRPr="00FC6259">
          <w:rPr>
            <w:rStyle w:val="Hyperlink"/>
          </w:rPr>
          <w:t>https://www.college.police.uk/guidance/right-care-right-person-toolkit/policy-considerations</w:t>
        </w:r>
      </w:hyperlink>
      <w:r w:rsidRPr="00FC6259">
        <w:t xml:space="preserve"> (Accessed: 28 October 2024). </w:t>
      </w:r>
    </w:p>
    <w:p w14:paraId="6BD94CCD" w14:textId="77777777" w:rsidR="00BB35AD" w:rsidRDefault="00BB35AD" w:rsidP="00BB35AD"/>
    <w:p w14:paraId="336AEF5D" w14:textId="77777777" w:rsidR="00D0519C" w:rsidRPr="00D0519C" w:rsidRDefault="00D0519C" w:rsidP="00D0519C">
      <w:r w:rsidRPr="00D0519C">
        <w:t>Dilevski, N., Cullen, H. J., Marsh, A., Paterson, H. M., &amp; van Golde, C. (2022). ‘Tell me what just happened’: the effect of immediate recall on adult memory for instances of a repeated event. </w:t>
      </w:r>
      <w:r w:rsidRPr="00D0519C">
        <w:rPr>
          <w:i/>
          <w:iCs/>
        </w:rPr>
        <w:t>Psychology, Crime &amp; Law</w:t>
      </w:r>
      <w:r w:rsidRPr="00D0519C">
        <w:t>, </w:t>
      </w:r>
      <w:r w:rsidRPr="00D0519C">
        <w:rPr>
          <w:i/>
          <w:iCs/>
        </w:rPr>
        <w:t>30</w:t>
      </w:r>
      <w:r w:rsidRPr="00D0519C">
        <w:t xml:space="preserve">(7), 773–797. </w:t>
      </w:r>
      <w:hyperlink r:id="rId21" w:history="1">
        <w:r w:rsidRPr="00D0519C">
          <w:rPr>
            <w:rStyle w:val="Hyperlink"/>
          </w:rPr>
          <w:t>https://doi.org/10.1080/1068316X.2022.2117808</w:t>
        </w:r>
      </w:hyperlink>
    </w:p>
    <w:p w14:paraId="5196AAB1" w14:textId="77777777" w:rsidR="00D0519C" w:rsidRDefault="00D0519C" w:rsidP="00BB35AD"/>
    <w:p w14:paraId="0A644000" w14:textId="77777777" w:rsidR="00BB35AD" w:rsidRDefault="00BB35AD" w:rsidP="00BB35AD"/>
    <w:p w14:paraId="42F7E64A" w14:textId="77777777" w:rsidR="00BB35AD" w:rsidRDefault="00BB35AD" w:rsidP="00BB35AD">
      <w:r w:rsidRPr="00050CA1">
        <w:t>Gibbs G (1988). Learning by Doing: A guide to teaching and learning methods. Further Education Unit. Oxford Polytechnic: Oxford.</w:t>
      </w:r>
    </w:p>
    <w:p w14:paraId="3B4A77C1" w14:textId="77777777" w:rsidR="00BB35AD" w:rsidRPr="00050CA1" w:rsidRDefault="00BB35AD" w:rsidP="00BB35AD">
      <w:pPr>
        <w:spacing w:after="160" w:line="259" w:lineRule="auto"/>
      </w:pPr>
    </w:p>
    <w:p w14:paraId="7C53294B" w14:textId="77777777" w:rsidR="00BB35AD" w:rsidRDefault="00BB35AD" w:rsidP="00BB35AD"/>
    <w:p w14:paraId="1D641A5C" w14:textId="77777777" w:rsidR="00BB35AD" w:rsidRDefault="00BB35AD" w:rsidP="00BB35AD">
      <w:r w:rsidRPr="00A5301D">
        <w:t>GOV.UK (2005)</w:t>
      </w:r>
      <w:r>
        <w:rPr>
          <w:i/>
          <w:iCs/>
        </w:rPr>
        <w:t xml:space="preserve">, </w:t>
      </w:r>
      <w:r w:rsidRPr="008D5C12">
        <w:rPr>
          <w:i/>
          <w:iCs/>
        </w:rPr>
        <w:t>The mental Capacity Act</w:t>
      </w:r>
      <w:r w:rsidRPr="008D5C12">
        <w:t xml:space="preserve"> </w:t>
      </w:r>
    </w:p>
    <w:p w14:paraId="2453F57E" w14:textId="77777777" w:rsidR="00BB35AD" w:rsidRDefault="00BB35AD" w:rsidP="00BB35AD">
      <w:r>
        <w:t xml:space="preserve">Accessed at: </w:t>
      </w:r>
      <w:hyperlink r:id="rId22" w:history="1">
        <w:r w:rsidRPr="00A5301D">
          <w:rPr>
            <w:rStyle w:val="Hyperlink"/>
          </w:rPr>
          <w:t>Mental Capacity Act 2005</w:t>
        </w:r>
      </w:hyperlink>
      <w:r>
        <w:t xml:space="preserve"> Accessed on: 27/10/2024</w:t>
      </w:r>
    </w:p>
    <w:p w14:paraId="43FDB3D9" w14:textId="77777777" w:rsidR="00BB35AD" w:rsidRDefault="00BB35AD" w:rsidP="00BB35AD"/>
    <w:p w14:paraId="76E953D6" w14:textId="77777777" w:rsidR="00BB35AD" w:rsidRPr="003A7E4A" w:rsidRDefault="00BB35AD" w:rsidP="00BB35AD">
      <w:pPr>
        <w:spacing w:after="160" w:line="259" w:lineRule="auto"/>
      </w:pPr>
    </w:p>
    <w:p w14:paraId="704227EF" w14:textId="77777777" w:rsidR="00BB35AD" w:rsidRPr="00340E85" w:rsidRDefault="00BB35AD" w:rsidP="00BB35AD">
      <w:pPr>
        <w:spacing w:after="160" w:line="259" w:lineRule="auto"/>
      </w:pPr>
      <w:r w:rsidRPr="00340E85">
        <w:t>Gwent police</w:t>
      </w:r>
      <w:r w:rsidRPr="00174090">
        <w:t>,</w:t>
      </w:r>
      <w:r>
        <w:t xml:space="preserve"> </w:t>
      </w:r>
      <w:r w:rsidRPr="00340E85">
        <w:t xml:space="preserve">(no date)  </w:t>
      </w:r>
      <w:r>
        <w:t xml:space="preserve"> </w:t>
      </w:r>
      <w:r>
        <w:rPr>
          <w:i/>
          <w:iCs/>
        </w:rPr>
        <w:t>Overview</w:t>
      </w:r>
      <w:r w:rsidRPr="00340E85">
        <w:rPr>
          <w:i/>
          <w:iCs/>
        </w:rPr>
        <w:t xml:space="preserve"> | gwent police</w:t>
      </w:r>
      <w:r>
        <w:t>.</w:t>
      </w:r>
      <w:r w:rsidRPr="00340E85">
        <w:t xml:space="preserve"> Available at: </w:t>
      </w:r>
      <w:hyperlink r:id="rId23" w:history="1">
        <w:r w:rsidRPr="00340E85">
          <w:rPr>
            <w:rStyle w:val="Hyperlink"/>
          </w:rPr>
          <w:t>https://www.gwent.police.uk/</w:t>
        </w:r>
      </w:hyperlink>
      <w:r w:rsidRPr="00340E85">
        <w:t xml:space="preserve"> (Accessed: 26 October 2024). </w:t>
      </w:r>
    </w:p>
    <w:p w14:paraId="40752633" w14:textId="77777777" w:rsidR="00470AD9" w:rsidRPr="003A3D10" w:rsidRDefault="00470AD9" w:rsidP="00470AD9">
      <w:pPr>
        <w:spacing w:after="160" w:line="259" w:lineRule="auto"/>
      </w:pPr>
      <w:r w:rsidRPr="003A3D10">
        <w:lastRenderedPageBreak/>
        <w:t xml:space="preserve">HM Inspectorate of Probation (2021) </w:t>
      </w:r>
      <w:r w:rsidRPr="003A3D10">
        <w:rPr>
          <w:i/>
          <w:iCs/>
        </w:rPr>
        <w:t>Multi-agency Public Protection Arrangements</w:t>
      </w:r>
      <w:r w:rsidRPr="003A3D10">
        <w:t xml:space="preserve">. Available at: </w:t>
      </w:r>
      <w:hyperlink r:id="rId24" w:history="1">
        <w:r w:rsidRPr="003A3D10">
          <w:rPr>
            <w:rStyle w:val="Hyperlink"/>
          </w:rPr>
          <w:t>https://www.justiceinspectorates.gov.uk/hmiprobation/research/the-evidence-base-probation/specific-types-of-delivery/mappa/</w:t>
        </w:r>
      </w:hyperlink>
      <w:r w:rsidRPr="003A3D10">
        <w:t xml:space="preserve"> (Accessed: 27 October 2024). </w:t>
      </w:r>
    </w:p>
    <w:p w14:paraId="3502EAF2" w14:textId="77777777" w:rsidR="00BB35AD" w:rsidRDefault="00BB35AD" w:rsidP="00BB35AD"/>
    <w:p w14:paraId="5C1AD378" w14:textId="28F65135" w:rsidR="00470AD9" w:rsidRPr="00470AD9" w:rsidRDefault="00470AD9" w:rsidP="00470AD9">
      <w:r w:rsidRPr="00470AD9">
        <w:t>Hopper, J.</w:t>
      </w:r>
      <w:r>
        <w:t>, (2018),</w:t>
      </w:r>
      <w:r w:rsidRPr="00470AD9">
        <w:t> </w:t>
      </w:r>
      <w:r w:rsidRPr="00470AD9">
        <w:rPr>
          <w:i/>
          <w:iCs/>
        </w:rPr>
        <w:t>Why Can't Christine Blasey Ford Remember How She Got Home? Time-dependent effects of stress on the hippocampus and memory—and why they matter</w:t>
      </w:r>
      <w:r w:rsidRPr="00470AD9">
        <w:t>. Scientific American, blog, October 5, 2018.</w:t>
      </w:r>
    </w:p>
    <w:p w14:paraId="6DC85526" w14:textId="77777777" w:rsidR="00470AD9" w:rsidRDefault="00470AD9" w:rsidP="00BB35AD"/>
    <w:p w14:paraId="0FC50A64" w14:textId="77777777" w:rsidR="00470AD9" w:rsidRDefault="00470AD9" w:rsidP="00BB35AD"/>
    <w:p w14:paraId="4BFC07C7" w14:textId="77777777" w:rsidR="00BB35AD" w:rsidRDefault="00BB35AD" w:rsidP="00BB35AD">
      <w:r w:rsidRPr="00340E85">
        <w:t>Miller, D.T. and Porter, C.A. (1983), Self-Blame in Victims of Violence. Journal of Social Issues, 39: 139-152. </w:t>
      </w:r>
      <w:hyperlink r:id="rId25" w:history="1">
        <w:r w:rsidRPr="00340E85">
          <w:rPr>
            <w:rStyle w:val="Hyperlink"/>
          </w:rPr>
          <w:t>https://doi.org/10.1111/j.1540-4560.1983.tb00145.x</w:t>
        </w:r>
      </w:hyperlink>
    </w:p>
    <w:p w14:paraId="1EC32A2C" w14:textId="77777777" w:rsidR="00BB35AD" w:rsidRDefault="00BB35AD" w:rsidP="00BB35AD"/>
    <w:p w14:paraId="40359B66" w14:textId="77777777" w:rsidR="00BB35AD" w:rsidRDefault="00BB35AD" w:rsidP="00BB35AD">
      <w:r w:rsidRPr="00963AE2">
        <w:t>Ministry of Justice, (2022)</w:t>
      </w:r>
      <w:r>
        <w:t xml:space="preserve"> </w:t>
      </w:r>
      <w:r w:rsidRPr="00963AE2">
        <w:t>4th edn</w:t>
      </w:r>
      <w:r>
        <w:t>,</w:t>
      </w:r>
      <w:r w:rsidRPr="00963AE2">
        <w:t xml:space="preserve"> </w:t>
      </w:r>
      <w:r w:rsidRPr="00963AE2">
        <w:rPr>
          <w:i/>
          <w:iCs/>
        </w:rPr>
        <w:t>Achieving Best Evidence in Criminal Proceedings: Guidance on Interviewing Victims and Witnesses. and Guidance on Using Special Measures</w:t>
      </w:r>
      <w:r w:rsidRPr="00963AE2">
        <w:t xml:space="preserve">. rep. Ministry of Justice, pp. 1–40. </w:t>
      </w:r>
    </w:p>
    <w:p w14:paraId="6397617C" w14:textId="77777777" w:rsidR="00BB35AD" w:rsidRPr="00340E85" w:rsidRDefault="00BB35AD" w:rsidP="00BB35AD">
      <w:pPr>
        <w:spacing w:after="160" w:line="259" w:lineRule="auto"/>
      </w:pPr>
    </w:p>
    <w:p w14:paraId="4183AC30" w14:textId="77777777" w:rsidR="00BB35AD" w:rsidRDefault="00BB35AD" w:rsidP="00BB35AD">
      <w:r>
        <w:t xml:space="preserve">Ministry of Justice, (2020), Code of Practice for Victims of Crime in England and Wales. Available at: </w:t>
      </w:r>
      <w:hyperlink r:id="rId26" w:history="1">
        <w:r w:rsidRPr="003F0A7B">
          <w:rPr>
            <w:rStyle w:val="Hyperlink"/>
          </w:rPr>
          <w:t>MoJ Victims Code 2020</w:t>
        </w:r>
      </w:hyperlink>
      <w:r>
        <w:t xml:space="preserve"> Accessed on: 26 October 2024</w:t>
      </w:r>
    </w:p>
    <w:p w14:paraId="7371749E" w14:textId="77777777" w:rsidR="00BB35AD" w:rsidRPr="00963AE2" w:rsidRDefault="00BB35AD" w:rsidP="00BB35AD">
      <w:pPr>
        <w:spacing w:after="160" w:line="259" w:lineRule="auto"/>
      </w:pPr>
    </w:p>
    <w:p w14:paraId="6293C0AA" w14:textId="77777777" w:rsidR="00BB35AD" w:rsidRDefault="00BB35AD" w:rsidP="00BB35AD">
      <w:r w:rsidRPr="007456AD">
        <w:t>Shamsad, R. (2020). Safeguarding Vulnerable Persons. </w:t>
      </w:r>
      <w:r w:rsidRPr="007456AD">
        <w:rPr>
          <w:i/>
          <w:iCs/>
        </w:rPr>
        <w:t>The Journal of Development Communication</w:t>
      </w:r>
      <w:r w:rsidRPr="007456AD">
        <w:t>, </w:t>
      </w:r>
      <w:r w:rsidRPr="007456AD">
        <w:rPr>
          <w:i/>
          <w:iCs/>
        </w:rPr>
        <w:t>31</w:t>
      </w:r>
      <w:r w:rsidRPr="007456AD">
        <w:t>(1), 26-33.</w:t>
      </w:r>
    </w:p>
    <w:p w14:paraId="59532FEB" w14:textId="77777777" w:rsidR="00BB35AD" w:rsidRDefault="00BB35AD" w:rsidP="00BB35AD"/>
    <w:p w14:paraId="6762355E" w14:textId="77777777" w:rsidR="00BB35AD" w:rsidRPr="008D5C12" w:rsidRDefault="00BB35AD" w:rsidP="00BB35AD">
      <w:pPr>
        <w:spacing w:after="160" w:line="259" w:lineRule="auto"/>
      </w:pPr>
    </w:p>
    <w:p w14:paraId="3DA63FAD" w14:textId="77777777" w:rsidR="00BB35AD" w:rsidRPr="007456AD" w:rsidRDefault="00BB35AD" w:rsidP="00BB35AD">
      <w:pPr>
        <w:spacing w:after="160" w:line="259" w:lineRule="auto"/>
      </w:pPr>
    </w:p>
    <w:p w14:paraId="2DE5923C" w14:textId="77777777" w:rsidR="00BB35AD" w:rsidRDefault="00BB35AD" w:rsidP="00BB35AD"/>
    <w:p w14:paraId="6E93651F" w14:textId="77777777" w:rsidR="005811ED" w:rsidRDefault="005811ED" w:rsidP="00EA28F1">
      <w:pPr>
        <w:keepNext/>
        <w:spacing w:before="240" w:after="60"/>
        <w:ind w:right="237"/>
        <w:jc w:val="both"/>
      </w:pPr>
    </w:p>
    <w:sectPr w:rsidR="005811E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5C6146" w14:textId="77777777" w:rsidR="001A3323" w:rsidRDefault="001A3323">
      <w:r>
        <w:separator/>
      </w:r>
    </w:p>
  </w:endnote>
  <w:endnote w:type="continuationSeparator" w:id="0">
    <w:p w14:paraId="4A2D185C" w14:textId="77777777" w:rsidR="001A3323" w:rsidRDefault="001A33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4FE3B2" w14:textId="77777777" w:rsidR="001A3323" w:rsidRDefault="001A3323">
      <w:r>
        <w:separator/>
      </w:r>
    </w:p>
  </w:footnote>
  <w:footnote w:type="continuationSeparator" w:id="0">
    <w:p w14:paraId="3922DEDA" w14:textId="77777777" w:rsidR="001A3323" w:rsidRDefault="001A33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550C"/>
    <w:rsid w:val="00020EEC"/>
    <w:rsid w:val="00025650"/>
    <w:rsid w:val="00026FAB"/>
    <w:rsid w:val="00027B1F"/>
    <w:rsid w:val="0003088B"/>
    <w:rsid w:val="000325D9"/>
    <w:rsid w:val="000372B2"/>
    <w:rsid w:val="0004079F"/>
    <w:rsid w:val="00045B87"/>
    <w:rsid w:val="00045C07"/>
    <w:rsid w:val="00051A57"/>
    <w:rsid w:val="00055D43"/>
    <w:rsid w:val="00056FAC"/>
    <w:rsid w:val="00057751"/>
    <w:rsid w:val="00060FAD"/>
    <w:rsid w:val="00062E39"/>
    <w:rsid w:val="0006580E"/>
    <w:rsid w:val="00066575"/>
    <w:rsid w:val="000729E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930"/>
    <w:rsid w:val="000C378F"/>
    <w:rsid w:val="000C6892"/>
    <w:rsid w:val="000C6FFE"/>
    <w:rsid w:val="000D0BB6"/>
    <w:rsid w:val="000E1728"/>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297"/>
    <w:rsid w:val="001447F6"/>
    <w:rsid w:val="00147DE3"/>
    <w:rsid w:val="00150794"/>
    <w:rsid w:val="00152CC1"/>
    <w:rsid w:val="001608C4"/>
    <w:rsid w:val="00171418"/>
    <w:rsid w:val="00181528"/>
    <w:rsid w:val="00190913"/>
    <w:rsid w:val="001961CF"/>
    <w:rsid w:val="001A3323"/>
    <w:rsid w:val="001A59BB"/>
    <w:rsid w:val="001A6A51"/>
    <w:rsid w:val="001A79C4"/>
    <w:rsid w:val="001B331A"/>
    <w:rsid w:val="001C0E74"/>
    <w:rsid w:val="001C6CEC"/>
    <w:rsid w:val="001D229F"/>
    <w:rsid w:val="001D6162"/>
    <w:rsid w:val="001E2702"/>
    <w:rsid w:val="001E5AC7"/>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1E14"/>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7F0"/>
    <w:rsid w:val="00322A0B"/>
    <w:rsid w:val="00332F54"/>
    <w:rsid w:val="00335FC5"/>
    <w:rsid w:val="00340E9A"/>
    <w:rsid w:val="00341D6B"/>
    <w:rsid w:val="003516C0"/>
    <w:rsid w:val="00352E59"/>
    <w:rsid w:val="00354DBE"/>
    <w:rsid w:val="00355210"/>
    <w:rsid w:val="003555D5"/>
    <w:rsid w:val="003633B6"/>
    <w:rsid w:val="00365DF9"/>
    <w:rsid w:val="0036668D"/>
    <w:rsid w:val="00372DB4"/>
    <w:rsid w:val="003748E9"/>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382B"/>
    <w:rsid w:val="003C19F1"/>
    <w:rsid w:val="003C4186"/>
    <w:rsid w:val="003C458C"/>
    <w:rsid w:val="003C6185"/>
    <w:rsid w:val="003D0D2D"/>
    <w:rsid w:val="003D4710"/>
    <w:rsid w:val="003E16D7"/>
    <w:rsid w:val="003E197E"/>
    <w:rsid w:val="004046F0"/>
    <w:rsid w:val="0040668F"/>
    <w:rsid w:val="00412677"/>
    <w:rsid w:val="00417925"/>
    <w:rsid w:val="004348AE"/>
    <w:rsid w:val="0043534C"/>
    <w:rsid w:val="00435E9A"/>
    <w:rsid w:val="004376C0"/>
    <w:rsid w:val="0044115F"/>
    <w:rsid w:val="0044223A"/>
    <w:rsid w:val="004452EA"/>
    <w:rsid w:val="00446792"/>
    <w:rsid w:val="00446F80"/>
    <w:rsid w:val="00450C83"/>
    <w:rsid w:val="00451851"/>
    <w:rsid w:val="00453343"/>
    <w:rsid w:val="004578E4"/>
    <w:rsid w:val="004608B9"/>
    <w:rsid w:val="00460ADB"/>
    <w:rsid w:val="00465947"/>
    <w:rsid w:val="004672C1"/>
    <w:rsid w:val="00470AD9"/>
    <w:rsid w:val="00470BB1"/>
    <w:rsid w:val="004718F7"/>
    <w:rsid w:val="00473153"/>
    <w:rsid w:val="004743AF"/>
    <w:rsid w:val="00482C17"/>
    <w:rsid w:val="004904C5"/>
    <w:rsid w:val="004911B4"/>
    <w:rsid w:val="0049196A"/>
    <w:rsid w:val="004923DA"/>
    <w:rsid w:val="00493434"/>
    <w:rsid w:val="00495046"/>
    <w:rsid w:val="004962F9"/>
    <w:rsid w:val="004968E2"/>
    <w:rsid w:val="004A07F1"/>
    <w:rsid w:val="004A0D32"/>
    <w:rsid w:val="004A14C4"/>
    <w:rsid w:val="004A2397"/>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28B"/>
    <w:rsid w:val="004F740D"/>
    <w:rsid w:val="004F7B8F"/>
    <w:rsid w:val="00500748"/>
    <w:rsid w:val="005011D6"/>
    <w:rsid w:val="0050167A"/>
    <w:rsid w:val="005042F1"/>
    <w:rsid w:val="00510D6A"/>
    <w:rsid w:val="00513C7D"/>
    <w:rsid w:val="005169D1"/>
    <w:rsid w:val="005176FD"/>
    <w:rsid w:val="00521123"/>
    <w:rsid w:val="00521221"/>
    <w:rsid w:val="00536FA9"/>
    <w:rsid w:val="005414F4"/>
    <w:rsid w:val="00546187"/>
    <w:rsid w:val="005463F1"/>
    <w:rsid w:val="00557D77"/>
    <w:rsid w:val="00562EAA"/>
    <w:rsid w:val="00563B58"/>
    <w:rsid w:val="005640C4"/>
    <w:rsid w:val="00564C53"/>
    <w:rsid w:val="0056684C"/>
    <w:rsid w:val="00570610"/>
    <w:rsid w:val="00574A0C"/>
    <w:rsid w:val="00576E4C"/>
    <w:rsid w:val="0057780F"/>
    <w:rsid w:val="005811ED"/>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476C1"/>
    <w:rsid w:val="0065276E"/>
    <w:rsid w:val="00654329"/>
    <w:rsid w:val="00654CEC"/>
    <w:rsid w:val="00655507"/>
    <w:rsid w:val="00667794"/>
    <w:rsid w:val="006712A7"/>
    <w:rsid w:val="006733CC"/>
    <w:rsid w:val="00674FC2"/>
    <w:rsid w:val="00677E42"/>
    <w:rsid w:val="00682334"/>
    <w:rsid w:val="00684B16"/>
    <w:rsid w:val="00694C00"/>
    <w:rsid w:val="00696F65"/>
    <w:rsid w:val="006A0F84"/>
    <w:rsid w:val="006A7A6D"/>
    <w:rsid w:val="006B26D1"/>
    <w:rsid w:val="006B5E67"/>
    <w:rsid w:val="006C2EB5"/>
    <w:rsid w:val="006D18A3"/>
    <w:rsid w:val="006D5970"/>
    <w:rsid w:val="006E481E"/>
    <w:rsid w:val="006E692F"/>
    <w:rsid w:val="006E795F"/>
    <w:rsid w:val="00700249"/>
    <w:rsid w:val="0070604C"/>
    <w:rsid w:val="007069CD"/>
    <w:rsid w:val="00710D69"/>
    <w:rsid w:val="007110E6"/>
    <w:rsid w:val="00711A70"/>
    <w:rsid w:val="007120DA"/>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7F62DC"/>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68A0"/>
    <w:rsid w:val="00880539"/>
    <w:rsid w:val="008859E8"/>
    <w:rsid w:val="0088737B"/>
    <w:rsid w:val="00892716"/>
    <w:rsid w:val="00893067"/>
    <w:rsid w:val="008933DE"/>
    <w:rsid w:val="00895FCE"/>
    <w:rsid w:val="00897F3E"/>
    <w:rsid w:val="008A1BA8"/>
    <w:rsid w:val="008A21B4"/>
    <w:rsid w:val="008A4576"/>
    <w:rsid w:val="008B07DE"/>
    <w:rsid w:val="008B28E7"/>
    <w:rsid w:val="008B34B0"/>
    <w:rsid w:val="008C14C7"/>
    <w:rsid w:val="008C2FFB"/>
    <w:rsid w:val="008C6B4A"/>
    <w:rsid w:val="008C6EEA"/>
    <w:rsid w:val="008D5813"/>
    <w:rsid w:val="008D634E"/>
    <w:rsid w:val="008D778A"/>
    <w:rsid w:val="008D78BB"/>
    <w:rsid w:val="008E2368"/>
    <w:rsid w:val="008F22BD"/>
    <w:rsid w:val="00903140"/>
    <w:rsid w:val="009079BD"/>
    <w:rsid w:val="00912BD9"/>
    <w:rsid w:val="00916CFB"/>
    <w:rsid w:val="00920E5B"/>
    <w:rsid w:val="009249F8"/>
    <w:rsid w:val="00926436"/>
    <w:rsid w:val="0093018C"/>
    <w:rsid w:val="00932CCA"/>
    <w:rsid w:val="0094172A"/>
    <w:rsid w:val="009544C0"/>
    <w:rsid w:val="00954FA4"/>
    <w:rsid w:val="00956AE9"/>
    <w:rsid w:val="00964CC6"/>
    <w:rsid w:val="00991036"/>
    <w:rsid w:val="00991FDA"/>
    <w:rsid w:val="009927A1"/>
    <w:rsid w:val="0099774D"/>
    <w:rsid w:val="009A310E"/>
    <w:rsid w:val="009A5F3B"/>
    <w:rsid w:val="009B0B61"/>
    <w:rsid w:val="009B28C0"/>
    <w:rsid w:val="009B395A"/>
    <w:rsid w:val="009B7136"/>
    <w:rsid w:val="009B7806"/>
    <w:rsid w:val="009C3AC2"/>
    <w:rsid w:val="009C4544"/>
    <w:rsid w:val="009C47AA"/>
    <w:rsid w:val="009D4365"/>
    <w:rsid w:val="009D4E3B"/>
    <w:rsid w:val="009D7BC9"/>
    <w:rsid w:val="009E0C5A"/>
    <w:rsid w:val="009E1982"/>
    <w:rsid w:val="009E4D2C"/>
    <w:rsid w:val="009F0978"/>
    <w:rsid w:val="009F3AEC"/>
    <w:rsid w:val="00A00081"/>
    <w:rsid w:val="00A015F7"/>
    <w:rsid w:val="00A10D56"/>
    <w:rsid w:val="00A11EBE"/>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392"/>
    <w:rsid w:val="00B31C91"/>
    <w:rsid w:val="00B35205"/>
    <w:rsid w:val="00B3747F"/>
    <w:rsid w:val="00B43194"/>
    <w:rsid w:val="00B47734"/>
    <w:rsid w:val="00B50E28"/>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35AD"/>
    <w:rsid w:val="00BB5EAA"/>
    <w:rsid w:val="00BB5F11"/>
    <w:rsid w:val="00BC0401"/>
    <w:rsid w:val="00BC04FA"/>
    <w:rsid w:val="00BC1C22"/>
    <w:rsid w:val="00BC460B"/>
    <w:rsid w:val="00BC5725"/>
    <w:rsid w:val="00BD1968"/>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435C"/>
    <w:rsid w:val="00D0519C"/>
    <w:rsid w:val="00D052BC"/>
    <w:rsid w:val="00D07026"/>
    <w:rsid w:val="00D07BAB"/>
    <w:rsid w:val="00D11C62"/>
    <w:rsid w:val="00D22C8F"/>
    <w:rsid w:val="00D33491"/>
    <w:rsid w:val="00D35ED9"/>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3F96"/>
    <w:rsid w:val="00DA5860"/>
    <w:rsid w:val="00DB2767"/>
    <w:rsid w:val="00DC4729"/>
    <w:rsid w:val="00DC6469"/>
    <w:rsid w:val="00DE556F"/>
    <w:rsid w:val="00E03B6D"/>
    <w:rsid w:val="00E0649E"/>
    <w:rsid w:val="00E10527"/>
    <w:rsid w:val="00E13F17"/>
    <w:rsid w:val="00E17160"/>
    <w:rsid w:val="00E2022C"/>
    <w:rsid w:val="00E35BEC"/>
    <w:rsid w:val="00E42783"/>
    <w:rsid w:val="00E50821"/>
    <w:rsid w:val="00E50EF8"/>
    <w:rsid w:val="00E51F91"/>
    <w:rsid w:val="00E6160F"/>
    <w:rsid w:val="00E676F7"/>
    <w:rsid w:val="00E7086E"/>
    <w:rsid w:val="00E7374A"/>
    <w:rsid w:val="00E73C41"/>
    <w:rsid w:val="00E7598F"/>
    <w:rsid w:val="00E76F60"/>
    <w:rsid w:val="00E83D90"/>
    <w:rsid w:val="00E83F28"/>
    <w:rsid w:val="00E83F91"/>
    <w:rsid w:val="00E9107A"/>
    <w:rsid w:val="00E91F62"/>
    <w:rsid w:val="00E929FD"/>
    <w:rsid w:val="00E93240"/>
    <w:rsid w:val="00E944CA"/>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6554"/>
    <w:rsid w:val="00FC6732"/>
    <w:rsid w:val="00FC702B"/>
    <w:rsid w:val="00FD3D7C"/>
    <w:rsid w:val="00FD4F8F"/>
    <w:rsid w:val="00FD4FF1"/>
    <w:rsid w:val="00FD7B4B"/>
    <w:rsid w:val="00FE0C16"/>
    <w:rsid w:val="00FE14AD"/>
    <w:rsid w:val="00FE14B1"/>
    <w:rsid w:val="00FE1F6A"/>
    <w:rsid w:val="00FE5DD5"/>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C97D561-3AF5-4712-BA6A-1871A959F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D05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15693187">
      <w:bodyDiv w:val="1"/>
      <w:marLeft w:val="0"/>
      <w:marRight w:val="0"/>
      <w:marTop w:val="0"/>
      <w:marBottom w:val="0"/>
      <w:divBdr>
        <w:top w:val="none" w:sz="0" w:space="0" w:color="auto"/>
        <w:left w:val="none" w:sz="0" w:space="0" w:color="auto"/>
        <w:bottom w:val="none" w:sz="0" w:space="0" w:color="auto"/>
        <w:right w:val="none" w:sz="0" w:space="0" w:color="auto"/>
      </w:divBdr>
    </w:div>
    <w:div w:id="316301986">
      <w:bodyDiv w:val="1"/>
      <w:marLeft w:val="0"/>
      <w:marRight w:val="0"/>
      <w:marTop w:val="0"/>
      <w:marBottom w:val="0"/>
      <w:divBdr>
        <w:top w:val="none" w:sz="0" w:space="0" w:color="auto"/>
        <w:left w:val="none" w:sz="0" w:space="0" w:color="auto"/>
        <w:bottom w:val="none" w:sz="0" w:space="0" w:color="auto"/>
        <w:right w:val="none" w:sz="0" w:space="0" w:color="auto"/>
      </w:divBdr>
    </w:div>
    <w:div w:id="6942328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998952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assets.publishing.service.gov.uk/media/60620279d3bf7f5ceaca0d89/victims-code-2020.pdf" TargetMode="External"/><Relationship Id="rId3" Type="http://schemas.openxmlformats.org/officeDocument/2006/relationships/customXml" Target="../customXml/item3.xml"/><Relationship Id="rId21" Type="http://schemas.openxmlformats.org/officeDocument/2006/relationships/hyperlink" Target="https://doi.org/10.1080/1068316X.2022.211780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 TargetMode="External"/><Relationship Id="rId25" Type="http://schemas.openxmlformats.org/officeDocument/2006/relationships/hyperlink" Target="https://gbr01.safelinks.protection.outlook.com/?url=https%3A%2F%2Fdoi.org%2F10.1111%2Fj.1540-4560.1983.tb00145.x&amp;data=05%7C02%7Ckelly.smith%40gwent.police.uk%7C36524c5e13bf40fe8bfe08dcf747924f%7Ce46c8472ef5d4b63bc744a60db42c371%7C0%7C0%7C638657133970440472%7CUnknown%7CTWFpbGZsb3d8eyJWIjoiMC4wLjAwMDAiLCJQIjoiV2luMzIiLCJBTiI6Ik1haWwiLCJXVCI6Mn0%3D%7C0%7C%7C%7C&amp;sdata=y3VAIM1XKhUkfCZqmawEcZT837I1VPR0EB62vSUPrus%3D&amp;reserved=0" TargetMode="External"/><Relationship Id="rId2" Type="http://schemas.openxmlformats.org/officeDocument/2006/relationships/customXml" Target="../customXml/item2.xml"/><Relationship Id="rId16" Type="http://schemas.openxmlformats.org/officeDocument/2006/relationships/hyperlink" Target="https://www.cna.org/our-media/indepth/2024/06/victim-centered-policing" TargetMode="External"/><Relationship Id="rId20" Type="http://schemas.openxmlformats.org/officeDocument/2006/relationships/hyperlink" Target="https://www.college.police.uk/guidance/right-care-right-person-toolkit/policy-consider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probation/research/the-evidence-base-probation/specific-types-of-delivery/mappa/"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gwent.police.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2005/9/cont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6139</Words>
  <Characters>34993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Smith, Kelly</cp:lastModifiedBy>
  <cp:revision>3</cp:revision>
  <cp:lastPrinted>2014-08-26T08:55:00Z</cp:lastPrinted>
  <dcterms:created xsi:type="dcterms:W3CDTF">2024-10-28T21:56:00Z</dcterms:created>
  <dcterms:modified xsi:type="dcterms:W3CDTF">2024-10-28T21:58:00Z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2024-05-19T12:42:03Z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2d780dd9-a2a9-425c-a92a-cfc5492be3f1</vt:lpwstr>
  </property>
  <property fmtid="{D5CDD505-2E9C-101B-9397-08002B2CF9AE}" pid="9" name="MSIP_Label_f2acd28b-79a3-4a0f-b0ff-4b75658b1549_ContentBits">
    <vt:lpwstr>0</vt:lpwstr>
  </property>
</Properties>
</file>