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67DD9" w14:textId="06AF7F6F" w:rsidR="005B4AFC" w:rsidRPr="000D7D53" w:rsidRDefault="008C5D41">
      <w:pPr>
        <w:rPr>
          <w:rFonts w:ascii="Arial" w:hAnsi="Arial" w:cs="Arial"/>
          <w:sz w:val="48"/>
          <w:szCs w:val="48"/>
        </w:rPr>
      </w:pPr>
      <w:r w:rsidRPr="000D7D53">
        <w:rPr>
          <w:rFonts w:ascii="Arial" w:hAnsi="Arial" w:cs="Arial"/>
          <w:sz w:val="48"/>
          <w:szCs w:val="48"/>
        </w:rPr>
        <w:t>The impact of the Corona Virus 19 pandemic and subsequent measures on the elderly population of the UK</w:t>
      </w:r>
    </w:p>
    <w:p w14:paraId="15B8677F" w14:textId="45E9F767" w:rsidR="008C5D41" w:rsidRPr="000D7D53" w:rsidRDefault="008C5D41">
      <w:pPr>
        <w:rPr>
          <w:rFonts w:ascii="Arial" w:hAnsi="Arial" w:cs="Arial"/>
          <w:sz w:val="48"/>
          <w:szCs w:val="48"/>
        </w:rPr>
      </w:pPr>
    </w:p>
    <w:p w14:paraId="3BC50096" w14:textId="3676E5B3" w:rsidR="008C5D41" w:rsidRPr="000D7D53" w:rsidRDefault="008C5D41">
      <w:pPr>
        <w:rPr>
          <w:rFonts w:ascii="Arial" w:hAnsi="Arial" w:cs="Arial"/>
          <w:sz w:val="48"/>
          <w:szCs w:val="48"/>
        </w:rPr>
      </w:pPr>
      <w:r w:rsidRPr="000D7D53">
        <w:rPr>
          <w:rFonts w:ascii="Arial" w:hAnsi="Arial" w:cs="Arial"/>
          <w:sz w:val="48"/>
          <w:szCs w:val="48"/>
        </w:rPr>
        <w:t>Gheorghe Adrian Cot</w:t>
      </w:r>
    </w:p>
    <w:p w14:paraId="0A56E25E" w14:textId="2E5CB156" w:rsidR="008C5D41" w:rsidRPr="000D7D53" w:rsidRDefault="008C5D41">
      <w:pPr>
        <w:rPr>
          <w:rFonts w:ascii="Arial" w:hAnsi="Arial" w:cs="Arial"/>
          <w:sz w:val="48"/>
          <w:szCs w:val="48"/>
        </w:rPr>
      </w:pPr>
      <w:r w:rsidRPr="000D7D53">
        <w:rPr>
          <w:rFonts w:ascii="Arial" w:hAnsi="Arial" w:cs="Arial"/>
          <w:sz w:val="48"/>
          <w:szCs w:val="48"/>
        </w:rPr>
        <w:t>1913213</w:t>
      </w:r>
    </w:p>
    <w:p w14:paraId="350C0CA1" w14:textId="2A4D54E8" w:rsidR="000D7D53" w:rsidRPr="000D7D53" w:rsidRDefault="000D7D53">
      <w:pPr>
        <w:rPr>
          <w:rFonts w:ascii="Arial" w:hAnsi="Arial" w:cs="Arial"/>
          <w:sz w:val="48"/>
          <w:szCs w:val="48"/>
        </w:rPr>
      </w:pPr>
    </w:p>
    <w:p w14:paraId="73BF08A4" w14:textId="3179F3C1" w:rsidR="000D7D53" w:rsidRPr="000D7D53" w:rsidRDefault="000D7D53">
      <w:pPr>
        <w:rPr>
          <w:rFonts w:ascii="Arial" w:hAnsi="Arial" w:cs="Arial"/>
          <w:sz w:val="48"/>
          <w:szCs w:val="48"/>
        </w:rPr>
      </w:pPr>
      <w:r w:rsidRPr="000D7D53">
        <w:rPr>
          <w:rFonts w:ascii="Arial" w:hAnsi="Arial" w:cs="Arial"/>
          <w:sz w:val="48"/>
          <w:szCs w:val="48"/>
        </w:rPr>
        <w:t>Living with care: The older person</w:t>
      </w:r>
    </w:p>
    <w:p w14:paraId="2E88EF6F" w14:textId="55504A70" w:rsidR="000D7D53" w:rsidRPr="000D7D53" w:rsidRDefault="000D7D53">
      <w:pPr>
        <w:rPr>
          <w:rFonts w:ascii="Arial" w:hAnsi="Arial" w:cs="Arial"/>
          <w:sz w:val="48"/>
          <w:szCs w:val="48"/>
        </w:rPr>
      </w:pPr>
      <w:r w:rsidRPr="000D7D53">
        <w:rPr>
          <w:rFonts w:ascii="Arial" w:hAnsi="Arial" w:cs="Arial"/>
          <w:sz w:val="48"/>
          <w:szCs w:val="48"/>
        </w:rPr>
        <w:t>BMHP6009</w:t>
      </w:r>
    </w:p>
    <w:p w14:paraId="19733DF8" w14:textId="751D243D" w:rsidR="008C5D41" w:rsidRPr="000D7D53" w:rsidRDefault="008C5D41">
      <w:pPr>
        <w:rPr>
          <w:rFonts w:ascii="Arial" w:hAnsi="Arial" w:cs="Arial"/>
          <w:sz w:val="48"/>
          <w:szCs w:val="48"/>
        </w:rPr>
      </w:pPr>
    </w:p>
    <w:p w14:paraId="7A042D7F" w14:textId="48F5576D" w:rsidR="008C5D41" w:rsidRPr="000D7D53" w:rsidRDefault="008C5D41">
      <w:pPr>
        <w:rPr>
          <w:rFonts w:ascii="Arial" w:hAnsi="Arial" w:cs="Arial"/>
          <w:sz w:val="48"/>
          <w:szCs w:val="48"/>
        </w:rPr>
      </w:pPr>
      <w:r w:rsidRPr="000D7D53">
        <w:rPr>
          <w:rFonts w:ascii="Arial" w:hAnsi="Arial" w:cs="Arial"/>
          <w:sz w:val="48"/>
          <w:szCs w:val="48"/>
        </w:rPr>
        <w:t>Joanne</w:t>
      </w:r>
      <w:r w:rsidR="00EF63E5" w:rsidRPr="000D7D53">
        <w:rPr>
          <w:rFonts w:ascii="Arial" w:hAnsi="Arial" w:cs="Arial"/>
          <w:sz w:val="48"/>
          <w:szCs w:val="48"/>
        </w:rPr>
        <w:t xml:space="preserve"> Davies</w:t>
      </w:r>
    </w:p>
    <w:p w14:paraId="5A2BA03A" w14:textId="56AEB9BE" w:rsidR="008C5D41" w:rsidRDefault="008C5D41"/>
    <w:p w14:paraId="0818A4B7" w14:textId="36D8A795" w:rsidR="008C5D41" w:rsidRDefault="008C5D41"/>
    <w:p w14:paraId="30A1D84B" w14:textId="4BF394EE" w:rsidR="008C5D41" w:rsidRDefault="008C5D41"/>
    <w:p w14:paraId="5AA54693" w14:textId="1191669F" w:rsidR="008C5D41" w:rsidRDefault="008C5D41"/>
    <w:p w14:paraId="121AA6D9" w14:textId="237F9871" w:rsidR="008C5D41" w:rsidRDefault="008C5D41"/>
    <w:p w14:paraId="7107F712" w14:textId="599E6D71" w:rsidR="008C5D41" w:rsidRDefault="008C5D41"/>
    <w:p w14:paraId="2DD9644A" w14:textId="07E9355E" w:rsidR="008C5D41" w:rsidRDefault="008C5D41"/>
    <w:p w14:paraId="18B0F965" w14:textId="585C4B8A" w:rsidR="008C5D41" w:rsidRDefault="008C5D41"/>
    <w:p w14:paraId="67CAE1A5" w14:textId="6D3F6216" w:rsidR="008C5D41" w:rsidRDefault="008C5D41"/>
    <w:p w14:paraId="33A2DC74" w14:textId="09F02EBA" w:rsidR="008C5D41" w:rsidRDefault="008C5D41"/>
    <w:p w14:paraId="5E3D4E37" w14:textId="70EE7A1B" w:rsidR="008C5D41" w:rsidRDefault="008C5D41"/>
    <w:p w14:paraId="07CF4DC1" w14:textId="36E6A6FA" w:rsidR="008C5D41" w:rsidRDefault="008C5D41"/>
    <w:p w14:paraId="49A091B2" w14:textId="30024171" w:rsidR="008C5D41" w:rsidRDefault="008C5D41"/>
    <w:p w14:paraId="6195557B" w14:textId="38FD29D3" w:rsidR="008C5D41" w:rsidRDefault="008C5D41"/>
    <w:p w14:paraId="633A4AD5" w14:textId="4E55BCA6" w:rsidR="008C5D41" w:rsidRDefault="008C5D41"/>
    <w:p w14:paraId="4A32FC07" w14:textId="20FB7C93" w:rsidR="008C5D41" w:rsidRDefault="008C5D41"/>
    <w:p w14:paraId="6AE6D9AF" w14:textId="3539F6F3" w:rsidR="008C5D41" w:rsidRDefault="008C5D41"/>
    <w:p w14:paraId="0BC3A32B" w14:textId="6B5768C2" w:rsidR="008C5D41" w:rsidRDefault="008C5D41"/>
    <w:p w14:paraId="135AC6E7" w14:textId="1C8D391A" w:rsidR="008C5D41" w:rsidRDefault="008C5D41"/>
    <w:p w14:paraId="70D46239" w14:textId="1EC9255C" w:rsidR="008C5D41" w:rsidRDefault="008C5D41"/>
    <w:p w14:paraId="25AB0F9E" w14:textId="2E82E808" w:rsidR="008C5D41" w:rsidRDefault="008C5D41"/>
    <w:p w14:paraId="6F0C4741" w14:textId="45168C56" w:rsidR="008C5D41" w:rsidRDefault="008C5D41"/>
    <w:p w14:paraId="0D12A5AC" w14:textId="1F6A7694" w:rsidR="008C5D41" w:rsidRDefault="008C5D41"/>
    <w:p w14:paraId="5253BCFE" w14:textId="71864313" w:rsidR="008C5D41" w:rsidRDefault="008C5D41"/>
    <w:p w14:paraId="46C811D5" w14:textId="046101CF" w:rsidR="008C5D41" w:rsidRDefault="008C5D41"/>
    <w:p w14:paraId="09BE26A6" w14:textId="77777777" w:rsidR="000D7D53" w:rsidRDefault="000D7D53" w:rsidP="000B0EF3">
      <w:pPr>
        <w:shd w:val="clear" w:color="auto" w:fill="FFFFFF"/>
        <w:spacing w:before="100" w:beforeAutospacing="1" w:after="100" w:afterAutospacing="1" w:line="360" w:lineRule="auto"/>
        <w:jc w:val="both"/>
        <w:outlineLvl w:val="1"/>
      </w:pPr>
    </w:p>
    <w:p w14:paraId="343D0C43" w14:textId="38C57249" w:rsidR="00CA4302" w:rsidRPr="000B0EF3" w:rsidRDefault="00CA4302" w:rsidP="000B0EF3">
      <w:pPr>
        <w:shd w:val="clear" w:color="auto" w:fill="FFFFFF"/>
        <w:spacing w:before="100" w:beforeAutospacing="1" w:after="100" w:afterAutospacing="1" w:line="360" w:lineRule="auto"/>
        <w:jc w:val="both"/>
        <w:outlineLvl w:val="1"/>
        <w:rPr>
          <w:rFonts w:ascii="Arial" w:hAnsi="Arial" w:cs="Arial"/>
          <w:b/>
          <w:bCs/>
          <w:sz w:val="22"/>
          <w:szCs w:val="22"/>
        </w:rPr>
      </w:pPr>
      <w:r w:rsidRPr="000B0EF3">
        <w:rPr>
          <w:rFonts w:ascii="Arial" w:hAnsi="Arial" w:cs="Arial"/>
          <w:b/>
          <w:bCs/>
          <w:sz w:val="22"/>
          <w:szCs w:val="22"/>
        </w:rPr>
        <w:t>Old age:</w:t>
      </w:r>
    </w:p>
    <w:p w14:paraId="0A0C0BB2" w14:textId="1B3A4483" w:rsidR="008C5D41" w:rsidRPr="000D7D53" w:rsidRDefault="00CA4302" w:rsidP="000D7D53">
      <w:pPr>
        <w:shd w:val="clear" w:color="auto" w:fill="FFFFFF"/>
        <w:spacing w:before="100" w:beforeAutospacing="1" w:after="100" w:afterAutospacing="1" w:line="360" w:lineRule="auto"/>
        <w:jc w:val="both"/>
        <w:outlineLvl w:val="1"/>
        <w:rPr>
          <w:rFonts w:ascii="Arial" w:eastAsia="Times New Roman" w:hAnsi="Arial" w:cs="Arial"/>
          <w:sz w:val="22"/>
          <w:szCs w:val="22"/>
        </w:rPr>
      </w:pPr>
      <w:r w:rsidRPr="000D7D53">
        <w:rPr>
          <w:rFonts w:ascii="Arial" w:eastAsia="Times New Roman" w:hAnsi="Arial" w:cs="Arial"/>
          <w:sz w:val="22"/>
          <w:szCs w:val="22"/>
        </w:rPr>
        <w:t xml:space="preserve">   </w:t>
      </w:r>
      <w:r w:rsidR="008C5D41" w:rsidRPr="000D7D53">
        <w:rPr>
          <w:rFonts w:ascii="Arial" w:eastAsia="Times New Roman" w:hAnsi="Arial" w:cs="Arial"/>
          <w:sz w:val="22"/>
          <w:szCs w:val="22"/>
        </w:rPr>
        <w:t>In the UK, 65 is often seen as a sign of the onset of a more mature age, presumably because it is the official retirement age for men and the age at which they can receive a pension.</w:t>
      </w:r>
      <w:r w:rsidR="008C5D41" w:rsidRPr="000D7D53">
        <w:rPr>
          <w:rFonts w:ascii="Arial" w:eastAsia="Times New Roman" w:hAnsi="Arial" w:cs="Arial"/>
          <w:sz w:val="22"/>
          <w:szCs w:val="22"/>
        </w:rPr>
        <w:t xml:space="preserve"> </w:t>
      </w:r>
      <w:r w:rsidR="008C5D41" w:rsidRPr="000D7D53">
        <w:rPr>
          <w:rFonts w:ascii="Arial" w:eastAsia="Times New Roman" w:hAnsi="Arial" w:cs="Arial"/>
          <w:sz w:val="22"/>
          <w:szCs w:val="22"/>
        </w:rPr>
        <w:t>People live longer and better. In 2018, 65-year-old men are expected to live an extra 18.6 years, while women can expect to live an extra 21 years. In general, at age 65, women do have a quarter of their daily lives to live, while men have slightly more than a fifth.</w:t>
      </w:r>
      <w:r w:rsidR="008C5D41" w:rsidRPr="000D7D53">
        <w:rPr>
          <w:rFonts w:ascii="Arial" w:eastAsia="Times New Roman" w:hAnsi="Arial" w:cs="Arial"/>
          <w:sz w:val="22"/>
          <w:szCs w:val="22"/>
        </w:rPr>
        <w:t xml:space="preserve"> </w:t>
      </w:r>
      <w:r w:rsidR="008C5D41" w:rsidRPr="000D7D53">
        <w:rPr>
          <w:rFonts w:ascii="Arial" w:eastAsia="Times New Roman" w:hAnsi="Arial" w:cs="Arial"/>
          <w:sz w:val="22"/>
          <w:szCs w:val="22"/>
        </w:rPr>
        <w:t xml:space="preserve">An important additional thought is that age 65 is not exactly the same after a certain time. Compared to people of the same age a century ago, 65-year-olds today have more traits, especially when it comes to their well-being and future </w:t>
      </w:r>
      <w:r w:rsidR="000D7D53" w:rsidRPr="000D7D53">
        <w:rPr>
          <w:rFonts w:ascii="Arial" w:eastAsia="Times New Roman" w:hAnsi="Arial" w:cs="Arial"/>
          <w:noProof/>
          <w:sz w:val="22"/>
          <w:szCs w:val="22"/>
        </w:rPr>
        <w:t>(Coombs, et al., 2020)</w:t>
      </w:r>
      <w:r w:rsidR="008C5D41" w:rsidRPr="000D7D53">
        <w:rPr>
          <w:rFonts w:ascii="Arial" w:eastAsia="Times New Roman" w:hAnsi="Arial" w:cs="Arial"/>
          <w:sz w:val="22"/>
          <w:szCs w:val="22"/>
        </w:rPr>
        <w:t>.</w:t>
      </w:r>
    </w:p>
    <w:p w14:paraId="23F01F98" w14:textId="77777777" w:rsidR="00CA4302" w:rsidRPr="000B0EF3" w:rsidRDefault="00CA4302" w:rsidP="000B0EF3">
      <w:pPr>
        <w:shd w:val="clear" w:color="auto" w:fill="FFFFFF"/>
        <w:spacing w:before="100" w:beforeAutospacing="1" w:after="100" w:afterAutospacing="1" w:line="360" w:lineRule="auto"/>
        <w:jc w:val="both"/>
        <w:outlineLvl w:val="1"/>
        <w:rPr>
          <w:rFonts w:ascii="Arial" w:eastAsia="Times New Roman" w:hAnsi="Arial" w:cs="Arial"/>
          <w:bCs/>
          <w:sz w:val="22"/>
          <w:szCs w:val="22"/>
        </w:rPr>
      </w:pPr>
      <w:r w:rsidRPr="000B0EF3">
        <w:rPr>
          <w:rFonts w:ascii="Arial" w:eastAsia="Times New Roman" w:hAnsi="Arial" w:cs="Arial"/>
          <w:b/>
          <w:sz w:val="22"/>
          <w:szCs w:val="22"/>
        </w:rPr>
        <w:t>Issues faced by old age people in the UK during the pandemic:</w:t>
      </w:r>
    </w:p>
    <w:p w14:paraId="302E80BF" w14:textId="1E995749" w:rsidR="00E14BC2" w:rsidRPr="000D7D53" w:rsidRDefault="00CA4302" w:rsidP="000D7D53">
      <w:pPr>
        <w:shd w:val="clear" w:color="auto" w:fill="FFFFFF"/>
        <w:spacing w:before="100" w:beforeAutospacing="1" w:after="100" w:afterAutospacing="1" w:line="360" w:lineRule="auto"/>
        <w:jc w:val="both"/>
        <w:outlineLvl w:val="1"/>
        <w:rPr>
          <w:rFonts w:ascii="Arial" w:eastAsia="Times New Roman" w:hAnsi="Arial" w:cs="Arial"/>
          <w:sz w:val="22"/>
          <w:szCs w:val="22"/>
        </w:rPr>
      </w:pPr>
      <w:r w:rsidRPr="000B0EF3">
        <w:rPr>
          <w:rFonts w:ascii="Arial" w:eastAsia="Times New Roman" w:hAnsi="Arial" w:cs="Arial"/>
          <w:sz w:val="22"/>
          <w:szCs w:val="22"/>
        </w:rPr>
        <w:t xml:space="preserve">   </w:t>
      </w:r>
      <w:r w:rsidR="00E14BC2" w:rsidRPr="000D7D53">
        <w:rPr>
          <w:rFonts w:ascii="Arial" w:eastAsia="Times New Roman" w:hAnsi="Arial" w:cs="Arial"/>
          <w:sz w:val="22"/>
          <w:szCs w:val="22"/>
        </w:rPr>
        <w:t xml:space="preserve">The older adults are severely affected by Covid 2019 infection. According to data of mortality from the Evidence Service of Oxford CORONA VIRUS 19showed a 3.6% death rate for adults in their 60s, rising to 8.0% in 70s and 14.8% in 80s for people, and for more experienced people seeking psychological weakness. Older adults are also affected by amicable separation agreements and other constraints that fail to stop the spread of infection, leading to further depression, social disconnection, and absence of opportunities and support networks </w:t>
      </w:r>
      <w:r w:rsidR="00130B82" w:rsidRPr="000D7D53">
        <w:rPr>
          <w:rFonts w:ascii="Arial" w:eastAsia="Times New Roman" w:hAnsi="Arial" w:cs="Arial"/>
          <w:noProof/>
          <w:sz w:val="22"/>
          <w:szCs w:val="22"/>
        </w:rPr>
        <w:t>(Malik, et al., 2020)</w:t>
      </w:r>
      <w:r w:rsidR="00E14BC2" w:rsidRPr="000D7D53">
        <w:rPr>
          <w:rFonts w:ascii="Arial" w:eastAsia="Times New Roman" w:hAnsi="Arial" w:cs="Arial"/>
          <w:sz w:val="22"/>
          <w:szCs w:val="22"/>
        </w:rPr>
        <w:t xml:space="preserve">. </w:t>
      </w:r>
    </w:p>
    <w:p w14:paraId="560C1FF8" w14:textId="31E04A32" w:rsidR="00E14BC2" w:rsidRPr="000D7D53" w:rsidRDefault="00E14BC2" w:rsidP="000D7D53">
      <w:pPr>
        <w:shd w:val="clear" w:color="auto" w:fill="FFFFFF"/>
        <w:spacing w:before="100" w:beforeAutospacing="1" w:after="100" w:afterAutospacing="1" w:line="360" w:lineRule="auto"/>
        <w:jc w:val="both"/>
        <w:outlineLvl w:val="1"/>
        <w:rPr>
          <w:rFonts w:ascii="Arial" w:eastAsia="Times New Roman" w:hAnsi="Arial" w:cs="Arial"/>
          <w:sz w:val="22"/>
          <w:szCs w:val="22"/>
        </w:rPr>
      </w:pPr>
      <w:r w:rsidRPr="000D7D53">
        <w:rPr>
          <w:rFonts w:ascii="Arial" w:eastAsia="Times New Roman" w:hAnsi="Arial" w:cs="Arial"/>
          <w:sz w:val="22"/>
          <w:szCs w:val="22"/>
        </w:rPr>
        <w:t xml:space="preserve">   </w:t>
      </w:r>
      <w:r w:rsidRPr="000D7D53">
        <w:rPr>
          <w:rFonts w:ascii="Arial" w:eastAsia="Times New Roman" w:hAnsi="Arial" w:cs="Arial"/>
          <w:sz w:val="22"/>
          <w:szCs w:val="22"/>
        </w:rPr>
        <w:t xml:space="preserve">Throughout the Covid 19, we've seen impressive media coverage of the pandemic stakes. Numerous studies have shown that age discrimination against more mature adults is unusually common in all countries and continues to grow as the world's population ages. Negative perceptions of older people pose a huge danger to happiness and prosperity of people, </w:t>
      </w:r>
      <w:r w:rsidRPr="000D7D53">
        <w:rPr>
          <w:rFonts w:ascii="Arial" w:eastAsia="Times New Roman" w:hAnsi="Arial" w:cs="Arial"/>
          <w:sz w:val="22"/>
          <w:szCs w:val="22"/>
        </w:rPr>
        <w:t>e.g.,</w:t>
      </w:r>
      <w:r w:rsidRPr="000D7D53">
        <w:rPr>
          <w:rFonts w:ascii="Arial" w:eastAsia="Times New Roman" w:hAnsi="Arial" w:cs="Arial"/>
          <w:sz w:val="22"/>
          <w:szCs w:val="22"/>
        </w:rPr>
        <w:t xml:space="preserve"> increased risk of death, poor utilitarian well-being, slower recovery from illness, and poor mental health </w:t>
      </w:r>
      <w:r w:rsidR="00130B82" w:rsidRPr="000D7D53">
        <w:rPr>
          <w:rFonts w:ascii="Arial" w:eastAsia="Times New Roman" w:hAnsi="Arial" w:cs="Arial"/>
          <w:noProof/>
          <w:sz w:val="22"/>
          <w:szCs w:val="22"/>
        </w:rPr>
        <w:t>(Ree, 2021; Public Health England, 2021)</w:t>
      </w:r>
      <w:r w:rsidRPr="000D7D53">
        <w:rPr>
          <w:rFonts w:ascii="Arial" w:eastAsia="Times New Roman" w:hAnsi="Arial" w:cs="Arial"/>
          <w:sz w:val="22"/>
          <w:szCs w:val="22"/>
        </w:rPr>
        <w:t>.</w:t>
      </w:r>
    </w:p>
    <w:p w14:paraId="62705710" w14:textId="6A937FD5" w:rsidR="00E14BC2" w:rsidRPr="000D7D53" w:rsidRDefault="00E14BC2" w:rsidP="000D7D53">
      <w:pPr>
        <w:shd w:val="clear" w:color="auto" w:fill="FFFFFF"/>
        <w:spacing w:before="100" w:beforeAutospacing="1" w:after="100" w:afterAutospacing="1" w:line="360" w:lineRule="auto"/>
        <w:jc w:val="both"/>
        <w:outlineLvl w:val="1"/>
        <w:rPr>
          <w:rFonts w:ascii="Arial" w:eastAsia="Times New Roman" w:hAnsi="Arial" w:cs="Arial"/>
          <w:sz w:val="22"/>
          <w:szCs w:val="22"/>
        </w:rPr>
      </w:pPr>
      <w:r w:rsidRPr="000D7D53">
        <w:rPr>
          <w:rFonts w:ascii="Arial" w:eastAsia="Times New Roman" w:hAnsi="Arial" w:cs="Arial"/>
          <w:sz w:val="22"/>
          <w:szCs w:val="22"/>
        </w:rPr>
        <w:t xml:space="preserve">   </w:t>
      </w:r>
      <w:r w:rsidRPr="000D7D53">
        <w:rPr>
          <w:rFonts w:ascii="Arial" w:eastAsia="Times New Roman" w:hAnsi="Arial" w:cs="Arial"/>
          <w:sz w:val="22"/>
          <w:szCs w:val="22"/>
        </w:rPr>
        <w:t xml:space="preserve">There have been several instances of outrageous oppression of more mature people during COVID-19. Prior to its curriculum, CORONA VIRUS 19 was largely thought to affect older adults. Many children do not take adequate safety measures and do not sound strong general health alerts. In fact, even in the wake of CORONA VIRUS 19in many nursing homes, the </w:t>
      </w:r>
      <w:r w:rsidRPr="000D7D53">
        <w:rPr>
          <w:rFonts w:ascii="Arial" w:eastAsia="Times New Roman" w:hAnsi="Arial" w:cs="Arial"/>
          <w:sz w:val="22"/>
          <w:szCs w:val="22"/>
        </w:rPr>
        <w:t>Centres</w:t>
      </w:r>
      <w:r w:rsidRPr="000D7D53">
        <w:rPr>
          <w:rFonts w:ascii="Arial" w:eastAsia="Times New Roman" w:hAnsi="Arial" w:cs="Arial"/>
          <w:sz w:val="22"/>
          <w:szCs w:val="22"/>
        </w:rPr>
        <w:t xml:space="preserve"> for Disease Control and Prevention (CDC) rules do not distinguish telecare residents as much-needed evidence. Defensive material </w:t>
      </w:r>
      <w:r w:rsidR="00130B82" w:rsidRPr="000D7D53">
        <w:rPr>
          <w:rFonts w:ascii="Arial" w:eastAsia="Times New Roman" w:hAnsi="Arial" w:cs="Arial"/>
          <w:sz w:val="22"/>
          <w:szCs w:val="22"/>
        </w:rPr>
        <w:t>at</w:t>
      </w:r>
      <w:r w:rsidRPr="000D7D53">
        <w:rPr>
          <w:rFonts w:ascii="Arial" w:eastAsia="Times New Roman" w:hAnsi="Arial" w:cs="Arial"/>
          <w:sz w:val="22"/>
          <w:szCs w:val="22"/>
        </w:rPr>
        <w:t xml:space="preserve"> a press conference in March, WHO Director-General Tedros Adhanom Ghebreyesus denounced anonymous countries for failing to view </w:t>
      </w:r>
      <w:r w:rsidRPr="000D7D53">
        <w:rPr>
          <w:rFonts w:ascii="Arial" w:eastAsia="Times New Roman" w:hAnsi="Arial" w:cs="Arial"/>
          <w:sz w:val="22"/>
          <w:szCs w:val="22"/>
        </w:rPr>
        <w:lastRenderedPageBreak/>
        <w:t xml:space="preserve">the deaths of older people as a "major problem" and showing "moral corruption" signs </w:t>
      </w:r>
      <w:r w:rsidR="00130B82" w:rsidRPr="000D7D53">
        <w:rPr>
          <w:rFonts w:ascii="Arial" w:eastAsia="Times New Roman" w:hAnsi="Arial" w:cs="Arial"/>
          <w:noProof/>
          <w:sz w:val="22"/>
          <w:szCs w:val="22"/>
        </w:rPr>
        <w:t>(Malik, et al., 2020; II &amp; Arnav Shah, 20</w:t>
      </w:r>
      <w:r w:rsidR="00130B82" w:rsidRPr="000D7D53">
        <w:rPr>
          <w:rFonts w:ascii="Arial" w:eastAsia="Times New Roman" w:hAnsi="Arial" w:cs="Arial"/>
          <w:noProof/>
          <w:sz w:val="22"/>
          <w:szCs w:val="22"/>
        </w:rPr>
        <w:t>21</w:t>
      </w:r>
      <w:r w:rsidR="00130B82" w:rsidRPr="000D7D53">
        <w:rPr>
          <w:rFonts w:ascii="Arial" w:eastAsia="Times New Roman" w:hAnsi="Arial" w:cs="Arial"/>
          <w:noProof/>
          <w:sz w:val="22"/>
          <w:szCs w:val="22"/>
        </w:rPr>
        <w:t>; Doty, et al., 2021)</w:t>
      </w:r>
      <w:r w:rsidRPr="000D7D53">
        <w:rPr>
          <w:rFonts w:ascii="Arial" w:eastAsia="Times New Roman" w:hAnsi="Arial" w:cs="Arial"/>
          <w:sz w:val="22"/>
          <w:szCs w:val="22"/>
        </w:rPr>
        <w:t>.</w:t>
      </w:r>
    </w:p>
    <w:p w14:paraId="65F6B34D" w14:textId="120FEE37" w:rsidR="00E14BC2" w:rsidRPr="000D7D53" w:rsidRDefault="00E14BC2" w:rsidP="000D7D53">
      <w:pPr>
        <w:shd w:val="clear" w:color="auto" w:fill="FFFFFF"/>
        <w:spacing w:before="100" w:beforeAutospacing="1" w:after="100" w:afterAutospacing="1" w:line="360" w:lineRule="auto"/>
        <w:jc w:val="both"/>
        <w:outlineLvl w:val="1"/>
        <w:rPr>
          <w:rFonts w:ascii="Arial" w:eastAsia="Times New Roman" w:hAnsi="Arial" w:cs="Arial"/>
          <w:sz w:val="22"/>
          <w:szCs w:val="22"/>
        </w:rPr>
      </w:pPr>
      <w:r w:rsidRPr="000D7D53">
        <w:rPr>
          <w:rFonts w:ascii="Arial" w:eastAsia="Times New Roman" w:hAnsi="Arial" w:cs="Arial"/>
          <w:sz w:val="22"/>
          <w:szCs w:val="22"/>
        </w:rPr>
        <w:t xml:space="preserve">One of the troubling social consequences of CORONA VIRUS 19is reminiscent of the dramatic increase in elder abuse, akin to the rise in ageism. The U.S. </w:t>
      </w:r>
      <w:r w:rsidRPr="000D7D53">
        <w:rPr>
          <w:rFonts w:ascii="Arial" w:eastAsia="Times New Roman" w:hAnsi="Arial" w:cs="Arial"/>
          <w:sz w:val="22"/>
          <w:szCs w:val="22"/>
        </w:rPr>
        <w:t>Centres</w:t>
      </w:r>
      <w:r w:rsidRPr="000D7D53">
        <w:rPr>
          <w:rFonts w:ascii="Arial" w:eastAsia="Times New Roman" w:hAnsi="Arial" w:cs="Arial"/>
          <w:sz w:val="22"/>
          <w:szCs w:val="22"/>
        </w:rPr>
        <w:t xml:space="preserve"> for Disease Control and Prevention describes elder abuse as “a relationship in which a guardian or other person </w:t>
      </w:r>
      <w:r w:rsidRPr="000D7D53">
        <w:rPr>
          <w:rFonts w:ascii="Arial" w:eastAsia="Times New Roman" w:hAnsi="Arial" w:cs="Arial"/>
          <w:sz w:val="22"/>
          <w:szCs w:val="22"/>
        </w:rPr>
        <w:t>wilfully</w:t>
      </w:r>
      <w:r w:rsidRPr="000D7D53">
        <w:rPr>
          <w:rFonts w:ascii="Arial" w:eastAsia="Times New Roman" w:hAnsi="Arial" w:cs="Arial"/>
          <w:sz w:val="22"/>
          <w:szCs w:val="22"/>
        </w:rPr>
        <w:t xml:space="preserve"> behaves or fails to act, including the assumption that a belief causes or actually attempts to harm a more experienced adult. Even in the context of CORONA VIRUS 19until recently, elder abuse was a huge global health condition. It is estimated that approximately 1 in 10 people over the age of 60 in the United States experience physical, verbal or sexual abuse or economic exploitation </w:t>
      </w:r>
      <w:r w:rsidR="000D7D53" w:rsidRPr="000D7D53">
        <w:rPr>
          <w:rFonts w:ascii="Arial" w:eastAsia="Times New Roman" w:hAnsi="Arial" w:cs="Arial"/>
          <w:noProof/>
          <w:sz w:val="22"/>
          <w:szCs w:val="22"/>
        </w:rPr>
        <w:t>(Mah, et al., 2021; Glancey, 2021)</w:t>
      </w:r>
      <w:r w:rsidRPr="000D7D53">
        <w:rPr>
          <w:rFonts w:ascii="Arial" w:eastAsia="Times New Roman" w:hAnsi="Arial" w:cs="Arial"/>
          <w:sz w:val="22"/>
          <w:szCs w:val="22"/>
        </w:rPr>
        <w:t>.</w:t>
      </w:r>
    </w:p>
    <w:p w14:paraId="4BF600B2" w14:textId="6894BB33" w:rsidR="00E14BC2" w:rsidRPr="000D7D53" w:rsidRDefault="00E14BC2" w:rsidP="000D7D53">
      <w:pPr>
        <w:shd w:val="clear" w:color="auto" w:fill="FFFFFF"/>
        <w:spacing w:before="100" w:beforeAutospacing="1" w:after="100" w:afterAutospacing="1" w:line="360" w:lineRule="auto"/>
        <w:jc w:val="both"/>
        <w:outlineLvl w:val="1"/>
        <w:rPr>
          <w:rFonts w:ascii="Arial" w:eastAsia="Times New Roman" w:hAnsi="Arial" w:cs="Arial"/>
          <w:sz w:val="22"/>
          <w:szCs w:val="22"/>
        </w:rPr>
      </w:pPr>
      <w:r w:rsidRPr="000D7D53">
        <w:rPr>
          <w:rFonts w:ascii="Arial" w:eastAsia="Times New Roman" w:hAnsi="Arial" w:cs="Arial"/>
          <w:sz w:val="22"/>
          <w:szCs w:val="22"/>
        </w:rPr>
        <w:t xml:space="preserve">Older people abuse is largely underestimated. Only 1 of the 24 cases was reported. In nearly 60 percent of elder abuse and neglect cases, the culprit is a family member. Social confinement is a big gamble on older abuse. Other wagering factors include psychological resistance, physical frailty and dependence on the care of others. Nursing home residents are also particularly powerless against older people abuse. CORONA VIRUS 19exacerbates </w:t>
      </w:r>
      <w:r w:rsidRPr="000D7D53">
        <w:rPr>
          <w:rFonts w:ascii="Arial" w:eastAsia="Times New Roman" w:hAnsi="Arial" w:cs="Arial"/>
          <w:sz w:val="22"/>
          <w:szCs w:val="22"/>
        </w:rPr>
        <w:t>all</w:t>
      </w:r>
      <w:r w:rsidRPr="000D7D53">
        <w:rPr>
          <w:rFonts w:ascii="Arial" w:eastAsia="Times New Roman" w:hAnsi="Arial" w:cs="Arial"/>
          <w:sz w:val="22"/>
          <w:szCs w:val="22"/>
        </w:rPr>
        <w:t xml:space="preserve"> these risk factors </w:t>
      </w:r>
      <w:sdt>
        <w:sdtPr>
          <w:rPr>
            <w:rFonts w:ascii="Arial" w:eastAsia="Times New Roman" w:hAnsi="Arial" w:cs="Arial"/>
            <w:sz w:val="22"/>
            <w:szCs w:val="22"/>
          </w:rPr>
          <w:id w:val="1979725186"/>
          <w:citation/>
        </w:sdtPr>
        <w:sdtContent>
          <w:r w:rsidRPr="000D7D53">
            <w:rPr>
              <w:rFonts w:ascii="Arial" w:eastAsia="Times New Roman" w:hAnsi="Arial" w:cs="Arial"/>
              <w:sz w:val="22"/>
              <w:szCs w:val="22"/>
            </w:rPr>
            <w:fldChar w:fldCharType="begin"/>
          </w:r>
          <w:r w:rsidRPr="000D7D53">
            <w:rPr>
              <w:rFonts w:ascii="Arial" w:eastAsia="Times New Roman" w:hAnsi="Arial" w:cs="Arial"/>
              <w:sz w:val="22"/>
              <w:szCs w:val="22"/>
            </w:rPr>
            <w:instrText xml:space="preserve"> CITATION Man \l 1033 </w:instrText>
          </w:r>
          <w:r w:rsidRPr="000D7D53">
            <w:rPr>
              <w:rFonts w:ascii="Arial" w:eastAsia="Times New Roman" w:hAnsi="Arial" w:cs="Arial"/>
              <w:sz w:val="22"/>
              <w:szCs w:val="22"/>
            </w:rPr>
            <w:fldChar w:fldCharType="separate"/>
          </w:r>
          <w:r w:rsidRPr="000D7D53">
            <w:rPr>
              <w:rFonts w:ascii="Arial" w:eastAsia="Times New Roman" w:hAnsi="Arial" w:cs="Arial"/>
              <w:noProof/>
              <w:sz w:val="22"/>
              <w:szCs w:val="22"/>
            </w:rPr>
            <w:t>(Malik, et al., 2020)</w:t>
          </w:r>
          <w:r w:rsidRPr="000D7D53">
            <w:rPr>
              <w:rFonts w:ascii="Arial" w:eastAsia="Times New Roman" w:hAnsi="Arial" w:cs="Arial"/>
              <w:sz w:val="22"/>
              <w:szCs w:val="22"/>
            </w:rPr>
            <w:fldChar w:fldCharType="end"/>
          </w:r>
        </w:sdtContent>
      </w:sdt>
      <w:r w:rsidRPr="000D7D53">
        <w:rPr>
          <w:rFonts w:ascii="Arial" w:eastAsia="Times New Roman" w:hAnsi="Arial" w:cs="Arial"/>
          <w:sz w:val="22"/>
          <w:szCs w:val="22"/>
        </w:rPr>
        <w:t>.</w:t>
      </w:r>
    </w:p>
    <w:p w14:paraId="7125373D" w14:textId="007A831F" w:rsidR="00CA4302" w:rsidRPr="000D7D53" w:rsidRDefault="00CA4302" w:rsidP="000D7D53">
      <w:pPr>
        <w:pStyle w:val="Heading2"/>
        <w:spacing w:line="360" w:lineRule="auto"/>
        <w:jc w:val="both"/>
        <w:rPr>
          <w:rFonts w:ascii="Arial" w:hAnsi="Arial" w:cs="Arial"/>
          <w:b w:val="0"/>
          <w:bCs w:val="0"/>
          <w:sz w:val="22"/>
          <w:szCs w:val="22"/>
        </w:rPr>
      </w:pPr>
      <w:r w:rsidRPr="000D7D53">
        <w:rPr>
          <w:rFonts w:ascii="Arial" w:hAnsi="Arial" w:cs="Arial"/>
          <w:b w:val="0"/>
          <w:bCs w:val="0"/>
          <w:sz w:val="22"/>
          <w:szCs w:val="22"/>
        </w:rPr>
        <w:t xml:space="preserve">While the progress and limitations of everyday life are generally observable and enormous, IT equipment and assets have been hyped as a potential way to mitigate the most severe adverse impacts. Other things being equal, social separation significantly affects people's prosperity, but this effect showed to be amplified in older people. Social isolation often leads to helplessness, a component that is fully associated with grief in older adults </w:t>
      </w:r>
      <w:r w:rsidR="00130B82" w:rsidRPr="000D7D53">
        <w:rPr>
          <w:rFonts w:ascii="Arial" w:hAnsi="Arial" w:cs="Arial"/>
          <w:b w:val="0"/>
          <w:bCs w:val="0"/>
          <w:noProof/>
          <w:sz w:val="22"/>
          <w:szCs w:val="22"/>
        </w:rPr>
        <w:t>(Wu Z, 2020)</w:t>
      </w:r>
      <w:r w:rsidRPr="000D7D53">
        <w:rPr>
          <w:rFonts w:ascii="Arial" w:hAnsi="Arial" w:cs="Arial"/>
          <w:b w:val="0"/>
          <w:bCs w:val="0"/>
          <w:sz w:val="22"/>
          <w:szCs w:val="22"/>
        </w:rPr>
        <w:t xml:space="preserve">. Neglect, disengagement, and depression have been shown to predict worse disease outcomes in more mature populations. In addition, pain and other emotional health problems are often associated with higher mortality in people over 65 years of age </w:t>
      </w:r>
      <w:r w:rsidR="00130B82" w:rsidRPr="000D7D53">
        <w:rPr>
          <w:rFonts w:ascii="Arial" w:hAnsi="Arial" w:cs="Arial"/>
          <w:b w:val="0"/>
          <w:bCs w:val="0"/>
          <w:noProof/>
          <w:sz w:val="22"/>
          <w:szCs w:val="22"/>
        </w:rPr>
        <w:t>(Coombs, et al., 2020; Amore, et al., 2021)</w:t>
      </w:r>
      <w:r w:rsidRPr="000D7D53">
        <w:rPr>
          <w:rFonts w:ascii="Arial" w:hAnsi="Arial" w:cs="Arial"/>
          <w:b w:val="0"/>
          <w:bCs w:val="0"/>
          <w:sz w:val="22"/>
          <w:szCs w:val="22"/>
        </w:rPr>
        <w:t>.</w:t>
      </w:r>
    </w:p>
    <w:p w14:paraId="4088610B" w14:textId="77777777" w:rsidR="00CA4302" w:rsidRPr="000D7D53" w:rsidRDefault="00CA4302" w:rsidP="000D7D53">
      <w:pPr>
        <w:pStyle w:val="Heading2"/>
        <w:spacing w:line="360" w:lineRule="auto"/>
        <w:jc w:val="both"/>
        <w:rPr>
          <w:rFonts w:ascii="Arial" w:hAnsi="Arial" w:cs="Arial"/>
          <w:bCs w:val="0"/>
          <w:sz w:val="22"/>
          <w:szCs w:val="22"/>
        </w:rPr>
      </w:pPr>
      <w:r w:rsidRPr="000D7D53">
        <w:rPr>
          <w:rFonts w:ascii="Arial" w:hAnsi="Arial" w:cs="Arial"/>
          <w:bCs w:val="0"/>
          <w:sz w:val="22"/>
          <w:szCs w:val="22"/>
        </w:rPr>
        <w:t>Why do people live longer?</w:t>
      </w:r>
    </w:p>
    <w:p w14:paraId="50B14744" w14:textId="77777777" w:rsidR="00CA4302" w:rsidRPr="000D7D53" w:rsidRDefault="00CA4302" w:rsidP="000D7D53">
      <w:pPr>
        <w:pStyle w:val="Heading2"/>
        <w:spacing w:line="360" w:lineRule="auto"/>
        <w:jc w:val="both"/>
        <w:rPr>
          <w:rFonts w:ascii="Arial" w:hAnsi="Arial" w:cs="Arial"/>
          <w:b w:val="0"/>
          <w:bCs w:val="0"/>
          <w:sz w:val="22"/>
          <w:szCs w:val="22"/>
        </w:rPr>
      </w:pPr>
      <w:r w:rsidRPr="000D7D53">
        <w:rPr>
          <w:rFonts w:ascii="Arial" w:hAnsi="Arial" w:cs="Arial"/>
          <w:b w:val="0"/>
          <w:bCs w:val="0"/>
          <w:sz w:val="22"/>
          <w:szCs w:val="22"/>
        </w:rPr>
        <w:t>There have been two defining moments for England's future model over the past decade. Beginning in 2011, future expansion has declined after a period of steady improvement, sparking a lot of discussion about why. Then, at that time in 2020, the Corona virus 19pandemic was an even more critical and defining moment, triggering a sharp decline ahead, the magnitude of which has not been seen since World War II.</w:t>
      </w:r>
    </w:p>
    <w:p w14:paraId="14DCD88F" w14:textId="10356156" w:rsidR="00CA4302" w:rsidRPr="000D7D53" w:rsidRDefault="00CA4302" w:rsidP="000D7D53">
      <w:pPr>
        <w:pStyle w:val="Heading2"/>
        <w:spacing w:line="360" w:lineRule="auto"/>
        <w:jc w:val="both"/>
        <w:rPr>
          <w:rFonts w:ascii="Arial" w:hAnsi="Arial" w:cs="Arial"/>
          <w:b w:val="0"/>
          <w:bCs w:val="0"/>
          <w:sz w:val="22"/>
          <w:szCs w:val="22"/>
        </w:rPr>
      </w:pPr>
      <w:r w:rsidRPr="000D7D53">
        <w:rPr>
          <w:rFonts w:ascii="Arial" w:hAnsi="Arial" w:cs="Arial"/>
          <w:b w:val="0"/>
          <w:bCs w:val="0"/>
          <w:sz w:val="22"/>
          <w:szCs w:val="22"/>
        </w:rPr>
        <w:lastRenderedPageBreak/>
        <w:t xml:space="preserve">Mortality rates have been falling since the 19th century, leading to long-term increases in both men and women in the future. Born in 1841, the life expectancy was 40.2 years for men and 42.3 years for women, mainly due to high mortality in childhood and adolescence. Improvements in livelihoods, cleaning, housing, disinfection, irresistible disease control, and other measures of general welfare reduced mortality, extending the future to 56 years for men and 59 for women by 1920 </w:t>
      </w:r>
      <w:r w:rsidR="00130B82" w:rsidRPr="000D7D53">
        <w:rPr>
          <w:rFonts w:ascii="Arial" w:hAnsi="Arial" w:cs="Arial"/>
          <w:b w:val="0"/>
          <w:bCs w:val="0"/>
          <w:noProof/>
          <w:sz w:val="22"/>
          <w:szCs w:val="22"/>
        </w:rPr>
        <w:t>(Raleigh, 2021; Terracciano &amp; Gentili, 2021)</w:t>
      </w:r>
      <w:r w:rsidRPr="000D7D53">
        <w:rPr>
          <w:rFonts w:ascii="Arial" w:hAnsi="Arial" w:cs="Arial"/>
          <w:b w:val="0"/>
          <w:bCs w:val="0"/>
          <w:sz w:val="22"/>
          <w:szCs w:val="22"/>
        </w:rPr>
        <w:t>.</w:t>
      </w:r>
    </w:p>
    <w:p w14:paraId="69A02336" w14:textId="5618A5E1" w:rsidR="00CA4302" w:rsidRPr="000D7D53" w:rsidRDefault="00CA4302" w:rsidP="000D7D53">
      <w:pPr>
        <w:pStyle w:val="Heading2"/>
        <w:spacing w:line="360" w:lineRule="auto"/>
        <w:jc w:val="both"/>
        <w:rPr>
          <w:rFonts w:ascii="Arial" w:hAnsi="Arial" w:cs="Arial"/>
          <w:b w:val="0"/>
          <w:bCs w:val="0"/>
          <w:sz w:val="22"/>
          <w:szCs w:val="22"/>
        </w:rPr>
      </w:pPr>
      <w:r w:rsidRPr="000D7D53">
        <w:rPr>
          <w:rFonts w:ascii="Arial" w:hAnsi="Arial" w:cs="Arial"/>
          <w:b w:val="0"/>
          <w:bCs w:val="0"/>
          <w:sz w:val="22"/>
          <w:szCs w:val="22"/>
        </w:rPr>
        <w:t xml:space="preserve">The further of 20th century significantly improved the future through general welfare measures, such as vaccination of young people, access to health care for all, clinical advances in the treatment of adult diseases such as coronary heart disease, and lifestyle changes. By 2019, the future age of entry into the world had risen to 79.9 for British men and 83.6 for women. However, the Corona virus 19pandemic has caused the future to drop to 78.6 years for men and 82.6 years for women in 2020 </w:t>
      </w:r>
      <w:r w:rsidR="00130B82" w:rsidRPr="000D7D53">
        <w:rPr>
          <w:rFonts w:ascii="Arial" w:hAnsi="Arial" w:cs="Arial"/>
          <w:b w:val="0"/>
          <w:bCs w:val="0"/>
          <w:noProof/>
          <w:sz w:val="22"/>
          <w:szCs w:val="22"/>
        </w:rPr>
        <w:t>(Raleigh, 2021)</w:t>
      </w:r>
      <w:r w:rsidRPr="000D7D53">
        <w:rPr>
          <w:rFonts w:ascii="Arial" w:hAnsi="Arial" w:cs="Arial"/>
          <w:b w:val="0"/>
          <w:bCs w:val="0"/>
          <w:sz w:val="22"/>
          <w:szCs w:val="22"/>
        </w:rPr>
        <w:t>.</w:t>
      </w:r>
    </w:p>
    <w:p w14:paraId="2877881D" w14:textId="160EC710" w:rsidR="00CA4302" w:rsidRPr="000D7D53" w:rsidRDefault="00CA4302" w:rsidP="000D7D53">
      <w:pPr>
        <w:pStyle w:val="Heading2"/>
        <w:spacing w:line="360" w:lineRule="auto"/>
        <w:jc w:val="both"/>
        <w:rPr>
          <w:rFonts w:ascii="Arial" w:hAnsi="Arial" w:cs="Arial"/>
          <w:b w:val="0"/>
          <w:bCs w:val="0"/>
          <w:color w:val="141414"/>
          <w:sz w:val="22"/>
          <w:szCs w:val="22"/>
        </w:rPr>
      </w:pPr>
      <w:r w:rsidRPr="000D7D53">
        <w:rPr>
          <w:rFonts w:ascii="Arial" w:hAnsi="Arial" w:cs="Arial"/>
          <w:b w:val="0"/>
          <w:bCs w:val="0"/>
          <w:color w:val="141414"/>
          <w:sz w:val="22"/>
          <w:szCs w:val="22"/>
        </w:rPr>
        <w:t xml:space="preserve">People living in wealthier areas generally live longer than those living in poorer areas. In 2017-2019, boys in the top 10% of England had a life expectancy of 83.5 years, about 10 years longer than boys in the top 10% of rejected areas (74.1 years). By comparison, women who are deprived in 10% of England can expect to live to 86.4 years, and in the most deprived areas, women can expect to live to 78.7 years, a difference of about 8 years. Much of this difference is due to higher mortality rates from heart and respiratory diseases, as well as the breakdown of lung cells in the poorest regions. The contrast between men and women in the future is even more pronounced in the poorest regions: for example, women in the poorest regions live 4.6 years longer than men, conversely, there is a difference of 2.9 years </w:t>
      </w:r>
      <w:r w:rsidR="00130B82" w:rsidRPr="000D7D53">
        <w:rPr>
          <w:rFonts w:ascii="Arial" w:hAnsi="Arial" w:cs="Arial"/>
          <w:b w:val="0"/>
          <w:bCs w:val="0"/>
          <w:noProof/>
          <w:color w:val="141414"/>
          <w:sz w:val="22"/>
          <w:szCs w:val="22"/>
        </w:rPr>
        <w:t>(Loopstra, et al., 20</w:t>
      </w:r>
      <w:r w:rsidR="005A50A6" w:rsidRPr="000D7D53">
        <w:rPr>
          <w:rFonts w:ascii="Arial" w:hAnsi="Arial" w:cs="Arial"/>
          <w:b w:val="0"/>
          <w:bCs w:val="0"/>
          <w:noProof/>
          <w:color w:val="141414"/>
          <w:sz w:val="22"/>
          <w:szCs w:val="22"/>
        </w:rPr>
        <w:t>16</w:t>
      </w:r>
      <w:r w:rsidR="00130B82" w:rsidRPr="000D7D53">
        <w:rPr>
          <w:rFonts w:ascii="Arial" w:hAnsi="Arial" w:cs="Arial"/>
          <w:b w:val="0"/>
          <w:bCs w:val="0"/>
          <w:noProof/>
          <w:color w:val="141414"/>
          <w:sz w:val="22"/>
          <w:szCs w:val="22"/>
        </w:rPr>
        <w:t>; Atlani-Duault, 2020; Gandal, et al., 2021)</w:t>
      </w:r>
      <w:r w:rsidRPr="000D7D53">
        <w:rPr>
          <w:rFonts w:ascii="Arial" w:hAnsi="Arial" w:cs="Arial"/>
          <w:b w:val="0"/>
          <w:bCs w:val="0"/>
          <w:color w:val="141414"/>
          <w:sz w:val="22"/>
          <w:szCs w:val="22"/>
        </w:rPr>
        <w:t xml:space="preserve">. </w:t>
      </w:r>
    </w:p>
    <w:p w14:paraId="11FD2DC2" w14:textId="742B5030" w:rsidR="00752E2A" w:rsidRPr="000D7D53" w:rsidRDefault="00752E2A" w:rsidP="000D7D53">
      <w:pPr>
        <w:pStyle w:val="Heading2"/>
        <w:spacing w:line="360" w:lineRule="auto"/>
        <w:jc w:val="both"/>
        <w:rPr>
          <w:rFonts w:ascii="Arial" w:hAnsi="Arial" w:cs="Arial"/>
          <w:b w:val="0"/>
          <w:bCs w:val="0"/>
          <w:color w:val="141414"/>
          <w:sz w:val="22"/>
          <w:szCs w:val="22"/>
        </w:rPr>
      </w:pPr>
      <w:r w:rsidRPr="000D7D53">
        <w:rPr>
          <w:rFonts w:ascii="Arial" w:hAnsi="Arial" w:cs="Arial"/>
          <w:b w:val="0"/>
          <w:bCs w:val="0"/>
          <w:color w:val="141414"/>
          <w:sz w:val="22"/>
          <w:szCs w:val="22"/>
        </w:rPr>
        <w:t xml:space="preserve">Covid-19-related mortality affects different population subgroups inconsistently and exacerbates imbalances. For a range in 2019 and 2020, men's futures declined by approximately 2 years in the rejected decile (from 74.3 to 72.4) and declined in the rejected decile (from 83.6 to 82.6) In contrast, women in the regions with the most denials lost 1.6 years (from 78.9 to 77.3), and absolute denials decreased by 1 year (86.8 to 85.8). As a result, the gap between the most luxurious and least fortunate areas in the future widened to 10.2 years for men and 8.5 years for women in 2020, compared to 9.3 and 7.9 years respectively in 2019 </w:t>
      </w:r>
      <w:r w:rsidR="00130B82" w:rsidRPr="000D7D53">
        <w:rPr>
          <w:rFonts w:ascii="Arial" w:hAnsi="Arial" w:cs="Arial"/>
          <w:b w:val="0"/>
          <w:bCs w:val="0"/>
          <w:noProof/>
          <w:color w:val="141414"/>
          <w:sz w:val="22"/>
          <w:szCs w:val="22"/>
        </w:rPr>
        <w:t>(Raleigh, 2021; Gardner &amp; States, 2020)</w:t>
      </w:r>
      <w:r w:rsidRPr="000D7D53">
        <w:rPr>
          <w:rFonts w:ascii="Arial" w:hAnsi="Arial" w:cs="Arial"/>
          <w:b w:val="0"/>
          <w:bCs w:val="0"/>
          <w:color w:val="141414"/>
          <w:sz w:val="22"/>
          <w:szCs w:val="22"/>
        </w:rPr>
        <w:t>.</w:t>
      </w:r>
    </w:p>
    <w:p w14:paraId="78ABF59F" w14:textId="2C794C1B" w:rsidR="00752E2A" w:rsidRPr="000D7D53" w:rsidRDefault="00752E2A" w:rsidP="000D7D53">
      <w:pPr>
        <w:spacing w:before="100" w:beforeAutospacing="1" w:after="100" w:afterAutospacing="1" w:line="360" w:lineRule="auto"/>
        <w:jc w:val="both"/>
        <w:textAlignment w:val="baseline"/>
        <w:rPr>
          <w:rFonts w:ascii="Arial" w:eastAsia="Times New Roman" w:hAnsi="Arial" w:cs="Arial"/>
          <w:color w:val="141414"/>
          <w:sz w:val="22"/>
          <w:szCs w:val="22"/>
        </w:rPr>
      </w:pPr>
      <w:r w:rsidRPr="000D7D53">
        <w:rPr>
          <w:rFonts w:ascii="Arial" w:eastAsia="Times New Roman" w:hAnsi="Arial" w:cs="Arial"/>
          <w:color w:val="141414"/>
          <w:sz w:val="22"/>
          <w:szCs w:val="22"/>
        </w:rPr>
        <w:t>Mortality data for some different groups also shows imbalances, so that will affect the future. E.g.:</w:t>
      </w:r>
      <w:r w:rsidRPr="000D7D53">
        <w:rPr>
          <w:rFonts w:ascii="Arial" w:eastAsia="Times New Roman" w:hAnsi="Arial" w:cs="Arial"/>
          <w:color w:val="141414"/>
          <w:sz w:val="22"/>
          <w:szCs w:val="22"/>
        </w:rPr>
        <w:t xml:space="preserve"> </w:t>
      </w:r>
      <w:r w:rsidRPr="000D7D53">
        <w:rPr>
          <w:rFonts w:ascii="Arial" w:eastAsia="Times New Roman" w:hAnsi="Arial" w:cs="Arial"/>
          <w:bCs/>
          <w:color w:val="141414"/>
          <w:sz w:val="22"/>
          <w:szCs w:val="22"/>
        </w:rPr>
        <w:t>Learning disabilities</w:t>
      </w:r>
      <w:r w:rsidRPr="000D7D53">
        <w:rPr>
          <w:rFonts w:ascii="Arial" w:eastAsia="Times New Roman" w:hAnsi="Arial" w:cs="Arial"/>
          <w:b/>
          <w:color w:val="141414"/>
          <w:sz w:val="22"/>
          <w:szCs w:val="22"/>
        </w:rPr>
        <w:t>:</w:t>
      </w:r>
      <w:r w:rsidRPr="000D7D53">
        <w:rPr>
          <w:rFonts w:ascii="Arial" w:eastAsia="Times New Roman" w:hAnsi="Arial" w:cs="Arial"/>
          <w:color w:val="141414"/>
          <w:sz w:val="22"/>
          <w:szCs w:val="22"/>
        </w:rPr>
        <w:t xml:space="preserve"> People who report having a learning disability or disability are approximately 1.5 times more likely to die from Corona virus 19</w:t>
      </w:r>
      <w:r w:rsidRPr="000D7D53">
        <w:rPr>
          <w:rFonts w:ascii="Arial" w:eastAsia="Times New Roman" w:hAnsi="Arial" w:cs="Arial"/>
          <w:color w:val="141414"/>
          <w:sz w:val="22"/>
          <w:szCs w:val="22"/>
        </w:rPr>
        <w:t xml:space="preserve"> </w:t>
      </w:r>
      <w:r w:rsidRPr="000D7D53">
        <w:rPr>
          <w:rFonts w:ascii="Arial" w:eastAsia="Times New Roman" w:hAnsi="Arial" w:cs="Arial"/>
          <w:color w:val="141414"/>
          <w:sz w:val="22"/>
          <w:szCs w:val="22"/>
        </w:rPr>
        <w:t>than those without a disability</w:t>
      </w:r>
      <w:r w:rsidRPr="000D7D53">
        <w:rPr>
          <w:rFonts w:ascii="Arial" w:eastAsia="Times New Roman" w:hAnsi="Arial" w:cs="Arial"/>
          <w:color w:val="141414"/>
          <w:sz w:val="22"/>
          <w:szCs w:val="22"/>
        </w:rPr>
        <w:t xml:space="preserve">; </w:t>
      </w:r>
      <w:r w:rsidRPr="000D7D53">
        <w:rPr>
          <w:rFonts w:ascii="Arial" w:eastAsia="Times New Roman" w:hAnsi="Arial" w:cs="Arial"/>
          <w:bCs/>
          <w:color w:val="141414"/>
          <w:sz w:val="22"/>
          <w:szCs w:val="22"/>
        </w:rPr>
        <w:t>Nationality:</w:t>
      </w:r>
      <w:r w:rsidRPr="000D7D53">
        <w:rPr>
          <w:rFonts w:ascii="Arial" w:eastAsia="Times New Roman" w:hAnsi="Arial" w:cs="Arial"/>
          <w:color w:val="141414"/>
          <w:sz w:val="22"/>
          <w:szCs w:val="22"/>
        </w:rPr>
        <w:t xml:space="preserve"> Although the overall mortality rate for most minority groups was lower than for </w:t>
      </w:r>
      <w:r w:rsidRPr="000D7D53">
        <w:rPr>
          <w:rFonts w:ascii="Arial" w:eastAsia="Times New Roman" w:hAnsi="Arial" w:cs="Arial"/>
          <w:color w:val="141414"/>
          <w:sz w:val="22"/>
          <w:szCs w:val="22"/>
        </w:rPr>
        <w:lastRenderedPageBreak/>
        <w:t>whites in the decade before the pandemic, between January 2020 and March 2021 the disparity was higher for some groups (Pakistani and Bengalis, and Afro-Caribbean men) because of their higher mortality rates. Corona virus 19mortality rate. The ONS pandemic will affect future racial contrasts.</w:t>
      </w:r>
    </w:p>
    <w:p w14:paraId="1ED90C64" w14:textId="77777777" w:rsidR="00752E2A" w:rsidRPr="000D7D53" w:rsidRDefault="00752E2A" w:rsidP="000D7D53">
      <w:pPr>
        <w:spacing w:before="100" w:beforeAutospacing="1" w:after="100" w:afterAutospacing="1" w:line="360" w:lineRule="auto"/>
        <w:jc w:val="both"/>
        <w:textAlignment w:val="baseline"/>
        <w:rPr>
          <w:rFonts w:ascii="Arial" w:eastAsia="Times New Roman" w:hAnsi="Arial" w:cs="Arial"/>
          <w:b/>
          <w:color w:val="141414"/>
          <w:sz w:val="22"/>
          <w:szCs w:val="22"/>
        </w:rPr>
      </w:pPr>
      <w:r w:rsidRPr="000D7D53">
        <w:rPr>
          <w:rFonts w:ascii="Arial" w:eastAsia="Times New Roman" w:hAnsi="Arial" w:cs="Arial"/>
          <w:b/>
          <w:color w:val="141414"/>
          <w:sz w:val="22"/>
          <w:szCs w:val="22"/>
        </w:rPr>
        <w:t>How and why has the future model changed after 2011?</w:t>
      </w:r>
    </w:p>
    <w:p w14:paraId="07BD2C07" w14:textId="0BD4D82C" w:rsidR="00752E2A" w:rsidRPr="000D7D53" w:rsidRDefault="00752E2A" w:rsidP="000D7D53">
      <w:pPr>
        <w:spacing w:before="100" w:beforeAutospacing="1" w:after="100" w:afterAutospacing="1" w:line="360" w:lineRule="auto"/>
        <w:jc w:val="both"/>
        <w:textAlignment w:val="baseline"/>
        <w:rPr>
          <w:rFonts w:ascii="Arial" w:eastAsia="Times New Roman" w:hAnsi="Arial" w:cs="Arial"/>
          <w:color w:val="141414"/>
          <w:sz w:val="22"/>
          <w:szCs w:val="22"/>
        </w:rPr>
      </w:pPr>
      <w:r w:rsidRPr="000D7D53">
        <w:rPr>
          <w:rFonts w:ascii="Arial" w:eastAsia="Times New Roman" w:hAnsi="Arial" w:cs="Arial"/>
          <w:color w:val="141414"/>
          <w:sz w:val="22"/>
          <w:szCs w:val="22"/>
        </w:rPr>
        <w:t xml:space="preserve">2011 marked a watershed in long-term mortality patterns, updated after a period of steady decline. In the 100 years to 2010 to 2012, the future steadily extended for almost 3 years, but between 2011 and 2018, for all outcomes and targets, it only increased by 0.5 years for men and 0.2 years for women, covering the period from 2011 to 2014. Between levels -18. In any case, between 2018 and 2019, men's futures expanded by 0.3 years, women's futures by 0.4 years, and between January 2020 and March 2020, during the Covid-pandemic-19 Mortality rates return to lowest levels in 2019 before results are shown Future increases in 2019 and mid-2020 Mortality declines are associated with milder influenza (flu) season and winter mortality declines </w:t>
      </w:r>
      <w:r w:rsidR="00130B82" w:rsidRPr="000D7D53">
        <w:rPr>
          <w:rFonts w:ascii="Arial" w:eastAsia="Times New Roman" w:hAnsi="Arial" w:cs="Arial"/>
          <w:noProof/>
          <w:color w:val="141414"/>
          <w:sz w:val="22"/>
          <w:szCs w:val="22"/>
        </w:rPr>
        <w:t>(McMichael, 2020; Hollinghurst, 2021; Lyons &amp; Richard Fry, 2021)</w:t>
      </w:r>
      <w:r w:rsidRPr="000D7D53">
        <w:rPr>
          <w:rFonts w:ascii="Arial" w:eastAsia="Times New Roman" w:hAnsi="Arial" w:cs="Arial"/>
          <w:color w:val="141414"/>
          <w:sz w:val="22"/>
          <w:szCs w:val="22"/>
        </w:rPr>
        <w:t>.</w:t>
      </w:r>
    </w:p>
    <w:p w14:paraId="7F4EB7E5" w14:textId="40D0FDFB" w:rsidR="00752E2A" w:rsidRPr="000D7D53" w:rsidRDefault="00752E2A" w:rsidP="000D7D53">
      <w:pPr>
        <w:spacing w:before="100" w:beforeAutospacing="1" w:after="100" w:afterAutospacing="1" w:line="360" w:lineRule="auto"/>
        <w:jc w:val="both"/>
        <w:textAlignment w:val="baseline"/>
        <w:rPr>
          <w:rFonts w:ascii="Arial" w:eastAsia="Times New Roman" w:hAnsi="Arial" w:cs="Arial"/>
          <w:color w:val="141414"/>
          <w:sz w:val="22"/>
          <w:szCs w:val="22"/>
        </w:rPr>
      </w:pPr>
      <w:r w:rsidRPr="000D7D53">
        <w:rPr>
          <w:rFonts w:ascii="Arial" w:eastAsia="Times New Roman" w:hAnsi="Arial" w:cs="Arial"/>
          <w:color w:val="141414"/>
          <w:sz w:val="22"/>
          <w:szCs w:val="22"/>
        </w:rPr>
        <w:t xml:space="preserve">In the decade leading up to the pandemic, one year deserves special attention: in 2015, for all intents and purposes, the future rested on Europe as a whole. In England, 28,000 flu-related deaths are expected, with both men and women slashed by 0.2 years ahead, a staggering 2020 for a period leading up to the Corona virus 19pandemic. As in Europe, most of the "excess" deaths in 2015 occurred since the 1960s, with respiratory illnesses (including influenza and pneumonia) among the most experienced people contributing to the largest increase in annual deaths </w:t>
      </w:r>
      <w:r w:rsidR="00130B82" w:rsidRPr="000D7D53">
        <w:rPr>
          <w:rFonts w:ascii="Arial" w:eastAsia="Times New Roman" w:hAnsi="Arial" w:cs="Arial"/>
          <w:noProof/>
          <w:color w:val="141414"/>
          <w:sz w:val="22"/>
          <w:szCs w:val="22"/>
        </w:rPr>
        <w:t>(Bidon, 2020; Comas-Herrera &amp; J., 2020)</w:t>
      </w:r>
      <w:r w:rsidRPr="000D7D53">
        <w:rPr>
          <w:rFonts w:ascii="Arial" w:eastAsia="Times New Roman" w:hAnsi="Arial" w:cs="Arial"/>
          <w:color w:val="141414"/>
          <w:sz w:val="22"/>
          <w:szCs w:val="22"/>
        </w:rPr>
        <w:t>.</w:t>
      </w:r>
    </w:p>
    <w:p w14:paraId="09F1C49B" w14:textId="77777777" w:rsidR="00752E2A" w:rsidRPr="000D7D53" w:rsidRDefault="00752E2A" w:rsidP="000D7D53">
      <w:pPr>
        <w:spacing w:before="100" w:beforeAutospacing="1" w:after="100" w:afterAutospacing="1" w:line="360" w:lineRule="auto"/>
        <w:jc w:val="both"/>
        <w:textAlignment w:val="baseline"/>
        <w:rPr>
          <w:rFonts w:ascii="Arial" w:eastAsia="Times New Roman" w:hAnsi="Arial" w:cs="Arial"/>
          <w:sz w:val="22"/>
          <w:szCs w:val="22"/>
        </w:rPr>
      </w:pPr>
      <w:r w:rsidRPr="000D7D53">
        <w:rPr>
          <w:rFonts w:ascii="Arial" w:eastAsia="Times New Roman" w:hAnsi="Arial" w:cs="Arial"/>
          <w:sz w:val="22"/>
          <w:szCs w:val="22"/>
        </w:rPr>
        <w:t>An audit of mortality patterns in England up to 2017 found that improvements in many parts of England and across all financial groups have slowed since 2010, but the lull has been greatest among the most neglected groups and their long-standing imbalances obvious. Reducing mortality in people over 50 improves and overstates a great job.</w:t>
      </w:r>
    </w:p>
    <w:p w14:paraId="1B101DE4" w14:textId="77777777" w:rsidR="00752E2A" w:rsidRPr="000D7D53" w:rsidRDefault="00752E2A" w:rsidP="000D7D53">
      <w:pPr>
        <w:spacing w:before="100" w:beforeAutospacing="1" w:after="100" w:afterAutospacing="1" w:line="360" w:lineRule="auto"/>
        <w:jc w:val="both"/>
        <w:textAlignment w:val="baseline"/>
        <w:rPr>
          <w:rFonts w:ascii="Arial" w:eastAsia="Times New Roman" w:hAnsi="Arial" w:cs="Arial"/>
          <w:sz w:val="22"/>
          <w:szCs w:val="22"/>
        </w:rPr>
      </w:pPr>
      <w:r w:rsidRPr="000D7D53">
        <w:rPr>
          <w:rFonts w:ascii="Arial" w:eastAsia="Times New Roman" w:hAnsi="Arial" w:cs="Arial"/>
          <w:sz w:val="22"/>
          <w:szCs w:val="22"/>
        </w:rPr>
        <w:t>The goals behind future improved breakthroughs after 2011 are unclear and have been hotly debated.</w:t>
      </w:r>
    </w:p>
    <w:p w14:paraId="5457746A" w14:textId="2584B4F8" w:rsidR="00752E2A" w:rsidRPr="000D7D53" w:rsidRDefault="00752E2A" w:rsidP="000D7D53">
      <w:pPr>
        <w:spacing w:before="100" w:beforeAutospacing="1" w:after="100" w:afterAutospacing="1" w:line="360" w:lineRule="auto"/>
        <w:jc w:val="both"/>
        <w:textAlignment w:val="baseline"/>
        <w:rPr>
          <w:rFonts w:ascii="Arial" w:eastAsia="Times New Roman" w:hAnsi="Arial" w:cs="Arial"/>
          <w:sz w:val="22"/>
          <w:szCs w:val="22"/>
        </w:rPr>
      </w:pPr>
      <w:r w:rsidRPr="000D7D53">
        <w:rPr>
          <w:rFonts w:ascii="Arial" w:eastAsia="Times New Roman" w:hAnsi="Arial" w:cs="Arial"/>
          <w:sz w:val="22"/>
          <w:szCs w:val="22"/>
        </w:rPr>
        <w:t xml:space="preserve">A Health England audit identified some of the variables that contributed to the reductions in the 2017 update: increasing seasoned ineptitude against flu and other winter hazards, lower mortality from coronary heart disease and stroke, increased disparities and increased deaths. Unintentional injury rates among young adults (mainly due to substance abuse). He pointed </w:t>
      </w:r>
      <w:r w:rsidRPr="000D7D53">
        <w:rPr>
          <w:rFonts w:ascii="Arial" w:eastAsia="Times New Roman" w:hAnsi="Arial" w:cs="Arial"/>
          <w:sz w:val="22"/>
          <w:szCs w:val="22"/>
        </w:rPr>
        <w:lastRenderedPageBreak/>
        <w:t xml:space="preserve">to record blackouts for large populations as society and social governments face increasing demands and enormous economic pressure </w:t>
      </w:r>
      <w:r w:rsidR="00130B82" w:rsidRPr="000D7D53">
        <w:rPr>
          <w:rFonts w:ascii="Arial" w:eastAsia="Times New Roman" w:hAnsi="Arial" w:cs="Arial"/>
          <w:noProof/>
          <w:sz w:val="22"/>
          <w:szCs w:val="22"/>
        </w:rPr>
        <w:t>(Leon, et al., 2021; Marketing report, 2021)</w:t>
      </w:r>
      <w:r w:rsidRPr="000D7D53">
        <w:rPr>
          <w:rFonts w:ascii="Arial" w:eastAsia="Times New Roman" w:hAnsi="Arial" w:cs="Arial"/>
          <w:sz w:val="22"/>
          <w:szCs w:val="22"/>
        </w:rPr>
        <w:t>.</w:t>
      </w:r>
    </w:p>
    <w:p w14:paraId="32B3EE59" w14:textId="77777777" w:rsidR="000B0EF3" w:rsidRPr="000D7D53" w:rsidRDefault="000B0EF3" w:rsidP="000D7D53">
      <w:pPr>
        <w:spacing w:before="100" w:beforeAutospacing="1" w:after="100" w:afterAutospacing="1" w:line="360" w:lineRule="auto"/>
        <w:jc w:val="both"/>
        <w:textAlignment w:val="baseline"/>
        <w:rPr>
          <w:rFonts w:ascii="Arial" w:eastAsia="Times New Roman" w:hAnsi="Arial" w:cs="Arial"/>
          <w:b/>
          <w:sz w:val="22"/>
          <w:szCs w:val="22"/>
        </w:rPr>
      </w:pPr>
      <w:r w:rsidRPr="000D7D53">
        <w:rPr>
          <w:rFonts w:ascii="Arial" w:eastAsia="Times New Roman" w:hAnsi="Arial" w:cs="Arial"/>
          <w:b/>
          <w:sz w:val="22"/>
          <w:szCs w:val="22"/>
        </w:rPr>
        <w:t>How is the UK different from other European countries?</w:t>
      </w:r>
    </w:p>
    <w:p w14:paraId="3BCBA319" w14:textId="2199136C" w:rsidR="000B0EF3" w:rsidRPr="000D7D53" w:rsidRDefault="000B0EF3" w:rsidP="000D7D53">
      <w:pPr>
        <w:spacing w:before="100" w:beforeAutospacing="1" w:after="100" w:afterAutospacing="1" w:line="360" w:lineRule="auto"/>
        <w:jc w:val="both"/>
        <w:textAlignment w:val="baseline"/>
        <w:rPr>
          <w:rFonts w:ascii="Arial" w:eastAsia="Times New Roman" w:hAnsi="Arial" w:cs="Arial"/>
          <w:sz w:val="22"/>
          <w:szCs w:val="22"/>
        </w:rPr>
      </w:pPr>
      <w:r w:rsidRPr="000D7D53">
        <w:rPr>
          <w:rFonts w:ascii="Arial" w:eastAsia="Times New Roman" w:hAnsi="Arial" w:cs="Arial"/>
          <w:sz w:val="22"/>
          <w:szCs w:val="22"/>
        </w:rPr>
        <w:t xml:space="preserve">Before the 2019 pandemic, men in OECD countries had 11.2 years of future access to the world and 9.4 years for women. UK men's futures are lower than some Western European and other high-wage countries, while women's futures are lower than in each of these comparison countries. A special case is the situation in the United States, where futures for men and women are generally lower than in other major league salaries; although this trend is seen in most developed countries, futures in the United States declined between 2014 and 2017, The specific causes were drug-related deaths, but also self-harm and alcohol-related deaths. For UK men, the future in 2019 is 2.5 years below the OECD peak (Switzerland), and 4.1 years below the peak (Japan) for women </w:t>
      </w:r>
      <w:r w:rsidR="00130B82" w:rsidRPr="000D7D53">
        <w:rPr>
          <w:rFonts w:ascii="Arial" w:eastAsia="Times New Roman" w:hAnsi="Arial" w:cs="Arial"/>
          <w:noProof/>
          <w:sz w:val="22"/>
          <w:szCs w:val="22"/>
        </w:rPr>
        <w:t>(Raleigh, 20</w:t>
      </w:r>
      <w:r w:rsidR="00EF63E5" w:rsidRPr="000D7D53">
        <w:rPr>
          <w:rFonts w:ascii="Arial" w:eastAsia="Times New Roman" w:hAnsi="Arial" w:cs="Arial"/>
          <w:noProof/>
          <w:sz w:val="22"/>
          <w:szCs w:val="22"/>
        </w:rPr>
        <w:t>19</w:t>
      </w:r>
      <w:r w:rsidR="00130B82" w:rsidRPr="000D7D53">
        <w:rPr>
          <w:rFonts w:ascii="Arial" w:eastAsia="Times New Roman" w:hAnsi="Arial" w:cs="Arial"/>
          <w:noProof/>
          <w:sz w:val="22"/>
          <w:szCs w:val="22"/>
        </w:rPr>
        <w:t>; K &amp; N., 2019)</w:t>
      </w:r>
      <w:r w:rsidRPr="000D7D53">
        <w:rPr>
          <w:rFonts w:ascii="Arial" w:eastAsia="Times New Roman" w:hAnsi="Arial" w:cs="Arial"/>
          <w:sz w:val="22"/>
          <w:szCs w:val="22"/>
        </w:rPr>
        <w:t>.</w:t>
      </w:r>
    </w:p>
    <w:p w14:paraId="1DE8D8AC" w14:textId="77777777" w:rsidR="000B0EF3" w:rsidRPr="000D7D53" w:rsidRDefault="000B0EF3" w:rsidP="000D7D53">
      <w:pPr>
        <w:spacing w:before="100" w:beforeAutospacing="1" w:after="100" w:afterAutospacing="1" w:line="360" w:lineRule="auto"/>
        <w:jc w:val="both"/>
        <w:textAlignment w:val="baseline"/>
        <w:rPr>
          <w:rFonts w:ascii="Arial" w:eastAsia="Times New Roman" w:hAnsi="Arial" w:cs="Arial"/>
          <w:b/>
          <w:sz w:val="22"/>
          <w:szCs w:val="22"/>
        </w:rPr>
      </w:pPr>
      <w:r w:rsidRPr="000D7D53">
        <w:rPr>
          <w:rFonts w:ascii="Arial" w:eastAsia="Times New Roman" w:hAnsi="Arial" w:cs="Arial"/>
          <w:b/>
          <w:sz w:val="22"/>
          <w:szCs w:val="22"/>
        </w:rPr>
        <w:t>Effect of pandemic on old age:</w:t>
      </w:r>
    </w:p>
    <w:p w14:paraId="08CCF5A3"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When the pandemic started, we realized it was going to be a very difficult time for the most experienced, but we could never accurately predict how devastating it would end up being. Considering that what is happening is unfolding in an extraordinary way because of the vaccination program, we know that the pandemic continues to cast a shadow over the lives of many.</w:t>
      </w:r>
    </w:p>
    <w:p w14:paraId="49B3B7D7" w14:textId="07A91382"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 xml:space="preserve">We will no doubt remember this period as being very scary for some of the more mature people in the future. Old age immediately became a major risk factor for intractable diseases, with those over 65 dying most severely. However, this is not the only problem faced by more mature people </w:t>
      </w:r>
      <w:r w:rsidR="00130B82" w:rsidRPr="000D7D53">
        <w:rPr>
          <w:rFonts w:ascii="Arial" w:eastAsia="Times New Roman" w:hAnsi="Arial" w:cs="Arial"/>
          <w:noProof/>
          <w:sz w:val="22"/>
          <w:szCs w:val="22"/>
        </w:rPr>
        <w:t>(Liu, et al., 2020)</w:t>
      </w:r>
      <w:r w:rsidRPr="000D7D53">
        <w:rPr>
          <w:rFonts w:ascii="Arial" w:eastAsia="Times New Roman" w:hAnsi="Arial" w:cs="Arial"/>
          <w:sz w:val="22"/>
          <w:szCs w:val="22"/>
        </w:rPr>
        <w:t>.</w:t>
      </w:r>
      <w:r w:rsidRPr="000D7D53">
        <w:rPr>
          <w:rFonts w:ascii="Arial" w:eastAsia="Times New Roman" w:hAnsi="Arial" w:cs="Arial"/>
          <w:sz w:val="22"/>
          <w:szCs w:val="22"/>
        </w:rPr>
        <w:t xml:space="preserve"> </w:t>
      </w:r>
    </w:p>
    <w:p w14:paraId="7E4CEC65" w14:textId="77777777" w:rsidR="000B0EF3" w:rsidRPr="000D7D53" w:rsidRDefault="000B0EF3" w:rsidP="000D7D53">
      <w:pPr>
        <w:spacing w:line="360" w:lineRule="auto"/>
        <w:jc w:val="both"/>
        <w:rPr>
          <w:rFonts w:ascii="Arial" w:eastAsia="Times New Roman" w:hAnsi="Arial" w:cs="Arial"/>
          <w:sz w:val="22"/>
          <w:szCs w:val="22"/>
        </w:rPr>
      </w:pPr>
    </w:p>
    <w:p w14:paraId="1B152800" w14:textId="77777777" w:rsidR="000B0EF3" w:rsidRPr="000D7D53" w:rsidRDefault="000B0EF3" w:rsidP="000D7D53">
      <w:pPr>
        <w:spacing w:line="360" w:lineRule="auto"/>
        <w:jc w:val="both"/>
        <w:rPr>
          <w:rFonts w:ascii="Arial" w:eastAsia="Times New Roman" w:hAnsi="Arial" w:cs="Arial"/>
          <w:b/>
          <w:sz w:val="22"/>
          <w:szCs w:val="22"/>
        </w:rPr>
      </w:pPr>
      <w:r w:rsidRPr="000D7D53">
        <w:rPr>
          <w:rFonts w:ascii="Arial" w:eastAsia="Times New Roman" w:hAnsi="Arial" w:cs="Arial"/>
          <w:b/>
          <w:sz w:val="22"/>
          <w:szCs w:val="22"/>
        </w:rPr>
        <w:t>Long-term consequences of the pandemic</w:t>
      </w:r>
    </w:p>
    <w:p w14:paraId="15AC4F56"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 xml:space="preserve">Specifically, access to food, medicines and basic management can sometimes be very difficult for those unable to cope with the challenges posed by the pandemic and isolated from family, friends and those who support them. </w:t>
      </w:r>
    </w:p>
    <w:p w14:paraId="0E6C46B9"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We are aware of the enormous fear and stress that life in these extraordinary times creates; the lingering consequences of limitation and protection, the enormous difficulty of truly focusing on a friend or family member, and the unrelenting real element of grieving alone. Overall, we heard strong regrets for precious time and irreparable encounters.</w:t>
      </w:r>
    </w:p>
    <w:p w14:paraId="6AE1EEB0" w14:textId="7433758C"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 xml:space="preserve">Evidence is mounting that the pandemic has had an unfortunate impact on the psychological and actual well-being of many other veterans. Age UK has carried out 3 rounds of inspections over the past two years, revealing the extent of the damage. A quarter told us they are now </w:t>
      </w:r>
      <w:r w:rsidRPr="000D7D53">
        <w:rPr>
          <w:rFonts w:ascii="Arial" w:eastAsia="Times New Roman" w:hAnsi="Arial" w:cs="Arial"/>
          <w:sz w:val="22"/>
          <w:szCs w:val="22"/>
        </w:rPr>
        <w:lastRenderedPageBreak/>
        <w:t xml:space="preserve">experiencing more ordeal or going as far as possible. A third were more restless and lost the inspiration to do what they love. Nearly a quarter said they found it difficult to remember things, while family and carers of people with dementia told us their friends and family were weakening much faster than expected </w:t>
      </w:r>
      <w:r w:rsidR="00130B82" w:rsidRPr="000D7D53">
        <w:rPr>
          <w:rFonts w:ascii="Arial" w:eastAsia="Times New Roman" w:hAnsi="Arial" w:cs="Arial"/>
          <w:noProof/>
          <w:sz w:val="22"/>
          <w:szCs w:val="22"/>
        </w:rPr>
        <w:t>(Béland, et al., 2020; Lithander, et al., 2020)</w:t>
      </w:r>
      <w:r w:rsidRPr="000D7D53">
        <w:rPr>
          <w:rFonts w:ascii="Arial" w:eastAsia="Times New Roman" w:hAnsi="Arial" w:cs="Arial"/>
          <w:sz w:val="22"/>
          <w:szCs w:val="22"/>
        </w:rPr>
        <w:t>.</w:t>
      </w:r>
    </w:p>
    <w:p w14:paraId="788EBAB7" w14:textId="77777777" w:rsidR="000B0EF3" w:rsidRPr="000D7D53" w:rsidRDefault="000B0EF3" w:rsidP="000D7D53">
      <w:pPr>
        <w:spacing w:line="360" w:lineRule="auto"/>
        <w:jc w:val="both"/>
        <w:rPr>
          <w:rFonts w:ascii="Arial" w:eastAsia="Times New Roman" w:hAnsi="Arial" w:cs="Arial"/>
          <w:b/>
          <w:sz w:val="22"/>
          <w:szCs w:val="22"/>
        </w:rPr>
      </w:pPr>
      <w:r w:rsidRPr="000D7D53">
        <w:rPr>
          <w:rFonts w:ascii="Arial" w:eastAsia="Times New Roman" w:hAnsi="Arial" w:cs="Arial"/>
          <w:b/>
          <w:sz w:val="22"/>
          <w:szCs w:val="22"/>
        </w:rPr>
        <w:t>What we do</w:t>
      </w:r>
    </w:p>
    <w:p w14:paraId="169DE429"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The current quarantine for the pandemic has created a frustrating emergency, especially for more mature people who live alone or who are truly focused on friends or family.</w:t>
      </w:r>
    </w:p>
    <w:p w14:paraId="4246BF1A" w14:textId="1ACEA391"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 xml:space="preserve">Before the pandemic began, the number of people settling in England increased by 1.4 million at this time, and even more were settling in other parts of the UK. Yet in September 2021, after prolonged isolation from society and the people they know and love, more than 5 million seniors told us they felt helpless. The conclusion of a face-to-face management </w:t>
      </w:r>
      <w:proofErr w:type="gramStart"/>
      <w:r w:rsidRPr="000D7D53">
        <w:rPr>
          <w:rFonts w:ascii="Arial" w:eastAsia="Times New Roman" w:hAnsi="Arial" w:cs="Arial"/>
          <w:sz w:val="22"/>
          <w:szCs w:val="22"/>
        </w:rPr>
        <w:t>similar to</w:t>
      </w:r>
      <w:proofErr w:type="gramEnd"/>
      <w:r w:rsidRPr="000D7D53">
        <w:rPr>
          <w:rFonts w:ascii="Arial" w:eastAsia="Times New Roman" w:hAnsi="Arial" w:cs="Arial"/>
          <w:sz w:val="22"/>
          <w:szCs w:val="22"/>
        </w:rPr>
        <w:t xml:space="preserve"> </w:t>
      </w:r>
      <w:r w:rsidRPr="000D7D53">
        <w:rPr>
          <w:rFonts w:ascii="Arial" w:eastAsia="Times New Roman" w:hAnsi="Arial" w:cs="Arial"/>
          <w:sz w:val="22"/>
          <w:szCs w:val="22"/>
        </w:rPr>
        <w:t>neighbouring</w:t>
      </w:r>
      <w:r w:rsidRPr="000D7D53">
        <w:rPr>
          <w:rFonts w:ascii="Arial" w:eastAsia="Times New Roman" w:hAnsi="Arial" w:cs="Arial"/>
          <w:sz w:val="22"/>
          <w:szCs w:val="22"/>
        </w:rPr>
        <w:t xml:space="preserve"> Age UK is also a blow to those with experience but not encouraging groups of locals.</w:t>
      </w:r>
    </w:p>
    <w:p w14:paraId="2F1E29DA"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The challenge of receiving treatment, or a reluctance to disturb the NHS at such an inconvenient time, means more disease and long-term medical problems are gone. Fears of contamination, especially in the early months of the pandemic, when healthcare workers struggled to get the right PPE, led more individuals and families to drop out of health care as well.</w:t>
      </w:r>
    </w:p>
    <w:p w14:paraId="33386F21" w14:textId="3A7F6AF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 xml:space="preserve">Obviously, some more experienced people are less successful than others. Disease and death are especially hard hit by low-income people, including too many blacks, Asians and other minorities. More mature people with previous medical issues and care needs, as well as caregivers, saw the greatest disruption in their health, portability and wider prosperity </w:t>
      </w:r>
      <w:r w:rsidR="00130B82" w:rsidRPr="000D7D53">
        <w:rPr>
          <w:rFonts w:ascii="Arial" w:eastAsia="Times New Roman" w:hAnsi="Arial" w:cs="Arial"/>
          <w:noProof/>
          <w:sz w:val="22"/>
          <w:szCs w:val="22"/>
        </w:rPr>
        <w:t>(Montemurro, 2020)</w:t>
      </w:r>
      <w:r w:rsidRPr="000D7D53">
        <w:rPr>
          <w:rFonts w:ascii="Arial" w:eastAsia="Times New Roman" w:hAnsi="Arial" w:cs="Arial"/>
          <w:sz w:val="22"/>
          <w:szCs w:val="22"/>
        </w:rPr>
        <w:t>.</w:t>
      </w:r>
    </w:p>
    <w:p w14:paraId="3E0C7EA3" w14:textId="77777777" w:rsidR="000B0EF3" w:rsidRPr="000D7D53" w:rsidRDefault="000B0EF3" w:rsidP="000D7D53">
      <w:pPr>
        <w:spacing w:line="360" w:lineRule="auto"/>
        <w:jc w:val="both"/>
        <w:rPr>
          <w:rFonts w:ascii="Arial" w:eastAsia="Times New Roman" w:hAnsi="Arial" w:cs="Arial"/>
          <w:sz w:val="22"/>
          <w:szCs w:val="22"/>
        </w:rPr>
      </w:pPr>
    </w:p>
    <w:p w14:paraId="0AFCDB3B" w14:textId="77777777" w:rsidR="000B0EF3" w:rsidRPr="000D7D53" w:rsidRDefault="000B0EF3" w:rsidP="000D7D53">
      <w:pPr>
        <w:spacing w:line="360" w:lineRule="auto"/>
        <w:jc w:val="both"/>
        <w:rPr>
          <w:rFonts w:ascii="Arial" w:eastAsia="Times New Roman" w:hAnsi="Arial" w:cs="Arial"/>
          <w:b/>
          <w:sz w:val="22"/>
          <w:szCs w:val="22"/>
        </w:rPr>
      </w:pPr>
      <w:r w:rsidRPr="000D7D53">
        <w:rPr>
          <w:rFonts w:ascii="Arial" w:eastAsia="Times New Roman" w:hAnsi="Arial" w:cs="Arial"/>
          <w:b/>
          <w:sz w:val="22"/>
          <w:szCs w:val="22"/>
        </w:rPr>
        <w:t>Social Considerations:</w:t>
      </w:r>
    </w:p>
    <w:p w14:paraId="21731185" w14:textId="61FAFB9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 xml:space="preserve">Social considerations have been at the forefront of the CORONA VIRUS 19pandemic, with the shocking death of 30,000 nursing home residents and nearly 900 nursing home staff deaths in Care England. The pandemic has also shown how delicate and Split care services in England are more of a stall industry than the successful and reliable framework that more established people need. Against the backdrop of everything we've seen over the past year, the charity says the case for </w:t>
      </w:r>
      <w:r w:rsidRPr="000D7D53">
        <w:rPr>
          <w:rFonts w:ascii="Arial" w:eastAsia="Times New Roman" w:hAnsi="Arial" w:cs="Arial"/>
          <w:sz w:val="22"/>
          <w:szCs w:val="22"/>
        </w:rPr>
        <w:t>ground-breaking</w:t>
      </w:r>
      <w:r w:rsidRPr="000D7D53">
        <w:rPr>
          <w:rFonts w:ascii="Arial" w:eastAsia="Times New Roman" w:hAnsi="Arial" w:cs="Arial"/>
          <w:sz w:val="22"/>
          <w:szCs w:val="22"/>
        </w:rPr>
        <w:t xml:space="preserve"> change and shifting societal considerations has never been stronger.</w:t>
      </w:r>
    </w:p>
    <w:p w14:paraId="5673DFCD" w14:textId="22422F3A"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 xml:space="preserve">Before the pandemic hit, Age UK estimated that 1.6 million people in the UK over the age of 65 were not getting the care and support they needed, a figure that could rise to 2.1 million by 2030. The charity said that unless the government's current coordination is essentially a greater focus on social considerations as part of a package of changes. These numbers may </w:t>
      </w:r>
      <w:r w:rsidRPr="000D7D53">
        <w:rPr>
          <w:rFonts w:ascii="Arial" w:eastAsia="Times New Roman" w:hAnsi="Arial" w:cs="Arial"/>
          <w:sz w:val="22"/>
          <w:szCs w:val="22"/>
        </w:rPr>
        <w:lastRenderedPageBreak/>
        <w:t xml:space="preserve">be miscalculated as the pandemic adversely affects the well-being and versatility of more mature individuals </w:t>
      </w:r>
      <w:r w:rsidR="00130B82" w:rsidRPr="000D7D53">
        <w:rPr>
          <w:rFonts w:ascii="Arial" w:eastAsia="Times New Roman" w:hAnsi="Arial" w:cs="Arial"/>
          <w:noProof/>
          <w:sz w:val="22"/>
          <w:szCs w:val="22"/>
        </w:rPr>
        <w:t>(Sugimoto, et al., 2021)</w:t>
      </w:r>
      <w:r w:rsidRPr="000D7D53">
        <w:rPr>
          <w:rFonts w:ascii="Arial" w:eastAsia="Times New Roman" w:hAnsi="Arial" w:cs="Arial"/>
          <w:sz w:val="22"/>
          <w:szCs w:val="22"/>
        </w:rPr>
        <w:t>.</w:t>
      </w:r>
    </w:p>
    <w:p w14:paraId="2E24A302" w14:textId="77777777" w:rsidR="000B0EF3" w:rsidRPr="000D7D53" w:rsidRDefault="000B0EF3" w:rsidP="000D7D53">
      <w:pPr>
        <w:spacing w:line="360" w:lineRule="auto"/>
        <w:jc w:val="both"/>
        <w:rPr>
          <w:rFonts w:ascii="Arial" w:eastAsia="Times New Roman" w:hAnsi="Arial" w:cs="Arial"/>
          <w:b/>
          <w:sz w:val="22"/>
          <w:szCs w:val="22"/>
        </w:rPr>
      </w:pPr>
      <w:r w:rsidRPr="000D7D53">
        <w:rPr>
          <w:rFonts w:ascii="Arial" w:eastAsia="Times New Roman" w:hAnsi="Arial" w:cs="Arial"/>
          <w:b/>
          <w:sz w:val="22"/>
          <w:szCs w:val="22"/>
        </w:rPr>
        <w:t>Government changes:</w:t>
      </w:r>
    </w:p>
    <w:p w14:paraId="4E8E4224"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From October 2023, public authorities will introduce a new limit of £86,000 on how much anyone in England must spend in their own account over a lifetime.</w:t>
      </w:r>
    </w:p>
    <w:p w14:paraId="428C44AE"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In addition, the capital cap (UCL) at which people can apply for financial support from local authorities will be increased from the current £23,250 to £100,000. Therefore, people with estimated resources of less than £100,000 will never donate more than 20% of their resources per year. The £100,000 UCL will apply across the board regardless of the conditions or circumstances in which a person receives care, making it a more liberal proposal than the pre-2015 proposal. There is no cost to consider their resources will increase from £14,250 to £20,000.</w:t>
      </w:r>
    </w:p>
    <w:p w14:paraId="1A33ACBE" w14:textId="77777777" w:rsidR="000B0EF3" w:rsidRPr="000D7D53" w:rsidRDefault="000B0EF3" w:rsidP="000D7D53">
      <w:pPr>
        <w:spacing w:line="360" w:lineRule="auto"/>
        <w:jc w:val="both"/>
        <w:rPr>
          <w:rFonts w:ascii="Arial" w:eastAsia="Times New Roman" w:hAnsi="Arial" w:cs="Arial"/>
          <w:sz w:val="22"/>
          <w:szCs w:val="22"/>
        </w:rPr>
      </w:pPr>
      <w:r w:rsidRPr="000D7D53">
        <w:rPr>
          <w:rFonts w:ascii="Arial" w:eastAsia="Times New Roman" w:hAnsi="Arial" w:cs="Arial"/>
          <w:sz w:val="22"/>
          <w:szCs w:val="22"/>
        </w:rPr>
        <w:t>New changes should be clear and reduce complexity. In this way, the government will signal a correction in the way people in the media are tested for promotion to the top through the Nursing Act 2014. The amendment, which is awaiting parliamentary approval, will ensure that the principal amount a person pays for these costs will match the care spending cap, and that individuals will not hit the cap faster than they would not be paying. To enable those receiving assistance to maintain higher wages, the Public Authority will issue from April 2022 the Minimum Guaranteed Income (RMI) for Home Carers and the Personal Expenses Allowance (PEA) for Residential Residents will be based on the expansion. Increase.</w:t>
      </w:r>
    </w:p>
    <w:p w14:paraId="4B76AD38" w14:textId="0605DF05" w:rsidR="000B0EF3" w:rsidRPr="000D7D53" w:rsidRDefault="000B0EF3" w:rsidP="000D7D53">
      <w:pPr>
        <w:spacing w:line="360" w:lineRule="auto"/>
        <w:jc w:val="both"/>
        <w:rPr>
          <w:rFonts w:ascii="Arial" w:hAnsi="Arial" w:cs="Arial"/>
          <w:sz w:val="22"/>
          <w:szCs w:val="22"/>
        </w:rPr>
      </w:pPr>
      <w:r w:rsidRPr="000D7D53">
        <w:rPr>
          <w:rFonts w:ascii="Arial" w:hAnsi="Arial" w:cs="Arial"/>
          <w:sz w:val="22"/>
          <w:szCs w:val="22"/>
        </w:rPr>
        <w:t xml:space="preserve">The cap will not include the daily living expenses (DLC) of nursing home individuals, and even if the cap is reached, individuals will still be responsible for their DLC throughout their retirement program. From 2021 to 2022, this could cost the equivalent of £200 a week. DLC is a nominal amount that reflects some private wage costs that are not directly linked to personal costs, such as rent, food, and services, and should be paid to live anywhere, for anyone. This is in line with the Nursing and Support Funding Committee's 2011 recommendation. The £200 tier cost from 2021 to 2022 is about £60 less than the proposal set out in 2015 to ensure people can keep more salaries and resources </w:t>
      </w:r>
      <w:r w:rsidR="00130B82" w:rsidRPr="000D7D53">
        <w:rPr>
          <w:rFonts w:ascii="Arial" w:hAnsi="Arial" w:cs="Arial"/>
          <w:noProof/>
          <w:sz w:val="22"/>
          <w:szCs w:val="22"/>
        </w:rPr>
        <w:t>(Policy paper, 2022)</w:t>
      </w:r>
      <w:r w:rsidRPr="000D7D53">
        <w:rPr>
          <w:rFonts w:ascii="Arial" w:hAnsi="Arial" w:cs="Arial"/>
          <w:sz w:val="22"/>
          <w:szCs w:val="22"/>
        </w:rPr>
        <w:t>.</w:t>
      </w:r>
    </w:p>
    <w:p w14:paraId="2097E6D8" w14:textId="709D3D70" w:rsidR="000B0EF3" w:rsidRPr="000D7D53" w:rsidRDefault="000B0EF3" w:rsidP="000D7D53">
      <w:pPr>
        <w:spacing w:line="360" w:lineRule="auto"/>
        <w:jc w:val="both"/>
        <w:rPr>
          <w:rFonts w:ascii="Arial" w:hAnsi="Arial" w:cs="Arial"/>
          <w:sz w:val="22"/>
          <w:szCs w:val="22"/>
        </w:rPr>
      </w:pPr>
    </w:p>
    <w:p w14:paraId="5B4AE9B9" w14:textId="63F54322" w:rsidR="000B0EF3" w:rsidRPr="000D7D53" w:rsidRDefault="000B0EF3" w:rsidP="000D7D53">
      <w:pPr>
        <w:spacing w:line="360" w:lineRule="auto"/>
        <w:jc w:val="both"/>
        <w:rPr>
          <w:rFonts w:ascii="Arial" w:hAnsi="Arial" w:cs="Arial"/>
          <w:sz w:val="22"/>
          <w:szCs w:val="22"/>
        </w:rPr>
      </w:pPr>
    </w:p>
    <w:p w14:paraId="531D62E4" w14:textId="2967A21E" w:rsidR="000B0EF3" w:rsidRPr="000D7D53" w:rsidRDefault="000B0EF3" w:rsidP="000D7D53">
      <w:pPr>
        <w:spacing w:line="360" w:lineRule="auto"/>
        <w:jc w:val="both"/>
        <w:rPr>
          <w:rFonts w:ascii="Arial" w:hAnsi="Arial" w:cs="Arial"/>
          <w:sz w:val="22"/>
          <w:szCs w:val="22"/>
        </w:rPr>
      </w:pPr>
    </w:p>
    <w:p w14:paraId="07C311D9" w14:textId="6190671B" w:rsidR="000B0EF3" w:rsidRPr="000B0EF3" w:rsidRDefault="000B0EF3" w:rsidP="000B0EF3">
      <w:pPr>
        <w:spacing w:line="360" w:lineRule="auto"/>
        <w:jc w:val="both"/>
        <w:rPr>
          <w:rFonts w:ascii="Arial" w:hAnsi="Arial" w:cs="Arial"/>
          <w:sz w:val="22"/>
          <w:szCs w:val="22"/>
        </w:rPr>
      </w:pPr>
    </w:p>
    <w:p w14:paraId="7BD05644" w14:textId="028A5848" w:rsidR="000B0EF3" w:rsidRPr="000B0EF3" w:rsidRDefault="000B0EF3" w:rsidP="000B0EF3">
      <w:pPr>
        <w:spacing w:line="360" w:lineRule="auto"/>
        <w:jc w:val="both"/>
        <w:rPr>
          <w:rFonts w:ascii="Arial" w:hAnsi="Arial" w:cs="Arial"/>
          <w:sz w:val="22"/>
          <w:szCs w:val="22"/>
        </w:rPr>
      </w:pPr>
    </w:p>
    <w:p w14:paraId="10697316" w14:textId="3870DDEC" w:rsidR="000B0EF3" w:rsidRPr="000B0EF3" w:rsidRDefault="000B0EF3" w:rsidP="000B0EF3">
      <w:pPr>
        <w:spacing w:line="360" w:lineRule="auto"/>
        <w:jc w:val="both"/>
        <w:rPr>
          <w:rFonts w:ascii="Arial" w:hAnsi="Arial" w:cs="Arial"/>
          <w:sz w:val="22"/>
          <w:szCs w:val="22"/>
        </w:rPr>
      </w:pPr>
    </w:p>
    <w:p w14:paraId="5CFE89CA" w14:textId="2BF8E92B" w:rsidR="000B0EF3" w:rsidRPr="000B0EF3" w:rsidRDefault="000B0EF3" w:rsidP="000B0EF3">
      <w:pPr>
        <w:spacing w:line="360" w:lineRule="auto"/>
        <w:jc w:val="both"/>
        <w:rPr>
          <w:rFonts w:ascii="Arial" w:hAnsi="Arial" w:cs="Arial"/>
          <w:sz w:val="22"/>
          <w:szCs w:val="22"/>
        </w:rPr>
      </w:pPr>
    </w:p>
    <w:p w14:paraId="0715E7D9" w14:textId="6E6C1F69" w:rsidR="000B0EF3" w:rsidRPr="000B0EF3" w:rsidRDefault="000B0EF3" w:rsidP="000B0EF3">
      <w:pPr>
        <w:spacing w:line="360" w:lineRule="auto"/>
        <w:jc w:val="both"/>
        <w:rPr>
          <w:rFonts w:ascii="Arial" w:hAnsi="Arial" w:cs="Arial"/>
          <w:sz w:val="22"/>
          <w:szCs w:val="22"/>
        </w:rPr>
      </w:pPr>
    </w:p>
    <w:p w14:paraId="44FDE619" w14:textId="5B7116BC" w:rsidR="000B0EF3" w:rsidRPr="000B0EF3" w:rsidRDefault="000B0EF3" w:rsidP="000B0EF3">
      <w:pPr>
        <w:spacing w:line="360" w:lineRule="auto"/>
        <w:jc w:val="both"/>
        <w:rPr>
          <w:rFonts w:ascii="Arial" w:hAnsi="Arial" w:cs="Arial"/>
          <w:sz w:val="22"/>
          <w:szCs w:val="22"/>
        </w:rPr>
      </w:pPr>
    </w:p>
    <w:p w14:paraId="3F83621D" w14:textId="77777777" w:rsidR="000B0EF3" w:rsidRPr="000B0EF3" w:rsidRDefault="000B0EF3" w:rsidP="000B0EF3">
      <w:pPr>
        <w:spacing w:line="360" w:lineRule="auto"/>
        <w:jc w:val="both"/>
        <w:rPr>
          <w:rFonts w:ascii="Arial" w:hAnsi="Arial" w:cs="Arial"/>
          <w:sz w:val="22"/>
          <w:szCs w:val="22"/>
        </w:rPr>
      </w:pPr>
    </w:p>
    <w:sdt>
      <w:sdtPr>
        <w:rPr>
          <w:rFonts w:ascii="Arial" w:eastAsiaTheme="minorHAnsi" w:hAnsi="Arial" w:cs="Arial"/>
          <w:color w:val="auto"/>
          <w:sz w:val="22"/>
          <w:szCs w:val="22"/>
        </w:rPr>
        <w:id w:val="1721935429"/>
        <w:docPartObj>
          <w:docPartGallery w:val="Bibliographies"/>
          <w:docPartUnique/>
        </w:docPartObj>
      </w:sdtPr>
      <w:sdtEndPr>
        <w:rPr>
          <w:lang w:val="en-GB"/>
        </w:rPr>
      </w:sdtEndPr>
      <w:sdtContent>
        <w:p w14:paraId="2E57D943" w14:textId="77777777" w:rsidR="000B0EF3" w:rsidRPr="000B0EF3" w:rsidRDefault="000B0EF3" w:rsidP="000D7D53">
          <w:pPr>
            <w:pStyle w:val="Heading1"/>
            <w:spacing w:line="360" w:lineRule="auto"/>
            <w:rPr>
              <w:rFonts w:ascii="Arial" w:hAnsi="Arial" w:cs="Arial"/>
              <w:b/>
              <w:color w:val="auto"/>
              <w:sz w:val="22"/>
              <w:szCs w:val="22"/>
            </w:rPr>
          </w:pPr>
          <w:r w:rsidRPr="000B0EF3">
            <w:rPr>
              <w:rFonts w:ascii="Arial" w:hAnsi="Arial" w:cs="Arial"/>
              <w:b/>
              <w:color w:val="auto"/>
              <w:sz w:val="22"/>
              <w:szCs w:val="22"/>
            </w:rPr>
            <w:t>References</w:t>
          </w:r>
        </w:p>
        <w:p w14:paraId="7B36BA4D" w14:textId="43ED343F" w:rsidR="000B0EF3" w:rsidRDefault="000B0EF3" w:rsidP="000B0EF3">
          <w:pPr>
            <w:pStyle w:val="Bibliography"/>
            <w:spacing w:line="360" w:lineRule="auto"/>
            <w:rPr>
              <w:rFonts w:ascii="Arial" w:hAnsi="Arial" w:cs="Arial"/>
              <w:noProof/>
            </w:rPr>
          </w:pPr>
          <w:r w:rsidRPr="000B0EF3">
            <w:rPr>
              <w:rFonts w:ascii="Arial" w:hAnsi="Arial" w:cs="Arial"/>
              <w:noProof/>
            </w:rPr>
            <w:t>Amore, S., Puppo, E. &amp; Josué Melara,</w:t>
          </w:r>
          <w:r w:rsidR="00505BFA">
            <w:rPr>
              <w:rFonts w:ascii="Arial" w:hAnsi="Arial" w:cs="Arial"/>
              <w:noProof/>
            </w:rPr>
            <w:t xml:space="preserve"> et al. (</w:t>
          </w:r>
          <w:r w:rsidRPr="000B0EF3">
            <w:rPr>
              <w:rFonts w:ascii="Arial" w:hAnsi="Arial" w:cs="Arial"/>
              <w:noProof/>
            </w:rPr>
            <w:t>2021</w:t>
          </w:r>
          <w:r w:rsidR="00505BFA">
            <w:rPr>
              <w:rFonts w:ascii="Arial" w:hAnsi="Arial" w:cs="Arial"/>
              <w:noProof/>
            </w:rPr>
            <w:t>)</w:t>
          </w:r>
          <w:r w:rsidRPr="000B0EF3">
            <w:rPr>
              <w:rFonts w:ascii="Arial" w:hAnsi="Arial" w:cs="Arial"/>
              <w:noProof/>
            </w:rPr>
            <w:t xml:space="preserve">. Impact of COVID-19 on older adults and role of long-term care facilities during early stages of epidemic in Italy. </w:t>
          </w:r>
          <w:r w:rsidRPr="000B0EF3">
            <w:rPr>
              <w:rFonts w:ascii="Arial" w:hAnsi="Arial" w:cs="Arial"/>
              <w:i/>
              <w:iCs/>
              <w:noProof/>
            </w:rPr>
            <w:t xml:space="preserve">Scientific Reports , </w:t>
          </w:r>
          <w:r w:rsidRPr="000B0EF3">
            <w:rPr>
              <w:rFonts w:ascii="Arial" w:hAnsi="Arial" w:cs="Arial"/>
              <w:noProof/>
            </w:rPr>
            <w:t>11(1).</w:t>
          </w:r>
        </w:p>
        <w:p w14:paraId="11AE4BC1" w14:textId="30DF2704" w:rsidR="00890987" w:rsidRPr="00890987" w:rsidRDefault="00890987" w:rsidP="00890987">
          <w:pPr>
            <w:rPr>
              <w:rFonts w:ascii="Times New Roman" w:eastAsia="Times New Roman" w:hAnsi="Times New Roman" w:cs="Times New Roman"/>
              <w:lang w:eastAsia="en-GB"/>
            </w:rPr>
          </w:pPr>
          <w:r w:rsidRPr="00890987">
            <w:rPr>
              <w:rFonts w:ascii="Segoe UI" w:eastAsia="Times New Roman" w:hAnsi="Segoe UI" w:cs="Segoe UI"/>
              <w:color w:val="212121"/>
              <w:shd w:val="clear" w:color="auto" w:fill="FFFFFF"/>
              <w:lang w:eastAsia="en-GB"/>
            </w:rPr>
            <w:t xml:space="preserve">Etard, J. F., Vanhems, P., Atlani-Duault, L., &amp; Ecochard, R. (2020). Potential lethal outbreak of coronavirus disease (COVID-19) among the elderly in retirement homes and long-term facilities, </w:t>
          </w:r>
          <w:r w:rsidRPr="00890987">
            <w:rPr>
              <w:rFonts w:ascii="Segoe UI" w:eastAsia="Times New Roman" w:hAnsi="Segoe UI" w:cs="Segoe UI"/>
              <w:i/>
              <w:iCs/>
              <w:color w:val="212121"/>
              <w:shd w:val="clear" w:color="auto" w:fill="FFFFFF"/>
              <w:lang w:eastAsia="en-GB"/>
            </w:rPr>
            <w:t>Eurosurveillance</w:t>
          </w:r>
          <w:r>
            <w:rPr>
              <w:rFonts w:ascii="Segoe UI" w:eastAsia="Times New Roman" w:hAnsi="Segoe UI" w:cs="Segoe UI"/>
              <w:i/>
              <w:iCs/>
              <w:color w:val="212121"/>
              <w:shd w:val="clear" w:color="auto" w:fill="FFFFFF"/>
              <w:lang w:eastAsia="en-GB"/>
            </w:rPr>
            <w:t>...</w:t>
          </w:r>
          <w:r w:rsidRPr="00890987">
            <w:rPr>
              <w:rFonts w:ascii="Segoe UI" w:eastAsia="Times New Roman" w:hAnsi="Segoe UI" w:cs="Segoe UI"/>
              <w:i/>
              <w:iCs/>
              <w:color w:val="212121"/>
              <w:shd w:val="clear" w:color="auto" w:fill="FFFFFF"/>
              <w:lang w:eastAsia="en-GB"/>
            </w:rPr>
            <w:t xml:space="preserve"> </w:t>
          </w:r>
        </w:p>
        <w:p w14:paraId="7DFA2E7F" w14:textId="77777777" w:rsidR="00890987" w:rsidRPr="00890987" w:rsidRDefault="00890987" w:rsidP="00890987">
          <w:pPr>
            <w:rPr>
              <w:lang w:val="en-US"/>
            </w:rPr>
          </w:pPr>
        </w:p>
        <w:p w14:paraId="7FF51C6C" w14:textId="109F62AC"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Béland, </w:t>
          </w:r>
          <w:r w:rsidR="004622BB">
            <w:rPr>
              <w:rFonts w:ascii="Arial" w:hAnsi="Arial" w:cs="Arial"/>
              <w:noProof/>
            </w:rPr>
            <w:t xml:space="preserve">L., P., </w:t>
          </w:r>
          <w:r w:rsidRPr="000B0EF3">
            <w:rPr>
              <w:rFonts w:ascii="Arial" w:hAnsi="Arial" w:cs="Arial"/>
              <w:noProof/>
            </w:rPr>
            <w:t>Brodeur</w:t>
          </w:r>
          <w:r w:rsidR="004622BB">
            <w:rPr>
              <w:rFonts w:ascii="Arial" w:hAnsi="Arial" w:cs="Arial"/>
              <w:noProof/>
            </w:rPr>
            <w:t xml:space="preserve">, A., </w:t>
          </w:r>
          <w:r w:rsidRPr="000B0EF3">
            <w:rPr>
              <w:rFonts w:ascii="Arial" w:hAnsi="Arial" w:cs="Arial"/>
              <w:noProof/>
            </w:rPr>
            <w:t xml:space="preserve">&amp; </w:t>
          </w:r>
          <w:r w:rsidR="004622BB">
            <w:rPr>
              <w:rFonts w:ascii="Arial" w:hAnsi="Arial" w:cs="Arial"/>
              <w:noProof/>
            </w:rPr>
            <w:t>Wright</w:t>
          </w:r>
          <w:r w:rsidRPr="000B0EF3">
            <w:rPr>
              <w:rFonts w:ascii="Arial" w:hAnsi="Arial" w:cs="Arial"/>
              <w:noProof/>
            </w:rPr>
            <w:t>.,</w:t>
          </w:r>
          <w:r w:rsidR="004622BB">
            <w:rPr>
              <w:rFonts w:ascii="Arial" w:hAnsi="Arial" w:cs="Arial"/>
              <w:noProof/>
            </w:rPr>
            <w:t xml:space="preserve"> T., (</w:t>
          </w:r>
          <w:r w:rsidRPr="000B0EF3">
            <w:rPr>
              <w:rFonts w:ascii="Arial" w:hAnsi="Arial" w:cs="Arial"/>
              <w:noProof/>
            </w:rPr>
            <w:t>2020</w:t>
          </w:r>
          <w:r w:rsidR="004622BB">
            <w:rPr>
              <w:rFonts w:ascii="Arial" w:hAnsi="Arial" w:cs="Arial"/>
              <w:noProof/>
            </w:rPr>
            <w:t>)</w:t>
          </w:r>
          <w:r w:rsidRPr="000B0EF3">
            <w:rPr>
              <w:rFonts w:ascii="Arial" w:hAnsi="Arial" w:cs="Arial"/>
              <w:noProof/>
            </w:rPr>
            <w:t xml:space="preserve">. The Short-Term Economic Consequences of Covid-19: Exposure to Disease, Remote Work and Government Response.. </w:t>
          </w:r>
          <w:r w:rsidRPr="000B0EF3">
            <w:rPr>
              <w:rFonts w:ascii="Arial" w:hAnsi="Arial" w:cs="Arial"/>
              <w:i/>
              <w:iCs/>
              <w:noProof/>
            </w:rPr>
            <w:t>IZA Discussion Paper No. 13159..</w:t>
          </w:r>
        </w:p>
        <w:p w14:paraId="79505C7C" w14:textId="77777777"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Bidon, J., 2020. Burden of Covid 19. </w:t>
          </w:r>
          <w:r w:rsidRPr="000B0EF3">
            <w:rPr>
              <w:rFonts w:ascii="Arial" w:hAnsi="Arial" w:cs="Arial"/>
              <w:i/>
              <w:iCs/>
              <w:noProof/>
            </w:rPr>
            <w:t>Health and wellness.</w:t>
          </w:r>
        </w:p>
        <w:p w14:paraId="1AF8E7A0" w14:textId="2A0CCCE3" w:rsidR="000B0EF3" w:rsidRPr="000B0EF3" w:rsidRDefault="000B0EF3" w:rsidP="000B0EF3">
          <w:pPr>
            <w:pStyle w:val="Bibliography"/>
            <w:spacing w:line="360" w:lineRule="auto"/>
            <w:rPr>
              <w:rFonts w:ascii="Arial" w:hAnsi="Arial" w:cs="Arial"/>
              <w:noProof/>
            </w:rPr>
          </w:pPr>
          <w:r w:rsidRPr="000B0EF3">
            <w:rPr>
              <w:rFonts w:ascii="Arial" w:hAnsi="Arial" w:cs="Arial"/>
              <w:noProof/>
            </w:rPr>
            <w:t>Comas-Herrera</w:t>
          </w:r>
          <w:r w:rsidR="0020428D">
            <w:rPr>
              <w:rFonts w:ascii="Arial" w:hAnsi="Arial" w:cs="Arial"/>
              <w:noProof/>
            </w:rPr>
            <w:t>, A.,</w:t>
          </w:r>
          <w:r w:rsidRPr="000B0EF3">
            <w:rPr>
              <w:rFonts w:ascii="Arial" w:hAnsi="Arial" w:cs="Arial"/>
              <w:noProof/>
            </w:rPr>
            <w:t xml:space="preserve"> &amp; </w:t>
          </w:r>
          <w:r w:rsidR="0020428D">
            <w:rPr>
              <w:rFonts w:ascii="Arial" w:hAnsi="Arial" w:cs="Arial"/>
              <w:noProof/>
            </w:rPr>
            <w:t xml:space="preserve">Zalakain, </w:t>
          </w:r>
          <w:r w:rsidRPr="000B0EF3">
            <w:rPr>
              <w:rFonts w:ascii="Arial" w:hAnsi="Arial" w:cs="Arial"/>
              <w:noProof/>
            </w:rPr>
            <w:t xml:space="preserve">J., </w:t>
          </w:r>
          <w:r w:rsidR="0020428D">
            <w:rPr>
              <w:rFonts w:ascii="Arial" w:hAnsi="Arial" w:cs="Arial"/>
              <w:noProof/>
            </w:rPr>
            <w:t>(</w:t>
          </w:r>
          <w:r w:rsidRPr="000B0EF3">
            <w:rPr>
              <w:rFonts w:ascii="Arial" w:hAnsi="Arial" w:cs="Arial"/>
              <w:noProof/>
            </w:rPr>
            <w:t>2020</w:t>
          </w:r>
          <w:r w:rsidR="0020428D">
            <w:rPr>
              <w:rFonts w:ascii="Arial" w:hAnsi="Arial" w:cs="Arial"/>
              <w:noProof/>
            </w:rPr>
            <w:t>)</w:t>
          </w:r>
          <w:r w:rsidRPr="000B0EF3">
            <w:rPr>
              <w:rFonts w:ascii="Arial" w:hAnsi="Arial" w:cs="Arial"/>
              <w:noProof/>
            </w:rPr>
            <w:t xml:space="preserve">. Mortality associated with COVID-19 outbreaks in care homes: early international evidence.. </w:t>
          </w:r>
          <w:r w:rsidRPr="000B0EF3">
            <w:rPr>
              <w:rFonts w:ascii="Arial" w:hAnsi="Arial" w:cs="Arial"/>
              <w:i/>
              <w:iCs/>
              <w:noProof/>
            </w:rPr>
            <w:t>Geriatrics.</w:t>
          </w:r>
        </w:p>
        <w:p w14:paraId="59DAB23A" w14:textId="4F2E2B4E"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Coombs, N., Storey, A. &amp; Giddings, R., </w:t>
          </w:r>
          <w:r w:rsidR="006B163E">
            <w:rPr>
              <w:rFonts w:ascii="Arial" w:hAnsi="Arial" w:cs="Arial"/>
              <w:noProof/>
            </w:rPr>
            <w:t>(</w:t>
          </w:r>
          <w:r w:rsidRPr="000B0EF3">
            <w:rPr>
              <w:rFonts w:ascii="Arial" w:hAnsi="Arial" w:cs="Arial"/>
              <w:noProof/>
            </w:rPr>
            <w:t>2020</w:t>
          </w:r>
          <w:r w:rsidR="006B163E">
            <w:rPr>
              <w:rFonts w:ascii="Arial" w:hAnsi="Arial" w:cs="Arial"/>
              <w:noProof/>
            </w:rPr>
            <w:t>)</w:t>
          </w:r>
          <w:r w:rsidRPr="000B0EF3">
            <w:rPr>
              <w:rFonts w:ascii="Arial" w:hAnsi="Arial" w:cs="Arial"/>
              <w:noProof/>
            </w:rPr>
            <w:t xml:space="preserve">. Living longer: is age 70 the new age 65?. </w:t>
          </w:r>
          <w:r w:rsidRPr="000B0EF3">
            <w:rPr>
              <w:rFonts w:ascii="Arial" w:hAnsi="Arial" w:cs="Arial"/>
              <w:i/>
              <w:iCs/>
              <w:noProof/>
            </w:rPr>
            <w:t>National statistics.</w:t>
          </w:r>
        </w:p>
        <w:p w14:paraId="35F43163" w14:textId="74961599" w:rsidR="000B0EF3" w:rsidRPr="000B0EF3" w:rsidRDefault="000B0EF3" w:rsidP="000B0EF3">
          <w:pPr>
            <w:pStyle w:val="Bibliography"/>
            <w:spacing w:line="360" w:lineRule="auto"/>
            <w:rPr>
              <w:rFonts w:ascii="Arial" w:hAnsi="Arial" w:cs="Arial"/>
              <w:noProof/>
            </w:rPr>
          </w:pPr>
          <w:r w:rsidRPr="000B0EF3">
            <w:rPr>
              <w:rFonts w:ascii="Arial" w:hAnsi="Arial" w:cs="Arial"/>
              <w:noProof/>
            </w:rPr>
            <w:t>Doty, M. M., Fields, K. &amp; FitzGerald, M.,</w:t>
          </w:r>
          <w:r w:rsidR="00E41880">
            <w:rPr>
              <w:rFonts w:ascii="Arial" w:hAnsi="Arial" w:cs="Arial"/>
              <w:noProof/>
            </w:rPr>
            <w:t xml:space="preserve"> (</w:t>
          </w:r>
          <w:r w:rsidRPr="000B0EF3">
            <w:rPr>
              <w:rFonts w:ascii="Arial" w:hAnsi="Arial" w:cs="Arial"/>
              <w:noProof/>
            </w:rPr>
            <w:t>2021</w:t>
          </w:r>
          <w:r w:rsidR="00E41880">
            <w:rPr>
              <w:rFonts w:ascii="Arial" w:hAnsi="Arial" w:cs="Arial"/>
              <w:noProof/>
            </w:rPr>
            <w:t>)</w:t>
          </w:r>
          <w:r w:rsidRPr="000B0EF3">
            <w:rPr>
              <w:rFonts w:ascii="Arial" w:hAnsi="Arial" w:cs="Arial"/>
              <w:noProof/>
            </w:rPr>
            <w:t xml:space="preserve">. Covid 19 and older adults. </w:t>
          </w:r>
          <w:r w:rsidRPr="000B0EF3">
            <w:rPr>
              <w:rFonts w:ascii="Arial" w:hAnsi="Arial" w:cs="Arial"/>
              <w:i/>
              <w:iCs/>
              <w:noProof/>
            </w:rPr>
            <w:t>health and wellness.</w:t>
          </w:r>
        </w:p>
        <w:p w14:paraId="74178664" w14:textId="5ADDE605"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Gandal, </w:t>
          </w:r>
          <w:r w:rsidR="00E41880">
            <w:rPr>
              <w:rFonts w:ascii="Arial" w:hAnsi="Arial" w:cs="Arial"/>
              <w:noProof/>
            </w:rPr>
            <w:t>N.,</w:t>
          </w:r>
          <w:r w:rsidRPr="000B0EF3">
            <w:rPr>
              <w:rFonts w:ascii="Arial" w:hAnsi="Arial" w:cs="Arial"/>
              <w:noProof/>
            </w:rPr>
            <w:t xml:space="preserve">Yonas, </w:t>
          </w:r>
          <w:r w:rsidR="00E41880">
            <w:rPr>
              <w:rFonts w:ascii="Arial" w:hAnsi="Arial" w:cs="Arial"/>
              <w:noProof/>
            </w:rPr>
            <w:t xml:space="preserve">M., </w:t>
          </w:r>
          <w:r w:rsidRPr="000B0EF3">
            <w:rPr>
              <w:rFonts w:ascii="Arial" w:hAnsi="Arial" w:cs="Arial"/>
              <w:noProof/>
            </w:rPr>
            <w:t>Feldman</w:t>
          </w:r>
          <w:r w:rsidR="00E41880">
            <w:rPr>
              <w:rFonts w:ascii="Arial" w:hAnsi="Arial" w:cs="Arial"/>
              <w:noProof/>
            </w:rPr>
            <w:t xml:space="preserve"> M.,</w:t>
          </w:r>
          <w:r w:rsidRPr="000B0EF3">
            <w:rPr>
              <w:rFonts w:ascii="Arial" w:hAnsi="Arial" w:cs="Arial"/>
              <w:noProof/>
            </w:rPr>
            <w:t xml:space="preserve"> </w:t>
          </w:r>
          <w:r w:rsidR="000825AF">
            <w:rPr>
              <w:rFonts w:ascii="Arial" w:hAnsi="Arial" w:cs="Arial"/>
              <w:noProof/>
            </w:rPr>
            <w:t>et al., (</w:t>
          </w:r>
          <w:r w:rsidRPr="000B0EF3">
            <w:rPr>
              <w:rFonts w:ascii="Arial" w:hAnsi="Arial" w:cs="Arial"/>
              <w:noProof/>
            </w:rPr>
            <w:t>2021</w:t>
          </w:r>
          <w:r w:rsidR="000825AF">
            <w:rPr>
              <w:rFonts w:ascii="Arial" w:hAnsi="Arial" w:cs="Arial"/>
              <w:noProof/>
            </w:rPr>
            <w:t>)</w:t>
          </w:r>
          <w:r w:rsidRPr="000B0EF3">
            <w:rPr>
              <w:rFonts w:ascii="Arial" w:hAnsi="Arial" w:cs="Arial"/>
              <w:noProof/>
            </w:rPr>
            <w:t xml:space="preserve"> </w:t>
          </w:r>
          <w:r w:rsidR="000825AF">
            <w:rPr>
              <w:rFonts w:ascii="Arial" w:hAnsi="Arial" w:cs="Arial"/>
              <w:noProof/>
            </w:rPr>
            <w:t>‘</w:t>
          </w:r>
          <w:r w:rsidRPr="000B0EF3">
            <w:rPr>
              <w:rFonts w:ascii="Arial" w:hAnsi="Arial" w:cs="Arial"/>
              <w:noProof/>
            </w:rPr>
            <w:t xml:space="preserve">Long-term care facilities as a risk factor for death due to COVID-19:. </w:t>
          </w:r>
          <w:r w:rsidRPr="000B0EF3">
            <w:rPr>
              <w:rFonts w:ascii="Arial" w:hAnsi="Arial" w:cs="Arial"/>
              <w:i/>
              <w:iCs/>
              <w:noProof/>
            </w:rPr>
            <w:t>evidence from European countries and U.S. states..</w:t>
          </w:r>
        </w:p>
        <w:p w14:paraId="458BABF4" w14:textId="7C6B9A58" w:rsidR="000B0EF3" w:rsidRPr="000B0EF3" w:rsidRDefault="000B0EF3" w:rsidP="000B0EF3">
          <w:pPr>
            <w:pStyle w:val="Bibliography"/>
            <w:spacing w:line="360" w:lineRule="auto"/>
            <w:rPr>
              <w:rFonts w:ascii="Arial" w:hAnsi="Arial" w:cs="Arial"/>
              <w:noProof/>
            </w:rPr>
          </w:pPr>
          <w:r w:rsidRPr="000B0EF3">
            <w:rPr>
              <w:rFonts w:ascii="Arial" w:hAnsi="Arial" w:cs="Arial"/>
              <w:noProof/>
            </w:rPr>
            <w:t>Gardner</w:t>
          </w:r>
          <w:r w:rsidR="009D6526">
            <w:rPr>
              <w:rFonts w:ascii="Arial" w:hAnsi="Arial" w:cs="Arial"/>
              <w:noProof/>
            </w:rPr>
            <w:t>, W</w:t>
          </w:r>
          <w:r w:rsidR="0003488E">
            <w:rPr>
              <w:rFonts w:ascii="Arial" w:hAnsi="Arial" w:cs="Arial"/>
              <w:noProof/>
            </w:rPr>
            <w:t>.,</w:t>
          </w:r>
          <w:r w:rsidRPr="000B0EF3">
            <w:rPr>
              <w:rFonts w:ascii="Arial" w:hAnsi="Arial" w:cs="Arial"/>
              <w:noProof/>
            </w:rPr>
            <w:t xml:space="preserve"> States, </w:t>
          </w:r>
          <w:r w:rsidR="0003488E">
            <w:rPr>
              <w:rFonts w:ascii="Arial" w:hAnsi="Arial" w:cs="Arial"/>
              <w:noProof/>
            </w:rPr>
            <w:t>D., &amp; Bagley, N. (</w:t>
          </w:r>
          <w:r w:rsidRPr="000B0EF3">
            <w:rPr>
              <w:rFonts w:ascii="Arial" w:hAnsi="Arial" w:cs="Arial"/>
              <w:noProof/>
            </w:rPr>
            <w:t>2020</w:t>
          </w:r>
          <w:r w:rsidR="0003488E">
            <w:rPr>
              <w:rFonts w:ascii="Arial" w:hAnsi="Arial" w:cs="Arial"/>
              <w:noProof/>
            </w:rPr>
            <w:t>)</w:t>
          </w:r>
          <w:r w:rsidR="005A50A6">
            <w:rPr>
              <w:rFonts w:ascii="Arial" w:hAnsi="Arial" w:cs="Arial"/>
              <w:noProof/>
            </w:rPr>
            <w:t xml:space="preserve"> ‘</w:t>
          </w:r>
          <w:r w:rsidRPr="000B0EF3">
            <w:rPr>
              <w:rFonts w:ascii="Arial" w:hAnsi="Arial" w:cs="Arial"/>
              <w:noProof/>
            </w:rPr>
            <w:t xml:space="preserve">The coronavirus and the risk to the elderly in </w:t>
          </w:r>
          <w:r w:rsidR="0003488E">
            <w:rPr>
              <w:rFonts w:ascii="Arial" w:hAnsi="Arial" w:cs="Arial"/>
              <w:noProof/>
            </w:rPr>
            <w:t>L</w:t>
          </w:r>
          <w:r w:rsidRPr="000B0EF3">
            <w:rPr>
              <w:rFonts w:ascii="Arial" w:hAnsi="Arial" w:cs="Arial"/>
              <w:noProof/>
            </w:rPr>
            <w:t>ong-</w:t>
          </w:r>
          <w:r w:rsidR="0003488E">
            <w:rPr>
              <w:rFonts w:ascii="Arial" w:hAnsi="Arial" w:cs="Arial"/>
              <w:noProof/>
            </w:rPr>
            <w:t>T</w:t>
          </w:r>
          <w:r w:rsidRPr="000B0EF3">
            <w:rPr>
              <w:rFonts w:ascii="Arial" w:hAnsi="Arial" w:cs="Arial"/>
              <w:noProof/>
            </w:rPr>
            <w:t xml:space="preserve">erm </w:t>
          </w:r>
          <w:r w:rsidR="0003488E">
            <w:rPr>
              <w:rFonts w:ascii="Arial" w:hAnsi="Arial" w:cs="Arial"/>
              <w:noProof/>
            </w:rPr>
            <w:t>C</w:t>
          </w:r>
          <w:r w:rsidRPr="000B0EF3">
            <w:rPr>
              <w:rFonts w:ascii="Arial" w:hAnsi="Arial" w:cs="Arial"/>
              <w:noProof/>
            </w:rPr>
            <w:t>are</w:t>
          </w:r>
          <w:r w:rsidR="005A50A6">
            <w:rPr>
              <w:rFonts w:ascii="Arial" w:hAnsi="Arial" w:cs="Arial"/>
              <w:noProof/>
            </w:rPr>
            <w:t xml:space="preserve">’, </w:t>
          </w:r>
          <w:r w:rsidRPr="000B0EF3">
            <w:rPr>
              <w:rFonts w:ascii="Arial" w:hAnsi="Arial" w:cs="Arial"/>
              <w:i/>
              <w:iCs/>
              <w:noProof/>
            </w:rPr>
            <w:t>J</w:t>
          </w:r>
          <w:r w:rsidR="0003488E">
            <w:rPr>
              <w:rFonts w:ascii="Arial" w:hAnsi="Arial" w:cs="Arial"/>
              <w:i/>
              <w:iCs/>
              <w:noProof/>
            </w:rPr>
            <w:t>ournal of</w:t>
          </w:r>
          <w:r w:rsidRPr="000B0EF3">
            <w:rPr>
              <w:rFonts w:ascii="Arial" w:hAnsi="Arial" w:cs="Arial"/>
              <w:i/>
              <w:iCs/>
              <w:noProof/>
            </w:rPr>
            <w:t xml:space="preserve"> </w:t>
          </w:r>
          <w:r w:rsidR="0003488E">
            <w:rPr>
              <w:rFonts w:ascii="Arial" w:hAnsi="Arial" w:cs="Arial"/>
              <w:i/>
              <w:iCs/>
              <w:noProof/>
            </w:rPr>
            <w:t>a</w:t>
          </w:r>
          <w:r w:rsidRPr="000B0EF3">
            <w:rPr>
              <w:rFonts w:ascii="Arial" w:hAnsi="Arial" w:cs="Arial"/>
              <w:i/>
              <w:iCs/>
              <w:noProof/>
            </w:rPr>
            <w:t>ging</w:t>
          </w:r>
          <w:r w:rsidR="0003488E">
            <w:rPr>
              <w:rFonts w:ascii="Arial" w:hAnsi="Arial" w:cs="Arial"/>
              <w:i/>
              <w:iCs/>
              <w:noProof/>
            </w:rPr>
            <w:t xml:space="preserve"> &amp;</w:t>
          </w:r>
          <w:r w:rsidRPr="000B0EF3">
            <w:rPr>
              <w:rFonts w:ascii="Arial" w:hAnsi="Arial" w:cs="Arial"/>
              <w:i/>
              <w:iCs/>
              <w:noProof/>
            </w:rPr>
            <w:t xml:space="preserve"> </w:t>
          </w:r>
          <w:r w:rsidR="0003488E">
            <w:rPr>
              <w:rFonts w:ascii="Arial" w:hAnsi="Arial" w:cs="Arial"/>
              <w:i/>
              <w:iCs/>
              <w:noProof/>
            </w:rPr>
            <w:t>s</w:t>
          </w:r>
          <w:r w:rsidRPr="000B0EF3">
            <w:rPr>
              <w:rFonts w:ascii="Arial" w:hAnsi="Arial" w:cs="Arial"/>
              <w:i/>
              <w:iCs/>
              <w:noProof/>
            </w:rPr>
            <w:t>oc</w:t>
          </w:r>
          <w:r w:rsidR="0003488E">
            <w:rPr>
              <w:rFonts w:ascii="Arial" w:hAnsi="Arial" w:cs="Arial"/>
              <w:i/>
              <w:iCs/>
              <w:noProof/>
            </w:rPr>
            <w:t>ial policy, 32(4-5),</w:t>
          </w:r>
          <w:r w:rsidRPr="000B0EF3">
            <w:rPr>
              <w:rFonts w:ascii="Arial" w:hAnsi="Arial" w:cs="Arial"/>
              <w:i/>
              <w:iCs/>
              <w:noProof/>
            </w:rPr>
            <w:t xml:space="preserve"> </w:t>
          </w:r>
          <w:r w:rsidRPr="000B0EF3">
            <w:rPr>
              <w:rFonts w:ascii="Arial" w:hAnsi="Arial" w:cs="Arial"/>
              <w:noProof/>
            </w:rPr>
            <w:t xml:space="preserve">pp. </w:t>
          </w:r>
          <w:r w:rsidR="0003488E">
            <w:rPr>
              <w:rFonts w:ascii="Arial" w:hAnsi="Arial" w:cs="Arial"/>
              <w:noProof/>
            </w:rPr>
            <w:t>310-315.</w:t>
          </w:r>
        </w:p>
        <w:p w14:paraId="1A5092C6" w14:textId="06038A02"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Glancey, S., </w:t>
          </w:r>
          <w:r w:rsidR="0003488E">
            <w:rPr>
              <w:rFonts w:ascii="Arial" w:hAnsi="Arial" w:cs="Arial"/>
              <w:noProof/>
            </w:rPr>
            <w:t>(</w:t>
          </w:r>
          <w:r w:rsidRPr="000B0EF3">
            <w:rPr>
              <w:rFonts w:ascii="Arial" w:hAnsi="Arial" w:cs="Arial"/>
              <w:noProof/>
            </w:rPr>
            <w:t>2021</w:t>
          </w:r>
          <w:r w:rsidR="0003488E">
            <w:rPr>
              <w:rFonts w:ascii="Arial" w:hAnsi="Arial" w:cs="Arial"/>
              <w:noProof/>
            </w:rPr>
            <w:t>)</w:t>
          </w:r>
          <w:r w:rsidRPr="000B0EF3">
            <w:rPr>
              <w:rFonts w:ascii="Arial" w:hAnsi="Arial" w:cs="Arial"/>
              <w:noProof/>
            </w:rPr>
            <w:t xml:space="preserve">. Covid Pandemic effects. </w:t>
          </w:r>
          <w:r w:rsidRPr="000B0EF3">
            <w:rPr>
              <w:rFonts w:ascii="Arial" w:hAnsi="Arial" w:cs="Arial"/>
              <w:i/>
              <w:iCs/>
              <w:noProof/>
            </w:rPr>
            <w:t>Health and wellness.</w:t>
          </w:r>
        </w:p>
        <w:p w14:paraId="201B7552" w14:textId="7FF52C03"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Hollinghurst, J., </w:t>
          </w:r>
          <w:r w:rsidR="00CA50DE">
            <w:rPr>
              <w:rFonts w:ascii="Arial" w:hAnsi="Arial" w:cs="Arial"/>
              <w:noProof/>
            </w:rPr>
            <w:t>Lyons, J., Fry, R., et al., (</w:t>
          </w:r>
          <w:r w:rsidRPr="000B0EF3">
            <w:rPr>
              <w:rFonts w:ascii="Arial" w:hAnsi="Arial" w:cs="Arial"/>
              <w:noProof/>
            </w:rPr>
            <w:t>2021</w:t>
          </w:r>
          <w:r w:rsidR="00CA50DE">
            <w:rPr>
              <w:rFonts w:ascii="Arial" w:hAnsi="Arial" w:cs="Arial"/>
              <w:noProof/>
            </w:rPr>
            <w:t>)</w:t>
          </w:r>
          <w:r w:rsidRPr="000B0EF3">
            <w:rPr>
              <w:rFonts w:ascii="Arial" w:hAnsi="Arial" w:cs="Arial"/>
              <w:noProof/>
            </w:rPr>
            <w:t xml:space="preserve">. The impact of COVID-19 on adjusted mortality risk in care homes for older adults in Wales, UK: a retrospective population-based cohort study for mortality in 2016–2020. </w:t>
          </w:r>
          <w:r w:rsidRPr="000B0EF3">
            <w:rPr>
              <w:rFonts w:ascii="Arial" w:hAnsi="Arial" w:cs="Arial"/>
              <w:i/>
              <w:iCs/>
              <w:noProof/>
            </w:rPr>
            <w:t xml:space="preserve">Age and Ageing,, </w:t>
          </w:r>
          <w:r w:rsidRPr="000B0EF3">
            <w:rPr>
              <w:rFonts w:ascii="Arial" w:hAnsi="Arial" w:cs="Arial"/>
              <w:noProof/>
            </w:rPr>
            <w:t xml:space="preserve">50(1), pp. </w:t>
          </w:r>
          <w:r w:rsidR="00A760B5">
            <w:rPr>
              <w:rFonts w:ascii="Arial" w:hAnsi="Arial" w:cs="Arial"/>
              <w:noProof/>
            </w:rPr>
            <w:t>25</w:t>
          </w:r>
          <w:r w:rsidRPr="000B0EF3">
            <w:rPr>
              <w:rFonts w:ascii="Arial" w:hAnsi="Arial" w:cs="Arial"/>
              <w:noProof/>
            </w:rPr>
            <w:t>-3</w:t>
          </w:r>
          <w:r w:rsidR="00A760B5">
            <w:rPr>
              <w:rFonts w:ascii="Arial" w:hAnsi="Arial" w:cs="Arial"/>
              <w:noProof/>
            </w:rPr>
            <w:t>1</w:t>
          </w:r>
          <w:r w:rsidRPr="000B0EF3">
            <w:rPr>
              <w:rFonts w:ascii="Arial" w:hAnsi="Arial" w:cs="Arial"/>
              <w:noProof/>
            </w:rPr>
            <w:t>.</w:t>
          </w:r>
        </w:p>
        <w:p w14:paraId="587097E4" w14:textId="1C6E7557" w:rsidR="000B0EF3" w:rsidRPr="000B0EF3" w:rsidRDefault="004877EA" w:rsidP="000B0EF3">
          <w:pPr>
            <w:pStyle w:val="Bibliography"/>
            <w:spacing w:line="360" w:lineRule="auto"/>
            <w:rPr>
              <w:rFonts w:ascii="Arial" w:hAnsi="Arial" w:cs="Arial"/>
              <w:noProof/>
            </w:rPr>
          </w:pPr>
          <w:r>
            <w:rPr>
              <w:rFonts w:ascii="Arial" w:hAnsi="Arial" w:cs="Arial"/>
              <w:noProof/>
            </w:rPr>
            <w:t>Williams II, R. D</w:t>
          </w:r>
          <w:r w:rsidR="000B0EF3" w:rsidRPr="000B0EF3">
            <w:rPr>
              <w:rFonts w:ascii="Arial" w:hAnsi="Arial" w:cs="Arial"/>
              <w:noProof/>
            </w:rPr>
            <w:t>.</w:t>
          </w:r>
          <w:r>
            <w:rPr>
              <w:rFonts w:ascii="Arial" w:hAnsi="Arial" w:cs="Arial"/>
              <w:noProof/>
            </w:rPr>
            <w:t xml:space="preserve">, </w:t>
          </w:r>
          <w:r w:rsidR="000B0EF3" w:rsidRPr="000B0EF3">
            <w:rPr>
              <w:rFonts w:ascii="Arial" w:hAnsi="Arial" w:cs="Arial"/>
              <w:noProof/>
            </w:rPr>
            <w:t xml:space="preserve">Shah, </w:t>
          </w:r>
          <w:r>
            <w:rPr>
              <w:rFonts w:ascii="Arial" w:hAnsi="Arial" w:cs="Arial"/>
              <w:noProof/>
            </w:rPr>
            <w:t>A., Doty, M. M., et al., (</w:t>
          </w:r>
          <w:r w:rsidR="000B0EF3" w:rsidRPr="000B0EF3">
            <w:rPr>
              <w:rFonts w:ascii="Arial" w:hAnsi="Arial" w:cs="Arial"/>
              <w:noProof/>
            </w:rPr>
            <w:t>2021</w:t>
          </w:r>
          <w:r>
            <w:rPr>
              <w:rFonts w:ascii="Arial" w:hAnsi="Arial" w:cs="Arial"/>
              <w:noProof/>
            </w:rPr>
            <w:t>)</w:t>
          </w:r>
          <w:r w:rsidR="000B0EF3" w:rsidRPr="000B0EF3">
            <w:rPr>
              <w:rFonts w:ascii="Arial" w:hAnsi="Arial" w:cs="Arial"/>
              <w:noProof/>
            </w:rPr>
            <w:t xml:space="preserve">. The Impact of COVID-19 on Older Adults. </w:t>
          </w:r>
          <w:r w:rsidR="000B0EF3" w:rsidRPr="000B0EF3">
            <w:rPr>
              <w:rFonts w:ascii="Arial" w:hAnsi="Arial" w:cs="Arial"/>
              <w:i/>
              <w:iCs/>
              <w:noProof/>
            </w:rPr>
            <w:t>Common wealth foundation.</w:t>
          </w:r>
        </w:p>
        <w:p w14:paraId="727FDC25" w14:textId="7EC0540D" w:rsidR="000B0EF3" w:rsidRPr="000B0EF3" w:rsidRDefault="002F2930" w:rsidP="000B0EF3">
          <w:pPr>
            <w:pStyle w:val="Bibliography"/>
            <w:spacing w:line="360" w:lineRule="auto"/>
            <w:rPr>
              <w:rFonts w:ascii="Arial" w:hAnsi="Arial" w:cs="Arial"/>
              <w:noProof/>
            </w:rPr>
          </w:pPr>
          <w:r>
            <w:rPr>
              <w:rFonts w:ascii="Arial" w:hAnsi="Arial" w:cs="Arial"/>
              <w:noProof/>
            </w:rPr>
            <w:t xml:space="preserve">Moultrie, </w:t>
          </w:r>
          <w:r w:rsidR="000B0EF3" w:rsidRPr="000B0EF3">
            <w:rPr>
              <w:rFonts w:ascii="Arial" w:hAnsi="Arial" w:cs="Arial"/>
              <w:noProof/>
            </w:rPr>
            <w:t>K</w:t>
          </w:r>
          <w:r>
            <w:rPr>
              <w:rFonts w:ascii="Arial" w:hAnsi="Arial" w:cs="Arial"/>
              <w:noProof/>
            </w:rPr>
            <w:t>.</w:t>
          </w:r>
          <w:r w:rsidR="000B0EF3" w:rsidRPr="000B0EF3">
            <w:rPr>
              <w:rFonts w:ascii="Arial" w:hAnsi="Arial" w:cs="Arial"/>
              <w:noProof/>
            </w:rPr>
            <w:t xml:space="preserve">, &amp; </w:t>
          </w:r>
          <w:r>
            <w:rPr>
              <w:rFonts w:ascii="Arial" w:hAnsi="Arial" w:cs="Arial"/>
              <w:noProof/>
            </w:rPr>
            <w:t xml:space="preserve">Rattle, </w:t>
          </w:r>
          <w:r w:rsidR="000B0EF3" w:rsidRPr="000B0EF3">
            <w:rPr>
              <w:rFonts w:ascii="Arial" w:hAnsi="Arial" w:cs="Arial"/>
              <w:noProof/>
            </w:rPr>
            <w:t>N.,</w:t>
          </w:r>
          <w:r>
            <w:rPr>
              <w:rFonts w:ascii="Arial" w:hAnsi="Arial" w:cs="Arial"/>
              <w:noProof/>
            </w:rPr>
            <w:t xml:space="preserve"> (</w:t>
          </w:r>
          <w:r w:rsidR="000B0EF3" w:rsidRPr="000B0EF3">
            <w:rPr>
              <w:rFonts w:ascii="Arial" w:hAnsi="Arial" w:cs="Arial"/>
              <w:noProof/>
            </w:rPr>
            <w:t>2019.</w:t>
          </w:r>
          <w:r>
            <w:rPr>
              <w:rFonts w:ascii="Arial" w:hAnsi="Arial" w:cs="Arial"/>
              <w:noProof/>
            </w:rPr>
            <w:t>)</w:t>
          </w:r>
          <w:r w:rsidR="000B0EF3" w:rsidRPr="000B0EF3">
            <w:rPr>
              <w:rFonts w:ascii="Arial" w:hAnsi="Arial" w:cs="Arial"/>
              <w:noProof/>
            </w:rPr>
            <w:t xml:space="preserve"> The Care Home Market in Wales: Mapping the Sector. </w:t>
          </w:r>
          <w:r w:rsidR="000B0EF3" w:rsidRPr="000B0EF3">
            <w:rPr>
              <w:rFonts w:ascii="Arial" w:hAnsi="Arial" w:cs="Arial"/>
              <w:i/>
              <w:iCs/>
              <w:noProof/>
            </w:rPr>
            <w:t>Research.</w:t>
          </w:r>
        </w:p>
        <w:p w14:paraId="2E2D5ADF" w14:textId="7CE0180C" w:rsidR="000B0EF3" w:rsidRPr="000B0EF3" w:rsidRDefault="000B0EF3" w:rsidP="000B0EF3">
          <w:pPr>
            <w:pStyle w:val="Bibliography"/>
            <w:spacing w:line="360" w:lineRule="auto"/>
            <w:rPr>
              <w:rFonts w:ascii="Arial" w:hAnsi="Arial" w:cs="Arial"/>
              <w:noProof/>
            </w:rPr>
          </w:pPr>
          <w:r w:rsidRPr="000B0EF3">
            <w:rPr>
              <w:rFonts w:ascii="Arial" w:hAnsi="Arial" w:cs="Arial"/>
              <w:noProof/>
            </w:rPr>
            <w:lastRenderedPageBreak/>
            <w:t>Leon, D.</w:t>
          </w:r>
          <w:r w:rsidR="002F2930">
            <w:rPr>
              <w:rFonts w:ascii="Arial" w:hAnsi="Arial" w:cs="Arial"/>
              <w:noProof/>
            </w:rPr>
            <w:t xml:space="preserve"> A., Jdanow,</w:t>
          </w:r>
          <w:r w:rsidRPr="000B0EF3">
            <w:rPr>
              <w:rFonts w:ascii="Arial" w:hAnsi="Arial" w:cs="Arial"/>
              <w:noProof/>
            </w:rPr>
            <w:t xml:space="preserve"> D</w:t>
          </w:r>
          <w:r w:rsidR="002F2930">
            <w:rPr>
              <w:rFonts w:ascii="Arial" w:hAnsi="Arial" w:cs="Arial"/>
              <w:noProof/>
            </w:rPr>
            <w:t xml:space="preserve">. </w:t>
          </w:r>
          <w:r w:rsidRPr="000B0EF3">
            <w:rPr>
              <w:rFonts w:ascii="Arial" w:hAnsi="Arial" w:cs="Arial"/>
              <w:noProof/>
            </w:rPr>
            <w:t>A</w:t>
          </w:r>
          <w:r w:rsidR="002F2930">
            <w:rPr>
              <w:rFonts w:ascii="Arial" w:hAnsi="Arial" w:cs="Arial"/>
              <w:noProof/>
            </w:rPr>
            <w:t>.</w:t>
          </w:r>
          <w:r w:rsidRPr="000B0EF3">
            <w:rPr>
              <w:rFonts w:ascii="Arial" w:hAnsi="Arial" w:cs="Arial"/>
              <w:noProof/>
            </w:rPr>
            <w:t xml:space="preserve">, &amp; </w:t>
          </w:r>
          <w:r w:rsidR="002F2930">
            <w:rPr>
              <w:rFonts w:ascii="Arial" w:hAnsi="Arial" w:cs="Arial"/>
              <w:noProof/>
            </w:rPr>
            <w:t>S</w:t>
          </w:r>
          <w:r w:rsidR="00F51C0C">
            <w:rPr>
              <w:rFonts w:ascii="Arial" w:hAnsi="Arial" w:cs="Arial"/>
              <w:noProof/>
            </w:rPr>
            <w:t xml:space="preserve">hkolnikov, </w:t>
          </w:r>
          <w:r w:rsidRPr="000B0EF3">
            <w:rPr>
              <w:rFonts w:ascii="Arial" w:hAnsi="Arial" w:cs="Arial"/>
              <w:noProof/>
            </w:rPr>
            <w:t>V</w:t>
          </w:r>
          <w:r w:rsidR="00F51C0C">
            <w:rPr>
              <w:rFonts w:ascii="Arial" w:hAnsi="Arial" w:cs="Arial"/>
              <w:noProof/>
            </w:rPr>
            <w:t xml:space="preserve">. </w:t>
          </w:r>
          <w:r w:rsidRPr="000B0EF3">
            <w:rPr>
              <w:rFonts w:ascii="Arial" w:hAnsi="Arial" w:cs="Arial"/>
              <w:noProof/>
            </w:rPr>
            <w:t xml:space="preserve">M., </w:t>
          </w:r>
          <w:r w:rsidR="00F51C0C">
            <w:rPr>
              <w:rFonts w:ascii="Arial" w:hAnsi="Arial" w:cs="Arial"/>
              <w:noProof/>
            </w:rPr>
            <w:t>(</w:t>
          </w:r>
          <w:r w:rsidRPr="000B0EF3">
            <w:rPr>
              <w:rFonts w:ascii="Arial" w:hAnsi="Arial" w:cs="Arial"/>
              <w:noProof/>
            </w:rPr>
            <w:t>20</w:t>
          </w:r>
          <w:r w:rsidR="00130B82">
            <w:rPr>
              <w:rFonts w:ascii="Arial" w:hAnsi="Arial" w:cs="Arial"/>
              <w:noProof/>
            </w:rPr>
            <w:t>19</w:t>
          </w:r>
          <w:r w:rsidR="00F51C0C">
            <w:rPr>
              <w:rFonts w:ascii="Arial" w:hAnsi="Arial" w:cs="Arial"/>
              <w:noProof/>
            </w:rPr>
            <w:t>)</w:t>
          </w:r>
          <w:r w:rsidRPr="000B0EF3">
            <w:rPr>
              <w:rFonts w:ascii="Arial" w:hAnsi="Arial" w:cs="Arial"/>
              <w:noProof/>
            </w:rPr>
            <w:t>. ‘Trends in life expectancy and age-specific mortality in England and Wales</w:t>
          </w:r>
          <w:r w:rsidR="005A50A6">
            <w:rPr>
              <w:rFonts w:ascii="Arial" w:hAnsi="Arial" w:cs="Arial"/>
              <w:noProof/>
            </w:rPr>
            <w:t xml:space="preserve">’, </w:t>
          </w:r>
          <w:r w:rsidR="00F51C0C" w:rsidRPr="00130B82">
            <w:rPr>
              <w:rFonts w:ascii="Arial" w:hAnsi="Arial" w:cs="Arial"/>
              <w:i/>
              <w:iCs/>
              <w:noProof/>
            </w:rPr>
            <w:t>The</w:t>
          </w:r>
          <w:r w:rsidR="00F51C0C">
            <w:rPr>
              <w:rFonts w:ascii="Arial" w:hAnsi="Arial" w:cs="Arial"/>
              <w:noProof/>
            </w:rPr>
            <w:t xml:space="preserve"> </w:t>
          </w:r>
          <w:r w:rsidRPr="000B0EF3">
            <w:rPr>
              <w:rFonts w:ascii="Arial" w:hAnsi="Arial" w:cs="Arial"/>
              <w:i/>
              <w:iCs/>
              <w:noProof/>
            </w:rPr>
            <w:t>Lancet</w:t>
          </w:r>
          <w:r w:rsidR="00F51C0C">
            <w:rPr>
              <w:rFonts w:ascii="Arial" w:hAnsi="Arial" w:cs="Arial"/>
              <w:i/>
              <w:iCs/>
              <w:noProof/>
            </w:rPr>
            <w:t xml:space="preserve"> Public Health</w:t>
          </w:r>
          <w:r w:rsidRPr="000B0EF3">
            <w:rPr>
              <w:rFonts w:ascii="Arial" w:hAnsi="Arial" w:cs="Arial"/>
              <w:i/>
              <w:iCs/>
              <w:noProof/>
            </w:rPr>
            <w:t xml:space="preserve">, </w:t>
          </w:r>
          <w:r w:rsidRPr="000B0EF3">
            <w:rPr>
              <w:rFonts w:ascii="Arial" w:hAnsi="Arial" w:cs="Arial"/>
              <w:noProof/>
            </w:rPr>
            <w:t>4(11), p</w:t>
          </w:r>
          <w:r w:rsidR="00130B82">
            <w:rPr>
              <w:rFonts w:ascii="Arial" w:hAnsi="Arial" w:cs="Arial"/>
              <w:noProof/>
            </w:rPr>
            <w:t>p</w:t>
          </w:r>
          <w:r w:rsidRPr="000B0EF3">
            <w:rPr>
              <w:rFonts w:ascii="Arial" w:hAnsi="Arial" w:cs="Arial"/>
              <w:noProof/>
            </w:rPr>
            <w:t>. e575–</w:t>
          </w:r>
          <w:r w:rsidR="00130B82">
            <w:rPr>
              <w:rFonts w:ascii="Arial" w:hAnsi="Arial" w:cs="Arial"/>
              <w:noProof/>
            </w:rPr>
            <w:t>5</w:t>
          </w:r>
          <w:r w:rsidRPr="000B0EF3">
            <w:rPr>
              <w:rFonts w:ascii="Arial" w:hAnsi="Arial" w:cs="Arial"/>
              <w:noProof/>
            </w:rPr>
            <w:t>82.</w:t>
          </w:r>
        </w:p>
        <w:p w14:paraId="1D03F85A" w14:textId="3F80FA97"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Lithander, </w:t>
          </w:r>
          <w:r w:rsidR="009F3B49">
            <w:rPr>
              <w:rFonts w:ascii="Arial" w:hAnsi="Arial" w:cs="Arial"/>
              <w:noProof/>
            </w:rPr>
            <w:t xml:space="preserve">F. E., Neumann, S., </w:t>
          </w:r>
          <w:r w:rsidRPr="000B0EF3">
            <w:rPr>
              <w:rFonts w:ascii="Arial" w:hAnsi="Arial" w:cs="Arial"/>
              <w:noProof/>
            </w:rPr>
            <w:t xml:space="preserve">Tenison, </w:t>
          </w:r>
          <w:r w:rsidR="009F3B49">
            <w:rPr>
              <w:rFonts w:ascii="Arial" w:hAnsi="Arial" w:cs="Arial"/>
              <w:noProof/>
            </w:rPr>
            <w:t>E., et al., (</w:t>
          </w:r>
          <w:r w:rsidRPr="000B0EF3">
            <w:rPr>
              <w:rFonts w:ascii="Arial" w:hAnsi="Arial" w:cs="Arial"/>
              <w:noProof/>
            </w:rPr>
            <w:t>2020</w:t>
          </w:r>
          <w:r w:rsidR="009F3B49">
            <w:rPr>
              <w:rFonts w:ascii="Arial" w:hAnsi="Arial" w:cs="Arial"/>
              <w:noProof/>
            </w:rPr>
            <w:t>) ‘</w:t>
          </w:r>
          <w:r w:rsidRPr="000B0EF3">
            <w:rPr>
              <w:rFonts w:ascii="Arial" w:hAnsi="Arial" w:cs="Arial"/>
              <w:noProof/>
            </w:rPr>
            <w:t>COVID-19 in older people: a rapid clinical review</w:t>
          </w:r>
          <w:r w:rsidR="005A50A6">
            <w:rPr>
              <w:rFonts w:ascii="Arial" w:hAnsi="Arial" w:cs="Arial"/>
              <w:noProof/>
            </w:rPr>
            <w:t>’,</w:t>
          </w:r>
          <w:r w:rsidR="009F3B49">
            <w:rPr>
              <w:rFonts w:ascii="Arial" w:hAnsi="Arial" w:cs="Arial"/>
              <w:noProof/>
            </w:rPr>
            <w:t xml:space="preserve"> </w:t>
          </w:r>
          <w:r w:rsidRPr="000B0EF3">
            <w:rPr>
              <w:rFonts w:ascii="Arial" w:hAnsi="Arial" w:cs="Arial"/>
              <w:i/>
              <w:iCs/>
              <w:noProof/>
            </w:rPr>
            <w:t>Age Ageing</w:t>
          </w:r>
          <w:r w:rsidR="009F3B49">
            <w:rPr>
              <w:rFonts w:ascii="Arial" w:hAnsi="Arial" w:cs="Arial"/>
              <w:i/>
              <w:iCs/>
              <w:noProof/>
            </w:rPr>
            <w:t xml:space="preserve">, </w:t>
          </w:r>
          <w:r w:rsidR="009F3B49" w:rsidRPr="009F3B49">
            <w:rPr>
              <w:rFonts w:ascii="Arial" w:hAnsi="Arial" w:cs="Arial"/>
              <w:noProof/>
            </w:rPr>
            <w:t>vol. 49(4), pp. 501-515.</w:t>
          </w:r>
        </w:p>
        <w:p w14:paraId="3C5B5848" w14:textId="1314393A" w:rsidR="000B0EF3" w:rsidRPr="008C7048" w:rsidRDefault="000B0EF3" w:rsidP="000B0EF3">
          <w:pPr>
            <w:pStyle w:val="Bibliography"/>
            <w:spacing w:line="360" w:lineRule="auto"/>
            <w:rPr>
              <w:rFonts w:ascii="Arial" w:hAnsi="Arial" w:cs="Arial"/>
              <w:noProof/>
            </w:rPr>
          </w:pPr>
          <w:r w:rsidRPr="000B0EF3">
            <w:rPr>
              <w:rFonts w:ascii="Arial" w:hAnsi="Arial" w:cs="Arial"/>
              <w:noProof/>
            </w:rPr>
            <w:t xml:space="preserve">Liu, </w:t>
          </w:r>
          <w:r w:rsidR="008C7048">
            <w:rPr>
              <w:rFonts w:ascii="Arial" w:hAnsi="Arial" w:cs="Arial"/>
              <w:noProof/>
            </w:rPr>
            <w:t>K., Chen, Y., Lin, R., &amp; Han, K. (</w:t>
          </w:r>
          <w:r w:rsidRPr="000B0EF3">
            <w:rPr>
              <w:rFonts w:ascii="Arial" w:hAnsi="Arial" w:cs="Arial"/>
              <w:noProof/>
            </w:rPr>
            <w:t>2020</w:t>
          </w:r>
          <w:r w:rsidR="008C7048">
            <w:rPr>
              <w:rFonts w:ascii="Arial" w:hAnsi="Arial" w:cs="Arial"/>
              <w:noProof/>
            </w:rPr>
            <w:t>)</w:t>
          </w:r>
          <w:r w:rsidRPr="000B0EF3">
            <w:rPr>
              <w:rFonts w:ascii="Arial" w:hAnsi="Arial" w:cs="Arial"/>
              <w:noProof/>
            </w:rPr>
            <w:t xml:space="preserve"> </w:t>
          </w:r>
          <w:r w:rsidR="008C7048">
            <w:rPr>
              <w:rFonts w:ascii="Arial" w:hAnsi="Arial" w:cs="Arial"/>
              <w:noProof/>
            </w:rPr>
            <w:t>‘</w:t>
          </w:r>
          <w:r w:rsidRPr="000B0EF3">
            <w:rPr>
              <w:rFonts w:ascii="Arial" w:hAnsi="Arial" w:cs="Arial"/>
              <w:noProof/>
            </w:rPr>
            <w:t>Clinical features of COVID-19 in elderly patients: A comparison with young and middle-aged patients</w:t>
          </w:r>
          <w:r w:rsidR="005A50A6">
            <w:rPr>
              <w:rFonts w:ascii="Arial" w:hAnsi="Arial" w:cs="Arial"/>
              <w:noProof/>
            </w:rPr>
            <w:t xml:space="preserve">’, </w:t>
          </w:r>
          <w:r w:rsidR="008C7048" w:rsidRPr="008C7048">
            <w:rPr>
              <w:rFonts w:ascii="Arial" w:hAnsi="Arial" w:cs="Arial"/>
              <w:i/>
              <w:iCs/>
              <w:noProof/>
            </w:rPr>
            <w:t>The</w:t>
          </w:r>
          <w:r w:rsidRPr="008C7048">
            <w:rPr>
              <w:rFonts w:ascii="Arial" w:hAnsi="Arial" w:cs="Arial"/>
              <w:i/>
              <w:iCs/>
              <w:noProof/>
            </w:rPr>
            <w:t xml:space="preserve"> </w:t>
          </w:r>
          <w:r w:rsidRPr="000B0EF3">
            <w:rPr>
              <w:rFonts w:ascii="Arial" w:hAnsi="Arial" w:cs="Arial"/>
              <w:i/>
              <w:iCs/>
              <w:noProof/>
            </w:rPr>
            <w:t>Journal of infection</w:t>
          </w:r>
          <w:r w:rsidR="008C7048">
            <w:rPr>
              <w:rFonts w:ascii="Arial" w:hAnsi="Arial" w:cs="Arial"/>
              <w:i/>
              <w:iCs/>
              <w:noProof/>
            </w:rPr>
            <w:t xml:space="preserve">, </w:t>
          </w:r>
          <w:r w:rsidR="008C7048" w:rsidRPr="008C7048">
            <w:rPr>
              <w:rFonts w:ascii="Arial" w:hAnsi="Arial" w:cs="Arial"/>
              <w:noProof/>
            </w:rPr>
            <w:t>vol. 80(6), pp. e14-e18.</w:t>
          </w:r>
        </w:p>
        <w:p w14:paraId="175695DB" w14:textId="168A534F" w:rsidR="000B0EF3" w:rsidRPr="000B0EF3" w:rsidRDefault="000B0EF3" w:rsidP="000B0EF3">
          <w:pPr>
            <w:pStyle w:val="Bibliography"/>
            <w:spacing w:line="360" w:lineRule="auto"/>
            <w:rPr>
              <w:rFonts w:ascii="Arial" w:hAnsi="Arial" w:cs="Arial"/>
              <w:noProof/>
            </w:rPr>
          </w:pPr>
          <w:r w:rsidRPr="000B0EF3">
            <w:rPr>
              <w:rFonts w:ascii="Arial" w:hAnsi="Arial" w:cs="Arial"/>
              <w:noProof/>
            </w:rPr>
            <w:t>Loopstra,</w:t>
          </w:r>
          <w:r w:rsidR="00583AAB">
            <w:rPr>
              <w:rFonts w:ascii="Arial" w:hAnsi="Arial" w:cs="Arial"/>
              <w:noProof/>
            </w:rPr>
            <w:t xml:space="preserve"> R., McKee, M., Katikireddi, S. V.,</w:t>
          </w:r>
          <w:r w:rsidRPr="000B0EF3">
            <w:rPr>
              <w:rFonts w:ascii="Arial" w:hAnsi="Arial" w:cs="Arial"/>
              <w:noProof/>
            </w:rPr>
            <w:t xml:space="preserve"> et al., </w:t>
          </w:r>
          <w:r w:rsidR="00583AAB">
            <w:rPr>
              <w:rFonts w:ascii="Arial" w:hAnsi="Arial" w:cs="Arial"/>
              <w:noProof/>
            </w:rPr>
            <w:t>(</w:t>
          </w:r>
          <w:r w:rsidRPr="000B0EF3">
            <w:rPr>
              <w:rFonts w:ascii="Arial" w:hAnsi="Arial" w:cs="Arial"/>
              <w:noProof/>
            </w:rPr>
            <w:t>20</w:t>
          </w:r>
          <w:r w:rsidR="00583AAB">
            <w:rPr>
              <w:rFonts w:ascii="Arial" w:hAnsi="Arial" w:cs="Arial"/>
              <w:noProof/>
            </w:rPr>
            <w:t>16</w:t>
          </w:r>
          <w:r w:rsidRPr="000B0EF3">
            <w:rPr>
              <w:rFonts w:ascii="Arial" w:hAnsi="Arial" w:cs="Arial"/>
              <w:noProof/>
            </w:rPr>
            <w:t>.</w:t>
          </w:r>
          <w:r w:rsidR="00583AAB">
            <w:rPr>
              <w:rFonts w:ascii="Arial" w:hAnsi="Arial" w:cs="Arial"/>
              <w:noProof/>
            </w:rPr>
            <w:t xml:space="preserve">) </w:t>
          </w:r>
          <w:r w:rsidRPr="000B0EF3">
            <w:rPr>
              <w:rFonts w:ascii="Arial" w:hAnsi="Arial" w:cs="Arial"/>
              <w:noProof/>
            </w:rPr>
            <w:t>‘Austerity and old-age mortality in England: a longitudinal cross-local area analysis, 2007–2013’</w:t>
          </w:r>
          <w:r w:rsidR="005A50A6">
            <w:rPr>
              <w:rFonts w:ascii="Arial" w:hAnsi="Arial" w:cs="Arial"/>
              <w:noProof/>
            </w:rPr>
            <w:t xml:space="preserve">, </w:t>
          </w:r>
          <w:r w:rsidRPr="000B0EF3">
            <w:rPr>
              <w:rFonts w:ascii="Arial" w:hAnsi="Arial" w:cs="Arial"/>
              <w:i/>
              <w:iCs/>
              <w:noProof/>
            </w:rPr>
            <w:t>Journal of the Royal Society of Medicine</w:t>
          </w:r>
          <w:r w:rsidRPr="00583AAB">
            <w:rPr>
              <w:rFonts w:ascii="Arial" w:hAnsi="Arial" w:cs="Arial"/>
              <w:noProof/>
            </w:rPr>
            <w:t>,</w:t>
          </w:r>
          <w:r w:rsidR="00583AAB" w:rsidRPr="00583AAB">
            <w:rPr>
              <w:rFonts w:ascii="Arial" w:hAnsi="Arial" w:cs="Arial"/>
              <w:noProof/>
            </w:rPr>
            <w:t xml:space="preserve"> vol</w:t>
          </w:r>
          <w:r w:rsidRPr="00583AAB">
            <w:rPr>
              <w:rFonts w:ascii="Arial" w:hAnsi="Arial" w:cs="Arial"/>
              <w:noProof/>
            </w:rPr>
            <w:t xml:space="preserve"> 109</w:t>
          </w:r>
          <w:r w:rsidR="00583AAB" w:rsidRPr="00583AAB">
            <w:rPr>
              <w:rFonts w:ascii="Arial" w:hAnsi="Arial" w:cs="Arial"/>
              <w:noProof/>
            </w:rPr>
            <w:t>(3),</w:t>
          </w:r>
          <w:r w:rsidRPr="00583AAB">
            <w:rPr>
              <w:rFonts w:ascii="Arial" w:hAnsi="Arial" w:cs="Arial"/>
              <w:noProof/>
            </w:rPr>
            <w:t xml:space="preserve"> p</w:t>
          </w:r>
          <w:r w:rsidR="00583AAB" w:rsidRPr="00583AAB">
            <w:rPr>
              <w:rFonts w:ascii="Arial" w:hAnsi="Arial" w:cs="Arial"/>
              <w:noProof/>
            </w:rPr>
            <w:t>p</w:t>
          </w:r>
          <w:r w:rsidRPr="00583AAB">
            <w:rPr>
              <w:rFonts w:ascii="Arial" w:hAnsi="Arial" w:cs="Arial"/>
              <w:noProof/>
            </w:rPr>
            <w:t>. 109–16.</w:t>
          </w:r>
        </w:p>
        <w:p w14:paraId="6FBFA1E9" w14:textId="1ED4CFDB" w:rsidR="000B0EF3" w:rsidRPr="000B0EF3" w:rsidRDefault="00CB61C2" w:rsidP="000B0EF3">
          <w:pPr>
            <w:pStyle w:val="Bibliography"/>
            <w:spacing w:line="360" w:lineRule="auto"/>
            <w:rPr>
              <w:rFonts w:ascii="Arial" w:hAnsi="Arial" w:cs="Arial"/>
              <w:noProof/>
            </w:rPr>
          </w:pPr>
          <w:r>
            <w:rPr>
              <w:rFonts w:ascii="Arial" w:hAnsi="Arial" w:cs="Arial"/>
              <w:noProof/>
            </w:rPr>
            <w:t>Hollinghurst, L., Lyons, J., Fry, R., et al. (</w:t>
          </w:r>
          <w:r w:rsidR="000B0EF3" w:rsidRPr="000B0EF3">
            <w:rPr>
              <w:rFonts w:ascii="Arial" w:hAnsi="Arial" w:cs="Arial"/>
              <w:noProof/>
            </w:rPr>
            <w:t>2021</w:t>
          </w:r>
          <w:r>
            <w:rPr>
              <w:rFonts w:ascii="Arial" w:hAnsi="Arial" w:cs="Arial"/>
              <w:noProof/>
            </w:rPr>
            <w:t xml:space="preserve">) </w:t>
          </w:r>
          <w:r w:rsidR="000B0EF3" w:rsidRPr="000B0EF3">
            <w:rPr>
              <w:rFonts w:ascii="Arial" w:hAnsi="Arial" w:cs="Arial"/>
              <w:noProof/>
            </w:rPr>
            <w:t>The impact of COVID-19 on adjusted mortality risk in care homes for older adults in Wales, UK:</w:t>
          </w:r>
          <w:r w:rsidR="00A34F0A">
            <w:rPr>
              <w:rFonts w:ascii="Arial" w:hAnsi="Arial" w:cs="Arial"/>
              <w:noProof/>
            </w:rPr>
            <w:t xml:space="preserve"> a retrospective population-based cohort study for mortality in 2016-2020, </w:t>
          </w:r>
          <w:r w:rsidR="00A34F0A" w:rsidRPr="00A34F0A">
            <w:rPr>
              <w:rFonts w:ascii="Arial" w:hAnsi="Arial" w:cs="Arial"/>
              <w:i/>
              <w:iCs/>
              <w:noProof/>
            </w:rPr>
            <w:t>Age Ageing</w:t>
          </w:r>
          <w:r w:rsidR="00A34F0A">
            <w:rPr>
              <w:rFonts w:ascii="Arial" w:hAnsi="Arial" w:cs="Arial"/>
              <w:noProof/>
            </w:rPr>
            <w:t>, vol. 50(1), pp. 25-31.</w:t>
          </w:r>
        </w:p>
        <w:p w14:paraId="25B3600E" w14:textId="7EE8C6D1"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Mah, J. C. et al., </w:t>
          </w:r>
          <w:r w:rsidR="00A34F0A">
            <w:rPr>
              <w:rFonts w:ascii="Arial" w:hAnsi="Arial" w:cs="Arial"/>
              <w:noProof/>
            </w:rPr>
            <w:t>(</w:t>
          </w:r>
          <w:r w:rsidRPr="000B0EF3">
            <w:rPr>
              <w:rFonts w:ascii="Arial" w:hAnsi="Arial" w:cs="Arial"/>
              <w:noProof/>
            </w:rPr>
            <w:t>2021</w:t>
          </w:r>
          <w:r w:rsidR="00A34F0A">
            <w:rPr>
              <w:rFonts w:ascii="Arial" w:hAnsi="Arial" w:cs="Arial"/>
              <w:noProof/>
            </w:rPr>
            <w:t>)</w:t>
          </w:r>
          <w:r w:rsidRPr="000B0EF3">
            <w:rPr>
              <w:rFonts w:ascii="Arial" w:hAnsi="Arial" w:cs="Arial"/>
              <w:noProof/>
            </w:rPr>
            <w:t xml:space="preserve">. Social factors influencing utilization of home care in community-dwelling older adults: a scoping review. </w:t>
          </w:r>
          <w:r w:rsidRPr="000B0EF3">
            <w:rPr>
              <w:rFonts w:ascii="Arial" w:hAnsi="Arial" w:cs="Arial"/>
              <w:i/>
              <w:iCs/>
              <w:noProof/>
            </w:rPr>
            <w:t xml:space="preserve">BMC Geriatrics, </w:t>
          </w:r>
          <w:r w:rsidRPr="000B0EF3">
            <w:rPr>
              <w:rFonts w:ascii="Arial" w:hAnsi="Arial" w:cs="Arial"/>
              <w:noProof/>
            </w:rPr>
            <w:t>p. 12.</w:t>
          </w:r>
        </w:p>
        <w:p w14:paraId="6D78CF07" w14:textId="487F75C5"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Malik, M., Burhanullah, H. &amp; Lyketsos, C. G., </w:t>
          </w:r>
          <w:r w:rsidR="00A34F0A">
            <w:rPr>
              <w:rFonts w:ascii="Arial" w:hAnsi="Arial" w:cs="Arial"/>
              <w:noProof/>
            </w:rPr>
            <w:t>(</w:t>
          </w:r>
          <w:r w:rsidRPr="000B0EF3">
            <w:rPr>
              <w:rFonts w:ascii="Arial" w:hAnsi="Arial" w:cs="Arial"/>
              <w:noProof/>
            </w:rPr>
            <w:t>2020</w:t>
          </w:r>
          <w:r w:rsidR="00A34F0A">
            <w:rPr>
              <w:rFonts w:ascii="Arial" w:hAnsi="Arial" w:cs="Arial"/>
              <w:noProof/>
            </w:rPr>
            <w:t>)</w:t>
          </w:r>
          <w:r w:rsidRPr="000B0EF3">
            <w:rPr>
              <w:rFonts w:ascii="Arial" w:hAnsi="Arial" w:cs="Arial"/>
              <w:noProof/>
            </w:rPr>
            <w:t xml:space="preserve">. Elder Abuse and Ageism During COVID-19. </w:t>
          </w:r>
          <w:r w:rsidRPr="000B0EF3">
            <w:rPr>
              <w:rFonts w:ascii="Arial" w:hAnsi="Arial" w:cs="Arial"/>
              <w:i/>
              <w:iCs/>
              <w:noProof/>
            </w:rPr>
            <w:t>Psychiatric.</w:t>
          </w:r>
        </w:p>
        <w:p w14:paraId="4EAB267E" w14:textId="77777777"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Marketing report, 2021. </w:t>
          </w:r>
          <w:r w:rsidRPr="000B0EF3">
            <w:rPr>
              <w:rFonts w:ascii="Arial" w:hAnsi="Arial" w:cs="Arial"/>
              <w:i/>
              <w:iCs/>
              <w:noProof/>
            </w:rPr>
            <w:t xml:space="preserve">Competitions and Markets Authority. Care homes market study. Final report. UK: Competitions and Markets Authority,, </w:t>
          </w:r>
          <w:r w:rsidRPr="000B0EF3">
            <w:rPr>
              <w:rFonts w:ascii="Arial" w:hAnsi="Arial" w:cs="Arial"/>
              <w:noProof/>
            </w:rPr>
            <w:t>s.l.: Marketing report.</w:t>
          </w:r>
        </w:p>
        <w:p w14:paraId="16F09FCB" w14:textId="1193840A"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McMichael, T. M., </w:t>
          </w:r>
          <w:r w:rsidR="00A34F0A">
            <w:rPr>
              <w:rFonts w:ascii="Arial" w:hAnsi="Arial" w:cs="Arial"/>
              <w:noProof/>
            </w:rPr>
            <w:t>(</w:t>
          </w:r>
          <w:r w:rsidRPr="000B0EF3">
            <w:rPr>
              <w:rFonts w:ascii="Arial" w:hAnsi="Arial" w:cs="Arial"/>
              <w:noProof/>
            </w:rPr>
            <w:t>2020</w:t>
          </w:r>
          <w:r w:rsidR="00A34F0A">
            <w:rPr>
              <w:rFonts w:ascii="Arial" w:hAnsi="Arial" w:cs="Arial"/>
              <w:noProof/>
            </w:rPr>
            <w:t>)</w:t>
          </w:r>
          <w:r w:rsidRPr="000B0EF3">
            <w:rPr>
              <w:rFonts w:ascii="Arial" w:hAnsi="Arial" w:cs="Arial"/>
              <w:noProof/>
            </w:rPr>
            <w:t xml:space="preserve">. Epidemiology of COVID-19 in a long-term care facility in king county, Washington. N. Engl.. </w:t>
          </w:r>
          <w:r w:rsidRPr="000B0EF3">
            <w:rPr>
              <w:rFonts w:ascii="Arial" w:hAnsi="Arial" w:cs="Arial"/>
              <w:i/>
              <w:iCs/>
              <w:noProof/>
            </w:rPr>
            <w:t>Research.</w:t>
          </w:r>
        </w:p>
        <w:p w14:paraId="282EF76E" w14:textId="073365EF"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Montemurro, </w:t>
          </w:r>
          <w:r w:rsidR="00A34F0A">
            <w:rPr>
              <w:rFonts w:ascii="Arial" w:hAnsi="Arial" w:cs="Arial"/>
              <w:noProof/>
            </w:rPr>
            <w:t>(</w:t>
          </w:r>
          <w:r w:rsidRPr="000B0EF3">
            <w:rPr>
              <w:rFonts w:ascii="Arial" w:hAnsi="Arial" w:cs="Arial"/>
              <w:noProof/>
            </w:rPr>
            <w:t>2020</w:t>
          </w:r>
          <w:r w:rsidR="00A34F0A">
            <w:rPr>
              <w:rFonts w:ascii="Arial" w:hAnsi="Arial" w:cs="Arial"/>
              <w:noProof/>
            </w:rPr>
            <w:t>).</w:t>
          </w:r>
          <w:r w:rsidRPr="000B0EF3">
            <w:rPr>
              <w:rFonts w:ascii="Arial" w:hAnsi="Arial" w:cs="Arial"/>
              <w:noProof/>
            </w:rPr>
            <w:t xml:space="preserve"> The emotional impact of COVID-19: from medical staff to common people.. </w:t>
          </w:r>
          <w:r w:rsidRPr="000B0EF3">
            <w:rPr>
              <w:rFonts w:ascii="Arial" w:hAnsi="Arial" w:cs="Arial"/>
              <w:i/>
              <w:iCs/>
              <w:noProof/>
            </w:rPr>
            <w:t>Brain Behav. Immun.</w:t>
          </w:r>
        </w:p>
        <w:p w14:paraId="2CD6F1C8" w14:textId="77777777"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Policy paper, 2022. </w:t>
          </w:r>
          <w:r w:rsidRPr="000B0EF3">
            <w:rPr>
              <w:rFonts w:ascii="Arial" w:hAnsi="Arial" w:cs="Arial"/>
              <w:i/>
              <w:iCs/>
              <w:noProof/>
            </w:rPr>
            <w:t xml:space="preserve">Adult social care charging reform: further details, </w:t>
          </w:r>
          <w:r w:rsidRPr="000B0EF3">
            <w:rPr>
              <w:rFonts w:ascii="Arial" w:hAnsi="Arial" w:cs="Arial"/>
              <w:noProof/>
            </w:rPr>
            <w:t>London: s.n.</w:t>
          </w:r>
        </w:p>
        <w:p w14:paraId="4D064FAF" w14:textId="77777777"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Public Health England, 2021. </w:t>
          </w:r>
          <w:r w:rsidRPr="000B0EF3">
            <w:rPr>
              <w:rFonts w:ascii="Arial" w:hAnsi="Arial" w:cs="Arial"/>
              <w:i/>
              <w:iCs/>
              <w:noProof/>
            </w:rPr>
            <w:t xml:space="preserve">COVID-19: wider impacts on people aged 65 and over, </w:t>
          </w:r>
          <w:r w:rsidRPr="000B0EF3">
            <w:rPr>
              <w:rFonts w:ascii="Arial" w:hAnsi="Arial" w:cs="Arial"/>
              <w:noProof/>
            </w:rPr>
            <w:t>s.l.: Public Health England.</w:t>
          </w:r>
        </w:p>
        <w:p w14:paraId="062BD81A" w14:textId="10D5DA11"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Raleigh, </w:t>
          </w:r>
          <w:r w:rsidR="00EF63E5">
            <w:rPr>
              <w:rFonts w:ascii="Arial" w:hAnsi="Arial" w:cs="Arial"/>
              <w:noProof/>
            </w:rPr>
            <w:t xml:space="preserve">V. S., </w:t>
          </w:r>
          <w:r w:rsidR="00A34F0A">
            <w:rPr>
              <w:rFonts w:ascii="Arial" w:hAnsi="Arial" w:cs="Arial"/>
              <w:noProof/>
            </w:rPr>
            <w:t>(</w:t>
          </w:r>
          <w:r w:rsidRPr="000B0EF3">
            <w:rPr>
              <w:rFonts w:ascii="Arial" w:hAnsi="Arial" w:cs="Arial"/>
              <w:noProof/>
            </w:rPr>
            <w:t>20</w:t>
          </w:r>
          <w:r w:rsidR="00EF63E5">
            <w:rPr>
              <w:rFonts w:ascii="Arial" w:hAnsi="Arial" w:cs="Arial"/>
              <w:noProof/>
            </w:rPr>
            <w:t>19</w:t>
          </w:r>
          <w:r w:rsidR="00A34F0A">
            <w:rPr>
              <w:rFonts w:ascii="Arial" w:hAnsi="Arial" w:cs="Arial"/>
              <w:noProof/>
            </w:rPr>
            <w:t>)</w:t>
          </w:r>
          <w:r w:rsidRPr="000B0EF3">
            <w:rPr>
              <w:rFonts w:ascii="Arial" w:hAnsi="Arial" w:cs="Arial"/>
              <w:noProof/>
            </w:rPr>
            <w:t xml:space="preserve">. Trends in life expectancy in EU and other OECD countries: why are improvements slowing?. </w:t>
          </w:r>
          <w:r w:rsidRPr="000B0EF3">
            <w:rPr>
              <w:rFonts w:ascii="Arial" w:hAnsi="Arial" w:cs="Arial"/>
              <w:i/>
              <w:iCs/>
              <w:noProof/>
            </w:rPr>
            <w:t>OECD Health Working Papers.</w:t>
          </w:r>
        </w:p>
        <w:p w14:paraId="5B0E03A8" w14:textId="060CEEC6"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Raleigh, V., </w:t>
          </w:r>
          <w:r w:rsidR="00EF63E5">
            <w:rPr>
              <w:rFonts w:ascii="Arial" w:hAnsi="Arial" w:cs="Arial"/>
              <w:noProof/>
            </w:rPr>
            <w:t>(</w:t>
          </w:r>
          <w:r w:rsidRPr="000B0EF3">
            <w:rPr>
              <w:rFonts w:ascii="Arial" w:hAnsi="Arial" w:cs="Arial"/>
              <w:noProof/>
            </w:rPr>
            <w:t>2021</w:t>
          </w:r>
          <w:r w:rsidR="00EF63E5">
            <w:rPr>
              <w:rFonts w:ascii="Arial" w:hAnsi="Arial" w:cs="Arial"/>
              <w:noProof/>
            </w:rPr>
            <w:t>)</w:t>
          </w:r>
          <w:r w:rsidRPr="000B0EF3">
            <w:rPr>
              <w:rFonts w:ascii="Arial" w:hAnsi="Arial" w:cs="Arial"/>
              <w:noProof/>
            </w:rPr>
            <w:t xml:space="preserve">. What is happening to life expectancy in England?. </w:t>
          </w:r>
          <w:r w:rsidRPr="000B0EF3">
            <w:rPr>
              <w:rFonts w:ascii="Arial" w:hAnsi="Arial" w:cs="Arial"/>
              <w:i/>
              <w:iCs/>
              <w:noProof/>
            </w:rPr>
            <w:t>Life Expectancy.</w:t>
          </w:r>
        </w:p>
        <w:p w14:paraId="43AF364C" w14:textId="1FF0DA0B"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Ree, D. M., </w:t>
          </w:r>
          <w:r w:rsidR="00EF63E5">
            <w:rPr>
              <w:rFonts w:ascii="Arial" w:hAnsi="Arial" w:cs="Arial"/>
              <w:noProof/>
            </w:rPr>
            <w:t>(</w:t>
          </w:r>
          <w:r w:rsidRPr="000B0EF3">
            <w:rPr>
              <w:rFonts w:ascii="Arial" w:hAnsi="Arial" w:cs="Arial"/>
              <w:noProof/>
            </w:rPr>
            <w:t>2021</w:t>
          </w:r>
          <w:r w:rsidR="00EF63E5">
            <w:rPr>
              <w:rFonts w:ascii="Arial" w:hAnsi="Arial" w:cs="Arial"/>
              <w:noProof/>
            </w:rPr>
            <w:t>)</w:t>
          </w:r>
          <w:r w:rsidRPr="000B0EF3">
            <w:rPr>
              <w:rFonts w:ascii="Arial" w:hAnsi="Arial" w:cs="Arial"/>
              <w:noProof/>
            </w:rPr>
            <w:t xml:space="preserve">. A report on the impact of COVID-19 on Older People. </w:t>
          </w:r>
          <w:r w:rsidRPr="000B0EF3">
            <w:rPr>
              <w:rFonts w:ascii="Arial" w:hAnsi="Arial" w:cs="Arial"/>
              <w:i/>
              <w:iCs/>
              <w:noProof/>
            </w:rPr>
            <w:t>Age international.</w:t>
          </w:r>
        </w:p>
        <w:p w14:paraId="33C2DB86" w14:textId="1F080B0F" w:rsidR="000B0EF3" w:rsidRPr="000B0EF3" w:rsidRDefault="000B0EF3" w:rsidP="000B0EF3">
          <w:pPr>
            <w:pStyle w:val="Bibliography"/>
            <w:spacing w:line="360" w:lineRule="auto"/>
            <w:rPr>
              <w:rFonts w:ascii="Arial" w:hAnsi="Arial" w:cs="Arial"/>
              <w:noProof/>
            </w:rPr>
          </w:pPr>
          <w:r w:rsidRPr="000B0EF3">
            <w:rPr>
              <w:rFonts w:ascii="Arial" w:hAnsi="Arial" w:cs="Arial"/>
              <w:noProof/>
            </w:rPr>
            <w:lastRenderedPageBreak/>
            <w:t xml:space="preserve">Sugimoto, M, K. &amp; N, T., </w:t>
          </w:r>
          <w:r w:rsidR="00EF63E5">
            <w:rPr>
              <w:rFonts w:ascii="Arial" w:hAnsi="Arial" w:cs="Arial"/>
              <w:noProof/>
            </w:rPr>
            <w:t>(</w:t>
          </w:r>
          <w:r w:rsidRPr="000B0EF3">
            <w:rPr>
              <w:rFonts w:ascii="Arial" w:hAnsi="Arial" w:cs="Arial"/>
              <w:noProof/>
            </w:rPr>
            <w:t>2021</w:t>
          </w:r>
          <w:r w:rsidR="00EF63E5">
            <w:rPr>
              <w:rFonts w:ascii="Arial" w:hAnsi="Arial" w:cs="Arial"/>
              <w:noProof/>
            </w:rPr>
            <w:t>)</w:t>
          </w:r>
          <w:r w:rsidRPr="000B0EF3">
            <w:rPr>
              <w:rFonts w:ascii="Arial" w:hAnsi="Arial" w:cs="Arial"/>
              <w:noProof/>
            </w:rPr>
            <w:t xml:space="preserve">. Predictors of preferred location of care in middle-aged individuals of a municipality in Japan: a cross-sectional survey.. </w:t>
          </w:r>
          <w:r w:rsidRPr="000B0EF3">
            <w:rPr>
              <w:rFonts w:ascii="Arial" w:hAnsi="Arial" w:cs="Arial"/>
              <w:i/>
              <w:iCs/>
              <w:noProof/>
            </w:rPr>
            <w:t>BMC health survey.</w:t>
          </w:r>
        </w:p>
        <w:p w14:paraId="556C7C52" w14:textId="2AA65B03"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Terracciano, E. &amp; Gentili, S., </w:t>
          </w:r>
          <w:r w:rsidR="00EF63E5">
            <w:rPr>
              <w:rFonts w:ascii="Arial" w:hAnsi="Arial" w:cs="Arial"/>
              <w:noProof/>
            </w:rPr>
            <w:t>(</w:t>
          </w:r>
          <w:r w:rsidRPr="000B0EF3">
            <w:rPr>
              <w:rFonts w:ascii="Arial" w:hAnsi="Arial" w:cs="Arial"/>
              <w:noProof/>
            </w:rPr>
            <w:t>2021</w:t>
          </w:r>
          <w:r w:rsidR="00EF63E5">
            <w:rPr>
              <w:rFonts w:ascii="Arial" w:hAnsi="Arial" w:cs="Arial"/>
              <w:noProof/>
            </w:rPr>
            <w:t>)</w:t>
          </w:r>
          <w:r w:rsidRPr="000B0EF3">
            <w:rPr>
              <w:rFonts w:ascii="Arial" w:hAnsi="Arial" w:cs="Arial"/>
              <w:noProof/>
            </w:rPr>
            <w:t xml:space="preserve">. Impact of COVID-19 on older adults and role of long-term care facilities during early stages of epidemic in England. </w:t>
          </w:r>
          <w:r w:rsidRPr="000B0EF3">
            <w:rPr>
              <w:rFonts w:ascii="Arial" w:hAnsi="Arial" w:cs="Arial"/>
              <w:i/>
              <w:iCs/>
              <w:noProof/>
            </w:rPr>
            <w:t>Scientific Reports.</w:t>
          </w:r>
        </w:p>
        <w:p w14:paraId="3DEA2B0F" w14:textId="1878E966" w:rsidR="000B0EF3" w:rsidRPr="000B0EF3" w:rsidRDefault="000B0EF3" w:rsidP="000B0EF3">
          <w:pPr>
            <w:pStyle w:val="Bibliography"/>
            <w:spacing w:line="360" w:lineRule="auto"/>
            <w:rPr>
              <w:rFonts w:ascii="Arial" w:hAnsi="Arial" w:cs="Arial"/>
              <w:noProof/>
            </w:rPr>
          </w:pPr>
          <w:r w:rsidRPr="000B0EF3">
            <w:rPr>
              <w:rFonts w:ascii="Arial" w:hAnsi="Arial" w:cs="Arial"/>
              <w:noProof/>
            </w:rPr>
            <w:t xml:space="preserve">Wu Z, M., </w:t>
          </w:r>
          <w:r w:rsidR="00EF63E5">
            <w:rPr>
              <w:rFonts w:ascii="Arial" w:hAnsi="Arial" w:cs="Arial"/>
              <w:noProof/>
            </w:rPr>
            <w:t>(</w:t>
          </w:r>
          <w:r w:rsidRPr="000B0EF3">
            <w:rPr>
              <w:rFonts w:ascii="Arial" w:hAnsi="Arial" w:cs="Arial"/>
              <w:noProof/>
            </w:rPr>
            <w:t>2020</w:t>
          </w:r>
          <w:r w:rsidR="00EF63E5">
            <w:rPr>
              <w:rFonts w:ascii="Arial" w:hAnsi="Arial" w:cs="Arial"/>
              <w:noProof/>
            </w:rPr>
            <w:t>)</w:t>
          </w:r>
          <w:r w:rsidRPr="000B0EF3">
            <w:rPr>
              <w:rFonts w:ascii="Arial" w:hAnsi="Arial" w:cs="Arial"/>
              <w:noProof/>
            </w:rPr>
            <w:t xml:space="preserve">. Characteristics of and important lessons from the coronavirus disease 2019 (COVID-19) outbreak in China: summary of a report of 72 314 cases from the Chinese Center for Disease Control and Prevention.. </w:t>
          </w:r>
          <w:r w:rsidRPr="000B0EF3">
            <w:rPr>
              <w:rFonts w:ascii="Arial" w:hAnsi="Arial" w:cs="Arial"/>
              <w:i/>
              <w:iCs/>
              <w:noProof/>
            </w:rPr>
            <w:t xml:space="preserve">JAMA, </w:t>
          </w:r>
          <w:r w:rsidRPr="000B0EF3">
            <w:rPr>
              <w:rFonts w:ascii="Arial" w:hAnsi="Arial" w:cs="Arial"/>
              <w:noProof/>
            </w:rPr>
            <w:t>323(13), pp. 1239-1242.</w:t>
          </w:r>
        </w:p>
        <w:p w14:paraId="5B82AD0C" w14:textId="21D570AE" w:rsidR="000B0EF3" w:rsidRPr="000B0EF3" w:rsidRDefault="000B0EF3" w:rsidP="000B0EF3">
          <w:pPr>
            <w:spacing w:line="360" w:lineRule="auto"/>
            <w:jc w:val="both"/>
            <w:rPr>
              <w:rFonts w:ascii="Arial" w:hAnsi="Arial" w:cs="Arial"/>
              <w:sz w:val="22"/>
              <w:szCs w:val="22"/>
            </w:rPr>
          </w:pPr>
        </w:p>
      </w:sdtContent>
    </w:sdt>
    <w:p w14:paraId="3F3593F4" w14:textId="77777777" w:rsidR="000B0EF3" w:rsidRPr="000B0EF3" w:rsidRDefault="000B0EF3" w:rsidP="000B0EF3">
      <w:pPr>
        <w:spacing w:line="360" w:lineRule="auto"/>
        <w:jc w:val="both"/>
        <w:rPr>
          <w:rFonts w:ascii="Arial" w:hAnsi="Arial" w:cs="Arial"/>
          <w:sz w:val="22"/>
          <w:szCs w:val="22"/>
        </w:rPr>
      </w:pPr>
    </w:p>
    <w:p w14:paraId="0579D561" w14:textId="77777777" w:rsidR="000B0EF3" w:rsidRPr="000B0EF3" w:rsidRDefault="000B0EF3" w:rsidP="000B0EF3">
      <w:pPr>
        <w:spacing w:line="360" w:lineRule="auto"/>
        <w:jc w:val="both"/>
        <w:rPr>
          <w:rFonts w:ascii="Arial" w:hAnsi="Arial" w:cs="Arial"/>
          <w:sz w:val="22"/>
          <w:szCs w:val="22"/>
        </w:rPr>
      </w:pPr>
    </w:p>
    <w:p w14:paraId="2DFBA6A2" w14:textId="77777777" w:rsidR="000B0EF3" w:rsidRPr="000B0EF3" w:rsidRDefault="000B0EF3" w:rsidP="000B0EF3">
      <w:pPr>
        <w:spacing w:line="360" w:lineRule="auto"/>
        <w:jc w:val="both"/>
        <w:rPr>
          <w:rFonts w:ascii="Arial" w:hAnsi="Arial" w:cs="Arial"/>
          <w:sz w:val="22"/>
          <w:szCs w:val="22"/>
        </w:rPr>
      </w:pPr>
    </w:p>
    <w:p w14:paraId="2A3457C4" w14:textId="77777777" w:rsidR="000B0EF3" w:rsidRPr="000B0EF3" w:rsidRDefault="000B0EF3" w:rsidP="000B0EF3">
      <w:pPr>
        <w:spacing w:line="360" w:lineRule="auto"/>
        <w:jc w:val="both"/>
        <w:rPr>
          <w:rFonts w:ascii="Arial" w:hAnsi="Arial" w:cs="Arial"/>
          <w:sz w:val="22"/>
          <w:szCs w:val="22"/>
        </w:rPr>
      </w:pPr>
    </w:p>
    <w:p w14:paraId="3517B58C" w14:textId="77777777" w:rsidR="000B0EF3" w:rsidRPr="000B0EF3" w:rsidRDefault="000B0EF3" w:rsidP="000B0EF3">
      <w:pPr>
        <w:spacing w:line="360" w:lineRule="auto"/>
        <w:jc w:val="both"/>
        <w:rPr>
          <w:rFonts w:ascii="Arial" w:hAnsi="Arial" w:cs="Arial"/>
          <w:sz w:val="22"/>
          <w:szCs w:val="22"/>
        </w:rPr>
      </w:pPr>
    </w:p>
    <w:p w14:paraId="49A44F4F" w14:textId="77777777" w:rsidR="000B0EF3" w:rsidRPr="000B0EF3" w:rsidRDefault="000B0EF3" w:rsidP="000B0EF3">
      <w:pPr>
        <w:spacing w:line="360" w:lineRule="auto"/>
        <w:jc w:val="both"/>
        <w:rPr>
          <w:rFonts w:ascii="Arial" w:hAnsi="Arial" w:cs="Arial"/>
          <w:sz w:val="22"/>
          <w:szCs w:val="22"/>
        </w:rPr>
      </w:pPr>
    </w:p>
    <w:p w14:paraId="6E1E90DC" w14:textId="77777777" w:rsidR="000B0EF3" w:rsidRPr="000B0EF3" w:rsidRDefault="000B0EF3" w:rsidP="000B0EF3">
      <w:pPr>
        <w:spacing w:line="360" w:lineRule="auto"/>
        <w:jc w:val="both"/>
        <w:rPr>
          <w:rFonts w:ascii="Arial" w:eastAsia="Times New Roman" w:hAnsi="Arial" w:cs="Arial"/>
          <w:sz w:val="22"/>
          <w:szCs w:val="22"/>
        </w:rPr>
      </w:pPr>
    </w:p>
    <w:p w14:paraId="2ACB1657" w14:textId="77777777" w:rsidR="000B0EF3" w:rsidRPr="000B0EF3" w:rsidRDefault="000B0EF3" w:rsidP="000B0EF3">
      <w:pPr>
        <w:spacing w:line="360" w:lineRule="auto"/>
        <w:jc w:val="both"/>
        <w:rPr>
          <w:rFonts w:ascii="Arial" w:eastAsia="Times New Roman" w:hAnsi="Arial" w:cs="Arial"/>
          <w:sz w:val="22"/>
          <w:szCs w:val="22"/>
        </w:rPr>
      </w:pPr>
    </w:p>
    <w:p w14:paraId="66BAD180" w14:textId="77777777" w:rsidR="000B0EF3" w:rsidRPr="000B0EF3" w:rsidRDefault="000B0EF3" w:rsidP="000B0EF3">
      <w:pPr>
        <w:spacing w:line="360" w:lineRule="auto"/>
        <w:jc w:val="both"/>
        <w:rPr>
          <w:rFonts w:ascii="Arial" w:eastAsia="Times New Roman" w:hAnsi="Arial" w:cs="Arial"/>
          <w:sz w:val="22"/>
          <w:szCs w:val="22"/>
        </w:rPr>
      </w:pPr>
    </w:p>
    <w:p w14:paraId="28433C36" w14:textId="77777777" w:rsidR="000B0EF3" w:rsidRPr="000B0EF3" w:rsidRDefault="000B0EF3" w:rsidP="000B0EF3">
      <w:pPr>
        <w:spacing w:before="100" w:beforeAutospacing="1" w:after="100" w:afterAutospacing="1" w:line="360" w:lineRule="auto"/>
        <w:jc w:val="both"/>
        <w:textAlignment w:val="baseline"/>
        <w:rPr>
          <w:rFonts w:ascii="Arial" w:eastAsia="Times New Roman" w:hAnsi="Arial" w:cs="Arial"/>
          <w:sz w:val="22"/>
          <w:szCs w:val="22"/>
        </w:rPr>
      </w:pPr>
    </w:p>
    <w:p w14:paraId="44698325" w14:textId="77777777" w:rsidR="00752E2A" w:rsidRPr="000B0EF3" w:rsidRDefault="00752E2A" w:rsidP="000B0EF3">
      <w:pPr>
        <w:spacing w:before="100" w:beforeAutospacing="1" w:after="100" w:afterAutospacing="1" w:line="360" w:lineRule="auto"/>
        <w:jc w:val="both"/>
        <w:textAlignment w:val="baseline"/>
        <w:rPr>
          <w:rFonts w:ascii="Arial" w:eastAsia="Times New Roman" w:hAnsi="Arial" w:cs="Arial"/>
          <w:color w:val="141414"/>
          <w:sz w:val="22"/>
          <w:szCs w:val="22"/>
        </w:rPr>
      </w:pPr>
    </w:p>
    <w:p w14:paraId="1955283F" w14:textId="77777777" w:rsidR="00752E2A" w:rsidRPr="000B0EF3" w:rsidRDefault="00752E2A" w:rsidP="000B0EF3">
      <w:pPr>
        <w:pStyle w:val="Heading2"/>
        <w:spacing w:line="360" w:lineRule="auto"/>
        <w:jc w:val="both"/>
        <w:rPr>
          <w:rFonts w:ascii="Arial" w:hAnsi="Arial" w:cs="Arial"/>
          <w:b w:val="0"/>
          <w:bCs w:val="0"/>
          <w:color w:val="141414"/>
          <w:sz w:val="22"/>
          <w:szCs w:val="22"/>
        </w:rPr>
      </w:pPr>
    </w:p>
    <w:p w14:paraId="1FD61CA9" w14:textId="77777777" w:rsidR="00752E2A" w:rsidRPr="000B0EF3" w:rsidRDefault="00752E2A" w:rsidP="000B0EF3">
      <w:pPr>
        <w:pStyle w:val="Heading2"/>
        <w:spacing w:line="360" w:lineRule="auto"/>
        <w:jc w:val="both"/>
        <w:rPr>
          <w:rFonts w:ascii="Arial" w:hAnsi="Arial" w:cs="Arial"/>
          <w:b w:val="0"/>
          <w:bCs w:val="0"/>
          <w:color w:val="141414"/>
          <w:sz w:val="22"/>
          <w:szCs w:val="22"/>
        </w:rPr>
      </w:pPr>
    </w:p>
    <w:p w14:paraId="7C695CEA" w14:textId="77777777" w:rsidR="00CA4302" w:rsidRPr="000B0EF3" w:rsidRDefault="00CA4302" w:rsidP="000B0EF3">
      <w:pPr>
        <w:pStyle w:val="Heading2"/>
        <w:spacing w:line="360" w:lineRule="auto"/>
        <w:jc w:val="both"/>
        <w:rPr>
          <w:rFonts w:ascii="Arial" w:hAnsi="Arial" w:cs="Arial"/>
          <w:b w:val="0"/>
          <w:bCs w:val="0"/>
          <w:sz w:val="22"/>
          <w:szCs w:val="22"/>
        </w:rPr>
      </w:pPr>
    </w:p>
    <w:p w14:paraId="251A9F5E" w14:textId="77777777" w:rsidR="00CA4302" w:rsidRPr="000B0EF3" w:rsidRDefault="00CA4302" w:rsidP="000B0EF3">
      <w:pPr>
        <w:pStyle w:val="Heading2"/>
        <w:spacing w:line="360" w:lineRule="auto"/>
        <w:jc w:val="both"/>
        <w:rPr>
          <w:rFonts w:ascii="Arial" w:hAnsi="Arial" w:cs="Arial"/>
          <w:b w:val="0"/>
          <w:bCs w:val="0"/>
          <w:sz w:val="22"/>
          <w:szCs w:val="22"/>
        </w:rPr>
      </w:pPr>
    </w:p>
    <w:p w14:paraId="65537F63" w14:textId="77777777" w:rsidR="00CA4302" w:rsidRPr="000B0EF3" w:rsidRDefault="00CA4302" w:rsidP="000B0EF3">
      <w:pPr>
        <w:pStyle w:val="Heading2"/>
        <w:spacing w:line="360" w:lineRule="auto"/>
        <w:jc w:val="both"/>
        <w:rPr>
          <w:rFonts w:ascii="Arial" w:hAnsi="Arial" w:cs="Arial"/>
          <w:b w:val="0"/>
          <w:bCs w:val="0"/>
          <w:sz w:val="22"/>
          <w:szCs w:val="22"/>
        </w:rPr>
      </w:pPr>
    </w:p>
    <w:p w14:paraId="2CDE7BAE" w14:textId="77777777" w:rsidR="00E14BC2" w:rsidRPr="000B0EF3" w:rsidRDefault="00E14BC2" w:rsidP="000B0EF3">
      <w:pPr>
        <w:shd w:val="clear" w:color="auto" w:fill="FFFFFF"/>
        <w:spacing w:before="100" w:beforeAutospacing="1" w:after="100" w:afterAutospacing="1" w:line="360" w:lineRule="auto"/>
        <w:jc w:val="both"/>
        <w:outlineLvl w:val="1"/>
        <w:rPr>
          <w:rFonts w:ascii="Arial" w:eastAsia="Times New Roman" w:hAnsi="Arial" w:cs="Arial"/>
          <w:sz w:val="22"/>
          <w:szCs w:val="22"/>
        </w:rPr>
      </w:pPr>
    </w:p>
    <w:p w14:paraId="77838CCC" w14:textId="77777777" w:rsidR="00E14BC2" w:rsidRPr="000B0EF3" w:rsidRDefault="00E14BC2" w:rsidP="000B0EF3">
      <w:pPr>
        <w:shd w:val="clear" w:color="auto" w:fill="FFFFFF"/>
        <w:spacing w:before="100" w:beforeAutospacing="1" w:after="100" w:afterAutospacing="1" w:line="360" w:lineRule="auto"/>
        <w:jc w:val="both"/>
        <w:outlineLvl w:val="1"/>
        <w:rPr>
          <w:rFonts w:ascii="Arial" w:eastAsia="Times New Roman" w:hAnsi="Arial" w:cs="Arial"/>
          <w:sz w:val="22"/>
          <w:szCs w:val="22"/>
        </w:rPr>
      </w:pPr>
    </w:p>
    <w:p w14:paraId="71634A2E" w14:textId="77777777" w:rsidR="00E14BC2" w:rsidRPr="000B0EF3" w:rsidRDefault="00E14BC2" w:rsidP="000B0EF3">
      <w:pPr>
        <w:shd w:val="clear" w:color="auto" w:fill="FFFFFF"/>
        <w:spacing w:before="100" w:beforeAutospacing="1" w:after="100" w:afterAutospacing="1" w:line="360" w:lineRule="auto"/>
        <w:jc w:val="both"/>
        <w:outlineLvl w:val="1"/>
        <w:rPr>
          <w:rFonts w:ascii="Arial" w:eastAsia="Times New Roman" w:hAnsi="Arial" w:cs="Arial"/>
          <w:sz w:val="22"/>
          <w:szCs w:val="22"/>
        </w:rPr>
      </w:pPr>
    </w:p>
    <w:p w14:paraId="387919FF" w14:textId="0AC8F63B" w:rsidR="00E14BC2" w:rsidRPr="000B0EF3" w:rsidRDefault="00E14BC2" w:rsidP="000B0EF3">
      <w:pPr>
        <w:shd w:val="clear" w:color="auto" w:fill="FFFFFF"/>
        <w:spacing w:before="100" w:beforeAutospacing="1" w:after="100" w:afterAutospacing="1" w:line="360" w:lineRule="auto"/>
        <w:jc w:val="both"/>
        <w:outlineLvl w:val="1"/>
        <w:rPr>
          <w:rFonts w:ascii="Arial" w:eastAsia="Times New Roman" w:hAnsi="Arial" w:cs="Arial"/>
          <w:sz w:val="22"/>
          <w:szCs w:val="22"/>
        </w:rPr>
      </w:pPr>
    </w:p>
    <w:p w14:paraId="69D418B6" w14:textId="2A33413D" w:rsidR="00E14BC2" w:rsidRPr="000B0EF3" w:rsidRDefault="00E14BC2" w:rsidP="000B0EF3">
      <w:pPr>
        <w:shd w:val="clear" w:color="auto" w:fill="FFFFFF"/>
        <w:spacing w:before="100" w:beforeAutospacing="1" w:after="100" w:afterAutospacing="1" w:line="360" w:lineRule="auto"/>
        <w:jc w:val="both"/>
        <w:outlineLvl w:val="1"/>
        <w:rPr>
          <w:rFonts w:ascii="Arial" w:eastAsia="Times New Roman" w:hAnsi="Arial" w:cs="Arial"/>
          <w:sz w:val="22"/>
          <w:szCs w:val="22"/>
        </w:rPr>
      </w:pPr>
    </w:p>
    <w:p w14:paraId="7BB934B8" w14:textId="030DF329" w:rsidR="008C5D41" w:rsidRPr="008C5D41" w:rsidRDefault="008C5D41" w:rsidP="008C5D41">
      <w:pPr>
        <w:shd w:val="clear" w:color="auto" w:fill="FFFFFF"/>
        <w:spacing w:before="100" w:beforeAutospacing="1" w:after="100" w:afterAutospacing="1" w:line="360" w:lineRule="auto"/>
        <w:jc w:val="both"/>
        <w:outlineLvl w:val="1"/>
        <w:rPr>
          <w:rFonts w:ascii="Arial" w:eastAsia="Times New Roman" w:hAnsi="Arial" w:cs="Arial"/>
          <w:sz w:val="22"/>
          <w:szCs w:val="22"/>
        </w:rPr>
      </w:pPr>
    </w:p>
    <w:p w14:paraId="16A93CD0" w14:textId="0B295F71" w:rsidR="008C5D41" w:rsidRDefault="008C5D41"/>
    <w:sectPr w:rsidR="008C5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D41"/>
    <w:rsid w:val="0003488E"/>
    <w:rsid w:val="000825AF"/>
    <w:rsid w:val="000B0EF3"/>
    <w:rsid w:val="000D7D53"/>
    <w:rsid w:val="00130B82"/>
    <w:rsid w:val="0020428D"/>
    <w:rsid w:val="002F2930"/>
    <w:rsid w:val="004622BB"/>
    <w:rsid w:val="004877EA"/>
    <w:rsid w:val="00505BFA"/>
    <w:rsid w:val="00583AAB"/>
    <w:rsid w:val="005A50A6"/>
    <w:rsid w:val="005B4AFC"/>
    <w:rsid w:val="006B163E"/>
    <w:rsid w:val="00752E2A"/>
    <w:rsid w:val="00890987"/>
    <w:rsid w:val="008C5D41"/>
    <w:rsid w:val="008C7048"/>
    <w:rsid w:val="009D6526"/>
    <w:rsid w:val="009F3B49"/>
    <w:rsid w:val="00A34F0A"/>
    <w:rsid w:val="00A760B5"/>
    <w:rsid w:val="00CA4302"/>
    <w:rsid w:val="00CA50DE"/>
    <w:rsid w:val="00CB61C2"/>
    <w:rsid w:val="00E14BC2"/>
    <w:rsid w:val="00E41880"/>
    <w:rsid w:val="00EF63E5"/>
    <w:rsid w:val="00F5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CFDE09"/>
  <w15:chartTrackingRefBased/>
  <w15:docId w15:val="{474752D5-D90E-CB46-9241-21ED6246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EF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CA4302"/>
    <w:pPr>
      <w:spacing w:before="100" w:beforeAutospacing="1" w:after="100" w:afterAutospacing="1"/>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4302"/>
    <w:rPr>
      <w:rFonts w:ascii="Times New Roman" w:eastAsia="Times New Roman" w:hAnsi="Times New Roman" w:cs="Times New Roman"/>
      <w:b/>
      <w:bCs/>
      <w:sz w:val="36"/>
      <w:szCs w:val="36"/>
      <w:lang w:val="en-US"/>
    </w:rPr>
  </w:style>
  <w:style w:type="character" w:customStyle="1" w:styleId="Heading1Char">
    <w:name w:val="Heading 1 Char"/>
    <w:basedOn w:val="DefaultParagraphFont"/>
    <w:link w:val="Heading1"/>
    <w:uiPriority w:val="9"/>
    <w:rsid w:val="000B0EF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B0EF3"/>
    <w:pPr>
      <w:spacing w:after="160" w:line="259" w:lineRule="auto"/>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34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Nga20</b:Tag>
    <b:SourceType>JournalArticle</b:SourceType>
    <b:Guid>{C39C9641-C023-4840-8A1F-AB8BEB68F913}</b:Guid>
    <b:Author>
      <b:Author>
        <b:NameList>
          <b:Person>
            <b:Last>Coombs</b:Last>
            <b:First>Ngaire</b:First>
          </b:Person>
          <b:Person>
            <b:Last>Storey</b:Last>
            <b:First>Angele</b:First>
          </b:Person>
          <b:Person>
            <b:Last>Giddings</b:Last>
            <b:First>Rose</b:First>
          </b:Person>
        </b:NameList>
      </b:Author>
    </b:Author>
    <b:Title>Living longer: is age 70 the new age 65?</b:Title>
    <b:JournalName>National statistics</b:JournalName>
    <b:Year>2020</b:Year>
    <b:RefOrder>1</b:RefOrder>
  </b:Source>
  <b:Source>
    <b:Tag>Man</b:Tag>
    <b:SourceType>JournalArticle</b:SourceType>
    <b:Guid>{5A4CC769-C152-41C5-9B9F-5239F4C88FAF}</b:Guid>
    <b:Author>
      <b:Author>
        <b:NameList>
          <b:Person>
            <b:Last>Malik</b:Last>
            <b:First>Mansoor</b:First>
          </b:Person>
          <b:Person>
            <b:Last>Burhanullah</b:Last>
            <b:First>Haroon</b:First>
          </b:Person>
          <b:Person>
            <b:Last>Lyketsos</b:Last>
            <b:First>Constantine</b:First>
            <b:Middle>G.</b:Middle>
          </b:Person>
        </b:NameList>
      </b:Author>
    </b:Author>
    <b:Title>Elder Abuse and Ageism During COVID-19</b:Title>
    <b:JournalName>Psychiatric</b:JournalName>
    <b:Year>2020</b:Year>
    <b:RefOrder>2</b:RefOrder>
  </b:Source>
  <b:Source>
    <b:Tag>Daw21</b:Tag>
    <b:SourceType>JournalArticle</b:SourceType>
    <b:Guid>{8C785DA3-E38F-4A92-943E-0E24F0AEF934}</b:Guid>
    <b:Author>
      <b:Author>
        <b:NameList>
          <b:Person>
            <b:Last>Ree</b:Last>
            <b:First>Daw</b:First>
            <b:Middle>Mu</b:Middle>
          </b:Person>
        </b:NameList>
      </b:Author>
    </b:Author>
    <b:Title>A report on the impact of COVID-19 on Older People</b:Title>
    <b:JournalName>Age international</b:JournalName>
    <b:Year>2021</b:Year>
    <b:RefOrder>3</b:RefOrder>
  </b:Source>
  <b:Source>
    <b:Tag>Pub21</b:Tag>
    <b:SourceType>Report</b:SourceType>
    <b:Guid>{FA1CF047-9488-4437-BAE0-8AFA2A00381B}</b:Guid>
    <b:Author>
      <b:Author>
        <b:Corporate>Public Health England</b:Corporate>
      </b:Author>
    </b:Author>
    <b:Title>COVID-19: wider impacts on people aged 65 and over</b:Title>
    <b:Year>2021</b:Year>
    <b:Publisher>Public Health England</b:Publisher>
    <b:RefOrder>4</b:RefOrder>
  </b:Source>
  <b:Source>
    <b:Tag>IIR21</b:Tag>
    <b:SourceType>JournalArticle</b:SourceType>
    <b:Guid>{29825437-D581-4732-BD6E-C02977C099D7}</b:Guid>
    <b:Author>
      <b:Author>
        <b:NameList>
          <b:Person>
            <b:Last>II</b:Last>
            <b:First>Reginald</b:First>
            <b:Middle>D. Williams</b:Middle>
          </b:Person>
          <b:Person>
            <b:Last>Arnav Shah</b:Last>
          </b:Person>
        </b:NameList>
      </b:Author>
    </b:Author>
    <b:Title>The Impact of COVID-19 on Older Adults</b:Title>
    <b:Year>2021</b:Year>
    <b:JournalName>Common wealth foundation</b:JournalName>
    <b:RefOrder>5</b:RefOrder>
  </b:Source>
  <b:Source>
    <b:Tag>Mic21</b:Tag>
    <b:SourceType>JournalArticle</b:SourceType>
    <b:Guid>{392BFAE2-3404-42C9-A075-FB0F03DCDABA}</b:Guid>
    <b:Author>
      <b:Author>
        <b:NameList>
          <b:Person>
            <b:Last>Doty</b:Last>
            <b:First>Michelle</b:First>
            <b:Middle>M.</b:Middle>
          </b:Person>
          <b:Person>
            <b:Last>Fields</b:Last>
            <b:First>Katharine</b:First>
          </b:Person>
          <b:Person>
            <b:Last>FitzGerald</b:Last>
            <b:First>Molly</b:First>
          </b:Person>
        </b:NameList>
      </b:Author>
    </b:Author>
    <b:Title>Covid 19 and older adults</b:Title>
    <b:JournalName>health and wellness</b:JournalName>
    <b:Year>2021</b:Year>
    <b:RefOrder>6</b:RefOrder>
  </b:Source>
  <b:Source>
    <b:Tag>Jas211</b:Tag>
    <b:SourceType>JournalArticle</b:SourceType>
    <b:Guid>{F157772F-3434-44BB-A376-FDC797D8938C}</b:Guid>
    <b:Author>
      <b:Author>
        <b:NameList>
          <b:Person>
            <b:Last>Mah</b:Last>
            <b:First>Jasmine</b:First>
            <b:Middle>C.</b:Middle>
          </b:Person>
          <b:Person>
            <b:Last>Stevens</b:Last>
            <b:First>Susan</b:First>
            <b:Middle>J.</b:Middle>
          </b:Person>
          <b:Person>
            <b:Last>Keefe</b:Last>
            <b:First>Janice</b:First>
            <b:Middle>M.</b:Middle>
          </b:Person>
          <b:Person>
            <b:Last>Rockwood</b:Last>
            <b:First>Kenneth</b:First>
          </b:Person>
          <b:Person>
            <b:Last>Andrew</b:Last>
            <b:First>Melissa</b:First>
            <b:Middle>K.</b:Middle>
          </b:Person>
        </b:NameList>
      </b:Author>
    </b:Author>
    <b:Title>Social factors influencing utilization of home care in community-dwelling older adults: a scoping review</b:Title>
    <b:JournalName>BMC Geriatrics</b:JournalName>
    <b:Year>2021</b:Year>
    <b:Pages>12</b:Pages>
    <b:RefOrder>7</b:RefOrder>
  </b:Source>
  <b:Source>
    <b:Tag>Sar21</b:Tag>
    <b:SourceType>JournalArticle</b:SourceType>
    <b:Guid>{214A0B60-86D0-4BF0-87C7-DA2F0A4863D7}</b:Guid>
    <b:Author>
      <b:Author>
        <b:NameList>
          <b:Person>
            <b:Last>Glancey</b:Last>
            <b:First>Sarah</b:First>
          </b:Person>
        </b:NameList>
      </b:Author>
    </b:Author>
    <b:Title>Covid Pandemic effects</b:Title>
    <b:JournalName>Health and wellness</b:JournalName>
    <b:Year>2021</b:Year>
    <b:RefOrder>8</b:RefOrder>
  </b:Source>
  <b:Source>
    <b:Tag>WuZ20</b:Tag>
    <b:SourceType>JournalArticle</b:SourceType>
    <b:Guid>{09092509-8C2F-4D1A-98C5-B89DF19B3331}</b:Guid>
    <b:Author>
      <b:Author>
        <b:NameList>
          <b:Person>
            <b:Last>Wu Z</b:Last>
            <b:First>McGoogan</b:First>
          </b:Person>
        </b:NameList>
      </b:Author>
    </b:Author>
    <b:Title> Characteristics of and important lessons from the coronavirus disease 2019 (COVID-19) outbreak in China: summary of a report of 72 314 cases from the Chinese Center for Disease Control and Prevention.</b:Title>
    <b:JournalName>JAMA</b:JournalName>
    <b:Year>2020</b:Year>
    <b:Pages>1239-1242</b:Pages>
    <b:Volume>323</b:Volume>
    <b:Issue>13</b:Issue>
    <b:RefOrder>9</b:RefOrder>
  </b:Source>
  <b:Source>
    <b:Tag>Ste21</b:Tag>
    <b:SourceType>JournalArticle</b:SourceType>
    <b:Guid>{F4A822D6-BA68-444E-882C-344231D4C090}</b:Guid>
    <b:Author>
      <b:Author>
        <b:NameList>
          <b:Person>
            <b:Last>Amore</b:Last>
            <b:First>Stefano</b:First>
          </b:Person>
          <b:Person>
            <b:Last>Puppo</b:Last>
            <b:First>Emanuela</b:First>
          </b:Person>
          <b:Person>
            <b:Last>Josué Melara</b:Last>
          </b:Person>
        </b:NameList>
      </b:Author>
    </b:Author>
    <b:Title>Impact of COVID-19 on older adults and role of long-term care facilities during early stages of epidemic in Italy</b:Title>
    <b:JournalName>Scientific Reports </b:JournalName>
    <b:Year>2021</b:Year>
    <b:Volume>11</b:Volume>
    <b:Issue>1</b:Issue>
    <b:RefOrder>10</b:RefOrder>
  </b:Source>
  <b:Source>
    <b:Tag>Vee21</b:Tag>
    <b:SourceType>JournalArticle</b:SourceType>
    <b:Guid>{B45B07D6-2E7C-4859-B181-E3DCC6B64278}</b:Guid>
    <b:Author>
      <b:Author>
        <b:NameList>
          <b:Person>
            <b:Last>Raleigh</b:Last>
            <b:First>Veena</b:First>
          </b:Person>
        </b:NameList>
      </b:Author>
    </b:Author>
    <b:Title>What is happening to life expectancy in England?</b:Title>
    <b:JournalName>Life Expectancy</b:JournalName>
    <b:Year>2021</b:Year>
    <b:RefOrder>11</b:RefOrder>
  </b:Source>
  <b:Source>
    <b:Tag>Eli21</b:Tag>
    <b:SourceType>JournalArticle</b:SourceType>
    <b:Guid>{7247C813-D50A-438B-97DF-9DA57379432C}</b:Guid>
    <b:Author>
      <b:Author>
        <b:NameList>
          <b:Person>
            <b:Last>Terracciano</b:Last>
            <b:First>Elisa</b:First>
          </b:Person>
          <b:Person>
            <b:Last>Gentili</b:Last>
            <b:First>Susanna</b:First>
          </b:Person>
        </b:NameList>
      </b:Author>
    </b:Author>
    <b:Title>Impact of COVID-19 on older adults and role of long-term care facilities during early stages of epidemic in England</b:Title>
    <b:JournalName>Scientific Reports</b:JournalName>
    <b:Year>2021</b:Year>
    <b:RefOrder>12</b:RefOrder>
  </b:Source>
  <b:Source>
    <b:Tag>Loo20</b:Tag>
    <b:SourceType>JournalArticle</b:SourceType>
    <b:Guid>{919F1DEC-D877-496A-854D-79B7D976E713}</b:Guid>
    <b:Author>
      <b:Author>
        <b:NameList>
          <b:Person>
            <b:Last>Loopstra</b:Last>
          </b:Person>
          <b:Person>
            <b:Last>M</b:Last>
            <b:First>McKee</b:First>
          </b:Person>
          <b:Person>
            <b:Last>SV</b:Last>
            <b:First>Katikireddi</b:First>
          </b:Person>
          <b:Person>
            <b:Last>D</b:Last>
            <b:First>Taylor-Robinson</b:First>
          </b:Person>
          <b:Person>
            <b:Last>B</b:Last>
            <b:First>Barr</b:First>
          </b:Person>
          <b:Person>
            <b:Last>D</b:Last>
            <b:First>Stuckler</b:First>
          </b:Person>
        </b:NameList>
      </b:Author>
    </b:Author>
    <b:Title>‘Austerity and old-age mortality in England: a longitudinal cross-local area analysis, 2007–2013’.</b:Title>
    <b:JournalName>Journal of the Royal Society of Medicine,</b:JournalName>
    <b:Year>2020</b:Year>
    <b:Pages>109–16</b:Pages>
    <b:Volume>109</b:Volume>
    <b:RefOrder>13</b:RefOrder>
  </b:Source>
  <b:Source>
    <b:Tag>Atl20</b:Tag>
    <b:SourceType>JournalArticle</b:SourceType>
    <b:Guid>{A6FFD5C9-0535-4140-9A3B-22ABC3398F8D}</b:Guid>
    <b:Author>
      <b:Author>
        <b:NameList>
          <b:Person>
            <b:Last>Atlani-Duault</b:Last>
          </b:Person>
        </b:NameList>
      </b:Author>
    </b:Author>
    <b:Title>Potential lethal outbreak of coronavirus disease (COVID-19) among the elderly in retirement homes and long-term facilities,</b:Title>
    <b:JournalName>Eurosurveillance.</b:JournalName>
    <b:Year>2020</b:Year>
    <b:RefOrder>14</b:RefOrder>
  </b:Source>
  <b:Source>
    <b:Tag>Gan21</b:Tag>
    <b:SourceType>JournalArticle</b:SourceType>
    <b:Guid>{DEC1BA69-4DF6-43C9-BE12-79AEBF353ED5}</b:Guid>
    <b:Author>
      <b:Author>
        <b:NameList>
          <b:Person>
            <b:Last>Gandal</b:Last>
          </b:Person>
          <b:Person>
            <b:Last>Yonas</b:Last>
          </b:Person>
          <b:Person>
            <b:Last>Feldman</b:Last>
          </b:Person>
          <b:Person>
            <b:Last>Pauzner</b:Last>
          </b:Person>
        </b:NameList>
      </b:Author>
    </b:Author>
    <b:Title>Long-term care facilities as a risk factor for death due to COVID-19:</b:Title>
    <b:JournalName>evidence from European countries and U.S. states.</b:JournalName>
    <b:Year>2021</b:Year>
    <b:RefOrder>15</b:RefOrder>
  </b:Source>
  <b:Source>
    <b:Tag>Ral21</b:Tag>
    <b:SourceType>JournalArticle</b:SourceType>
    <b:Guid>{7C7AEF3D-54E2-46DC-8C3C-5E47F7FCD25A}</b:Guid>
    <b:Author>
      <b:Author>
        <b:NameList>
          <b:Person>
            <b:Last>Raleigh</b:Last>
          </b:Person>
        </b:NameList>
      </b:Author>
    </b:Author>
    <b:Title>Trends in life expectancy in EU and other OECD countries: why are improvements slowing?</b:Title>
    <b:JournalName>OECD Health Working Papers</b:JournalName>
    <b:Year>2021</b:Year>
    <b:RefOrder>16</b:RefOrder>
  </b:Source>
  <b:Source>
    <b:Tag>Gar20</b:Tag>
    <b:SourceType>JournalArticle</b:SourceType>
    <b:Guid>{EF01ACB4-B7EF-4660-8DA0-B7008A3DD54E}</b:Guid>
    <b:Author>
      <b:Author>
        <b:NameList>
          <b:Person>
            <b:Last>Gardner</b:Last>
          </b:Person>
          <b:Person>
            <b:Last>States</b:Last>
          </b:Person>
        </b:NameList>
      </b:Author>
    </b:Author>
    <b:Title>The coronavirus and the risk to the elderly in long-term care.</b:Title>
    <b:JournalName>J. Aging Soc. </b:JournalName>
    <b:Year>2020</b:Year>
    <b:Pages>315-320</b:Pages>
    <b:RefOrder>17</b:RefOrder>
  </b:Source>
  <b:Source>
    <b:Tag>McM20</b:Tag>
    <b:SourceType>JournalArticle</b:SourceType>
    <b:Guid>{F487ACA3-B6AD-42C1-914B-455035622A76}</b:Guid>
    <b:Author>
      <b:Author>
        <b:NameList>
          <b:Person>
            <b:Last>McMichael</b:Last>
            <b:First>T.</b:First>
            <b:Middle>M</b:Middle>
          </b:Person>
        </b:NameList>
      </b:Author>
    </b:Author>
    <b:Title>Epidemiology of COVID-19 in a long-term care facility in king county, Washington. N. Engl.</b:Title>
    <b:JournalName>Research</b:JournalName>
    <b:Year>2020</b:Year>
    <b:RefOrder>18</b:RefOrder>
  </b:Source>
  <b:Source>
    <b:Tag>Joe21</b:Tag>
    <b:SourceType>JournalArticle</b:SourceType>
    <b:Guid>{A27CBD80-192E-473E-AC43-FF9A30EE2141}</b:Guid>
    <b:Author>
      <b:Author>
        <b:NameList>
          <b:Person>
            <b:Last>Hollinghurst</b:Last>
            <b:First>Joe</b:First>
          </b:Person>
        </b:NameList>
      </b:Author>
    </b:Author>
    <b:Title>The impact of COVID-19 on adjusted mortality risk in care homes for older adults in Wales, UK: a retrospective population-based cohort study for mortality in 2016–2020 </b:Title>
    <b:JournalName>Age and Ageing,</b:JournalName>
    <b:Year>2021</b:Year>
    <b:Pages>325-334</b:Pages>
    <b:Volume>50</b:Volume>
    <b:Issue>1</b:Issue>
    <b:RefOrder>19</b:RefOrder>
  </b:Source>
  <b:Source>
    <b:Tag>Jan21</b:Tag>
    <b:SourceType>JournalArticle</b:SourceType>
    <b:Guid>{050AB44F-ECEF-46C4-8BF3-59EE64780224}</b:Guid>
    <b:Author>
      <b:Author>
        <b:NameList>
          <b:Person>
            <b:Last>Lyons</b:Last>
            <b:First>Jane</b:First>
          </b:Person>
          <b:Person>
            <b:Last>Richard Fry</b:Last>
          </b:Person>
        </b:NameList>
      </b:Author>
    </b:Author>
    <b:Title>The impact of COVID-19 on adjusted mortality risk in care homes for older adults in Wales, UK:</b:Title>
    <b:JournalName>Geriatrrics</b:JournalName>
    <b:Year>2021</b:Year>
    <b:RefOrder>20</b:RefOrder>
  </b:Source>
  <b:Source>
    <b:Tag>Joe201</b:Tag>
    <b:SourceType>JournalArticle</b:SourceType>
    <b:Guid>{DCE2456E-37FB-42F1-A7A9-578F9CA9690A}</b:Guid>
    <b:Author>
      <b:Author>
        <b:NameList>
          <b:Person>
            <b:Last>Bidon</b:Last>
            <b:First>Joe</b:First>
          </b:Person>
        </b:NameList>
      </b:Author>
    </b:Author>
    <b:Title>Burden of Covid 19</b:Title>
    <b:JournalName>Health and wellness</b:JournalName>
    <b:Year>2020</b:Year>
    <b:RefOrder>21</b:RefOrder>
  </b:Source>
  <b:Source>
    <b:Tag>Com20</b:Tag>
    <b:SourceType>JournalArticle</b:SourceType>
    <b:Guid>{B0985D58-D5D5-454F-9CC9-907DA8EC2638}</b:Guid>
    <b:Author>
      <b:Author>
        <b:NameList>
          <b:Person>
            <b:Last>Comas-Herrera</b:Last>
          </b:Person>
          <b:Person>
            <b:Last>J.</b:Last>
            <b:First>Zalakain</b:First>
          </b:Person>
        </b:NameList>
      </b:Author>
    </b:Author>
    <b:Title>Mortality associated with COVID-19 outbreaks in care homes: early international evidence.</b:Title>
    <b:JournalName>Geriatrics</b:JournalName>
    <b:Year>2020</b:Year>
    <b:RefOrder>22</b:RefOrder>
  </b:Source>
  <b:Source>
    <b:Tag>Leo21</b:Tag>
    <b:SourceType>JournalArticle</b:SourceType>
    <b:Guid>{A0F9512A-8805-427A-AAE1-8D93B2A21336}</b:Guid>
    <b:Author>
      <b:Author>
        <b:NameList>
          <b:Person>
            <b:Last>Leon</b:Last>
            <b:First>DA</b:First>
          </b:Person>
          <b:Person>
            <b:Last>DA</b:Last>
            <b:First>Jdanov</b:First>
          </b:Person>
          <b:Person>
            <b:Last>VM</b:Last>
            <b:First>Shkolnikov</b:First>
          </b:Person>
        </b:NameList>
      </b:Author>
    </b:Author>
    <b:Title>‘Trends in life expectancy and age-specific mortality in England and Wales,</b:Title>
    <b:JournalName>Lancet,</b:JournalName>
    <b:Year>2021</b:Year>
    <b:Pages>e575–82.</b:Pages>
    <b:Volume>4</b:Volume>
    <b:Issue>11</b:Issue>
    <b:RefOrder>23</b:RefOrder>
  </b:Source>
  <b:Source>
    <b:Tag>Mar21</b:Tag>
    <b:SourceType>Report</b:SourceType>
    <b:Guid>{2CBBF917-17F2-43CA-B06A-8364A5E3A7B8}</b:Guid>
    <b:Title>	Competitions and Markets Authority. Care homes market study. Final report. UK: Competitions and Markets Authority,</b:Title>
    <b:Year>2021</b:Year>
    <b:Author>
      <b:Author>
        <b:Corporate>Marketing report</b:Corporate>
      </b:Author>
    </b:Author>
    <b:Publisher>Marketing report</b:Publisher>
    <b:RefOrder>24</b:RefOrder>
  </b:Source>
  <b:Source>
    <b:Tag>Mou191</b:Tag>
    <b:SourceType>JournalArticle</b:SourceType>
    <b:Guid>{55F72DA4-C136-43A9-8A8E-F271A4F96118}</b:Guid>
    <b:Title>The Care Home Market in Wales: Mapping the Sector</b:Title>
    <b:Year>2019</b:Year>
    <b:Author>
      <b:Author>
        <b:NameList>
          <b:Person>
            <b:Last>K</b:Last>
            <b:First>Moultrie</b:First>
          </b:Person>
          <b:Person>
            <b:Last>N.</b:Last>
            <b:First>Rattle</b:First>
          </b:Person>
        </b:NameList>
      </b:Author>
    </b:Author>
    <b:JournalName>Research</b:JournalName>
    <b:RefOrder>25</b:RefOrder>
  </b:Source>
  <b:Source>
    <b:Tag>Liuns</b:Tag>
    <b:SourceType>JournalArticle</b:SourceType>
    <b:Guid>{19E63C0E-7639-4006-86A6-CB8B2FF996A5}</b:Guid>
    <b:Author>
      <b:Author>
        <b:NameList>
          <b:Person>
            <b:Last>Liu</b:Last>
          </b:Person>
          <b:Person>
            <b:Last>Y</b:Last>
            <b:First>Chen</b:First>
          </b:Person>
          <b:Person>
            <b:Last>R</b:Last>
            <b:First>Lin</b:First>
          </b:Person>
          <b:Person>
            <b:Last>K.</b:Last>
            <b:First>Han</b:First>
          </b:Person>
        </b:NameList>
      </b:Author>
    </b:Author>
    <b:Title>Clinical features of COVID-19 in elderly patients: A comparison with young and middle-aged patients.</b:Title>
    <b:Year>2020</b:Year>
    <b:JournalName>Journal of infections</b:JournalName>
    <b:RefOrder>26</b:RefOrder>
  </b:Source>
  <b:Source>
    <b:Tag>Bél20</b:Tag>
    <b:SourceType>JournalArticle</b:SourceType>
    <b:Guid>{E0E6663C-593B-4967-9E9C-C5DA754EEA50}</b:Guid>
    <b:Author>
      <b:Author>
        <b:NameList>
          <b:Person>
            <b:Last>Béland</b:Last>
          </b:Person>
          <b:Person>
            <b:Last>Brodeur</b:Last>
          </b:Person>
          <b:Person>
            <b:Last>T</b:Last>
            <b:First>Wright</b:First>
          </b:Person>
        </b:NameList>
      </b:Author>
    </b:Author>
    <b:Title>The Short-Term Economic Consequences of Covid-19: Exposure to Disease, Remote Work and Government Response.</b:Title>
    <b:JournalName>IZA Discussion Paper No. 13159.</b:JournalName>
    <b:Year>2020</b:Year>
    <b:RefOrder>27</b:RefOrder>
  </b:Source>
  <b:Source>
    <b:Tag>Lit20</b:Tag>
    <b:SourceType>JournalArticle</b:SourceType>
    <b:Guid>{9C50575F-4EE9-40A1-9D26-9577FDB2A457}</b:Guid>
    <b:Author>
      <b:Author>
        <b:NameList>
          <b:Person>
            <b:Last>Lithander</b:Last>
          </b:Person>
          <b:Person>
            <b:Last>S</b:Last>
            <b:First>Neumann</b:First>
          </b:Person>
          <b:Person>
            <b:Last>Tenison</b:Last>
          </b:Person>
        </b:NameList>
      </b:Author>
    </b:Author>
    <b:Title>COVID-19 in older people: a rapid clinical review.</b:Title>
    <b:JournalName>Age Ageing</b:JournalName>
    <b:Year>2020</b:Year>
    <b:RefOrder>28</b:RefOrder>
  </b:Source>
  <b:Source>
    <b:Tag>Mon20</b:Tag>
    <b:SourceType>JournalArticle</b:SourceType>
    <b:Guid>{EED84150-FC81-4E26-BE02-803A9DF56665}</b:Guid>
    <b:Author>
      <b:Author>
        <b:NameList>
          <b:Person>
            <b:Last>Montemurro</b:Last>
          </b:Person>
        </b:NameList>
      </b:Author>
    </b:Author>
    <b:Title>The emotional impact of COVID-19: from medical staff to common people. </b:Title>
    <b:JournalName>Brain Behav. Immun</b:JournalName>
    <b:Year>2020</b:Year>
    <b:RefOrder>29</b:RefOrder>
  </b:Source>
  <b:Source>
    <b:Tag>Sug21</b:Tag>
    <b:SourceType>JournalArticle</b:SourceType>
    <b:Guid>{E7ED27B5-747D-436C-ABEA-137D70BDDFAF}</b:Guid>
    <b:Author>
      <b:Author>
        <b:NameList>
          <b:Person>
            <b:Last>Sugimoto</b:Last>
          </b:Person>
          <b:Person>
            <b:Last>M</b:Last>
            <b:First>Kashiwagi</b:First>
          </b:Person>
          <b:Person>
            <b:Last>N</b:Last>
            <b:First>Tamiya</b:First>
          </b:Person>
        </b:NameList>
      </b:Author>
    </b:Author>
    <b:Title>Predictors of preferred location of care in middle-aged individuals of a municipality in Japan: a cross-sectional survey.</b:Title>
    <b:JournalName>BMC health survey</b:JournalName>
    <b:Year>2021</b:Year>
    <b:RefOrder>30</b:RefOrder>
  </b:Source>
  <b:Source>
    <b:Tag>Pol22</b:Tag>
    <b:SourceType>Report</b:SourceType>
    <b:Guid>{AC710E5D-5A03-45A4-AA89-A78D845C97FC}</b:Guid>
    <b:Title>Adult social care charging reform: further details</b:Title>
    <b:Year>2022</b:Year>
    <b:Author>
      <b:Author>
        <b:Corporate>Policy paper</b:Corporate>
      </b:Author>
    </b:Author>
    <b:City>London</b:City>
    <b:RefOrder>31</b:RefOrder>
  </b:Source>
</b:Sources>
</file>

<file path=customXml/itemProps1.xml><?xml version="1.0" encoding="utf-8"?>
<ds:datastoreItem xmlns:ds="http://schemas.openxmlformats.org/officeDocument/2006/customXml" ds:itemID="{4419926F-A883-ED4A-89AA-A6EF381B7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12</Pages>
  <Words>3461</Words>
  <Characters>19732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Cot (1913213)</dc:creator>
  <cp:keywords/>
  <dc:description/>
  <cp:lastModifiedBy>Gheorghe Cot (1913213)</cp:lastModifiedBy>
  <cp:revision>1</cp:revision>
  <dcterms:created xsi:type="dcterms:W3CDTF">2022-04-03T11:05:00Z</dcterms:created>
  <dcterms:modified xsi:type="dcterms:W3CDTF">2022-04-03T13:54:00Z</dcterms:modified>
</cp:coreProperties>
</file>