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39105E0" w:rsidR="7908378C" w:rsidRDefault="7908378C" w:rsidP="33572C6E">
            <w:pPr>
              <w:ind w:right="237"/>
              <w:rPr>
                <w:b/>
                <w:bCs/>
                <w:color w:val="auto"/>
                <w:sz w:val="32"/>
                <w:szCs w:val="32"/>
              </w:rPr>
            </w:pPr>
            <w:r w:rsidRPr="33572C6E">
              <w:rPr>
                <w:b/>
                <w:bCs/>
                <w:color w:val="auto"/>
                <w:sz w:val="32"/>
                <w:szCs w:val="32"/>
              </w:rPr>
              <w:t xml:space="preserve">Learner name: </w:t>
            </w:r>
            <w:r w:rsidR="005A4B31">
              <w:rPr>
                <w:b/>
                <w:bCs/>
                <w:color w:val="auto"/>
                <w:sz w:val="32"/>
                <w:szCs w:val="32"/>
              </w:rPr>
              <w:t xml:space="preserve">Lloyd Williams </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B352C3E" w:rsidR="7908378C" w:rsidRDefault="005A4B31" w:rsidP="33572C6E">
            <w:pPr>
              <w:ind w:right="237"/>
              <w:rPr>
                <w:b/>
                <w:bCs/>
                <w:color w:val="auto"/>
                <w:sz w:val="32"/>
                <w:szCs w:val="32"/>
              </w:rPr>
            </w:pPr>
            <w:r>
              <w:rPr>
                <w:b/>
                <w:bCs/>
                <w:color w:val="auto"/>
                <w:sz w:val="32"/>
                <w:szCs w:val="32"/>
              </w:rPr>
              <w:t>2117675</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32933C98" w14:textId="570D8FBE" w:rsidR="00AA666E" w:rsidRPr="00E676F7" w:rsidRDefault="00AA666E"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4798FB31" w14:textId="77777777" w:rsidR="005A4B31" w:rsidRPr="005A4B31" w:rsidRDefault="005A4B31" w:rsidP="005A4B31">
      <w:pPr>
        <w:rPr>
          <w:color w:val="auto"/>
        </w:rPr>
      </w:pPr>
      <w:r w:rsidRPr="005A4B31">
        <w:rPr>
          <w:color w:val="auto"/>
        </w:rPr>
        <w:t xml:space="preserve">A recent policing incident whereby I played a significant role with a victim of crime, involved a vulnerable adult.  A call was received to the Police from a third party concerned for an elderly gentleman who may have been a victim of rogue traders / fraud.  Initially the specific details surrounding the incident were unclear from the report.  </w:t>
      </w:r>
    </w:p>
    <w:p w14:paraId="5EC2BE86" w14:textId="77777777" w:rsidR="005A4B31" w:rsidRPr="005A4B31" w:rsidRDefault="005A4B31" w:rsidP="005A4B31">
      <w:pPr>
        <w:rPr>
          <w:color w:val="auto"/>
        </w:rPr>
      </w:pPr>
    </w:p>
    <w:p w14:paraId="7CE1F1A4" w14:textId="701403F4" w:rsidR="005A4B31" w:rsidRPr="005A4B31" w:rsidRDefault="005A4B31" w:rsidP="005A4B31">
      <w:pPr>
        <w:rPr>
          <w:color w:val="auto"/>
        </w:rPr>
      </w:pPr>
      <w:r w:rsidRPr="005A4B31">
        <w:rPr>
          <w:color w:val="auto"/>
        </w:rPr>
        <w:t xml:space="preserve">Prior to determining which course of action to take next, I decided to search our Policing systems for the further information.  This included details of male, his local area, and other reports with potentially same modus operandi (MO).  The reason for this is to gather a much background information which may assist me with the investigation should the male provide names or any other lines of enquiries which he may not think is relevant at the time.  </w:t>
      </w:r>
    </w:p>
    <w:p w14:paraId="4AE88959" w14:textId="77777777" w:rsidR="005A4B31" w:rsidRPr="005A4B31" w:rsidRDefault="005A4B31" w:rsidP="005A4B31">
      <w:pPr>
        <w:rPr>
          <w:color w:val="auto"/>
        </w:rPr>
      </w:pPr>
    </w:p>
    <w:p w14:paraId="030021C2" w14:textId="77777777" w:rsidR="005A4B31" w:rsidRPr="005A4B31" w:rsidRDefault="005A4B31" w:rsidP="005A4B31">
      <w:pPr>
        <w:rPr>
          <w:color w:val="auto"/>
        </w:rPr>
      </w:pPr>
      <w:r w:rsidRPr="005A4B31">
        <w:rPr>
          <w:color w:val="auto"/>
        </w:rPr>
        <w:t xml:space="preserve">During my initial search, intelligence on our policing system highlighted an incident whereby the same male was reported for a concern call as he was out on the street appearing lost and confused.  This emphasized to me that there were significant vulnerability issues involving the gentleman, thus leading me to believe a home visit was necessary to ascertain full details of the event and to assist with safeguarding measures.  I contacted the reporting person asking her whether she could meet me with the male as an appropriate adult as it I believed this was required due to his vulnerability.  </w:t>
      </w:r>
    </w:p>
    <w:p w14:paraId="371BC8A6" w14:textId="77777777" w:rsidR="005A4B31" w:rsidRPr="005A4B31" w:rsidRDefault="005A4B31" w:rsidP="005A4B31">
      <w:pPr>
        <w:rPr>
          <w:color w:val="auto"/>
        </w:rPr>
      </w:pPr>
    </w:p>
    <w:p w14:paraId="3FED527D" w14:textId="77777777" w:rsidR="005A4B31" w:rsidRPr="005A4B31" w:rsidRDefault="005A4B31" w:rsidP="005A4B31">
      <w:pPr>
        <w:rPr>
          <w:color w:val="auto"/>
        </w:rPr>
      </w:pPr>
      <w:r w:rsidRPr="005A4B31">
        <w:rPr>
          <w:color w:val="auto"/>
        </w:rPr>
        <w:t xml:space="preserve">Upon arrival,  I noted that the victim’s bungalow was situated within a quiet cul-de-sac surrounded by other similarly built bungalows.  I could see that the neighbouring bungalows had no vehicles in their drives, no CCTV or Ring doorbells and closed curtains.  At this stage, I thought to myself that video recorded evidence could potentially be unavailable, thus leaving the area at risk of repeat victimisation if the rogue traders had targeted a residence already.  It is widely studied that the elderly demographic group are at more risk of repeat victimisation over a prolonged period and are more susceptible to these types of doorstep crimes (Phillips, 2016).  As a result, this requires extensive safeguarding for the victim and for the potential victims within the neighbourhood, especially as the area may have been targeted for the exact reasons I identified on arrival.  </w:t>
      </w:r>
    </w:p>
    <w:p w14:paraId="0AA073F9" w14:textId="77777777" w:rsidR="005A4B31" w:rsidRPr="005A4B31" w:rsidRDefault="005A4B31" w:rsidP="005A4B31">
      <w:pPr>
        <w:rPr>
          <w:color w:val="auto"/>
        </w:rPr>
      </w:pPr>
      <w:r w:rsidRPr="005A4B31">
        <w:rPr>
          <w:color w:val="auto"/>
        </w:rPr>
        <w:t xml:space="preserve">At the victim’s home address, I was welcomed by his close family friend who reported the incident. She explained the victim has carers’ back and forth his home to assist with basic needs as he suffers </w:t>
      </w:r>
      <w:r w:rsidRPr="005A4B31">
        <w:rPr>
          <w:color w:val="auto"/>
        </w:rPr>
        <w:lastRenderedPageBreak/>
        <w:t>with cognitive impairments which can make him forget basic needs on some occasions.  Unfortunately, he has no family members in the country to assist him.  He has not been diagnosed with Alzheimer’s Disease or dementia but was advised his memory lapse could be due to him being over 95 years old.</w:t>
      </w:r>
    </w:p>
    <w:p w14:paraId="0E824926" w14:textId="55E9EFC6" w:rsidR="005A4B31" w:rsidRPr="005A4B31" w:rsidRDefault="005A4B31" w:rsidP="005A4B31">
      <w:pPr>
        <w:rPr>
          <w:color w:val="auto"/>
        </w:rPr>
      </w:pPr>
      <w:r w:rsidRPr="005A4B31">
        <w:rPr>
          <w:color w:val="auto"/>
        </w:rPr>
        <w:t xml:space="preserve"> </w:t>
      </w:r>
    </w:p>
    <w:p w14:paraId="373CF213" w14:textId="78E5B9E2" w:rsidR="005A4B31" w:rsidRPr="005A4B31" w:rsidRDefault="005A4B31" w:rsidP="005A4B31">
      <w:pPr>
        <w:rPr>
          <w:color w:val="auto"/>
        </w:rPr>
      </w:pPr>
      <w:r w:rsidRPr="005A4B31">
        <w:rPr>
          <w:color w:val="auto"/>
        </w:rPr>
        <w:t>Due to this I immediately thought about the victim’s vulnerability and the possible consequences of him becoming a repeat victim of similar crimes, specifically in relation to home repairs and home construction frauds (</w:t>
      </w:r>
      <w:proofErr w:type="spellStart"/>
      <w:r w:rsidRPr="005A4B31">
        <w:rPr>
          <w:color w:val="auto"/>
        </w:rPr>
        <w:t>Graycar</w:t>
      </w:r>
      <w:proofErr w:type="spellEnd"/>
      <w:r w:rsidRPr="005A4B31">
        <w:rPr>
          <w:color w:val="auto"/>
        </w:rPr>
        <w:t xml:space="preserve"> and James, 2001).  Repeat victimisation is a big concern for Policing matters across the country.  Many studies are conducted to research ways of preventing this and to spot patterns thus avoiding incidents increasing and worsening (Farrell, 1995).  </w:t>
      </w:r>
    </w:p>
    <w:p w14:paraId="201907C4" w14:textId="77777777" w:rsidR="005A4B31" w:rsidRPr="005A4B31" w:rsidRDefault="005A4B31" w:rsidP="005A4B31">
      <w:pPr>
        <w:rPr>
          <w:color w:val="auto"/>
        </w:rPr>
      </w:pPr>
    </w:p>
    <w:p w14:paraId="0116D6DD" w14:textId="77777777" w:rsidR="005A4B31" w:rsidRPr="005A4B31" w:rsidRDefault="005A4B31" w:rsidP="005A4B31">
      <w:pPr>
        <w:rPr>
          <w:color w:val="auto"/>
        </w:rPr>
      </w:pPr>
      <w:r w:rsidRPr="005A4B31">
        <w:rPr>
          <w:color w:val="auto"/>
        </w:rPr>
        <w:t xml:space="preserve">I was introduced to the victim, who was relaxing in bed as his mobility was affected that day due to the cold weather.  I was surprised to how well the male appeared considering his age and his cognitive impairments.  He was able to converse with me and advised me that he has ‘good days’ and ‘bad days’, and I was lucky to meet him on one of the good days.  He could recall the incident and started relaying this to me.  However, it was apparent that although he was able to recall the incident, he was unable to provide a clear account including details, he explained to me that when the perpetrators visited, he must have been on one of his ‘bad days’.  </w:t>
      </w:r>
    </w:p>
    <w:p w14:paraId="2A256D7A" w14:textId="77777777" w:rsidR="005A4B31" w:rsidRPr="005A4B31" w:rsidRDefault="005A4B31" w:rsidP="005A4B31">
      <w:pPr>
        <w:rPr>
          <w:color w:val="auto"/>
        </w:rPr>
      </w:pPr>
    </w:p>
    <w:p w14:paraId="2DF2AC09" w14:textId="239E77D4" w:rsidR="005A4B31" w:rsidRPr="005A4B31" w:rsidRDefault="005A4B31" w:rsidP="005A4B31">
      <w:pPr>
        <w:rPr>
          <w:color w:val="auto"/>
        </w:rPr>
      </w:pPr>
      <w:r w:rsidRPr="005A4B31">
        <w:rPr>
          <w:color w:val="auto"/>
        </w:rPr>
        <w:t xml:space="preserve">At this stage, I was considering the severity of his vulnerability and believed that he positively fell under the vulnerable adult category / definition (Cummins, 2020).  Therefore, making it far more essential that all relevant and impactive safeguarding measures are implemented as matter of urgency.   In addition to the elderly gentleman’s vulnerability due to his memory, it transpired his first language was not English.  He had explained to me that he moved to the UK many years ago from India and that Hindi was his first language.  There were a few words which the victim struggled to comprehend due to this. I then wondered whether I should suggest using an interpreter to assist him relaying the information but was unsure whether this would insult the gentleman.  I therefore decided to ask him further details on his life in India and explained that my first language was Welsh; thus, building a rapport with him and initiated a conversation regarding the complexity of the English language.  I then explained of the interpreter service available to the Police to assist and suggested to him that he could use that if he thought it would be beneficial and potentially a way of achieving best evidence (Bryant and Bryant, 2020).  He declined this as he stated he would become further confused with a third party involved in the conversation but was very grateful for the offer.  He also was unaware of this service that we used and thought it was a very good one considering the diversity of Wales and the United Kingdom.  </w:t>
      </w:r>
    </w:p>
    <w:p w14:paraId="1167B6CB" w14:textId="77777777" w:rsidR="005A4B31" w:rsidRPr="005A4B31" w:rsidRDefault="005A4B31" w:rsidP="005A4B31">
      <w:pPr>
        <w:rPr>
          <w:color w:val="auto"/>
        </w:rPr>
      </w:pPr>
    </w:p>
    <w:p w14:paraId="51BEA418" w14:textId="52DC34C1" w:rsidR="005A4B31" w:rsidRPr="005A4B31" w:rsidRDefault="005A4B31" w:rsidP="005A4B31">
      <w:pPr>
        <w:rPr>
          <w:color w:val="auto"/>
        </w:rPr>
      </w:pPr>
      <w:r w:rsidRPr="005A4B31">
        <w:rPr>
          <w:color w:val="auto"/>
        </w:rPr>
        <w:t>The incident was alleged to occur the previous day after the carers had done their morning visit.  Two unknown males knocked the victim’s property and introduced themselves as local handymen and were offering home repair jobs at a discounted price.  They informed the victim that his roof required cleaning as it would risk leaking and subsequently needing a new roof if left untouched.  They charged the victim £240.00 for the services and assisted him to write out a cheque as he informed them, he had no cash in the house.  As a result of having no cash, they informed the victim that they would return a few days later to collect the remainder payment as the cheque amount would not cover it.  It was unclear on how much in total they were to charge the gentleman. These types of crimes are often targeted at the elderly and are known as ‘Doorstep Crimes’.  Although no definitive recognition, there has been several studies into the matter due to the negative effect it has on such many victims.  These crimes involve deceiving victims by promising services for a charge which they do not follow up on or by significantly overcharging (</w:t>
      </w:r>
      <w:proofErr w:type="spellStart"/>
      <w:r w:rsidRPr="005A4B31">
        <w:rPr>
          <w:color w:val="auto"/>
        </w:rPr>
        <w:t>Aplin</w:t>
      </w:r>
      <w:proofErr w:type="spellEnd"/>
      <w:r w:rsidRPr="005A4B31">
        <w:rPr>
          <w:color w:val="auto"/>
        </w:rPr>
        <w:t xml:space="preserve">, 2021).  Doorstep Crimes are more commonly known as rogue traders.  </w:t>
      </w:r>
    </w:p>
    <w:p w14:paraId="64E0B3FE" w14:textId="77777777" w:rsidR="005A4B31" w:rsidRPr="005A4B31" w:rsidRDefault="005A4B31" w:rsidP="005A4B31">
      <w:pPr>
        <w:rPr>
          <w:color w:val="auto"/>
        </w:rPr>
      </w:pPr>
    </w:p>
    <w:p w14:paraId="19AA09DB" w14:textId="1B87815C" w:rsidR="005A4B31" w:rsidRPr="005A4B31" w:rsidRDefault="005A4B31" w:rsidP="005A4B31">
      <w:pPr>
        <w:rPr>
          <w:color w:val="auto"/>
        </w:rPr>
      </w:pPr>
      <w:r w:rsidRPr="005A4B31">
        <w:rPr>
          <w:color w:val="auto"/>
        </w:rPr>
        <w:t xml:space="preserve">When the family friend came to visit the victim as she usually does after lunchtime, the victim explained to her that two males attended and cleaned his roof for him.  The family friend had to ask further questions to gather more details as she was instantly suspicious.  The family friend went out to check the roof and saw it was untouched and had not been cleaned.  She then noted in the victim’s chequebook, a payment made out to an unknown female for £2400.00.  When asking the victim about it, he was unaware and could not remember anything about writing a cheque.  As a result, she contacted the bank and cancelled the cheque before it was banked by the involved party.  She explained to me that the victim was unable to write due to his age and physical ailments, therefore, he must have been prompted or assisted to sign the cheque.  Whilst this was being explained to me, I was thinking whether the victim was aware that he was an actual victim of crime and wondered </w:t>
      </w:r>
      <w:r w:rsidRPr="005A4B31">
        <w:rPr>
          <w:color w:val="auto"/>
        </w:rPr>
        <w:lastRenderedPageBreak/>
        <w:t xml:space="preserve">should the males return, would he know or be able to contact the Police. This made me realise that safeguarding measures were </w:t>
      </w:r>
      <w:r w:rsidRPr="005A4B31">
        <w:rPr>
          <w:color w:val="auto"/>
        </w:rPr>
        <w:t>paramount,</w:t>
      </w:r>
      <w:r w:rsidRPr="005A4B31">
        <w:rPr>
          <w:color w:val="auto"/>
        </w:rPr>
        <w:t xml:space="preserve"> and it was essential that his house was made more secure to reduce the likelihood of a repeat incident and to prevent further crimes should the males return, especially if they were returning to collect more money.</w:t>
      </w:r>
    </w:p>
    <w:p w14:paraId="319A8ECD" w14:textId="77777777" w:rsidR="005A4B31" w:rsidRPr="005A4B31" w:rsidRDefault="005A4B31" w:rsidP="005A4B31">
      <w:pPr>
        <w:rPr>
          <w:color w:val="auto"/>
        </w:rPr>
      </w:pPr>
    </w:p>
    <w:p w14:paraId="2B48E7EF" w14:textId="0A837286" w:rsidR="005A4B31" w:rsidRPr="005A4B31" w:rsidRDefault="005A4B31" w:rsidP="005A4B31">
      <w:pPr>
        <w:rPr>
          <w:color w:val="auto"/>
        </w:rPr>
      </w:pPr>
      <w:r w:rsidRPr="005A4B31">
        <w:rPr>
          <w:color w:val="auto"/>
        </w:rPr>
        <w:t xml:space="preserve">Whilst still at the location, initial investigative methods were then conducted.  These included </w:t>
      </w:r>
      <w:r w:rsidRPr="005A4B31">
        <w:rPr>
          <w:color w:val="auto"/>
        </w:rPr>
        <w:t>‘</w:t>
      </w:r>
      <w:r w:rsidRPr="005A4B31">
        <w:rPr>
          <w:color w:val="auto"/>
        </w:rPr>
        <w:t>house to house</w:t>
      </w:r>
      <w:r w:rsidRPr="005A4B31">
        <w:rPr>
          <w:color w:val="auto"/>
        </w:rPr>
        <w:t>’</w:t>
      </w:r>
      <w:r w:rsidRPr="005A4B31">
        <w:rPr>
          <w:color w:val="auto"/>
        </w:rPr>
        <w:t xml:space="preserve"> enquiries, potential CCTV or RING doorbell footages,  potential ANPR and PNC checks on vehicles that may have been sighted in the area lately, specifically white panel vans as seen by a neighbour near the victim’s house.  Unfortunately, as expected no CCTV or RING doorbell footages were available in the area, no neighbours had seen anything suspicious as they all keep themselves to themselves.  In terms of forensic opportunities, there are regular carers’ back and forth the house and CSI informed me this would not be possible for DNA examination or fingerprints lifting and due to the wet, cold conditions it would be not possible to conduct the same examinations on the roof tiles.  As discussed with my supervisor and the reporting person, there were no further lines of enquiries unfortunately.  The family friend and victim understood the situation; however, we advised them of safeguarding measures we’d look to implement. They were appreciated of our efforts and were thankful for trying to prevent any sort of repeat victimisation.   </w:t>
      </w:r>
    </w:p>
    <w:p w14:paraId="6FCD3646" w14:textId="77777777" w:rsidR="005A4B31" w:rsidRPr="005A4B31" w:rsidRDefault="005A4B31" w:rsidP="005A4B31">
      <w:pPr>
        <w:rPr>
          <w:color w:val="auto"/>
        </w:rPr>
      </w:pPr>
    </w:p>
    <w:p w14:paraId="26F67958" w14:textId="2EA81317" w:rsidR="005A4B31" w:rsidRPr="005A4B31" w:rsidRDefault="005A4B31" w:rsidP="005A4B31">
      <w:pPr>
        <w:rPr>
          <w:color w:val="auto"/>
        </w:rPr>
      </w:pPr>
      <w:r w:rsidRPr="005A4B31">
        <w:rPr>
          <w:color w:val="auto"/>
        </w:rPr>
        <w:t xml:space="preserve">Repeat victimisation has been studied for several years and is paramount in the world of policing  ensuring this does not happen.  An attempt to avoid repeat victimisation is a difficult, however, it is now a multi-agency effort whereby relying on communications between these agencies to assist the victim as much as possible (Pease, 1998).  The Home Office along with forces across the UK now consider repeat victimisation to be a wide issue across the nation and several Policing strategies have been used as an attempt to prevent or even reduce this.  One evidence-based policing strategy is ’Problem Oriented Policing’ (POPS).  This tactic appears to have worked well in terms of repeat victimisation as it includes pro-active patrols in an area whereby repeat crimes occur.  This works better as oppose of re-active as it works as a deterrent to offenders who may have previously thought it would be an ideal place, especially in the case of rogue traders targeting vulnerable elderly victims.  The strategy of increasing patrols in the area and placing technology such as cameras / CCTV in the area appears more beneficial than going to a call each time an incident occurs.  Such as the </w:t>
      </w:r>
      <w:proofErr w:type="gramStart"/>
      <w:r w:rsidRPr="005A4B31">
        <w:rPr>
          <w:color w:val="auto"/>
        </w:rPr>
        <w:t>aforementioned incident</w:t>
      </w:r>
      <w:proofErr w:type="gramEnd"/>
      <w:r w:rsidRPr="005A4B31">
        <w:rPr>
          <w:color w:val="auto"/>
        </w:rPr>
        <w:t xml:space="preserve">, investigations reached an end and no culprit(s) were identified, however, should for some reason the deterrents fail, we may have more of a change to continue different lines of enquiries and hopefully find the responsible people.  The use of external agencies such as Action Fraud and Local Authorities increase victims’ worries and stresses.  Multiple agencies have specialist people on hand that the police may not necessary be able to offer, thus again reducing the possibility of becoming a repeat victim.  </w:t>
      </w:r>
    </w:p>
    <w:p w14:paraId="00F13658" w14:textId="77777777" w:rsidR="005A4B31" w:rsidRPr="005A4B31" w:rsidRDefault="005A4B31" w:rsidP="005A4B31">
      <w:pPr>
        <w:rPr>
          <w:color w:val="auto"/>
        </w:rPr>
      </w:pPr>
    </w:p>
    <w:p w14:paraId="5899DD50" w14:textId="77777777" w:rsidR="005A4B31" w:rsidRPr="005A4B31" w:rsidRDefault="005A4B31" w:rsidP="005A4B31">
      <w:pPr>
        <w:rPr>
          <w:color w:val="auto"/>
        </w:rPr>
      </w:pPr>
      <w:r w:rsidRPr="005A4B31">
        <w:rPr>
          <w:color w:val="auto"/>
        </w:rPr>
        <w:t>However, it is important to note that the methods used as an attempt to reduce repeat victimisation is no means full proof and it requires significant more research and practice to improving tackling this issue (Braga, 2008)</w:t>
      </w:r>
    </w:p>
    <w:p w14:paraId="1E96D16A" w14:textId="302F013D" w:rsidR="5B843AF0" w:rsidRPr="00E676F7" w:rsidRDefault="5B843AF0" w:rsidP="005A4B31">
      <w:pPr>
        <w:ind w:right="237"/>
        <w:rPr>
          <w:b/>
          <w:bCs/>
          <w:sz w:val="24"/>
          <w:szCs w:val="24"/>
        </w:rPr>
      </w:pPr>
    </w:p>
    <w:p w14:paraId="5A14BEB8" w14:textId="69952D76" w:rsidR="5B843AF0" w:rsidRPr="00E676F7" w:rsidRDefault="5B843AF0" w:rsidP="5B843AF0">
      <w:pPr>
        <w:ind w:right="237"/>
        <w:jc w:val="center"/>
        <w:rPr>
          <w:b/>
          <w:bCs/>
          <w:sz w:val="24"/>
          <w:szCs w:val="24"/>
        </w:rPr>
      </w:pPr>
    </w:p>
    <w:p w14:paraId="68317E39" w14:textId="0D76AEBA" w:rsidR="00E676F7" w:rsidRPr="00E676F7" w:rsidRDefault="005A4B31">
      <w:pPr>
        <w:overflowPunct/>
        <w:autoSpaceDE/>
        <w:autoSpaceDN/>
        <w:adjustRightInd/>
        <w:textAlignment w:val="auto"/>
        <w:rPr>
          <w:b/>
          <w:bCs/>
          <w:sz w:val="24"/>
          <w:szCs w:val="24"/>
        </w:rPr>
      </w:pPr>
      <w:r>
        <w:rPr>
          <w:b/>
          <w:bCs/>
          <w:sz w:val="24"/>
          <w:szCs w:val="24"/>
        </w:rPr>
        <w:t>WORD COUNT 1854</w:t>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6B0989EF" w14:textId="67BF2AF8" w:rsidR="00025650" w:rsidRPr="00E676F7" w:rsidRDefault="00A221AB" w:rsidP="005A4B31">
      <w:pPr>
        <w:pStyle w:val="paragraph"/>
        <w:spacing w:before="0" w:beforeAutospacing="0" w:after="0" w:afterAutospacing="0"/>
        <w:jc w:val="center"/>
        <w:rPr>
          <w:b/>
          <w:bCs/>
        </w:rPr>
      </w:pPr>
      <w:r w:rsidRPr="5CE196A1">
        <w:rPr>
          <w:b/>
          <w:bCs/>
        </w:rPr>
        <w:br w:type="page"/>
      </w:r>
      <w:r w:rsidR="5B843AF0" w:rsidRPr="5CE196A1">
        <w:rPr>
          <w:b/>
          <w:bCs/>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Pr="005A4B31" w:rsidRDefault="5D9B6F62" w:rsidP="5CE196A1">
      <w:pPr>
        <w:pStyle w:val="ListParagraph"/>
        <w:numPr>
          <w:ilvl w:val="1"/>
          <w:numId w:val="1"/>
        </w:numPr>
        <w:ind w:right="237"/>
        <w:jc w:val="both"/>
        <w:rPr>
          <w:rFonts w:eastAsia="Arial"/>
          <w:b/>
          <w:bCs/>
          <w:strike/>
          <w:color w:val="000000" w:themeColor="text1"/>
          <w:sz w:val="24"/>
          <w:szCs w:val="24"/>
        </w:rPr>
      </w:pPr>
      <w:r w:rsidRPr="005A4B31">
        <w:rPr>
          <w:rFonts w:eastAsia="Arial"/>
          <w:b/>
          <w:bCs/>
          <w:strike/>
          <w:color w:val="000000" w:themeColor="text1"/>
          <w:sz w:val="24"/>
          <w:szCs w:val="24"/>
        </w:rPr>
        <w:t>Response Policing.</w:t>
      </w:r>
    </w:p>
    <w:p w14:paraId="026340D3" w14:textId="174F5660" w:rsidR="5D9B6F62" w:rsidRPr="005A4B31" w:rsidRDefault="5D9B6F62" w:rsidP="5CE196A1">
      <w:pPr>
        <w:pStyle w:val="ListParagraph"/>
        <w:numPr>
          <w:ilvl w:val="1"/>
          <w:numId w:val="1"/>
        </w:numPr>
        <w:ind w:right="237"/>
        <w:jc w:val="both"/>
        <w:rPr>
          <w:rFonts w:eastAsia="Arial"/>
          <w:b/>
          <w:bCs/>
          <w:strike/>
          <w:color w:val="000000" w:themeColor="text1"/>
          <w:sz w:val="24"/>
          <w:szCs w:val="24"/>
        </w:rPr>
      </w:pPr>
      <w:r w:rsidRPr="005A4B31">
        <w:rPr>
          <w:rFonts w:eastAsia="Arial"/>
          <w:b/>
          <w:bCs/>
          <w:strike/>
          <w:color w:val="000000" w:themeColor="text1"/>
          <w:sz w:val="24"/>
          <w:szCs w:val="24"/>
        </w:rPr>
        <w:t>Policing Communities.</w:t>
      </w:r>
    </w:p>
    <w:p w14:paraId="27C310FF" w14:textId="4363AFB5" w:rsidR="5D9B6F62" w:rsidRPr="005A4B31" w:rsidRDefault="5D9B6F62" w:rsidP="5CE196A1">
      <w:pPr>
        <w:pStyle w:val="ListParagraph"/>
        <w:numPr>
          <w:ilvl w:val="1"/>
          <w:numId w:val="1"/>
        </w:numPr>
        <w:ind w:right="237"/>
        <w:jc w:val="both"/>
        <w:rPr>
          <w:rFonts w:eastAsia="Arial"/>
          <w:b/>
          <w:bCs/>
          <w:strike/>
          <w:color w:val="000000" w:themeColor="text1"/>
          <w:sz w:val="24"/>
          <w:szCs w:val="24"/>
        </w:rPr>
      </w:pPr>
      <w:r w:rsidRPr="005A4B31">
        <w:rPr>
          <w:rFonts w:eastAsia="Arial"/>
          <w:b/>
          <w:bCs/>
          <w:strike/>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005A4B31">
        <w:rPr>
          <w:rFonts w:eastAsia="Arial"/>
          <w:b/>
          <w:bCs/>
          <w:strike/>
          <w:color w:val="000000" w:themeColor="text1"/>
          <w:sz w:val="24"/>
          <w:szCs w:val="24"/>
        </w:rPr>
        <w:t>Information and Intelligence</w:t>
      </w:r>
      <w:r w:rsidRPr="5CE196A1">
        <w:rPr>
          <w:rFonts w:eastAsia="Arial"/>
          <w:b/>
          <w:bCs/>
          <w:color w:val="000000" w:themeColor="text1"/>
          <w:sz w:val="24"/>
          <w:szCs w:val="24"/>
        </w:rPr>
        <w:t>.</w:t>
      </w:r>
    </w:p>
    <w:p w14:paraId="503EA997" w14:textId="31D6BE3E" w:rsidR="5D9B6F62" w:rsidRPr="005A4B31" w:rsidRDefault="5D9B6F62" w:rsidP="5CE196A1">
      <w:pPr>
        <w:pStyle w:val="ListParagraph"/>
        <w:numPr>
          <w:ilvl w:val="1"/>
          <w:numId w:val="1"/>
        </w:numPr>
        <w:ind w:right="237"/>
        <w:jc w:val="both"/>
        <w:rPr>
          <w:rFonts w:eastAsia="Arial"/>
          <w:b/>
          <w:bCs/>
          <w:color w:val="000000" w:themeColor="text1"/>
          <w:sz w:val="24"/>
          <w:szCs w:val="24"/>
          <w:highlight w:val="yellow"/>
        </w:rPr>
      </w:pPr>
      <w:r w:rsidRPr="005A4B31">
        <w:rPr>
          <w:rFonts w:eastAsia="Arial"/>
          <w:b/>
          <w:bCs/>
          <w:color w:val="000000" w:themeColor="text1"/>
          <w:sz w:val="24"/>
          <w:szCs w:val="24"/>
          <w:highlight w:val="yellow"/>
        </w:rPr>
        <w:t>Conducting Investigations.</w:t>
      </w:r>
      <w:r w:rsidR="11E6B3CA" w:rsidRPr="005A4B31">
        <w:rPr>
          <w:rFonts w:eastAsia="Arial"/>
          <w:b/>
          <w:bCs/>
          <w:color w:val="000000" w:themeColor="text1"/>
          <w:sz w:val="24"/>
          <w:szCs w:val="24"/>
          <w:highlight w:val="yellow"/>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12B9AC0A" w14:textId="77777777" w:rsidR="005A4B31" w:rsidRPr="005A4B31" w:rsidRDefault="005A4B31" w:rsidP="005A4B31">
      <w:pPr>
        <w:rPr>
          <w:color w:val="000000" w:themeColor="text1"/>
        </w:rPr>
      </w:pPr>
      <w:r w:rsidRPr="005A4B31">
        <w:rPr>
          <w:color w:val="000000" w:themeColor="text1"/>
        </w:rPr>
        <w:t xml:space="preserve">Since beginning my career, I have been involved in multiple investigations.  These have varied from simple shoplifting whereby shop keepers have witnessed the offender taking an item and attempting to leave the store, all of which was captured on CCTV; to more complex investigations such as numerous burglaries some with little lines of enquiries and serious unexplained deaths.  </w:t>
      </w:r>
    </w:p>
    <w:p w14:paraId="7809C283" w14:textId="4127DA7F" w:rsidR="005A4B31" w:rsidRPr="005A4B31" w:rsidRDefault="005A4B31" w:rsidP="005A4B31">
      <w:pPr>
        <w:rPr>
          <w:color w:val="000000" w:themeColor="text1"/>
        </w:rPr>
      </w:pPr>
      <w:r w:rsidRPr="005A4B31">
        <w:rPr>
          <w:color w:val="000000" w:themeColor="text1"/>
        </w:rPr>
        <w:t>One complex investigation in which I was involved and subsequently become the officer in charge of that case involved an attempt grooming following communication with a child and multiple attempt sexual communications with a child.  The incident was reported to South Wales Police via 999 by a team of ‘Paedophile Hunters’ (</w:t>
      </w:r>
      <w:proofErr w:type="spellStart"/>
      <w:r w:rsidRPr="005A4B31">
        <w:rPr>
          <w:color w:val="000000" w:themeColor="text1"/>
        </w:rPr>
        <w:t>Purshouse</w:t>
      </w:r>
      <w:proofErr w:type="spellEnd"/>
      <w:r w:rsidRPr="005A4B31">
        <w:rPr>
          <w:color w:val="000000" w:themeColor="text1"/>
        </w:rPr>
        <w:t xml:space="preserve">, 2020).  </w:t>
      </w:r>
    </w:p>
    <w:p w14:paraId="30F60B5D" w14:textId="77777777" w:rsidR="005A4B31" w:rsidRPr="005A4B31" w:rsidRDefault="005A4B31" w:rsidP="005A4B31">
      <w:pPr>
        <w:rPr>
          <w:color w:val="000000" w:themeColor="text1"/>
        </w:rPr>
      </w:pPr>
    </w:p>
    <w:p w14:paraId="2978155A" w14:textId="6A1EAC00" w:rsidR="005A4B31" w:rsidRPr="005A4B31" w:rsidRDefault="005A4B31" w:rsidP="005A4B31">
      <w:pPr>
        <w:rPr>
          <w:color w:val="000000" w:themeColor="text1"/>
        </w:rPr>
      </w:pPr>
      <w:r w:rsidRPr="005A4B31">
        <w:rPr>
          <w:color w:val="000000" w:themeColor="text1"/>
        </w:rPr>
        <w:t xml:space="preserve">‘Paedophile Hunters’ (referred on from here as ‘the hunters’) are a group of individuals across the UK that get together online trying to capture paedophiles ‘in the act’.  They pose as young children online and join apps and websites which are advertised as a social networking platform.  The ‘hunters’ use fake profiles, known as decoys and once approached / contacted online by adults, they continue to engage in conversation with them, ensuring the suspects are aware that they are in fact, under 18 years of age.  The ages can vary from 16 years old down to 12 years old.  These groups are controversial across many police forces and personally I had not experienced them beforehand (Frampton, 2021).  My colleagues did (and continue to) have a negative attitude towards them for several reasons, despite them trying not to influence me in anyway, I was already conflicted.  I know the hunters’ intentions are meant well but the way they obtain the evidence and confront the suspect is completely unprofessional.  I am aware of laws and procedures around surveillance and worry that what they do may become case law in the future as it is not PACE compliance and often the confrontations are recorded and shared on social media prior to a Police investigation begins.  This investigation was highly emotive and personal values differed amongst the team before the suspect was even brought into custody. </w:t>
      </w:r>
    </w:p>
    <w:p w14:paraId="35B96533" w14:textId="77777777" w:rsidR="005A4B31" w:rsidRPr="005A4B31" w:rsidRDefault="005A4B31" w:rsidP="005A4B31">
      <w:pPr>
        <w:rPr>
          <w:color w:val="000000" w:themeColor="text1"/>
        </w:rPr>
      </w:pPr>
    </w:p>
    <w:p w14:paraId="7ED7D79D" w14:textId="77777777" w:rsidR="005A4B31" w:rsidRPr="005A4B31" w:rsidRDefault="005A4B31" w:rsidP="005A4B31">
      <w:pPr>
        <w:rPr>
          <w:color w:val="000000" w:themeColor="text1"/>
        </w:rPr>
      </w:pPr>
      <w:r w:rsidRPr="005A4B31">
        <w:rPr>
          <w:color w:val="000000" w:themeColor="text1"/>
        </w:rPr>
        <w:t xml:space="preserve">In general, the hunters continue to talk to the adult online as what would be expected of a child and in most cases the communication becomes sexual, this is always initiated by the adults.   Once the nature becomes extremely sexual (by the adult) some of the hunters are satisfied with this evidence and investigate the whereabouts of the suspect and confront them at their own homes.  Others agree with the adults to meet up at a location and then confront the suspects at the agreed location.  Once the hunters confront the suspects, they call local Police for assistance; this is the investigation I was facing and will be critically evaluating throughout this essay.   </w:t>
      </w:r>
    </w:p>
    <w:p w14:paraId="39778B89" w14:textId="77777777" w:rsidR="005A4B31" w:rsidRPr="005A4B31" w:rsidRDefault="005A4B31" w:rsidP="005A4B31">
      <w:pPr>
        <w:rPr>
          <w:color w:val="000000" w:themeColor="text1"/>
        </w:rPr>
      </w:pPr>
    </w:p>
    <w:p w14:paraId="3A30D705" w14:textId="77777777" w:rsidR="005A4B31" w:rsidRPr="005A4B31" w:rsidRDefault="005A4B31" w:rsidP="005A4B31">
      <w:pPr>
        <w:rPr>
          <w:color w:val="000000" w:themeColor="text1"/>
        </w:rPr>
      </w:pPr>
      <w:r w:rsidRPr="005A4B31">
        <w:rPr>
          <w:color w:val="000000" w:themeColor="text1"/>
        </w:rPr>
        <w:t xml:space="preserve">Local response officers had responded to the retail centre car park where they were met by the hunters who had already detained the suspect.  The officers arrested the suspect and conveyed him to the custody suite.  The hunters had collated their evidence and compiled this onto a USB stick which contained chat logs from multiple decoy profiles, images received from the suspect (many being explicit) and pre-written witness statements.  The suspect’s phone was seized along with his vehicle which placed into holding as potential evidence as at this stage in what unknown exactly what evidence we were facing.  In terms of safeguarding, due to the allegation involving decoys, I was concerned whether there was any possibility that he had been contacting a genuine child or previously met up with a child.  It was therefore paramount that his vehicle was kept as a scene until we could negate any possibility of a child being groomed in his vehicle.  </w:t>
      </w:r>
    </w:p>
    <w:p w14:paraId="7EB5A2E5" w14:textId="77777777" w:rsidR="005A4B31" w:rsidRPr="005A4B31" w:rsidRDefault="005A4B31" w:rsidP="005A4B31">
      <w:pPr>
        <w:rPr>
          <w:color w:val="000000" w:themeColor="text1"/>
        </w:rPr>
      </w:pPr>
    </w:p>
    <w:p w14:paraId="1937215B" w14:textId="1C40B80D" w:rsidR="005A4B31" w:rsidRPr="005A4B31" w:rsidRDefault="005A4B31" w:rsidP="005A4B31">
      <w:pPr>
        <w:rPr>
          <w:color w:val="000000" w:themeColor="text1"/>
        </w:rPr>
      </w:pPr>
      <w:r w:rsidRPr="005A4B31">
        <w:rPr>
          <w:color w:val="000000" w:themeColor="text1"/>
        </w:rPr>
        <w:t xml:space="preserve">The investigation </w:t>
      </w:r>
      <w:proofErr w:type="spellStart"/>
      <w:r w:rsidRPr="005A4B31">
        <w:rPr>
          <w:color w:val="000000" w:themeColor="text1"/>
        </w:rPr>
        <w:t>begun</w:t>
      </w:r>
      <w:proofErr w:type="spellEnd"/>
      <w:r w:rsidRPr="005A4B31">
        <w:rPr>
          <w:color w:val="000000" w:themeColor="text1"/>
        </w:rPr>
        <w:t xml:space="preserve"> with </w:t>
      </w:r>
      <w:proofErr w:type="gramStart"/>
      <w:r w:rsidRPr="005A4B31">
        <w:rPr>
          <w:color w:val="000000" w:themeColor="text1"/>
        </w:rPr>
        <w:t>a number of</w:t>
      </w:r>
      <w:proofErr w:type="gramEnd"/>
      <w:r w:rsidRPr="005A4B31">
        <w:rPr>
          <w:color w:val="000000" w:themeColor="text1"/>
        </w:rPr>
        <w:t xml:space="preserve"> fast-track actions, I had to critically evaluate what actions were needed and which ones to prioritise as a matter of urgency.  As aforementioned, due to the unknown status of any genuine children at risk, the suspect’s vehicle was forensically held for potential forensic examination should a child be identified during the investigation.  Once the suspect was booked into custody, I considered forensically examining him by means of non-intimate swabs.  This entails hand swabs, fingernail swabs and fingernail clippings.  Again, I considered this as I still was not certain whether I had a victim, however, should the investigation identify a victim which had been groomed, the golden hour principles were followed (</w:t>
      </w:r>
      <w:proofErr w:type="spellStart"/>
      <w:r w:rsidRPr="005A4B31">
        <w:rPr>
          <w:color w:val="000000" w:themeColor="text1"/>
        </w:rPr>
        <w:t>Roycroft</w:t>
      </w:r>
      <w:proofErr w:type="spellEnd"/>
      <w:r w:rsidRPr="005A4B31">
        <w:rPr>
          <w:color w:val="000000" w:themeColor="text1"/>
        </w:rPr>
        <w:t xml:space="preserve">, 2019) and any potential DNA has been collected and stored should I need this later.  Due to the nature of this crime and potentially having a child victim involved, emotions were high, I needed to remain impartial and collect all/any evidence which may assist or undermine the investigation.  The suspect had only been booked into custody and had not yet been investigated, let alone questioned on the matter and keeping this in mind whilst doing the non-intimate swabs I treated the suspect with integrity and explained the process of the swabs and fingernail clippings.  He was grateful for the explanation of what was </w:t>
      </w:r>
      <w:r w:rsidRPr="005A4B31">
        <w:rPr>
          <w:color w:val="000000" w:themeColor="text1"/>
        </w:rPr>
        <w:lastRenderedPageBreak/>
        <w:t>happening as he mentioned to me that he had never been arrested before and was scared.  I ensured to comply with PACE and asked not to discuss any of the allegation with me, but I can discuss normal procedures which can be expected whilst in custody.  I explained to him that we are investigating the matter and he will be required to stay in the cells until we are ready for interview.  Looking back, I feel I done well keeping my personal values and biases away as I am confident that my investigation was not hindered or interfered in anyway by means of unconscious biases which often can happen, especially in sensitive cases like this (Ruhl, 2020).</w:t>
      </w:r>
    </w:p>
    <w:p w14:paraId="79E18204" w14:textId="77777777" w:rsidR="005A4B31" w:rsidRPr="005A4B31" w:rsidRDefault="005A4B31" w:rsidP="005A4B31">
      <w:pPr>
        <w:rPr>
          <w:color w:val="000000" w:themeColor="text1"/>
        </w:rPr>
      </w:pPr>
    </w:p>
    <w:p w14:paraId="730764C4" w14:textId="726C64CE" w:rsidR="005A4B31" w:rsidRPr="005A4B31" w:rsidRDefault="005A4B31" w:rsidP="005A4B31">
      <w:pPr>
        <w:rPr>
          <w:color w:val="000000" w:themeColor="text1"/>
        </w:rPr>
      </w:pPr>
      <w:r w:rsidRPr="005A4B31">
        <w:rPr>
          <w:color w:val="000000" w:themeColor="text1"/>
        </w:rPr>
        <w:t xml:space="preserve">The investigation continued by means of downloading the content which the hunters provided, this included the decoy profiles and their decoy profile picture; profile of the suspect; chat logs between each decoy and the suspect along with the hunters’ witness statements.  I could see from the beginning that the image of the suspect matched the person we had in custody, it was therefore essential that we dug deeper into confirming or negating that it was the suspect responsible and not somebody pretending to be him.  From the chat logs, it was evidential that the decoys waited for the suspect to contact them first and straight away the decoys informed the suspect that they were indeed 12 years old.  Conversations between one decoy started off slowly, discussing day to day activities and general topics such as hobbies and pet animals.  However, with the other 2 decoys the conversations quickly turned into that of a very sexual matter. These sexual nature messages confirmed suspicions that someone was attempting to talk to these girls with an apparent motive of sexually grooming or attempting to meet following conversations, making it difficult not to let personal attitudes take over.  I am always conscious however, not to take everything at face value and to investigate further, following all possible lines of enquiries as the serious of the offence can come with significant repercussions should an innocent person be labelled this.  The consequences of this investigation came with high risk as the person in custody, either responsible or not for these allegations would need significant safeguarding.  I endeavoured to keep this in mind for the purpose of protecting life as it is known suspects or </w:t>
      </w:r>
      <w:r w:rsidRPr="005A4B31">
        <w:rPr>
          <w:color w:val="000000" w:themeColor="text1"/>
        </w:rPr>
        <w:t>detainees</w:t>
      </w:r>
      <w:r w:rsidRPr="005A4B31">
        <w:rPr>
          <w:color w:val="000000" w:themeColor="text1"/>
        </w:rPr>
        <w:t xml:space="preserve"> can and have been known to take their own life unfortunately in situation like these.</w:t>
      </w:r>
    </w:p>
    <w:p w14:paraId="43642D0B" w14:textId="77777777" w:rsidR="005A4B31" w:rsidRPr="005A4B31" w:rsidRDefault="005A4B31" w:rsidP="005A4B31">
      <w:pPr>
        <w:rPr>
          <w:color w:val="000000" w:themeColor="text1"/>
        </w:rPr>
      </w:pPr>
    </w:p>
    <w:p w14:paraId="7DB1A2B1" w14:textId="7520E2B9" w:rsidR="005A4B31" w:rsidRPr="005A4B31" w:rsidRDefault="005A4B31" w:rsidP="005A4B31">
      <w:pPr>
        <w:rPr>
          <w:color w:val="000000" w:themeColor="text1"/>
        </w:rPr>
      </w:pPr>
      <w:r w:rsidRPr="005A4B31">
        <w:rPr>
          <w:color w:val="000000" w:themeColor="text1"/>
        </w:rPr>
        <w:t xml:space="preserve">Whilst waiting for the suspects phone to be downloaded, the team and I trawled through the chat logs and statements to ascertain as much detail as possible of the allegations and situation, ensuring all accounts and anything of evidential value was collated and ready to use for interview.  Due to the three decoys and complexity of the offence, this took some time and proved to be a difficult task to complete within PACE custody period (Bryant et al., 2020).  Unfortunately, upon Police initial arrival, the hunters told officers that they did not want any contact from us as they have another ‘hunt’ to complete, and the information provided was suffice.  This immediately became an issue as the content of their statements as we had received them was not adequate for court purposes, although the information was present it took a while to decipher this.  I, therefore needed to contact them after re-wording the statement so that it was more suited and clearer for CPS, court and jurors then asking them to confirm and sign if happy.  I spoke to the first witness who explained to me that he was the head of this </w:t>
      </w:r>
      <w:proofErr w:type="gramStart"/>
      <w:r w:rsidRPr="005A4B31">
        <w:rPr>
          <w:color w:val="000000" w:themeColor="text1"/>
        </w:rPr>
        <w:t>particular group</w:t>
      </w:r>
      <w:proofErr w:type="gramEnd"/>
      <w:r w:rsidRPr="005A4B31">
        <w:rPr>
          <w:color w:val="000000" w:themeColor="text1"/>
        </w:rPr>
        <w:t xml:space="preserve"> and I explained to him my reasons why statements needed to be amended, especially if we were to remand to court it needs to be evidential tight with no scope for defence to look for technicalities.  He was happy with my explanation, and I explained to him any special measure request they might want to be considered for, should matters go to court.  Although he told me he has done many of these hunts before, I am conscious that they are still witnesses to an offence committed and are entitled to help and support the Police or the courts may have.  However, the support offered was declined by the first witness and the three other witnesses who were in control of the decoys.  </w:t>
      </w:r>
    </w:p>
    <w:p w14:paraId="09A6CA59" w14:textId="77777777" w:rsidR="005A4B31" w:rsidRPr="005A4B31" w:rsidRDefault="005A4B31" w:rsidP="005A4B31">
      <w:pPr>
        <w:rPr>
          <w:color w:val="000000" w:themeColor="text1"/>
        </w:rPr>
      </w:pPr>
    </w:p>
    <w:p w14:paraId="22BB6B4B" w14:textId="77777777" w:rsidR="005A4B31" w:rsidRPr="005A4B31" w:rsidRDefault="005A4B31" w:rsidP="005A4B31">
      <w:pPr>
        <w:rPr>
          <w:color w:val="000000" w:themeColor="text1"/>
        </w:rPr>
      </w:pPr>
      <w:r w:rsidRPr="005A4B31">
        <w:rPr>
          <w:color w:val="000000" w:themeColor="text1"/>
        </w:rPr>
        <w:t xml:space="preserve">Once the suspect’s phone download was completed, I begun to review the content and see what evidence this may or may not show.  It was apparent that the suspect was very likely to be the person responsible for sending the texts and for arranging to meet up with one of the decoys.  A comparison of the numbers / accounts was then done to ensure there was no unidentified potential victims. </w:t>
      </w:r>
    </w:p>
    <w:p w14:paraId="0B0FF3FE" w14:textId="5EAD649D" w:rsidR="005A4B31" w:rsidRPr="005A4B31" w:rsidRDefault="005A4B31" w:rsidP="005A4B31">
      <w:pPr>
        <w:rPr>
          <w:color w:val="000000" w:themeColor="text1"/>
        </w:rPr>
      </w:pPr>
      <w:r w:rsidRPr="005A4B31">
        <w:rPr>
          <w:color w:val="000000" w:themeColor="text1"/>
        </w:rPr>
        <w:t xml:space="preserve">During the analysis of the phone download content, it became apparent that the suspect was having an explicit conversation with an unknown number.  Multiple checks such as UK Phonebook, NICHE, PND etc were done on this number and I even tried to get hold of the number myself.  Whilst waiting for a person to answer the phone I was nervous thinking what would the implications be should this be a genuine victim and what safeguarding measures could I implement for the benefit of this potential victim.  Unfortunately, I was finding it difficult ascertaining the identity of this unknown number and as a result applied under the Investigatory Powers Act 2016 (Bryant et al., 2020) or communications data via charter to obtain registration details and user details of the number.  Luckily, </w:t>
      </w:r>
      <w:r w:rsidRPr="005A4B31">
        <w:rPr>
          <w:color w:val="000000" w:themeColor="text1"/>
        </w:rPr>
        <w:lastRenderedPageBreak/>
        <w:t xml:space="preserve">it appeared this number was used by an adult female who was in a consensual online relationship and did not want to discuss any further.  </w:t>
      </w:r>
    </w:p>
    <w:p w14:paraId="3CF9C249" w14:textId="77777777" w:rsidR="005A4B31" w:rsidRPr="005A4B31" w:rsidRDefault="005A4B31" w:rsidP="005A4B31">
      <w:pPr>
        <w:rPr>
          <w:color w:val="000000" w:themeColor="text1"/>
        </w:rPr>
      </w:pPr>
    </w:p>
    <w:p w14:paraId="7EC8FB2D" w14:textId="77777777" w:rsidR="005A4B31" w:rsidRPr="005A4B31" w:rsidRDefault="005A4B31" w:rsidP="005A4B31">
      <w:pPr>
        <w:rPr>
          <w:color w:val="000000" w:themeColor="text1"/>
        </w:rPr>
      </w:pPr>
      <w:r w:rsidRPr="005A4B31">
        <w:rPr>
          <w:color w:val="000000" w:themeColor="text1"/>
        </w:rPr>
        <w:t xml:space="preserve">Once the evidence was reviewed and collated, the final stage of the investigation at this time was to interview the suspect.  The suspect’s legal representative was informed of the brief circumstances and the evidence / investigation process was explained to him prior to the solicitor’s consultation.  This was the first time I had dealt with an incident of this nature, and I found it was personally an odd experience for me; whilst collecting the suspect and taking him to the consultation room he seemed very polite and not quite how you stereotype a paedophile.  Although I remain impartial and do not let stereotypes and biases affect me during my professional career, I did not expect the suspect to look and act the way he did.  The suspect provided a ‘No Comment’ interview and did not answer any of my questions nor did he offer a reasonable explanation to the allegations or provide any sort of lines of enquiries for me to follow.  </w:t>
      </w:r>
    </w:p>
    <w:p w14:paraId="0E6DB0B4" w14:textId="77777777" w:rsidR="005A4B31" w:rsidRPr="005A4B31" w:rsidRDefault="005A4B31" w:rsidP="005A4B31">
      <w:pPr>
        <w:rPr>
          <w:color w:val="000000" w:themeColor="text1"/>
        </w:rPr>
      </w:pPr>
    </w:p>
    <w:p w14:paraId="7E0FFF48" w14:textId="21209095" w:rsidR="005A4B31" w:rsidRPr="005A4B31" w:rsidRDefault="005A4B31" w:rsidP="005A4B31">
      <w:pPr>
        <w:rPr>
          <w:color w:val="000000" w:themeColor="text1"/>
        </w:rPr>
      </w:pPr>
      <w:r w:rsidRPr="005A4B31">
        <w:rPr>
          <w:color w:val="000000" w:themeColor="text1"/>
        </w:rPr>
        <w:t>As a result of this, the team and I decided to go for an immediate charging decision and try to remand him to the next available court.  The reason for remand was due to several factors, not only is the offence very serious and the risk to others is significant, but it was also in terms of safeguarding the suspect from both self-harm and harm from others.</w:t>
      </w:r>
    </w:p>
    <w:p w14:paraId="79575787" w14:textId="77777777" w:rsidR="005A4B31" w:rsidRPr="005A4B31" w:rsidRDefault="005A4B31" w:rsidP="005A4B31">
      <w:pPr>
        <w:rPr>
          <w:color w:val="000000" w:themeColor="text1"/>
        </w:rPr>
      </w:pPr>
    </w:p>
    <w:p w14:paraId="46C16D35" w14:textId="26C5C71D" w:rsidR="005A4B31" w:rsidRPr="005A4B31" w:rsidRDefault="005A4B31" w:rsidP="005A4B31">
      <w:pPr>
        <w:rPr>
          <w:color w:val="000000" w:themeColor="text1"/>
        </w:rPr>
      </w:pPr>
      <w:r w:rsidRPr="005A4B31">
        <w:rPr>
          <w:color w:val="000000" w:themeColor="text1"/>
        </w:rPr>
        <w:t xml:space="preserve">To safeguard from self-harm, ‘Lucy Faithful’ papers were provided to the suspect which contain helpline numbers of different charities who are specialised to assist with mental health issues.  It also ensured that the suspect remained in custody where he would be unable to cause harm to himself as there is no implements available and that he is under custody watch with the CDO’s and custody sergeant.   </w:t>
      </w:r>
    </w:p>
    <w:p w14:paraId="0C745AC3" w14:textId="77777777" w:rsidR="005A4B31" w:rsidRPr="005A4B31" w:rsidRDefault="005A4B31" w:rsidP="005A4B31">
      <w:pPr>
        <w:rPr>
          <w:color w:val="000000" w:themeColor="text1"/>
        </w:rPr>
      </w:pPr>
    </w:p>
    <w:p w14:paraId="0587746E" w14:textId="66CA994B" w:rsidR="005A4B31" w:rsidRPr="005A4B31" w:rsidRDefault="005A4B31" w:rsidP="005A4B31">
      <w:pPr>
        <w:rPr>
          <w:color w:val="000000" w:themeColor="text1"/>
        </w:rPr>
      </w:pPr>
      <w:r w:rsidRPr="005A4B31">
        <w:rPr>
          <w:color w:val="000000" w:themeColor="text1"/>
        </w:rPr>
        <w:t>Due to the hunters catching the suspect in the act, they had advertised their ‘catch’ on Facebook which again attracts a lot of attention from local members of public and the risk to the suspect returning home was high as often members of public get together to resolve matters with apparent paedophiles.</w:t>
      </w:r>
    </w:p>
    <w:p w14:paraId="0567C3C4" w14:textId="77777777" w:rsidR="005A4B31" w:rsidRPr="005A4B31" w:rsidRDefault="005A4B31" w:rsidP="005A4B31">
      <w:pPr>
        <w:rPr>
          <w:color w:val="000000" w:themeColor="text1"/>
        </w:rPr>
      </w:pPr>
    </w:p>
    <w:p w14:paraId="388A6233" w14:textId="77777777" w:rsidR="005A4B31" w:rsidRPr="005A4B31" w:rsidRDefault="005A4B31" w:rsidP="005A4B31">
      <w:pPr>
        <w:rPr>
          <w:color w:val="000000" w:themeColor="text1"/>
        </w:rPr>
      </w:pPr>
      <w:r w:rsidRPr="005A4B31">
        <w:rPr>
          <w:color w:val="000000" w:themeColor="text1"/>
        </w:rPr>
        <w:t xml:space="preserve">However, the main safeguarding measure is to prevent any harm to juveniles and young children.  Although decoys were used on these occasions, remanding in custody was the best way to ensure no children are harmed or likely to be harmed by this individual.  </w:t>
      </w:r>
    </w:p>
    <w:p w14:paraId="424576ED" w14:textId="4904159A"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2BE05F09" w:rsidR="00025650" w:rsidRPr="005A4B31" w:rsidRDefault="005A4B31" w:rsidP="00340E9A">
      <w:pPr>
        <w:ind w:right="237"/>
        <w:rPr>
          <w:b/>
          <w:bCs/>
          <w:color w:val="000000" w:themeColor="text1"/>
          <w:sz w:val="24"/>
          <w:szCs w:val="24"/>
        </w:rPr>
      </w:pPr>
      <w:r w:rsidRPr="005A4B31">
        <w:rPr>
          <w:b/>
          <w:bCs/>
          <w:color w:val="000000" w:themeColor="text1"/>
          <w:sz w:val="24"/>
          <w:szCs w:val="24"/>
        </w:rPr>
        <w:t>WORD COUNT 2178</w:t>
      </w:r>
      <w:r w:rsidR="00025650" w:rsidRPr="005A4B31">
        <w:rPr>
          <w:b/>
          <w:bCs/>
          <w:color w:val="000000" w:themeColor="text1"/>
          <w:sz w:val="24"/>
          <w:szCs w:val="24"/>
        </w:rPr>
        <w:br w:type="page"/>
      </w:r>
    </w:p>
    <w:p w14:paraId="76B6FAAC" w14:textId="78791342" w:rsidR="0FF883D4" w:rsidRDefault="0FF883D4" w:rsidP="0FF883D4">
      <w:pPr>
        <w:ind w:left="2880" w:right="225" w:firstLine="720"/>
        <w:rPr>
          <w:b/>
          <w:bCs/>
          <w:sz w:val="24"/>
          <w:szCs w:val="24"/>
          <w:lang w:eastAsia="zh-TW"/>
        </w:rPr>
      </w:pPr>
    </w:p>
    <w:p w14:paraId="1ADEFAE5" w14:textId="5ED789EB" w:rsidR="0FF883D4" w:rsidRDefault="5CE196A1" w:rsidP="5CE196A1">
      <w:r w:rsidRPr="5CE196A1">
        <w:rPr>
          <w:rFonts w:eastAsia="Arial"/>
          <w:b/>
          <w:bCs/>
          <w:color w:val="000000" w:themeColor="text1"/>
          <w:sz w:val="24"/>
          <w:szCs w:val="24"/>
        </w:rPr>
        <w:t xml:space="preserve">Authentication signature: </w:t>
      </w:r>
      <w:r w:rsidR="005A4B31">
        <w:rPr>
          <w:rFonts w:eastAsia="Arial"/>
          <w:b/>
          <w:bCs/>
          <w:color w:val="000000" w:themeColor="text1"/>
          <w:sz w:val="24"/>
          <w:szCs w:val="24"/>
        </w:rPr>
        <w:t xml:space="preserve"> LLOYD WILLIAMS</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99E0986" w:rsidR="0FF883D4" w:rsidRDefault="5CE196A1" w:rsidP="5CE196A1">
      <w:r w:rsidRPr="5CE196A1">
        <w:rPr>
          <w:rFonts w:eastAsia="Arial"/>
          <w:b/>
          <w:bCs/>
          <w:color w:val="000000" w:themeColor="text1"/>
          <w:sz w:val="24"/>
          <w:szCs w:val="24"/>
        </w:rPr>
        <w:t xml:space="preserve">Signed: </w:t>
      </w:r>
      <w:r w:rsidR="005A4B31">
        <w:rPr>
          <w:rFonts w:eastAsia="Arial"/>
          <w:b/>
          <w:bCs/>
          <w:color w:val="000000" w:themeColor="text1"/>
          <w:sz w:val="24"/>
          <w:szCs w:val="24"/>
        </w:rPr>
        <w:t xml:space="preserve"> LWILLIAMS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0928332B" w:rsidR="0FF883D4" w:rsidRDefault="5CE196A1" w:rsidP="005A4B31">
      <w:pPr>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5A4B31">
        <w:rPr>
          <w:rFonts w:eastAsia="Arial"/>
          <w:b/>
          <w:bCs/>
          <w:color w:val="000000" w:themeColor="text1"/>
          <w:sz w:val="24"/>
          <w:szCs w:val="24"/>
        </w:rPr>
        <w:t xml:space="preserve">  </w:t>
      </w:r>
      <w:r w:rsidR="005A4B31">
        <w:rPr>
          <w:b/>
          <w:bCs/>
          <w:sz w:val="24"/>
          <w:szCs w:val="24"/>
          <w:lang w:eastAsia="zh-TW"/>
        </w:rPr>
        <w:t xml:space="preserve">28/04/2023 </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2008B50" w14:textId="77777777" w:rsidR="007F627C"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49F821CF" w14:textId="77777777" w:rsidR="007F627C" w:rsidRDefault="007F627C" w:rsidP="00EA28F1">
      <w:pPr>
        <w:keepNext/>
        <w:spacing w:before="240" w:after="60"/>
        <w:ind w:right="237"/>
        <w:jc w:val="both"/>
        <w:rPr>
          <w:sz w:val="24"/>
          <w:szCs w:val="24"/>
        </w:rPr>
      </w:pPr>
    </w:p>
    <w:p w14:paraId="5014A18B" w14:textId="190068C1" w:rsidR="007F627C" w:rsidRPr="00C90501" w:rsidRDefault="007F627C" w:rsidP="007F627C">
      <w:pPr>
        <w:pStyle w:val="NormalWeb"/>
        <w:ind w:left="720" w:hanging="720"/>
        <w:rPr>
          <w:rFonts w:ascii="Arial" w:hAnsi="Arial" w:cs="Arial"/>
          <w:sz w:val="20"/>
          <w:szCs w:val="20"/>
        </w:rPr>
      </w:pPr>
      <w:proofErr w:type="spellStart"/>
      <w:r w:rsidRPr="00C90501">
        <w:rPr>
          <w:rFonts w:ascii="Arial" w:hAnsi="Arial" w:cs="Arial"/>
          <w:sz w:val="20"/>
          <w:szCs w:val="20"/>
        </w:rPr>
        <w:t>Aplin</w:t>
      </w:r>
      <w:proofErr w:type="spellEnd"/>
      <w:r w:rsidRPr="00C90501">
        <w:rPr>
          <w:rFonts w:ascii="Arial" w:hAnsi="Arial" w:cs="Arial"/>
          <w:sz w:val="20"/>
          <w:szCs w:val="20"/>
        </w:rPr>
        <w:t xml:space="preserve">, R. (2021) “The policing, investigation and governance of ‘rogue trader’ fraud: Whose </w:t>
      </w:r>
      <w:proofErr w:type="gramStart"/>
      <w:r w:rsidRPr="00C90501">
        <w:rPr>
          <w:rFonts w:ascii="Arial" w:hAnsi="Arial" w:cs="Arial"/>
          <w:sz w:val="20"/>
          <w:szCs w:val="20"/>
        </w:rPr>
        <w:t>responsibility?,</w:t>
      </w:r>
      <w:proofErr w:type="gramEnd"/>
      <w:r w:rsidRPr="00C90501">
        <w:rPr>
          <w:rFonts w:ascii="Arial" w:hAnsi="Arial" w:cs="Arial"/>
          <w:sz w:val="20"/>
          <w:szCs w:val="20"/>
        </w:rPr>
        <w:t xml:space="preserve">” </w:t>
      </w:r>
      <w:r w:rsidRPr="00C90501">
        <w:rPr>
          <w:rFonts w:ascii="Arial" w:hAnsi="Arial" w:cs="Arial"/>
          <w:i/>
          <w:iCs/>
          <w:sz w:val="20"/>
          <w:szCs w:val="20"/>
        </w:rPr>
        <w:t>The Police Journal: Theory, Practice and Principles</w:t>
      </w:r>
      <w:r w:rsidRPr="00C90501">
        <w:rPr>
          <w:rFonts w:ascii="Arial" w:hAnsi="Arial" w:cs="Arial"/>
          <w:sz w:val="20"/>
          <w:szCs w:val="20"/>
        </w:rPr>
        <w:t xml:space="preserve">, 95(4), pp. 617–636. </w:t>
      </w:r>
      <w:proofErr w:type="spellStart"/>
      <w:r>
        <w:rPr>
          <w:rFonts w:ascii="Arial" w:hAnsi="Arial" w:cs="Arial"/>
          <w:sz w:val="20"/>
          <w:szCs w:val="20"/>
        </w:rPr>
        <w:t>doi</w:t>
      </w:r>
      <w:proofErr w:type="spellEnd"/>
      <w:r>
        <w:rPr>
          <w:rFonts w:ascii="Arial" w:hAnsi="Arial" w:cs="Arial"/>
          <w:sz w:val="20"/>
          <w:szCs w:val="20"/>
        </w:rPr>
        <w:t>:</w:t>
      </w:r>
      <w:r w:rsidRPr="00C90501">
        <w:rPr>
          <w:rFonts w:ascii="Arial" w:hAnsi="Arial" w:cs="Arial"/>
          <w:sz w:val="20"/>
          <w:szCs w:val="20"/>
        </w:rPr>
        <w:t xml:space="preserve"> https://doi.org/10.1177/0032258x211020038. </w:t>
      </w:r>
      <w:r>
        <w:rPr>
          <w:rFonts w:ascii="Arial" w:hAnsi="Arial" w:cs="Arial"/>
          <w:sz w:val="20"/>
          <w:szCs w:val="20"/>
        </w:rPr>
        <w:br/>
      </w:r>
    </w:p>
    <w:p w14:paraId="2F11413C" w14:textId="24C9824A" w:rsidR="007F627C" w:rsidRPr="00C90501" w:rsidRDefault="007F627C" w:rsidP="007F627C">
      <w:pPr>
        <w:ind w:left="720" w:hanging="720"/>
        <w:rPr>
          <w:color w:val="222222"/>
          <w:shd w:val="clear" w:color="auto" w:fill="FFFFFF"/>
        </w:rPr>
      </w:pPr>
      <w:r w:rsidRPr="00C90501">
        <w:rPr>
          <w:color w:val="222222"/>
          <w:shd w:val="clear" w:color="auto" w:fill="FFFFFF"/>
        </w:rPr>
        <w:t>Braga, A.A., 2008. </w:t>
      </w:r>
      <w:r w:rsidRPr="00C90501">
        <w:rPr>
          <w:i/>
          <w:iCs/>
          <w:color w:val="222222"/>
          <w:shd w:val="clear" w:color="auto" w:fill="FFFFFF"/>
        </w:rPr>
        <w:t>Problem-oriented policing and crime prevention</w:t>
      </w:r>
      <w:r w:rsidRPr="00C90501">
        <w:rPr>
          <w:color w:val="222222"/>
          <w:shd w:val="clear" w:color="auto" w:fill="FFFFFF"/>
        </w:rPr>
        <w:t> (pp. 192-y). Monsey, NY: Criminal Justice Press.</w:t>
      </w:r>
      <w:r>
        <w:rPr>
          <w:color w:val="222222"/>
          <w:shd w:val="clear" w:color="auto" w:fill="FFFFFF"/>
        </w:rPr>
        <w:br/>
      </w:r>
    </w:p>
    <w:p w14:paraId="60D4FF65" w14:textId="61981571" w:rsidR="007F627C" w:rsidRPr="00C90501" w:rsidRDefault="007F627C" w:rsidP="007F627C">
      <w:pPr>
        <w:pStyle w:val="NormalWeb"/>
        <w:ind w:left="720" w:hanging="720"/>
        <w:rPr>
          <w:rFonts w:ascii="Arial" w:hAnsi="Arial" w:cs="Arial"/>
          <w:sz w:val="20"/>
          <w:szCs w:val="20"/>
        </w:rPr>
      </w:pPr>
      <w:r w:rsidRPr="00C90501">
        <w:rPr>
          <w:rFonts w:ascii="Arial" w:hAnsi="Arial" w:cs="Arial"/>
          <w:sz w:val="20"/>
          <w:szCs w:val="20"/>
        </w:rPr>
        <w:t xml:space="preserve">Bryant, R. and Bryant, S. (2020) “Presentation of Suspects to Custody Officers,” in </w:t>
      </w:r>
      <w:r w:rsidRPr="00C90501">
        <w:rPr>
          <w:rFonts w:ascii="Arial" w:hAnsi="Arial" w:cs="Arial"/>
          <w:i/>
          <w:iCs/>
          <w:sz w:val="20"/>
          <w:szCs w:val="20"/>
        </w:rPr>
        <w:t>Blackstone's Handbook for Policing Students 2021</w:t>
      </w:r>
      <w:r w:rsidRPr="00C90501">
        <w:rPr>
          <w:rFonts w:ascii="Arial" w:hAnsi="Arial" w:cs="Arial"/>
          <w:sz w:val="20"/>
          <w:szCs w:val="20"/>
        </w:rPr>
        <w:t>. Oxford: Oxford University Press, pp. 214–219</w:t>
      </w:r>
      <w:r>
        <w:rPr>
          <w:rFonts w:ascii="Arial" w:hAnsi="Arial" w:cs="Arial"/>
          <w:sz w:val="20"/>
          <w:szCs w:val="20"/>
        </w:rPr>
        <w:br/>
      </w:r>
    </w:p>
    <w:p w14:paraId="1CD42CDE" w14:textId="227B719C" w:rsidR="007F627C" w:rsidRPr="00C90501" w:rsidRDefault="007F627C" w:rsidP="007F627C">
      <w:pPr>
        <w:pStyle w:val="NormalWeb"/>
        <w:ind w:left="720" w:hanging="720"/>
        <w:rPr>
          <w:rFonts w:ascii="Arial" w:hAnsi="Arial" w:cs="Arial"/>
          <w:sz w:val="20"/>
          <w:szCs w:val="20"/>
        </w:rPr>
      </w:pPr>
      <w:r w:rsidRPr="00C90501">
        <w:rPr>
          <w:rFonts w:ascii="Arial" w:hAnsi="Arial" w:cs="Arial"/>
          <w:sz w:val="20"/>
          <w:szCs w:val="20"/>
        </w:rPr>
        <w:t xml:space="preserve">Bryant, R. and Bryant, S. (2020) “Surveillance,” in </w:t>
      </w:r>
      <w:r w:rsidRPr="00C90501">
        <w:rPr>
          <w:rFonts w:ascii="Arial" w:hAnsi="Arial" w:cs="Arial"/>
          <w:i/>
          <w:iCs/>
          <w:sz w:val="20"/>
          <w:szCs w:val="20"/>
        </w:rPr>
        <w:t>Blackstone's Handbook for Policing Students 2021</w:t>
      </w:r>
      <w:r w:rsidRPr="00C90501">
        <w:rPr>
          <w:rFonts w:ascii="Arial" w:hAnsi="Arial" w:cs="Arial"/>
          <w:sz w:val="20"/>
          <w:szCs w:val="20"/>
        </w:rPr>
        <w:t>. Oxford: Oxford University Press, pp. 550–552.</w:t>
      </w:r>
      <w:r>
        <w:rPr>
          <w:rFonts w:ascii="Arial" w:hAnsi="Arial" w:cs="Arial"/>
          <w:sz w:val="20"/>
          <w:szCs w:val="20"/>
        </w:rPr>
        <w:br/>
      </w:r>
      <w:r w:rsidRPr="00C90501">
        <w:rPr>
          <w:rFonts w:ascii="Arial" w:hAnsi="Arial" w:cs="Arial"/>
          <w:sz w:val="20"/>
          <w:szCs w:val="20"/>
        </w:rPr>
        <w:t xml:space="preserve"> </w:t>
      </w:r>
    </w:p>
    <w:p w14:paraId="12CA012A" w14:textId="74C2342D" w:rsidR="007F627C" w:rsidRPr="00C90501" w:rsidRDefault="007F627C" w:rsidP="007F627C">
      <w:pPr>
        <w:ind w:left="720" w:hanging="720"/>
      </w:pPr>
      <w:r w:rsidRPr="00C90501">
        <w:t>Bryant, R. and Bryant, S., 2020. </w:t>
      </w:r>
      <w:r w:rsidRPr="00C90501">
        <w:rPr>
          <w:i/>
          <w:iCs/>
        </w:rPr>
        <w:t>Blackstone's Handbook for Policing students</w:t>
      </w:r>
      <w:r w:rsidRPr="00C90501">
        <w:t>. 15th ed. Oxford University Press, p.561</w:t>
      </w:r>
      <w:r>
        <w:br/>
      </w:r>
    </w:p>
    <w:p w14:paraId="6A9B6ACB" w14:textId="24D6CF87" w:rsidR="007F627C" w:rsidRPr="00C90501" w:rsidRDefault="007F627C" w:rsidP="007F627C">
      <w:pPr>
        <w:pStyle w:val="NormalWeb"/>
        <w:ind w:left="720" w:hanging="720"/>
        <w:rPr>
          <w:rFonts w:ascii="Arial" w:hAnsi="Arial" w:cs="Arial"/>
          <w:sz w:val="20"/>
          <w:szCs w:val="20"/>
        </w:rPr>
      </w:pPr>
      <w:r w:rsidRPr="00C90501">
        <w:rPr>
          <w:rFonts w:ascii="Arial" w:hAnsi="Arial" w:cs="Arial"/>
          <w:sz w:val="20"/>
          <w:szCs w:val="20"/>
        </w:rPr>
        <w:t xml:space="preserve">Cummins, I. (2020) “Policing, vulnerability and Mental Health,” </w:t>
      </w:r>
      <w:r w:rsidRPr="00C90501">
        <w:rPr>
          <w:rFonts w:ascii="Arial" w:hAnsi="Arial" w:cs="Arial"/>
          <w:i/>
          <w:iCs/>
          <w:sz w:val="20"/>
          <w:szCs w:val="20"/>
        </w:rPr>
        <w:t>Policing and Mental Health</w:t>
      </w:r>
      <w:r w:rsidRPr="00C90501">
        <w:rPr>
          <w:rFonts w:ascii="Arial" w:hAnsi="Arial" w:cs="Arial"/>
          <w:sz w:val="20"/>
          <w:szCs w:val="20"/>
        </w:rPr>
        <w:t xml:space="preserve">, pp. 183–200. </w:t>
      </w:r>
      <w:proofErr w:type="spellStart"/>
      <w:r>
        <w:rPr>
          <w:rFonts w:ascii="Arial" w:hAnsi="Arial" w:cs="Arial"/>
          <w:sz w:val="20"/>
          <w:szCs w:val="20"/>
        </w:rPr>
        <w:t>doi</w:t>
      </w:r>
      <w:proofErr w:type="spellEnd"/>
      <w:r>
        <w:rPr>
          <w:rFonts w:ascii="Arial" w:hAnsi="Arial" w:cs="Arial"/>
          <w:sz w:val="20"/>
          <w:szCs w:val="20"/>
        </w:rPr>
        <w:t xml:space="preserve">: </w:t>
      </w:r>
      <w:r w:rsidRPr="00C90501">
        <w:rPr>
          <w:rFonts w:ascii="Arial" w:hAnsi="Arial" w:cs="Arial"/>
          <w:sz w:val="20"/>
          <w:szCs w:val="20"/>
        </w:rPr>
        <w:t xml:space="preserve">https://doi.org/10.4324/9780429470882-13. </w:t>
      </w:r>
      <w:r>
        <w:rPr>
          <w:rFonts w:ascii="Arial" w:hAnsi="Arial" w:cs="Arial"/>
          <w:sz w:val="20"/>
          <w:szCs w:val="20"/>
        </w:rPr>
        <w:br/>
      </w:r>
    </w:p>
    <w:p w14:paraId="675CD2F9" w14:textId="0ABAA214" w:rsidR="007F627C" w:rsidRPr="00C90501" w:rsidRDefault="007F627C" w:rsidP="007F627C">
      <w:pPr>
        <w:ind w:left="720" w:hanging="720"/>
      </w:pPr>
      <w:r w:rsidRPr="00C90501">
        <w:t xml:space="preserve">Farrell, G. (1995) “Preventing repeat victimization,” </w:t>
      </w:r>
      <w:r w:rsidRPr="00C90501">
        <w:rPr>
          <w:i/>
          <w:iCs/>
        </w:rPr>
        <w:t>Crime and Justice</w:t>
      </w:r>
      <w:r w:rsidRPr="00C90501">
        <w:t xml:space="preserve">, 19, pp. 469–534. </w:t>
      </w:r>
      <w:proofErr w:type="spellStart"/>
      <w:r>
        <w:t>doi</w:t>
      </w:r>
      <w:proofErr w:type="spellEnd"/>
      <w:r>
        <w:t>:</w:t>
      </w:r>
      <w:r w:rsidRPr="00C90501">
        <w:t xml:space="preserve"> https://doi.org/10.1086/449236. </w:t>
      </w:r>
      <w:r>
        <w:br/>
      </w:r>
    </w:p>
    <w:p w14:paraId="6F168381" w14:textId="771ADE90" w:rsidR="007F627C" w:rsidRPr="00C90501" w:rsidRDefault="007F627C" w:rsidP="007F627C">
      <w:pPr>
        <w:ind w:left="720" w:hanging="720"/>
        <w:rPr>
          <w:color w:val="222222"/>
          <w:shd w:val="clear" w:color="auto" w:fill="FFFFFF"/>
        </w:rPr>
      </w:pPr>
      <w:r w:rsidRPr="00C90501">
        <w:rPr>
          <w:color w:val="222222"/>
          <w:shd w:val="clear" w:color="auto" w:fill="FFFFFF"/>
        </w:rPr>
        <w:t>Frampton, L., 2021. The Hunters and the Hunted: Exploring Practitioner and Public Attitudes Towards Paedophile Hunting Groups and the Implications for Risk Management.</w:t>
      </w:r>
      <w:r>
        <w:rPr>
          <w:color w:val="222222"/>
          <w:shd w:val="clear" w:color="auto" w:fill="FFFFFF"/>
        </w:rPr>
        <w:br/>
      </w:r>
    </w:p>
    <w:p w14:paraId="4DBFDF07" w14:textId="5CD92622" w:rsidR="007F627C" w:rsidRPr="00C90501" w:rsidRDefault="007F627C" w:rsidP="007F627C">
      <w:pPr>
        <w:ind w:left="720" w:hanging="720"/>
        <w:rPr>
          <w:color w:val="222222"/>
          <w:shd w:val="clear" w:color="auto" w:fill="FFFFFF"/>
        </w:rPr>
      </w:pPr>
      <w:proofErr w:type="spellStart"/>
      <w:r w:rsidRPr="00C90501">
        <w:rPr>
          <w:color w:val="222222"/>
          <w:shd w:val="clear" w:color="auto" w:fill="FFFFFF"/>
        </w:rPr>
        <w:t>Graycar</w:t>
      </w:r>
      <w:proofErr w:type="spellEnd"/>
      <w:r w:rsidRPr="00C90501">
        <w:rPr>
          <w:color w:val="222222"/>
          <w:shd w:val="clear" w:color="auto" w:fill="FFFFFF"/>
        </w:rPr>
        <w:t>, A. and James, M., 2001, July. Older people and consumer fraud. In </w:t>
      </w:r>
      <w:r w:rsidRPr="00C90501">
        <w:rPr>
          <w:i/>
          <w:iCs/>
          <w:color w:val="222222"/>
          <w:shd w:val="clear" w:color="auto" w:fill="FFFFFF"/>
        </w:rPr>
        <w:t>4th National Outlook Symposium on Crime in Australia, New Crimes or New Responses convened by the Australian Institute of Criminology and held in Canberra</w:t>
      </w:r>
      <w:r w:rsidRPr="00C90501">
        <w:rPr>
          <w:color w:val="222222"/>
          <w:shd w:val="clear" w:color="auto" w:fill="FFFFFF"/>
        </w:rPr>
        <w:t>.</w:t>
      </w:r>
      <w:r>
        <w:rPr>
          <w:color w:val="222222"/>
          <w:shd w:val="clear" w:color="auto" w:fill="FFFFFF"/>
        </w:rPr>
        <w:br/>
      </w:r>
    </w:p>
    <w:p w14:paraId="54DBF06D" w14:textId="1198CEE1" w:rsidR="007F627C" w:rsidRPr="00C90501" w:rsidRDefault="007F627C" w:rsidP="007F627C">
      <w:pPr>
        <w:pStyle w:val="NormalWeb"/>
        <w:ind w:left="720" w:hanging="720"/>
        <w:rPr>
          <w:rFonts w:ascii="Arial" w:hAnsi="Arial" w:cs="Arial"/>
          <w:sz w:val="20"/>
          <w:szCs w:val="20"/>
        </w:rPr>
      </w:pPr>
      <w:r w:rsidRPr="00C90501">
        <w:rPr>
          <w:rFonts w:ascii="Arial" w:hAnsi="Arial" w:cs="Arial"/>
          <w:sz w:val="20"/>
          <w:szCs w:val="20"/>
        </w:rPr>
        <w:t xml:space="preserve">Pease, K. (1998) </w:t>
      </w:r>
      <w:r w:rsidRPr="00C90501">
        <w:rPr>
          <w:rFonts w:ascii="Arial" w:hAnsi="Arial" w:cs="Arial"/>
          <w:i/>
          <w:iCs/>
          <w:sz w:val="20"/>
          <w:szCs w:val="20"/>
        </w:rPr>
        <w:t>Repeat victimisation: Taking stock</w:t>
      </w:r>
      <w:r w:rsidRPr="00C90501">
        <w:rPr>
          <w:rFonts w:ascii="Arial" w:hAnsi="Arial" w:cs="Arial"/>
          <w:sz w:val="20"/>
          <w:szCs w:val="20"/>
        </w:rPr>
        <w:t xml:space="preserve">. London, GB: Crown Copyright. </w:t>
      </w:r>
      <w:r>
        <w:rPr>
          <w:rFonts w:ascii="Arial" w:hAnsi="Arial" w:cs="Arial"/>
          <w:sz w:val="20"/>
          <w:szCs w:val="20"/>
        </w:rPr>
        <w:br/>
      </w:r>
    </w:p>
    <w:p w14:paraId="14A35A1F" w14:textId="596EDB0E" w:rsidR="007F627C" w:rsidRPr="00C90501" w:rsidRDefault="007F627C" w:rsidP="007F627C">
      <w:pPr>
        <w:ind w:left="720" w:hanging="720"/>
      </w:pPr>
      <w:r w:rsidRPr="00C90501">
        <w:t xml:space="preserve">Phillips, C. (2016) “From ‘rogue traders’ to organized crime groups: Doorstep fraud of older adults,” The British Journal of Criminology, 57(3), pp. 608–626. </w:t>
      </w:r>
      <w:proofErr w:type="spellStart"/>
      <w:r>
        <w:t>doi</w:t>
      </w:r>
      <w:proofErr w:type="spellEnd"/>
      <w:r>
        <w:t>:</w:t>
      </w:r>
      <w:r>
        <w:t xml:space="preserve"> </w:t>
      </w:r>
      <w:hyperlink r:id="rId21" w:history="1">
        <w:r w:rsidRPr="00C90501">
          <w:rPr>
            <w:rStyle w:val="Hyperlink"/>
          </w:rPr>
          <w:t>https://doi.org/10.1093/bjc/azw011</w:t>
        </w:r>
      </w:hyperlink>
      <w:r w:rsidRPr="00C90501">
        <w:t>.</w:t>
      </w:r>
      <w:r>
        <w:br/>
      </w:r>
    </w:p>
    <w:p w14:paraId="59C5068A" w14:textId="0CD68E37" w:rsidR="007F627C" w:rsidRPr="00C90501" w:rsidRDefault="007F627C" w:rsidP="007F627C">
      <w:pPr>
        <w:ind w:left="720" w:hanging="720"/>
        <w:rPr>
          <w:color w:val="222222"/>
          <w:shd w:val="clear" w:color="auto" w:fill="FFFFFF"/>
        </w:rPr>
      </w:pPr>
      <w:proofErr w:type="spellStart"/>
      <w:r w:rsidRPr="00C90501">
        <w:rPr>
          <w:color w:val="222222"/>
          <w:shd w:val="clear" w:color="auto" w:fill="FFFFFF"/>
        </w:rPr>
        <w:t>Purshouse</w:t>
      </w:r>
      <w:proofErr w:type="spellEnd"/>
      <w:r w:rsidRPr="00C90501">
        <w:rPr>
          <w:color w:val="222222"/>
          <w:shd w:val="clear" w:color="auto" w:fill="FFFFFF"/>
        </w:rPr>
        <w:t>, J., 2020. ‘Paedophile hunters’, criminal procedure, and fundamental human rights. </w:t>
      </w:r>
      <w:r w:rsidRPr="00C90501">
        <w:rPr>
          <w:i/>
          <w:iCs/>
          <w:color w:val="222222"/>
          <w:shd w:val="clear" w:color="auto" w:fill="FFFFFF"/>
        </w:rPr>
        <w:t>Journal of Law and Society</w:t>
      </w:r>
      <w:r w:rsidRPr="00C90501">
        <w:rPr>
          <w:color w:val="222222"/>
          <w:shd w:val="clear" w:color="auto" w:fill="FFFFFF"/>
        </w:rPr>
        <w:t>, </w:t>
      </w:r>
      <w:r w:rsidRPr="00C90501">
        <w:rPr>
          <w:i/>
          <w:iCs/>
          <w:color w:val="222222"/>
          <w:shd w:val="clear" w:color="auto" w:fill="FFFFFF"/>
        </w:rPr>
        <w:t>47</w:t>
      </w:r>
      <w:r w:rsidRPr="00C90501">
        <w:rPr>
          <w:color w:val="222222"/>
          <w:shd w:val="clear" w:color="auto" w:fill="FFFFFF"/>
        </w:rPr>
        <w:t>(3), pp.384-411.</w:t>
      </w:r>
      <w:r>
        <w:rPr>
          <w:color w:val="222222"/>
          <w:shd w:val="clear" w:color="auto" w:fill="FFFFFF"/>
        </w:rPr>
        <w:br/>
      </w:r>
    </w:p>
    <w:p w14:paraId="7698CD92" w14:textId="1E1A9D90" w:rsidR="007F627C" w:rsidRPr="00C90501" w:rsidRDefault="007F627C" w:rsidP="007F627C">
      <w:pPr>
        <w:ind w:left="720" w:hanging="720"/>
        <w:rPr>
          <w:color w:val="222222"/>
          <w:shd w:val="clear" w:color="auto" w:fill="FFFFFF"/>
        </w:rPr>
      </w:pPr>
      <w:proofErr w:type="spellStart"/>
      <w:r w:rsidRPr="00C90501">
        <w:rPr>
          <w:color w:val="222222"/>
          <w:shd w:val="clear" w:color="auto" w:fill="FFFFFF"/>
        </w:rPr>
        <w:t>Roycroft</w:t>
      </w:r>
      <w:proofErr w:type="spellEnd"/>
      <w:r w:rsidRPr="00C90501">
        <w:rPr>
          <w:color w:val="222222"/>
          <w:shd w:val="clear" w:color="auto" w:fill="FFFFFF"/>
        </w:rPr>
        <w:t>, M., 2019. Why understanding police investigative decision making is important. </w:t>
      </w:r>
      <w:r w:rsidRPr="00C90501">
        <w:rPr>
          <w:i/>
          <w:iCs/>
          <w:color w:val="222222"/>
          <w:shd w:val="clear" w:color="auto" w:fill="FFFFFF"/>
        </w:rPr>
        <w:t xml:space="preserve">Decision Making in Police Enquiries and Critical Incidents: What Really </w:t>
      </w:r>
      <w:proofErr w:type="gramStart"/>
      <w:r w:rsidRPr="00C90501">
        <w:rPr>
          <w:i/>
          <w:iCs/>
          <w:color w:val="222222"/>
          <w:shd w:val="clear" w:color="auto" w:fill="FFFFFF"/>
        </w:rPr>
        <w:t>Works?</w:t>
      </w:r>
      <w:r w:rsidRPr="00C90501">
        <w:rPr>
          <w:color w:val="222222"/>
          <w:shd w:val="clear" w:color="auto" w:fill="FFFFFF"/>
        </w:rPr>
        <w:t>,</w:t>
      </w:r>
      <w:proofErr w:type="gramEnd"/>
      <w:r w:rsidRPr="00C90501">
        <w:rPr>
          <w:color w:val="222222"/>
          <w:shd w:val="clear" w:color="auto" w:fill="FFFFFF"/>
        </w:rPr>
        <w:t xml:space="preserve"> pp.1-13.</w:t>
      </w:r>
      <w:r>
        <w:rPr>
          <w:color w:val="222222"/>
          <w:shd w:val="clear" w:color="auto" w:fill="FFFFFF"/>
        </w:rPr>
        <w:br/>
      </w:r>
    </w:p>
    <w:p w14:paraId="0AB807FE" w14:textId="297AF69D" w:rsidR="1E8636EB" w:rsidRDefault="007F627C" w:rsidP="008544B3">
      <w:pPr>
        <w:ind w:left="720" w:hanging="720"/>
      </w:pPr>
      <w:r w:rsidRPr="00C90501">
        <w:rPr>
          <w:color w:val="222222"/>
          <w:shd w:val="clear" w:color="auto" w:fill="FFFFFF"/>
        </w:rPr>
        <w:t>Ruhl, C., 2020. Implicit or unconscious bias. </w:t>
      </w:r>
      <w:r w:rsidRPr="00C90501">
        <w:rPr>
          <w:i/>
          <w:iCs/>
          <w:color w:val="222222"/>
          <w:shd w:val="clear" w:color="auto" w:fill="FFFFFF"/>
        </w:rPr>
        <w:t>Simply Psychology</w:t>
      </w:r>
      <w:r w:rsidRPr="00C90501">
        <w:rPr>
          <w:color w:val="222222"/>
          <w:shd w:val="clear" w:color="auto" w:fill="FFFFFF"/>
        </w:rPr>
        <w:t>.</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F846E" w14:textId="77777777" w:rsidR="003B7F01" w:rsidRDefault="003B7F01">
      <w:r>
        <w:separator/>
      </w:r>
    </w:p>
  </w:endnote>
  <w:endnote w:type="continuationSeparator" w:id="0">
    <w:p w14:paraId="7499E3B0" w14:textId="77777777" w:rsidR="003B7F01" w:rsidRDefault="003B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043B3" w14:textId="77777777" w:rsidR="00567641" w:rsidRDefault="005676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40DC5" w14:textId="77777777" w:rsidR="00567641" w:rsidRDefault="00567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E53EA" w14:textId="77777777" w:rsidR="003B7F01" w:rsidRDefault="003B7F01">
      <w:r>
        <w:separator/>
      </w:r>
    </w:p>
  </w:footnote>
  <w:footnote w:type="continuationSeparator" w:id="0">
    <w:p w14:paraId="68323BE3" w14:textId="77777777" w:rsidR="003B7F01" w:rsidRDefault="003B7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04C69" w14:textId="77777777" w:rsidR="00567641" w:rsidRDefault="005676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8362" w14:textId="77777777" w:rsidR="00567641" w:rsidRDefault="005676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EF125" w14:textId="77777777" w:rsidR="00567641" w:rsidRDefault="00567641">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2D1875AC"/>
    <w:lvl w:ilvl="0" w:tplc="D5D60F34">
      <w:start w:val="1"/>
      <w:numFmt w:val="decimal"/>
      <w:lvlText w:val="%1."/>
      <w:lvlJc w:val="left"/>
      <w:pPr>
        <w:ind w:left="720" w:hanging="360"/>
      </w:pPr>
    </w:lvl>
    <w:lvl w:ilvl="1" w:tplc="8E3C1914">
      <w:start w:val="1"/>
      <w:numFmt w:val="lowerLetter"/>
      <w:lvlText w:val="%2."/>
      <w:lvlJc w:val="left"/>
      <w:pPr>
        <w:ind w:left="1440" w:hanging="360"/>
      </w:pPr>
    </w:lvl>
    <w:lvl w:ilvl="2" w:tplc="8118D590">
      <w:start w:val="1"/>
      <w:numFmt w:val="lowerRoman"/>
      <w:lvlText w:val="%3."/>
      <w:lvlJc w:val="right"/>
      <w:pPr>
        <w:ind w:left="2160" w:hanging="180"/>
      </w:pPr>
    </w:lvl>
    <w:lvl w:ilvl="3" w:tplc="912E244C">
      <w:start w:val="1"/>
      <w:numFmt w:val="decimal"/>
      <w:lvlText w:val="%4."/>
      <w:lvlJc w:val="left"/>
      <w:pPr>
        <w:ind w:left="2880" w:hanging="360"/>
      </w:pPr>
    </w:lvl>
    <w:lvl w:ilvl="4" w:tplc="E4C292DE">
      <w:start w:val="1"/>
      <w:numFmt w:val="lowerLetter"/>
      <w:lvlText w:val="%5."/>
      <w:lvlJc w:val="left"/>
      <w:pPr>
        <w:ind w:left="3600" w:hanging="360"/>
      </w:pPr>
    </w:lvl>
    <w:lvl w:ilvl="5" w:tplc="BB8206D6">
      <w:start w:val="1"/>
      <w:numFmt w:val="lowerRoman"/>
      <w:lvlText w:val="%6."/>
      <w:lvlJc w:val="right"/>
      <w:pPr>
        <w:ind w:left="4320" w:hanging="180"/>
      </w:pPr>
    </w:lvl>
    <w:lvl w:ilvl="6" w:tplc="A078B128">
      <w:start w:val="1"/>
      <w:numFmt w:val="decimal"/>
      <w:lvlText w:val="%7."/>
      <w:lvlJc w:val="left"/>
      <w:pPr>
        <w:ind w:left="5040" w:hanging="360"/>
      </w:pPr>
    </w:lvl>
    <w:lvl w:ilvl="7" w:tplc="C95A12EA">
      <w:start w:val="1"/>
      <w:numFmt w:val="lowerLetter"/>
      <w:lvlText w:val="%8."/>
      <w:lvlJc w:val="left"/>
      <w:pPr>
        <w:ind w:left="5760" w:hanging="360"/>
      </w:pPr>
    </w:lvl>
    <w:lvl w:ilvl="8" w:tplc="DE9ECE96">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45C609D0"/>
    <w:lvl w:ilvl="0" w:tplc="E4A2D4A0">
      <w:start w:val="1"/>
      <w:numFmt w:val="decimal"/>
      <w:lvlText w:val="%1."/>
      <w:lvlJc w:val="left"/>
      <w:pPr>
        <w:ind w:left="720" w:hanging="360"/>
      </w:pPr>
    </w:lvl>
    <w:lvl w:ilvl="1" w:tplc="8ED28970">
      <w:start w:val="1"/>
      <w:numFmt w:val="decimal"/>
      <w:lvlText w:val="%2."/>
      <w:lvlJc w:val="left"/>
      <w:pPr>
        <w:ind w:left="1440" w:hanging="360"/>
      </w:pPr>
    </w:lvl>
    <w:lvl w:ilvl="2" w:tplc="1D629EB4">
      <w:start w:val="1"/>
      <w:numFmt w:val="lowerRoman"/>
      <w:lvlText w:val="%3."/>
      <w:lvlJc w:val="right"/>
      <w:pPr>
        <w:ind w:left="2160" w:hanging="180"/>
      </w:pPr>
    </w:lvl>
    <w:lvl w:ilvl="3" w:tplc="FAA67DC4">
      <w:start w:val="1"/>
      <w:numFmt w:val="decimal"/>
      <w:lvlText w:val="%4."/>
      <w:lvlJc w:val="left"/>
      <w:pPr>
        <w:ind w:left="2880" w:hanging="360"/>
      </w:pPr>
    </w:lvl>
    <w:lvl w:ilvl="4" w:tplc="633A0F34">
      <w:start w:val="1"/>
      <w:numFmt w:val="lowerLetter"/>
      <w:lvlText w:val="%5."/>
      <w:lvlJc w:val="left"/>
      <w:pPr>
        <w:ind w:left="3600" w:hanging="360"/>
      </w:pPr>
    </w:lvl>
    <w:lvl w:ilvl="5" w:tplc="7BD87A64">
      <w:start w:val="1"/>
      <w:numFmt w:val="lowerRoman"/>
      <w:lvlText w:val="%6."/>
      <w:lvlJc w:val="right"/>
      <w:pPr>
        <w:ind w:left="4320" w:hanging="180"/>
      </w:pPr>
    </w:lvl>
    <w:lvl w:ilvl="6" w:tplc="AB1E1204">
      <w:start w:val="1"/>
      <w:numFmt w:val="decimal"/>
      <w:lvlText w:val="%7."/>
      <w:lvlJc w:val="left"/>
      <w:pPr>
        <w:ind w:left="5040" w:hanging="360"/>
      </w:pPr>
    </w:lvl>
    <w:lvl w:ilvl="7" w:tplc="86BC4B84">
      <w:start w:val="1"/>
      <w:numFmt w:val="lowerLetter"/>
      <w:lvlText w:val="%8."/>
      <w:lvlJc w:val="left"/>
      <w:pPr>
        <w:ind w:left="5760" w:hanging="360"/>
      </w:pPr>
    </w:lvl>
    <w:lvl w:ilvl="8" w:tplc="9198F57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751781">
    <w:abstractNumId w:val="47"/>
  </w:num>
  <w:num w:numId="2" w16cid:durableId="724646421">
    <w:abstractNumId w:val="10"/>
  </w:num>
  <w:num w:numId="3" w16cid:durableId="850602403">
    <w:abstractNumId w:val="1"/>
    <w:lvlOverride w:ilvl="0">
      <w:lvl w:ilvl="0">
        <w:start w:val="1"/>
        <w:numFmt w:val="bullet"/>
        <w:lvlText w:val=""/>
        <w:lvlJc w:val="left"/>
        <w:pPr>
          <w:ind w:left="720" w:hanging="360"/>
        </w:pPr>
        <w:rPr>
          <w:rFonts w:ascii="Symbol" w:hAnsi="Symbol" w:hint="default"/>
        </w:rPr>
      </w:lvl>
    </w:lvlOverride>
  </w:num>
  <w:num w:numId="4" w16cid:durableId="1316450351">
    <w:abstractNumId w:val="22"/>
  </w:num>
  <w:num w:numId="5" w16cid:durableId="468865998">
    <w:abstractNumId w:val="44"/>
  </w:num>
  <w:num w:numId="6" w16cid:durableId="1510295551">
    <w:abstractNumId w:val="46"/>
  </w:num>
  <w:num w:numId="7" w16cid:durableId="920065140">
    <w:abstractNumId w:val="34"/>
  </w:num>
  <w:num w:numId="8" w16cid:durableId="1021397060">
    <w:abstractNumId w:val="32"/>
  </w:num>
  <w:num w:numId="9" w16cid:durableId="8457750">
    <w:abstractNumId w:val="29"/>
  </w:num>
  <w:num w:numId="10" w16cid:durableId="115411859">
    <w:abstractNumId w:val="30"/>
  </w:num>
  <w:num w:numId="11" w16cid:durableId="252855901">
    <w:abstractNumId w:val="9"/>
  </w:num>
  <w:num w:numId="12" w16cid:durableId="245310603">
    <w:abstractNumId w:val="33"/>
  </w:num>
  <w:num w:numId="13" w16cid:durableId="751514493">
    <w:abstractNumId w:val="17"/>
  </w:num>
  <w:num w:numId="14" w16cid:durableId="1570338803">
    <w:abstractNumId w:val="16"/>
  </w:num>
  <w:num w:numId="15" w16cid:durableId="667904014">
    <w:abstractNumId w:val="26"/>
  </w:num>
  <w:num w:numId="16" w16cid:durableId="133304270">
    <w:abstractNumId w:val="7"/>
  </w:num>
  <w:num w:numId="17" w16cid:durableId="495727235">
    <w:abstractNumId w:val="25"/>
  </w:num>
  <w:num w:numId="18" w16cid:durableId="2125688498">
    <w:abstractNumId w:val="15"/>
  </w:num>
  <w:num w:numId="19" w16cid:durableId="1156340905">
    <w:abstractNumId w:val="13"/>
  </w:num>
  <w:num w:numId="20" w16cid:durableId="104556902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831324">
    <w:abstractNumId w:val="23"/>
  </w:num>
  <w:num w:numId="22" w16cid:durableId="826016979">
    <w:abstractNumId w:val="18"/>
  </w:num>
  <w:num w:numId="23" w16cid:durableId="469636897">
    <w:abstractNumId w:val="14"/>
  </w:num>
  <w:num w:numId="24" w16cid:durableId="1290746425">
    <w:abstractNumId w:val="11"/>
  </w:num>
  <w:num w:numId="25" w16cid:durableId="2075005697">
    <w:abstractNumId w:val="27"/>
  </w:num>
  <w:num w:numId="26" w16cid:durableId="350029507">
    <w:abstractNumId w:val="19"/>
  </w:num>
  <w:num w:numId="27" w16cid:durableId="1628583401">
    <w:abstractNumId w:val="40"/>
  </w:num>
  <w:num w:numId="28" w16cid:durableId="1687710546">
    <w:abstractNumId w:val="35"/>
  </w:num>
  <w:num w:numId="29" w16cid:durableId="1960993485">
    <w:abstractNumId w:val="39"/>
  </w:num>
  <w:num w:numId="30" w16cid:durableId="1406148584">
    <w:abstractNumId w:val="20"/>
  </w:num>
  <w:num w:numId="31" w16cid:durableId="1551764910">
    <w:abstractNumId w:val="42"/>
  </w:num>
  <w:num w:numId="32" w16cid:durableId="814106443">
    <w:abstractNumId w:val="31"/>
  </w:num>
  <w:num w:numId="33" w16cid:durableId="1686981656">
    <w:abstractNumId w:val="12"/>
  </w:num>
  <w:num w:numId="34" w16cid:durableId="39133416">
    <w:abstractNumId w:val="43"/>
  </w:num>
  <w:num w:numId="35" w16cid:durableId="1922175310">
    <w:abstractNumId w:val="38"/>
  </w:num>
  <w:num w:numId="36" w16cid:durableId="956762163">
    <w:abstractNumId w:val="4"/>
  </w:num>
  <w:num w:numId="37" w16cid:durableId="1922644072">
    <w:abstractNumId w:val="45"/>
  </w:num>
  <w:num w:numId="38" w16cid:durableId="537931547">
    <w:abstractNumId w:val="41"/>
  </w:num>
  <w:num w:numId="39" w16cid:durableId="581766876">
    <w:abstractNumId w:val="36"/>
  </w:num>
  <w:num w:numId="40" w16cid:durableId="1397049010">
    <w:abstractNumId w:val="37"/>
  </w:num>
  <w:num w:numId="41" w16cid:durableId="1921864942">
    <w:abstractNumId w:val="3"/>
  </w:num>
  <w:num w:numId="42" w16cid:durableId="1057365214">
    <w:abstractNumId w:val="5"/>
  </w:num>
  <w:num w:numId="43" w16cid:durableId="921917039">
    <w:abstractNumId w:val="24"/>
  </w:num>
  <w:num w:numId="44" w16cid:durableId="665479791">
    <w:abstractNumId w:val="6"/>
  </w:num>
  <w:num w:numId="45" w16cid:durableId="739446952">
    <w:abstractNumId w:val="2"/>
  </w:num>
  <w:num w:numId="46" w16cid:durableId="317391757">
    <w:abstractNumId w:val="0"/>
  </w:num>
  <w:num w:numId="47" w16cid:durableId="1055009450">
    <w:abstractNumId w:val="21"/>
  </w:num>
  <w:num w:numId="48" w16cid:durableId="1663580198">
    <w:abstractNumId w:val="28"/>
  </w:num>
  <w:num w:numId="49" w16cid:durableId="199225068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20B"/>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7F01"/>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67641"/>
    <w:rsid w:val="00574A0C"/>
    <w:rsid w:val="00576E4C"/>
    <w:rsid w:val="0057780F"/>
    <w:rsid w:val="00581E0A"/>
    <w:rsid w:val="00582870"/>
    <w:rsid w:val="00586D89"/>
    <w:rsid w:val="005916B8"/>
    <w:rsid w:val="00593D00"/>
    <w:rsid w:val="005A1B4C"/>
    <w:rsid w:val="005A1BA3"/>
    <w:rsid w:val="005A4B31"/>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7F627C"/>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44B3"/>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7F627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doi.org/10.1093/bjc/azw01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5297</Words>
  <Characters>30194</Characters>
  <Application>Microsoft Office Word</Application>
  <DocSecurity>0</DocSecurity>
  <Lines>251</Lines>
  <Paragraphs>70</Paragraphs>
  <ScaleCrop>false</ScaleCrop>
  <Company>Powys County Council</Company>
  <LinksUpToDate>false</LinksUpToDate>
  <CharactersWithSpaces>35421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Williams,Lloyd swp8059</cp:lastModifiedBy>
  <cp:revision>5</cp:revision>
  <cp:lastPrinted>2014-08-26T08:55:00Z</cp:lastPrinted>
  <dcterms:created xsi:type="dcterms:W3CDTF">2022-11-30T21:36:00Z</dcterms:created>
  <dcterms:modified xsi:type="dcterms:W3CDTF">2023-04-28T14:56:00Z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2022-11-30T21:35:57Z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6db1653c-2cce-4ae0-8b3d-bd467dd4476d</vt:lpwstr>
  </property>
  <property fmtid="{D5CDD505-2E9C-101B-9397-08002B2CF9AE}" pid="9" name="MSIP_Label_66cf8fe5-b7b7-4df7-b38d-1c61ac2f6639_ContentBits">
    <vt:lpwstr>0</vt:lpwstr>
  </property>
</Properties>
</file>